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pStyle w:val="3"/>
        <w:ind w:firstLine="2640" w:firstLineChars="600"/>
        <w:jc w:val="both"/>
      </w:pPr>
      <w:r>
        <w:t>城口县人民政府</w:t>
      </w:r>
    </w:p>
    <w:p>
      <w:pPr>
        <w:snapToGrid w:val="0"/>
        <w:ind w:firstLine="0" w:firstLineChars="0"/>
        <w:jc w:val="center"/>
        <w:rPr>
          <w:rFonts w:ascii="Times New Roman" w:hAnsi="Times New Roman" w:eastAsia="方正小标宋_GBK"/>
          <w:kern w:val="0"/>
          <w:sz w:val="44"/>
          <w:szCs w:val="44"/>
        </w:rPr>
      </w:pPr>
      <w:bookmarkStart w:id="0" w:name="_GoBack"/>
      <w:r>
        <w:rPr>
          <w:rFonts w:hint="eastAsia" w:ascii="方正小标宋_GBK" w:eastAsia="方正小标宋_GBK"/>
          <w:sz w:val="44"/>
        </w:rPr>
        <w:t xml:space="preserve">关于 </w:t>
      </w:r>
      <w:r>
        <w:rPr>
          <w:rFonts w:ascii="Times New Roman" w:eastAsia="Times New Roman"/>
          <w:sz w:val="44"/>
        </w:rPr>
        <w:t xml:space="preserve">2019 </w:t>
      </w:r>
      <w:r>
        <w:rPr>
          <w:rFonts w:hint="eastAsia" w:ascii="方正小标宋_GBK" w:eastAsia="方正小标宋_GBK"/>
          <w:sz w:val="44"/>
        </w:rPr>
        <w:t>年废止一批行政规范性文件的</w:t>
      </w:r>
      <w:bookmarkEnd w:id="0"/>
      <w:r>
        <w:rPr>
          <w:rFonts w:hint="eastAsia" w:ascii="方正小标宋_GBK" w:eastAsia="方正小标宋_GBK"/>
          <w:sz w:val="44"/>
        </w:rPr>
        <w:t>决</w:t>
      </w:r>
      <w:r>
        <w:rPr>
          <w:rFonts w:hint="eastAsia" w:ascii="方正小标宋_GBK" w:eastAsia="方正小标宋_GBK"/>
          <w:sz w:val="44"/>
          <w:lang w:val="en-US" w:eastAsia="zh-CN"/>
        </w:rPr>
        <w:t xml:space="preserve"> </w:t>
      </w:r>
      <w:r>
        <w:rPr>
          <w:rFonts w:hint="eastAsia" w:ascii="方正小标宋_GBK" w:eastAsia="方正小标宋_GBK"/>
          <w:sz w:val="44"/>
        </w:rPr>
        <w:t>定</w:t>
      </w:r>
    </w:p>
    <w:p>
      <w:pPr>
        <w:pStyle w:val="3"/>
        <w:ind w:firstLine="2560" w:firstLineChars="8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城府发〔201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15号</w:t>
      </w:r>
    </w:p>
    <w:p>
      <w:pPr>
        <w:widowControl/>
        <w:adjustRightInd w:val="0"/>
        <w:snapToGrid w:val="0"/>
        <w:rPr>
          <w:rFonts w:hint="eastAsia" w:ascii="方正仿宋_GBK" w:hAnsi="方正仿宋_GBK" w:eastAsia="方正仿宋_GBK" w:cs="方正仿宋_GBK"/>
          <w:spacing w:val="4"/>
          <w:sz w:val="32"/>
          <w:szCs w:val="32"/>
        </w:rPr>
      </w:pPr>
    </w:p>
    <w:p>
      <w:pPr>
        <w:widowControl/>
        <w:adjustRightInd w:val="0"/>
        <w:snapToGrid w:val="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各乡镇人民政府、街道办事处，县政府各部门和有关单位：</w:t>
      </w:r>
    </w:p>
    <w:p>
      <w:pPr>
        <w:widowControl/>
        <w:adjustRightInd w:val="0"/>
        <w:snapToGrid w:val="0"/>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为深入推进依法行政，加快法治政府建设，根据《国务院办公厅关于加强行政规范性文件制定和监督管理工作的通知》（国办发〔2018〕37 号）和《重庆市行政规范性文件管理办法》（重庆市人民政府令第 290 号）要求，对《城口县人民政府办公室关于印发重庆大巴山国家级自然保护区管理暂行办法的通知》（城府办发〔2013〕209 号）等 12 件行政规范性文件予以废止， 自本决定印发之日起不再施行。</w:t>
      </w:r>
    </w:p>
    <w:p>
      <w:pPr>
        <w:pStyle w:val="8"/>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p>
    <w:p>
      <w:pPr>
        <w:pStyle w:val="8"/>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附件：决定废止的行政规范性文件目录（共</w:t>
      </w:r>
      <w:r>
        <w:rPr>
          <w:rFonts w:hint="eastAsia" w:ascii="方正仿宋_GBK" w:hAnsi="方正仿宋_GBK" w:eastAsia="方正仿宋_GBK" w:cs="方正仿宋_GBK"/>
          <w:spacing w:val="4"/>
          <w:sz w:val="32"/>
          <w:szCs w:val="32"/>
          <w:lang w:val="en-US" w:eastAsia="zh-CN"/>
        </w:rPr>
        <w:t>12</w:t>
      </w:r>
      <w:r>
        <w:rPr>
          <w:rFonts w:hint="eastAsia" w:ascii="方正仿宋_GBK" w:hAnsi="方正仿宋_GBK" w:eastAsia="方正仿宋_GBK" w:cs="方正仿宋_GBK"/>
          <w:spacing w:val="4"/>
          <w:sz w:val="32"/>
          <w:szCs w:val="32"/>
        </w:rPr>
        <w:t>件）</w:t>
      </w:r>
    </w:p>
    <w:p>
      <w:pPr>
        <w:pStyle w:val="8"/>
        <w:shd w:val="clear" w:color="auto" w:fill="FFFFFF"/>
        <w:adjustRightInd w:val="0"/>
        <w:snapToGrid w:val="0"/>
        <w:spacing w:before="0" w:beforeAutospacing="0" w:after="0" w:afterAutospacing="0"/>
        <w:ind w:firstLine="5404" w:firstLineChars="1689"/>
        <w:rPr>
          <w:rFonts w:hint="eastAsia" w:ascii="方正仿宋_GBK" w:hAnsi="方正仿宋_GBK" w:eastAsia="方正仿宋_GBK" w:cs="方正仿宋_GBK"/>
          <w:sz w:val="32"/>
          <w:szCs w:val="32"/>
        </w:rPr>
      </w:pPr>
    </w:p>
    <w:p>
      <w:pPr>
        <w:pStyle w:val="8"/>
        <w:shd w:val="clear" w:color="auto" w:fill="FFFFFF"/>
        <w:adjustRightInd w:val="0"/>
        <w:snapToGrid w:val="0"/>
        <w:spacing w:before="0" w:beforeAutospacing="0" w:after="0" w:afterAutospacing="0"/>
        <w:ind w:firstLine="5404" w:firstLineChars="1689"/>
        <w:rPr>
          <w:rFonts w:hint="eastAsia" w:ascii="方正仿宋_GBK" w:hAnsi="方正仿宋_GBK" w:eastAsia="方正仿宋_GBK" w:cs="方正仿宋_GBK"/>
          <w:sz w:val="32"/>
          <w:szCs w:val="32"/>
        </w:rPr>
      </w:pPr>
    </w:p>
    <w:p>
      <w:pPr>
        <w:pStyle w:val="8"/>
        <w:shd w:val="clear" w:color="auto" w:fill="FFFFFF"/>
        <w:wordWrap w:val="0"/>
        <w:adjustRightInd w:val="0"/>
        <w:snapToGrid w:val="0"/>
        <w:spacing w:before="0" w:beforeAutospacing="0" w:after="0" w:afterAutospacing="0"/>
        <w:jc w:val="right"/>
        <w:rPr>
          <w:rFonts w:hint="default"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rPr>
        <w:t>城口县人民政府</w:t>
      </w:r>
      <w:r>
        <w:rPr>
          <w:rFonts w:hint="eastAsia" w:ascii="方正仿宋_GBK" w:hAnsi="方正仿宋_GBK" w:eastAsia="方正仿宋_GBK" w:cs="方正仿宋_GBK"/>
          <w:spacing w:val="4"/>
          <w:sz w:val="32"/>
          <w:szCs w:val="32"/>
          <w:lang w:val="en-US" w:eastAsia="zh-CN"/>
        </w:rPr>
        <w:t xml:space="preserve">  </w:t>
      </w:r>
    </w:p>
    <w:p>
      <w:pPr>
        <w:pStyle w:val="8"/>
        <w:shd w:val="clear" w:color="auto" w:fill="FFFFFF"/>
        <w:wordWrap w:val="0"/>
        <w:adjustRightInd w:val="0"/>
        <w:snapToGrid w:val="0"/>
        <w:spacing w:before="0" w:beforeAutospacing="0" w:after="0" w:afterAutospacing="0"/>
        <w:jc w:val="right"/>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2019 年7月25日</w:t>
      </w: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方正仿宋_GBK" w:hAnsi="方正仿宋_GBK" w:eastAsia="方正仿宋_GBK" w:cs="方正仿宋_GBK"/>
          <w:spacing w:val="4"/>
          <w:sz w:val="32"/>
          <w:szCs w:val="32"/>
        </w:rPr>
      </w:pPr>
    </w:p>
    <w:p>
      <w:pPr>
        <w:shd w:val="clear" w:color="auto" w:fill="FFFFFF"/>
        <w:adjustRightInd w:val="0"/>
        <w:snapToGrid w:val="0"/>
        <w:spacing w:before="0" w:beforeAutospacing="0" w:after="0" w:afterAutospacing="0" w:line="579" w:lineRule="exact"/>
        <w:ind w:firstLine="328" w:firstLineChars="100"/>
        <w:rPr>
          <w:rFonts w:ascii="Times New Roman" w:hAnsi="Times New Roman" w:eastAsia="方正黑体_GBK" w:cs="Times New Roman"/>
          <w:spacing w:val="4"/>
          <w:sz w:val="32"/>
          <w:szCs w:val="32"/>
          <w:lang w:val="en-US" w:eastAsia="zh-CN" w:bidi="ar-SA"/>
        </w:rPr>
      </w:pPr>
      <w:r>
        <w:rPr>
          <w:rFonts w:ascii="Times New Roman" w:hAnsi="Times New Roman" w:eastAsia="方正黑体_GBK" w:cs="Times New Roman"/>
          <w:spacing w:val="4"/>
          <w:sz w:val="32"/>
          <w:szCs w:val="32"/>
          <w:lang w:val="en-US" w:eastAsia="zh-CN" w:bidi="ar-SA"/>
        </w:rPr>
        <w:t>附件</w:t>
      </w:r>
    </w:p>
    <w:p>
      <w:pPr>
        <w:pStyle w:val="2"/>
        <w:rPr>
          <w:lang w:val="en-US" w:eastAsia="zh-CN"/>
        </w:rPr>
      </w:pPr>
    </w:p>
    <w:p>
      <w:pPr>
        <w:shd w:val="clear" w:color="auto" w:fill="FFFFFF"/>
        <w:adjustRightInd w:val="0"/>
        <w:snapToGrid w:val="0"/>
        <w:spacing w:before="0" w:beforeAutospacing="0" w:after="0" w:afterAutospacing="0" w:line="579" w:lineRule="exact"/>
        <w:ind w:firstLine="264" w:firstLineChars="60"/>
        <w:rPr>
          <w:rStyle w:val="13"/>
          <w:rFonts w:ascii="Times New Roman" w:hAnsi="Times New Roman" w:eastAsia="方正小标宋_GBK" w:cs="Times New Roman"/>
          <w:sz w:val="44"/>
          <w:szCs w:val="44"/>
          <w:lang w:val="en-US" w:eastAsia="zh-CN" w:bidi="ar-SA"/>
        </w:rPr>
      </w:pPr>
      <w:r>
        <w:rPr>
          <w:rStyle w:val="13"/>
          <w:rFonts w:ascii="Times New Roman" w:hAnsi="Times New Roman" w:eastAsia="方正小标宋_GBK" w:cs="Times New Roman"/>
          <w:sz w:val="44"/>
          <w:szCs w:val="44"/>
          <w:lang w:val="en-US" w:eastAsia="zh-CN" w:bidi="ar-SA"/>
        </w:rPr>
        <w:t>决定废止的行政规范性文件目录（共</w:t>
      </w:r>
      <w:r>
        <w:rPr>
          <w:rStyle w:val="14"/>
          <w:rFonts w:hint="eastAsia" w:ascii="Times New Roman" w:hAnsi="Times New Roman" w:eastAsia="方正小标宋_GBK" w:cs="Times New Roman"/>
          <w:sz w:val="44"/>
          <w:szCs w:val="44"/>
          <w:lang w:val="en-US" w:eastAsia="zh-CN" w:bidi="ar-SA"/>
        </w:rPr>
        <w:t>12</w:t>
      </w:r>
      <w:r>
        <w:rPr>
          <w:rStyle w:val="13"/>
          <w:rFonts w:ascii="Times New Roman" w:hAnsi="Times New Roman" w:eastAsia="方正小标宋_GBK" w:cs="Times New Roman"/>
          <w:sz w:val="44"/>
          <w:szCs w:val="44"/>
          <w:lang w:val="en-US" w:eastAsia="zh-CN" w:bidi="ar-SA"/>
        </w:rPr>
        <w:t>件）</w:t>
      </w:r>
    </w:p>
    <w:p>
      <w:pPr>
        <w:pStyle w:val="2"/>
        <w:rPr>
          <w:lang w:val="en-US" w:eastAsia="zh-CN"/>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41"/>
        <w:gridCol w:w="3760"/>
        <w:gridCol w:w="1867"/>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9" w:lineRule="exact"/>
              <w:ind w:firstLine="196" w:firstLineChars="60"/>
              <w:jc w:val="center"/>
              <w:textAlignment w:val="auto"/>
              <w:rPr>
                <w:rFonts w:ascii="Times New Roman" w:hAnsi="Times New Roman" w:eastAsia="方正黑体_GBK" w:cs="Times New Roman"/>
                <w:spacing w:val="4"/>
                <w:sz w:val="32"/>
                <w:szCs w:val="32"/>
                <w:lang w:val="en-US" w:eastAsia="zh-CN" w:bidi="ar-SA"/>
              </w:rPr>
            </w:pPr>
            <w:r>
              <w:rPr>
                <w:rFonts w:hint="eastAsia" w:ascii="Times New Roman" w:hAnsi="Times New Roman" w:eastAsia="方正黑体_GBK" w:cs="Times New Roman"/>
                <w:spacing w:val="4"/>
                <w:sz w:val="32"/>
                <w:szCs w:val="32"/>
                <w:lang w:val="en-US" w:eastAsia="zh-CN" w:bidi="ar-SA"/>
              </w:rPr>
              <w:t>序号</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9" w:lineRule="exact"/>
              <w:ind w:firstLine="196" w:firstLineChars="60"/>
              <w:textAlignment w:val="auto"/>
              <w:rPr>
                <w:rFonts w:hint="eastAsia" w:ascii="Times New Roman" w:hAnsi="Times New Roman" w:eastAsia="方正黑体_GBK" w:cs="Times New Roman"/>
                <w:spacing w:val="4"/>
                <w:sz w:val="32"/>
                <w:szCs w:val="32"/>
                <w:lang w:val="en-US" w:eastAsia="zh-CN" w:bidi="ar-SA"/>
              </w:rPr>
            </w:pPr>
            <w:r>
              <w:rPr>
                <w:rFonts w:hint="eastAsia" w:ascii="Times New Roman" w:hAnsi="Times New Roman" w:eastAsia="方正黑体_GBK" w:cs="Times New Roman"/>
                <w:spacing w:val="4"/>
                <w:sz w:val="32"/>
                <w:szCs w:val="32"/>
                <w:lang w:val="en-US" w:eastAsia="zh-CN" w:bidi="ar-SA"/>
              </w:rPr>
              <w:t>文件标题</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9" w:lineRule="exact"/>
              <w:ind w:firstLine="196" w:firstLineChars="60"/>
              <w:textAlignment w:val="auto"/>
              <w:rPr>
                <w:rFonts w:hint="eastAsia" w:ascii="Times New Roman" w:hAnsi="Times New Roman" w:eastAsia="方正黑体_GBK" w:cs="Times New Roman"/>
                <w:spacing w:val="4"/>
                <w:sz w:val="32"/>
                <w:szCs w:val="32"/>
                <w:lang w:val="en-US" w:eastAsia="zh-CN" w:bidi="ar-SA"/>
              </w:rPr>
            </w:pPr>
            <w:r>
              <w:rPr>
                <w:rFonts w:hint="eastAsia" w:ascii="Times New Roman" w:hAnsi="Times New Roman" w:eastAsia="方正黑体_GBK" w:cs="Times New Roman"/>
                <w:spacing w:val="4"/>
                <w:sz w:val="32"/>
                <w:szCs w:val="32"/>
                <w:lang w:val="en-US" w:eastAsia="zh-CN" w:bidi="ar-SA"/>
              </w:rPr>
              <w:t>文件文号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9" w:lineRule="exact"/>
              <w:ind w:firstLine="196" w:firstLineChars="60"/>
              <w:textAlignment w:val="auto"/>
              <w:rPr>
                <w:rFonts w:hint="eastAsia" w:ascii="Times New Roman" w:hAnsi="Times New Roman" w:eastAsia="方正黑体_GBK" w:cs="Times New Roman"/>
                <w:spacing w:val="4"/>
                <w:sz w:val="32"/>
                <w:szCs w:val="32"/>
                <w:lang w:val="en-US" w:eastAsia="zh-CN" w:bidi="ar-SA"/>
              </w:rPr>
            </w:pPr>
            <w:r>
              <w:rPr>
                <w:rFonts w:hint="eastAsia" w:ascii="Times New Roman" w:hAnsi="Times New Roman" w:eastAsia="方正黑体_GBK" w:cs="Times New Roman"/>
                <w:spacing w:val="4"/>
                <w:sz w:val="32"/>
                <w:szCs w:val="32"/>
                <w:lang w:val="en-US" w:eastAsia="zh-CN" w:bidi="ar-SA"/>
              </w:rPr>
              <w:t>发布日期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城口县人民政府办公室关于印发重庆大巴山国家级自然保护区管理暂行办法的通知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城府办发〔2013〕209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2013 年 9 月 30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2"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城口县人民政府办公室关于印发城口县“十三五”高山生态扶贫搬迁实施方案的通知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城府办发〔2016〕90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2016 年 6 月 7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2"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城口县人民政府办公室关于印发城口县精准脱贫乡风文明建设工作实施方案（试行）的通知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城府办发〔2016〕161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2016 年 9 月 18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2"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城口县人民政府办公室关于印发城口县农村五保供养服务机构等</w:t>
            </w: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级管理办法的通知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城办发〔2012〕4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2012 年 1 月 1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城口县人民政府办公室批转城口县民政局城口县公安局关于明确事实无人抚养困境儿童申报条件及程序的通知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城府办发〔2013〕222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2013 年 9 月 28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城口县人民政府办公室关于印发城口县城乡居民最低生活保障实施细则试行的通知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城府办发〔2010〕263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2010 年 12 月 10</w:t>
            </w: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城口县人民政府关于取缔低坝子内街临时菜市场的通告</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城府发〔2015〕29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2015 年 8 月 7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城口县人民政府办公室关于加强烟草市场监管工作的通知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城府办发〔2016〕142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2016 年 9 月 6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城口县人民政府办公室关于印发城口县统筹城乡户籍制度改革转户居民退出农村宅基地办理程序的通知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城办发〔2012〕16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2012 年 2 月 15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城口县人民政府办公室关于加强县城城郊结合部农村宅基地审批管理的通知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城办发〔2011〕126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2011 年 6 月 9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城口县人民政府办公室关于进一步完善设施农用地管理支持设施农业健康发展的通知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城府办发〔2017〕204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2017 年 12 月 15</w:t>
            </w: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0" w:hRule="atLeast"/>
        </w:trPr>
        <w:tc>
          <w:tcPr>
            <w:tcW w:w="1041"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jc w:val="center"/>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3760"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城口县人民政府办公室关于印发城口县城镇廉租住房管理暂行办</w:t>
            </w: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法的通知</w:t>
            </w:r>
          </w:p>
        </w:tc>
        <w:tc>
          <w:tcPr>
            <w:tcW w:w="186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城办发〔2009〕159 号</w:t>
            </w:r>
          </w:p>
        </w:tc>
        <w:tc>
          <w:tcPr>
            <w:tcW w:w="1668"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2009 年 10 月 10</w:t>
            </w:r>
          </w:p>
          <w:p>
            <w:pPr>
              <w:pStyle w:val="8"/>
              <w:keepNext w:val="0"/>
              <w:keepLines w:val="0"/>
              <w:pageBreakBefore w:val="0"/>
              <w:widowControl/>
              <w:suppressLineNumbers w:val="0"/>
              <w:kinsoku/>
              <w:wordWrap/>
              <w:overflowPunct/>
              <w:topLinePunct w:val="0"/>
              <w:autoSpaceDE/>
              <w:autoSpaceDN/>
              <w:bidi w:val="0"/>
              <w:snapToGrid w:val="0"/>
              <w:spacing w:before="0" w:beforeAutospacing="0" w:after="0" w:afterAutospacing="0" w:line="456" w:lineRule="atLeast"/>
              <w:ind w:left="0" w:leftChars="0" w:right="0" w:righ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w:t>
            </w:r>
          </w:p>
        </w:tc>
      </w:tr>
    </w:tbl>
    <w:p>
      <w:pPr>
        <w:pStyle w:val="8"/>
        <w:keepNext w:val="0"/>
        <w:keepLines w:val="0"/>
        <w:widowControl/>
        <w:suppressLineNumbers w:val="0"/>
        <w:spacing w:before="0" w:beforeAutospacing="0" w:after="0" w:afterAutospacing="0" w:line="240" w:lineRule="auto"/>
        <w:rPr>
          <w:rFonts w:hint="eastAsia" w:ascii="方正仿宋_GBK" w:hAnsi="方正仿宋_GBK" w:eastAsia="方正仿宋_GBK" w:cs="方正仿宋_GBK"/>
          <w:sz w:val="24"/>
          <w:szCs w:val="24"/>
        </w:rPr>
      </w:pPr>
    </w:p>
    <w:p>
      <w:pPr>
        <w:pStyle w:val="2"/>
        <w:spacing w:after="0"/>
        <w:rPr>
          <w:rFonts w:hint="eastAsia" w:ascii="方正仿宋_GBK" w:hAnsi="方正仿宋_GBK" w:eastAsia="方正仿宋_GBK" w:cs="方正仿宋_GBK"/>
          <w:spacing w:val="4"/>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C48643B"/>
    <w:rsid w:val="0F702710"/>
    <w:rsid w:val="15B17B2F"/>
    <w:rsid w:val="16873CDF"/>
    <w:rsid w:val="2196617B"/>
    <w:rsid w:val="31986A4D"/>
    <w:rsid w:val="3AD42F57"/>
    <w:rsid w:val="495A381D"/>
    <w:rsid w:val="4DF5541E"/>
    <w:rsid w:val="50983FCB"/>
    <w:rsid w:val="51F80501"/>
    <w:rsid w:val="5386126D"/>
    <w:rsid w:val="6AE14DD0"/>
    <w:rsid w:val="6B835DA5"/>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649</Words>
  <Characters>701</Characters>
  <Lines>0</Lines>
  <Paragraphs>0</Paragraphs>
  <TotalTime>2</TotalTime>
  <ScaleCrop>false</ScaleCrop>
  <LinksUpToDate>false</LinksUpToDate>
  <CharactersWithSpaces>706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2022-06-09T09:02:28Z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83CFACD4D7A94DD58F290092301CC7EA</vt:lpwstr>
  </property>
</Properties>
</file>