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right="0"/>
        <w:jc w:val="center"/>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城口县龙田乡</w:t>
      </w:r>
      <w:r>
        <w:rPr>
          <w:rFonts w:hint="default" w:ascii="Times New Roman" w:hAnsi="Times New Roman" w:eastAsia="方正小标宋_GBK" w:cs="Times New Roman"/>
          <w:i w:val="0"/>
          <w:iCs w:val="0"/>
          <w:caps w:val="0"/>
          <w:color w:val="333333"/>
          <w:spacing w:val="0"/>
          <w:sz w:val="44"/>
          <w:szCs w:val="44"/>
          <w:shd w:val="clear" w:fill="FFFFFF"/>
          <w:lang w:eastAsia="zh-CN"/>
        </w:rPr>
        <w:t>2022</w:t>
      </w:r>
      <w:r>
        <w:rPr>
          <w:rFonts w:hint="default" w:ascii="Times New Roman" w:hAnsi="Times New Roman" w:eastAsia="方正小标宋_GBK" w:cs="Times New Roman"/>
          <w:i w:val="0"/>
          <w:iCs w:val="0"/>
          <w:caps w:val="0"/>
          <w:color w:val="333333"/>
          <w:spacing w:val="0"/>
          <w:sz w:val="44"/>
          <w:szCs w:val="44"/>
          <w:shd w:val="clear" w:fill="FFFFFF"/>
        </w:rPr>
        <w:t>年部门决算说明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我受龙田乡人民政府委托，现向大会作《城口县龙田乡</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年财政决算（草案）报告》，请予审议。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一、部门基本情况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（一）职能职责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按照统筹城乡要求，结合城口实际，我乡切实履行以下五个方面的基本职能：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一是</w:t>
      </w:r>
      <w:r>
        <w:rPr>
          <w:rFonts w:hint="default" w:ascii="Times New Roman" w:hAnsi="Times New Roman" w:eastAsia="方正仿宋_GBK" w:cs="Times New Roman"/>
          <w:i w:val="0"/>
          <w:iCs w:val="0"/>
          <w:caps w:val="0"/>
          <w:color w:val="333333"/>
          <w:spacing w:val="0"/>
          <w:sz w:val="32"/>
          <w:szCs w:val="32"/>
          <w:shd w:val="clear" w:fill="FFFFFF"/>
        </w:rPr>
        <w:t>执行政策法规。认真贯彻党在农村的各项方针政策，落实支农惠农的各项政策措施。认真宣传执行国家的各项法律法规，加强农村法制宣传教育和法律服务。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二是</w:t>
      </w:r>
      <w:r>
        <w:rPr>
          <w:rFonts w:hint="default" w:ascii="Times New Roman" w:hAnsi="Times New Roman" w:eastAsia="方正仿宋_GBK" w:cs="Times New Roman"/>
          <w:i w:val="0"/>
          <w:iCs w:val="0"/>
          <w:caps w:val="0"/>
          <w:color w:val="333333"/>
          <w:spacing w:val="0"/>
          <w:sz w:val="32"/>
          <w:szCs w:val="32"/>
          <w:shd w:val="clear" w:fill="FFFFFF"/>
        </w:rPr>
        <w:t>推动经济发展。按照有所为有所不为的原则，把经济管理职能从直接抓经济发展转到为市场主体营造良好发展环境上来，着力抓好制定发展规划、健全市场体系、建设现代农业、提高农民素质、增加农民收入、推进扶贫开发等工作，推动经济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三是</w:t>
      </w:r>
      <w:r>
        <w:rPr>
          <w:rFonts w:hint="default" w:ascii="Times New Roman" w:hAnsi="Times New Roman" w:eastAsia="方正仿宋_GBK" w:cs="Times New Roman"/>
          <w:i w:val="0"/>
          <w:iCs w:val="0"/>
          <w:caps w:val="0"/>
          <w:color w:val="333333"/>
          <w:spacing w:val="0"/>
          <w:sz w:val="32"/>
          <w:szCs w:val="32"/>
          <w:shd w:val="clear" w:fill="FFFFFF"/>
        </w:rPr>
        <w:t>搞好社会管理。加强村镇规划建设管理，加快城镇化步伐；建立重大疫情、灾情等公共突发事件预防和应急机制，提高应对公共危机能力。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四是</w:t>
      </w:r>
      <w:r>
        <w:rPr>
          <w:rFonts w:hint="default" w:ascii="Times New Roman" w:hAnsi="Times New Roman" w:eastAsia="方正仿宋_GBK" w:cs="Times New Roman"/>
          <w:i w:val="0"/>
          <w:iCs w:val="0"/>
          <w:caps w:val="0"/>
          <w:color w:val="333333"/>
          <w:spacing w:val="0"/>
          <w:sz w:val="32"/>
          <w:szCs w:val="32"/>
          <w:shd w:val="clear" w:fill="FFFFFF"/>
        </w:rPr>
        <w:t>强化公共服务。把管理和服务有机统一起来，将主要精力转移到为基层群众和市场主体提供更多更好地公共服务上来。推进农村公共事业发展，健全农业服务体系，为农民群众和市场主体提供政策、科技信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五是</w:t>
      </w:r>
      <w:r>
        <w:rPr>
          <w:rFonts w:hint="default" w:ascii="Times New Roman" w:hAnsi="Times New Roman" w:eastAsia="方正仿宋_GBK" w:cs="Times New Roman"/>
          <w:i w:val="0"/>
          <w:iCs w:val="0"/>
          <w:caps w:val="0"/>
          <w:color w:val="333333"/>
          <w:spacing w:val="0"/>
          <w:sz w:val="32"/>
          <w:szCs w:val="32"/>
          <w:shd w:val="clear" w:fill="FFFFFF"/>
        </w:rPr>
        <w:t>维护和谐稳定。建立和完善社会保障体系，推进农村养老保险、新型合作医疗、医疗救助、社会救助和最低生活保障等制度建设，做好五保供养和农村贫困人口救助工作，保障农民群众安居乐业。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（二）机构设置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本单位共设有人大、党委、政府、农业、文化、社保6个机构，较上年减少两个，分别是财政参公、财政事业。本单位无下级预算单位。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（一）收入支出决算总体情况说明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1.总体情况。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年度单位总收入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万元，总支出数</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万元（其中：基本支出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1080.21</w:t>
      </w:r>
      <w:r>
        <w:rPr>
          <w:rFonts w:hint="default" w:ascii="Times New Roman" w:hAnsi="Times New Roman" w:eastAsia="方正仿宋_GBK" w:cs="Times New Roman"/>
          <w:i w:val="0"/>
          <w:iCs w:val="0"/>
          <w:caps w:val="0"/>
          <w:color w:val="333333"/>
          <w:spacing w:val="0"/>
          <w:sz w:val="32"/>
          <w:szCs w:val="32"/>
          <w:shd w:val="clear" w:fill="FFFFFF"/>
        </w:rPr>
        <w:t>万元，占总收入、支出的</w:t>
      </w:r>
      <w:r>
        <w:rPr>
          <w:rFonts w:hint="default" w:ascii="Times New Roman" w:hAnsi="Times New Roman" w:eastAsia="方正仿宋_GBK" w:cs="Times New Roman"/>
          <w:i w:val="0"/>
          <w:iCs w:val="0"/>
          <w:caps w:val="0"/>
          <w:color w:val="333333"/>
          <w:spacing w:val="0"/>
          <w:sz w:val="32"/>
          <w:szCs w:val="32"/>
          <w:shd w:val="clear" w:fill="FFFFFF"/>
          <w:lang w:val="en-US" w:eastAsia="zh-CN"/>
        </w:rPr>
        <w:t>45.74</w:t>
      </w:r>
      <w:r>
        <w:rPr>
          <w:rFonts w:hint="default" w:ascii="Times New Roman" w:hAnsi="Times New Roman" w:eastAsia="方正仿宋_GBK" w:cs="Times New Roman"/>
          <w:i w:val="0"/>
          <w:iCs w:val="0"/>
          <w:caps w:val="0"/>
          <w:color w:val="333333"/>
          <w:spacing w:val="0"/>
          <w:sz w:val="32"/>
          <w:szCs w:val="32"/>
          <w:shd w:val="clear" w:fill="FFFFFF"/>
        </w:rPr>
        <w:t>%；项目支出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1281.65</w:t>
      </w:r>
      <w:r>
        <w:rPr>
          <w:rFonts w:hint="default" w:ascii="Times New Roman" w:hAnsi="Times New Roman" w:eastAsia="方正仿宋_GBK" w:cs="Times New Roman"/>
          <w:i w:val="0"/>
          <w:iCs w:val="0"/>
          <w:caps w:val="0"/>
          <w:color w:val="333333"/>
          <w:spacing w:val="0"/>
          <w:sz w:val="32"/>
          <w:szCs w:val="32"/>
          <w:shd w:val="clear" w:fill="FFFFFF"/>
        </w:rPr>
        <w:t>万元，占总收入5</w:t>
      </w:r>
      <w:r>
        <w:rPr>
          <w:rFonts w:hint="default" w:ascii="Times New Roman" w:hAnsi="Times New Roman" w:eastAsia="方正仿宋_GBK" w:cs="Times New Roman"/>
          <w:i w:val="0"/>
          <w:iCs w:val="0"/>
          <w:caps w:val="0"/>
          <w:color w:val="333333"/>
          <w:spacing w:val="0"/>
          <w:sz w:val="32"/>
          <w:szCs w:val="32"/>
          <w:shd w:val="clear" w:fill="FFFFFF"/>
          <w:lang w:val="en-US" w:eastAsia="zh-CN"/>
        </w:rPr>
        <w:t>4.26</w:t>
      </w:r>
      <w:r>
        <w:rPr>
          <w:rFonts w:hint="default" w:ascii="Times New Roman" w:hAnsi="Times New Roman" w:eastAsia="方正仿宋_GBK" w:cs="Times New Roman"/>
          <w:i w:val="0"/>
          <w:iCs w:val="0"/>
          <w:caps w:val="0"/>
          <w:color w:val="333333"/>
          <w:spacing w:val="0"/>
          <w:sz w:val="32"/>
          <w:szCs w:val="32"/>
          <w:shd w:val="clear" w:fill="FFFFFF"/>
        </w:rPr>
        <w:t>%。）。与上年同期相比，收支</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127.94</w:t>
      </w:r>
      <w:r>
        <w:rPr>
          <w:rFonts w:hint="default" w:ascii="Times New Roman" w:hAnsi="Times New Roman" w:eastAsia="方正仿宋_GBK" w:cs="Times New Roman"/>
          <w:i w:val="0"/>
          <w:iCs w:val="0"/>
          <w:caps w:val="0"/>
          <w:color w:val="333333"/>
          <w:spacing w:val="0"/>
          <w:sz w:val="32"/>
          <w:szCs w:val="32"/>
          <w:shd w:val="clear" w:fill="FFFFFF"/>
        </w:rPr>
        <w:t>万元，同比</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5.73%，</w:t>
      </w:r>
      <w:r>
        <w:rPr>
          <w:rFonts w:hint="default" w:ascii="Times New Roman" w:hAnsi="Times New Roman" w:eastAsia="方正仿宋_GBK" w:cs="Times New Roman"/>
          <w:i w:val="0"/>
          <w:iCs w:val="0"/>
          <w:caps w:val="0"/>
          <w:color w:val="333333"/>
          <w:spacing w:val="0"/>
          <w:sz w:val="32"/>
          <w:szCs w:val="32"/>
          <w:shd w:val="clear" w:fill="FFFFFF"/>
        </w:rPr>
        <w:t>其中：基本支出</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21.44</w:t>
      </w:r>
      <w:r>
        <w:rPr>
          <w:rFonts w:hint="default" w:ascii="Times New Roman" w:hAnsi="Times New Roman" w:eastAsia="方正仿宋_GBK" w:cs="Times New Roman"/>
          <w:i w:val="0"/>
          <w:iCs w:val="0"/>
          <w:caps w:val="0"/>
          <w:color w:val="333333"/>
          <w:spacing w:val="0"/>
          <w:sz w:val="32"/>
          <w:szCs w:val="32"/>
          <w:shd w:val="clear" w:fill="FFFFFF"/>
        </w:rPr>
        <w:t>万元同比</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2.03%</w:t>
      </w:r>
      <w:r>
        <w:rPr>
          <w:rFonts w:hint="default" w:ascii="Times New Roman" w:hAnsi="Times New Roman" w:eastAsia="方正仿宋_GBK" w:cs="Times New Roman"/>
          <w:i w:val="0"/>
          <w:iCs w:val="0"/>
          <w:caps w:val="0"/>
          <w:color w:val="333333"/>
          <w:spacing w:val="0"/>
          <w:sz w:val="32"/>
          <w:szCs w:val="32"/>
          <w:shd w:val="clear" w:fill="FFFFFF"/>
        </w:rPr>
        <w:t>，项目支出</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10.65</w:t>
      </w:r>
      <w:r>
        <w:rPr>
          <w:rFonts w:hint="default" w:ascii="Times New Roman" w:hAnsi="Times New Roman" w:eastAsia="方正仿宋_GBK" w:cs="Times New Roman"/>
          <w:i w:val="0"/>
          <w:iCs w:val="0"/>
          <w:caps w:val="0"/>
          <w:color w:val="333333"/>
          <w:spacing w:val="0"/>
          <w:sz w:val="32"/>
          <w:szCs w:val="32"/>
          <w:shd w:val="clear" w:fill="FFFFFF"/>
        </w:rPr>
        <w:t>万元同比</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9.06%</w:t>
      </w:r>
      <w:r>
        <w:rPr>
          <w:rFonts w:hint="default" w:ascii="Times New Roman" w:hAnsi="Times New Roman" w:eastAsia="方正仿宋_GBK" w:cs="Times New Roman"/>
          <w:i w:val="0"/>
          <w:iCs w:val="0"/>
          <w:caps w:val="0"/>
          <w:color w:val="333333"/>
          <w:spacing w:val="0"/>
          <w:sz w:val="32"/>
          <w:szCs w:val="32"/>
          <w:shd w:val="clear" w:fill="FFFFFF"/>
        </w:rPr>
        <w:t>。项目</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，项目经费</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2.收入情况。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年度单位总收入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万元，较上年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5.73</w:t>
      </w:r>
      <w:r>
        <w:rPr>
          <w:rFonts w:hint="default" w:ascii="Times New Roman" w:hAnsi="Times New Roman" w:eastAsia="方正仿宋_GBK" w:cs="Times New Roman"/>
          <w:i w:val="0"/>
          <w:iCs w:val="0"/>
          <w:caps w:val="0"/>
          <w:color w:val="333333"/>
          <w:spacing w:val="0"/>
          <w:sz w:val="32"/>
          <w:szCs w:val="32"/>
          <w:shd w:val="clear" w:fill="FFFFFF"/>
        </w:rPr>
        <w:t>%。主要原因</w:t>
      </w:r>
      <w:r>
        <w:rPr>
          <w:rFonts w:hint="default" w:ascii="Times New Roman" w:hAnsi="Times New Roman" w:eastAsia="方正仿宋_GBK" w:cs="Times New Roman"/>
          <w:i w:val="0"/>
          <w:iCs w:val="0"/>
          <w:caps w:val="0"/>
          <w:color w:val="333333"/>
          <w:spacing w:val="0"/>
          <w:sz w:val="32"/>
          <w:szCs w:val="32"/>
          <w:shd w:val="clear" w:fill="FFFFFF"/>
          <w:lang w:val="en-US" w:eastAsia="zh-CN"/>
        </w:rPr>
        <w:t>2021年调整预算做的早，2020年10月以后调入人员经费未纳入调整预算，</w:t>
      </w:r>
      <w:r>
        <w:rPr>
          <w:rFonts w:hint="default" w:ascii="Times New Roman" w:hAnsi="Times New Roman" w:eastAsia="方正仿宋_GBK" w:cs="Times New Roman"/>
          <w:i w:val="0"/>
          <w:iCs w:val="0"/>
          <w:caps w:val="0"/>
          <w:color w:val="333333"/>
          <w:spacing w:val="0"/>
          <w:sz w:val="32"/>
          <w:szCs w:val="32"/>
          <w:shd w:val="clear" w:fill="FFFFFF"/>
        </w:rPr>
        <w:t>人员</w:t>
      </w:r>
      <w:r>
        <w:rPr>
          <w:rFonts w:hint="default" w:ascii="Times New Roman" w:hAnsi="Times New Roman" w:eastAsia="方正仿宋_GBK" w:cs="Times New Roman"/>
          <w:i w:val="0"/>
          <w:iCs w:val="0"/>
          <w:caps w:val="0"/>
          <w:color w:val="333333"/>
          <w:spacing w:val="0"/>
          <w:sz w:val="32"/>
          <w:szCs w:val="32"/>
          <w:shd w:val="clear" w:fill="FFFFFF"/>
          <w:lang w:eastAsia="zh-CN"/>
        </w:rPr>
        <w:t>经费增加</w:t>
      </w:r>
      <w:r>
        <w:rPr>
          <w:rFonts w:hint="default" w:ascii="Times New Roman" w:hAnsi="Times New Roman" w:eastAsia="方正仿宋_GBK" w:cs="Times New Roman"/>
          <w:i w:val="0"/>
          <w:iCs w:val="0"/>
          <w:caps w:val="0"/>
          <w:color w:val="333333"/>
          <w:spacing w:val="0"/>
          <w:sz w:val="32"/>
          <w:szCs w:val="32"/>
          <w:shd w:val="clear" w:fill="FFFFFF"/>
        </w:rPr>
        <w:t>；本年纳入预算内项目较去年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，导致年初财力预算</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。其中：一般公共预算财政拨款</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万元，占总收入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shd w:val="clear" w:fill="FFFFFF"/>
        </w:rPr>
        <w:t>%，较上年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6.92</w:t>
      </w:r>
      <w:r>
        <w:rPr>
          <w:rFonts w:hint="default" w:ascii="Times New Roman" w:hAnsi="Times New Roman" w:eastAsia="方正仿宋_GBK" w:cs="Times New Roman"/>
          <w:i w:val="0"/>
          <w:iCs w:val="0"/>
          <w:caps w:val="0"/>
          <w:color w:val="333333"/>
          <w:spacing w:val="0"/>
          <w:sz w:val="32"/>
          <w:szCs w:val="32"/>
          <w:shd w:val="clear" w:fill="FFFFFF"/>
        </w:rPr>
        <w:t>%，政府性基金预算财政拨款</w:t>
      </w:r>
      <w:r>
        <w:rPr>
          <w:rFonts w:hint="default"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rPr>
        <w:t>万，较上年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3.支出情况。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年度单位总支出数</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万元，与上年同期相比，收支</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127.94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与上年同期相比，收支</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127.94</w:t>
      </w:r>
      <w:r>
        <w:rPr>
          <w:rFonts w:hint="default" w:ascii="Times New Roman" w:hAnsi="Times New Roman" w:eastAsia="方正仿宋_GBK" w:cs="Times New Roman"/>
          <w:i w:val="0"/>
          <w:iCs w:val="0"/>
          <w:caps w:val="0"/>
          <w:color w:val="333333"/>
          <w:spacing w:val="0"/>
          <w:sz w:val="32"/>
          <w:szCs w:val="32"/>
          <w:shd w:val="clear" w:fill="FFFFFF"/>
        </w:rPr>
        <w:t>万元，同比</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5.73%，</w:t>
      </w:r>
      <w:r>
        <w:rPr>
          <w:rFonts w:hint="default" w:ascii="Times New Roman" w:hAnsi="Times New Roman" w:eastAsia="方正仿宋_GBK" w:cs="Times New Roman"/>
          <w:i w:val="0"/>
          <w:iCs w:val="0"/>
          <w:caps w:val="0"/>
          <w:color w:val="333333"/>
          <w:spacing w:val="0"/>
          <w:sz w:val="32"/>
          <w:szCs w:val="32"/>
          <w:shd w:val="clear" w:fill="FFFFFF"/>
        </w:rPr>
        <w:t>其中：基本支出</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21.44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同比</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2.03%</w:t>
      </w:r>
      <w:r>
        <w:rPr>
          <w:rFonts w:hint="default" w:ascii="Times New Roman" w:hAnsi="Times New Roman" w:eastAsia="方正仿宋_GBK" w:cs="Times New Roman"/>
          <w:i w:val="0"/>
          <w:iCs w:val="0"/>
          <w:caps w:val="0"/>
          <w:color w:val="333333"/>
          <w:spacing w:val="0"/>
          <w:sz w:val="32"/>
          <w:szCs w:val="32"/>
          <w:shd w:val="clear" w:fill="FFFFFF"/>
        </w:rPr>
        <w:t>，项目支出</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10.65</w:t>
      </w:r>
      <w:r>
        <w:rPr>
          <w:rFonts w:hint="default" w:ascii="Times New Roman" w:hAnsi="Times New Roman" w:eastAsia="方正仿宋_GBK" w:cs="Times New Roman"/>
          <w:i w:val="0"/>
          <w:iCs w:val="0"/>
          <w:caps w:val="0"/>
          <w:color w:val="333333"/>
          <w:spacing w:val="0"/>
          <w:sz w:val="32"/>
          <w:szCs w:val="32"/>
          <w:shd w:val="clear" w:fill="FFFFFF"/>
        </w:rPr>
        <w:t>万元同比</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9.06%</w:t>
      </w:r>
      <w:r>
        <w:rPr>
          <w:rFonts w:hint="default" w:ascii="Times New Roman" w:hAnsi="Times New Roman" w:eastAsia="方正仿宋_GBK" w:cs="Times New Roman"/>
          <w:i w:val="0"/>
          <w:iCs w:val="0"/>
          <w:caps w:val="0"/>
          <w:color w:val="333333"/>
          <w:spacing w:val="0"/>
          <w:sz w:val="32"/>
          <w:szCs w:val="32"/>
          <w:shd w:val="clear" w:fill="FFFFFF"/>
        </w:rPr>
        <w:t>。项目</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，项目经费</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4.结转结余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年度单位本年无结余。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（二）财政拨款收支总体情况说明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年度财政拨款收、支总计</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万元。与</w:t>
      </w:r>
      <w:r>
        <w:rPr>
          <w:rFonts w:hint="default" w:ascii="Times New Roman" w:hAnsi="Times New Roman" w:eastAsia="方正仿宋_GBK" w:cs="Times New Roman"/>
          <w:i w:val="0"/>
          <w:iCs w:val="0"/>
          <w:caps w:val="0"/>
          <w:color w:val="333333"/>
          <w:spacing w:val="0"/>
          <w:sz w:val="32"/>
          <w:szCs w:val="32"/>
          <w:shd w:val="clear" w:fill="FFFFFF"/>
          <w:lang w:eastAsia="zh-CN"/>
        </w:rPr>
        <w:t>2021</w:t>
      </w:r>
      <w:r>
        <w:rPr>
          <w:rFonts w:hint="default" w:ascii="Times New Roman" w:hAnsi="Times New Roman" w:eastAsia="方正仿宋_GBK" w:cs="Times New Roman"/>
          <w:i w:val="0"/>
          <w:iCs w:val="0"/>
          <w:caps w:val="0"/>
          <w:color w:val="333333"/>
          <w:spacing w:val="0"/>
          <w:sz w:val="32"/>
          <w:szCs w:val="32"/>
          <w:shd w:val="clear" w:fill="FFFFFF"/>
        </w:rPr>
        <w:t>年相比，财政拨款收、支总计</w:t>
      </w:r>
      <w:r>
        <w:rPr>
          <w:rFonts w:hint="default" w:ascii="Times New Roman" w:hAnsi="Times New Roman" w:eastAsia="方正仿宋_GBK" w:cs="Times New Roman"/>
          <w:i w:val="0"/>
          <w:iCs w:val="0"/>
          <w:caps w:val="0"/>
          <w:color w:val="333333"/>
          <w:spacing w:val="0"/>
          <w:sz w:val="32"/>
          <w:szCs w:val="32"/>
          <w:shd w:val="clear" w:fill="FFFFFF"/>
          <w:lang w:eastAsia="zh-CN"/>
        </w:rPr>
        <w:t>各增加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127.94</w:t>
      </w:r>
      <w:r>
        <w:rPr>
          <w:rFonts w:hint="default" w:ascii="Times New Roman" w:hAnsi="Times New Roman" w:eastAsia="方正仿宋_GBK" w:cs="Times New Roman"/>
          <w:i w:val="0"/>
          <w:iCs w:val="0"/>
          <w:caps w:val="0"/>
          <w:color w:val="333333"/>
          <w:spacing w:val="0"/>
          <w:sz w:val="32"/>
          <w:szCs w:val="32"/>
          <w:shd w:val="clear" w:fill="FFFFFF"/>
        </w:rPr>
        <w:t>万元，同比</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5.73%</w:t>
      </w:r>
      <w:r>
        <w:rPr>
          <w:rFonts w:hint="default" w:ascii="Times New Roman" w:hAnsi="Times New Roman" w:eastAsia="方正仿宋_GBK" w:cs="Times New Roman"/>
          <w:i w:val="0"/>
          <w:iCs w:val="0"/>
          <w:caps w:val="0"/>
          <w:color w:val="333333"/>
          <w:spacing w:val="0"/>
          <w:sz w:val="32"/>
          <w:szCs w:val="32"/>
          <w:shd w:val="clear" w:fill="FFFFFF"/>
        </w:rPr>
        <w:t>。主要原因是本年纳入预算内项目较去年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，导致年初财力预算</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（三）一般公共预算财政拨款支出决算情况说明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1.收入情况</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年度单位总收入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万元，较上年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5.73</w:t>
      </w:r>
      <w:r>
        <w:rPr>
          <w:rFonts w:hint="default" w:ascii="Times New Roman" w:hAnsi="Times New Roman" w:eastAsia="方正仿宋_GBK" w:cs="Times New Roman"/>
          <w:i w:val="0"/>
          <w:iCs w:val="0"/>
          <w:caps w:val="0"/>
          <w:color w:val="333333"/>
          <w:spacing w:val="0"/>
          <w:sz w:val="32"/>
          <w:szCs w:val="32"/>
          <w:shd w:val="clear" w:fill="FFFFFF"/>
        </w:rPr>
        <w:t>%。主要原因</w:t>
      </w:r>
      <w:r>
        <w:rPr>
          <w:rFonts w:hint="default" w:ascii="Times New Roman" w:hAnsi="Times New Roman" w:eastAsia="方正仿宋_GBK" w:cs="Times New Roman"/>
          <w:i w:val="0"/>
          <w:iCs w:val="0"/>
          <w:caps w:val="0"/>
          <w:color w:val="333333"/>
          <w:spacing w:val="0"/>
          <w:sz w:val="32"/>
          <w:szCs w:val="32"/>
          <w:shd w:val="clear" w:fill="FFFFFF"/>
          <w:lang w:val="en-US" w:eastAsia="zh-CN"/>
        </w:rPr>
        <w:t>2021年调整预算做的早，2020年10月以后调入人员经费未纳入调整预算，</w:t>
      </w:r>
      <w:r>
        <w:rPr>
          <w:rFonts w:hint="default" w:ascii="Times New Roman" w:hAnsi="Times New Roman" w:eastAsia="方正仿宋_GBK" w:cs="Times New Roman"/>
          <w:i w:val="0"/>
          <w:iCs w:val="0"/>
          <w:caps w:val="0"/>
          <w:color w:val="333333"/>
          <w:spacing w:val="0"/>
          <w:sz w:val="32"/>
          <w:szCs w:val="32"/>
          <w:shd w:val="clear" w:fill="FFFFFF"/>
        </w:rPr>
        <w:t>人员</w:t>
      </w:r>
      <w:r>
        <w:rPr>
          <w:rFonts w:hint="default" w:ascii="Times New Roman" w:hAnsi="Times New Roman" w:eastAsia="方正仿宋_GBK" w:cs="Times New Roman"/>
          <w:i w:val="0"/>
          <w:iCs w:val="0"/>
          <w:caps w:val="0"/>
          <w:color w:val="333333"/>
          <w:spacing w:val="0"/>
          <w:sz w:val="32"/>
          <w:szCs w:val="32"/>
          <w:shd w:val="clear" w:fill="FFFFFF"/>
          <w:lang w:eastAsia="zh-CN"/>
        </w:rPr>
        <w:t>经费增加</w:t>
      </w:r>
      <w:r>
        <w:rPr>
          <w:rFonts w:hint="default" w:ascii="Times New Roman" w:hAnsi="Times New Roman" w:eastAsia="方正仿宋_GBK" w:cs="Times New Roman"/>
          <w:i w:val="0"/>
          <w:iCs w:val="0"/>
          <w:caps w:val="0"/>
          <w:color w:val="333333"/>
          <w:spacing w:val="0"/>
          <w:sz w:val="32"/>
          <w:szCs w:val="32"/>
          <w:shd w:val="clear" w:fill="FFFFFF"/>
        </w:rPr>
        <w:t>；本年纳入预算内项目较去年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，导致年初财力预算</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。其中：一般公共预算财政拨款</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万元，占总收入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shd w:val="clear" w:fill="FFFFFF"/>
        </w:rPr>
        <w:t>%，较上年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6.92</w:t>
      </w:r>
      <w:r>
        <w:rPr>
          <w:rFonts w:hint="default" w:ascii="Times New Roman" w:hAnsi="Times New Roman" w:eastAsia="方正仿宋_GBK" w:cs="Times New Roman"/>
          <w:i w:val="0"/>
          <w:iCs w:val="0"/>
          <w:caps w:val="0"/>
          <w:color w:val="333333"/>
          <w:spacing w:val="0"/>
          <w:sz w:val="32"/>
          <w:szCs w:val="32"/>
          <w:shd w:val="clear" w:fill="FFFFFF"/>
        </w:rPr>
        <w:t>%，政府性基金预算财政拨款</w:t>
      </w:r>
      <w:r>
        <w:rPr>
          <w:rFonts w:hint="default"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rPr>
        <w:t>万，较上年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shd w:val="clear" w:fill="FFFFFF"/>
        </w:rPr>
        <w:t>%。我乡年初预算</w:t>
      </w:r>
      <w:r>
        <w:rPr>
          <w:rFonts w:hint="default" w:ascii="Times New Roman" w:hAnsi="Times New Roman" w:eastAsia="方正仿宋_GBK" w:cs="Times New Roman"/>
          <w:i w:val="0"/>
          <w:iCs w:val="0"/>
          <w:caps w:val="0"/>
          <w:color w:val="333333"/>
          <w:spacing w:val="0"/>
          <w:sz w:val="32"/>
          <w:szCs w:val="32"/>
          <w:shd w:val="clear" w:fill="FFFFFF"/>
          <w:lang w:val="en-US" w:eastAsia="zh-CN"/>
        </w:rPr>
        <w:t>1788.92</w:t>
      </w:r>
      <w:r>
        <w:rPr>
          <w:rFonts w:hint="default" w:ascii="Times New Roman" w:hAnsi="Times New Roman" w:eastAsia="方正仿宋_GBK" w:cs="Times New Roman"/>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572.94</w:t>
      </w:r>
      <w:r>
        <w:rPr>
          <w:rFonts w:hint="default" w:ascii="Times New Roman" w:hAnsi="Times New Roman" w:eastAsia="方正仿宋_GBK" w:cs="Times New Roman"/>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lang w:val="en-US" w:eastAsia="zh-CN"/>
        </w:rPr>
        <w:t>32.02</w:t>
      </w:r>
      <w:r>
        <w:rPr>
          <w:rFonts w:hint="default" w:ascii="Times New Roman" w:hAnsi="Times New Roman" w:eastAsia="方正仿宋_GBK" w:cs="Times New Roman"/>
          <w:i w:val="0"/>
          <w:iCs w:val="0"/>
          <w:caps w:val="0"/>
          <w:color w:val="333333"/>
          <w:spacing w:val="0"/>
          <w:sz w:val="32"/>
          <w:szCs w:val="32"/>
          <w:shd w:val="clear" w:fill="FFFFFF"/>
        </w:rPr>
        <w:t>%。主要原因：一是</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年年初预算时主要编制本单位人员经费等基本支出和部分项目支出，预算资金总量较小；二是年中财政局安排调整</w:t>
      </w:r>
      <w:r>
        <w:rPr>
          <w:rFonts w:hint="default" w:ascii="Times New Roman" w:hAnsi="Times New Roman" w:eastAsia="方正仿宋_GBK" w:cs="Times New Roman"/>
          <w:i w:val="0"/>
          <w:iCs w:val="0"/>
          <w:caps w:val="0"/>
          <w:color w:val="333333"/>
          <w:spacing w:val="0"/>
          <w:sz w:val="32"/>
          <w:szCs w:val="32"/>
          <w:shd w:val="clear" w:fill="FFFFFF"/>
          <w:lang w:eastAsia="zh-CN"/>
        </w:rPr>
        <w:t>追加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583.55万元</w:t>
      </w:r>
      <w:r>
        <w:rPr>
          <w:rFonts w:hint="default" w:ascii="Times New Roman" w:hAnsi="Times New Roman" w:eastAsia="方正仿宋_GBK" w:cs="Times New Roman"/>
          <w:i w:val="0"/>
          <w:iCs w:val="0"/>
          <w:caps w:val="0"/>
          <w:color w:val="333333"/>
          <w:spacing w:val="0"/>
          <w:sz w:val="32"/>
          <w:szCs w:val="32"/>
          <w:shd w:val="clear" w:fill="FFFFFF"/>
          <w:lang w:eastAsia="zh-CN"/>
        </w:rPr>
        <w:t>，追减</w:t>
      </w:r>
      <w:r>
        <w:rPr>
          <w:rFonts w:hint="default" w:ascii="Times New Roman" w:hAnsi="Times New Roman" w:eastAsia="方正仿宋_GBK" w:cs="Times New Roman"/>
          <w:i w:val="0"/>
          <w:iCs w:val="0"/>
          <w:caps w:val="0"/>
          <w:color w:val="333333"/>
          <w:spacing w:val="0"/>
          <w:sz w:val="32"/>
          <w:szCs w:val="32"/>
          <w:shd w:val="clear" w:fill="FFFFFF"/>
          <w:lang w:val="en-US" w:eastAsia="zh-CN"/>
        </w:rPr>
        <w:t>10.61万元，较年初预算增加572.94</w:t>
      </w:r>
      <w:r>
        <w:rPr>
          <w:rFonts w:hint="default" w:ascii="Times New Roman" w:hAnsi="Times New Roman" w:eastAsia="方正仿宋_GBK" w:cs="Times New Roman"/>
          <w:i w:val="0"/>
          <w:iCs w:val="0"/>
          <w:caps w:val="0"/>
          <w:color w:val="333333"/>
          <w:spacing w:val="0"/>
          <w:sz w:val="32"/>
          <w:szCs w:val="32"/>
          <w:shd w:val="clear" w:fill="FFFFFF"/>
        </w:rPr>
        <w:t>万元，主要因为</w:t>
      </w:r>
      <w:r>
        <w:rPr>
          <w:rFonts w:hint="default" w:ascii="Times New Roman" w:hAnsi="Times New Roman" w:eastAsia="方正仿宋_GBK" w:cs="Times New Roman"/>
          <w:i w:val="0"/>
          <w:iCs w:val="0"/>
          <w:caps w:val="0"/>
          <w:color w:val="333333"/>
          <w:spacing w:val="0"/>
          <w:sz w:val="32"/>
          <w:szCs w:val="32"/>
          <w:shd w:val="clear" w:fill="FFFFFF"/>
          <w:lang w:eastAsia="zh-CN"/>
        </w:rPr>
        <w:t>追减</w:t>
      </w:r>
      <w:r>
        <w:rPr>
          <w:rFonts w:hint="default" w:ascii="Times New Roman" w:hAnsi="Times New Roman" w:eastAsia="方正仿宋_GBK" w:cs="Times New Roman"/>
          <w:i w:val="0"/>
          <w:iCs w:val="0"/>
          <w:caps w:val="0"/>
          <w:color w:val="333333"/>
          <w:spacing w:val="0"/>
          <w:sz w:val="32"/>
          <w:szCs w:val="32"/>
          <w:shd w:val="clear" w:fill="FFFFFF"/>
        </w:rPr>
        <w:t>一般公共服务支出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6.14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追加</w:t>
      </w:r>
      <w:r>
        <w:rPr>
          <w:rFonts w:hint="default" w:ascii="Times New Roman" w:hAnsi="Times New Roman" w:eastAsia="方正仿宋_GBK" w:cs="Times New Roman"/>
          <w:i w:val="0"/>
          <w:iCs w:val="0"/>
          <w:caps w:val="0"/>
          <w:color w:val="333333"/>
          <w:spacing w:val="0"/>
          <w:sz w:val="32"/>
          <w:szCs w:val="32"/>
          <w:shd w:val="clear" w:fill="FFFFFF"/>
        </w:rPr>
        <w:t>文化旅游体育与传媒支出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3.41</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追加</w:t>
      </w:r>
      <w:r>
        <w:rPr>
          <w:rFonts w:hint="default" w:ascii="Times New Roman" w:hAnsi="Times New Roman" w:eastAsia="方正仿宋_GBK" w:cs="Times New Roman"/>
          <w:i w:val="0"/>
          <w:iCs w:val="0"/>
          <w:caps w:val="0"/>
          <w:color w:val="333333"/>
          <w:spacing w:val="0"/>
          <w:sz w:val="32"/>
          <w:szCs w:val="32"/>
          <w:shd w:val="clear" w:fill="FFFFFF"/>
        </w:rPr>
        <w:t>社会保障和就业支出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28.98</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追减</w:t>
      </w:r>
      <w:r>
        <w:rPr>
          <w:rFonts w:hint="default" w:ascii="Times New Roman" w:hAnsi="Times New Roman" w:eastAsia="方正仿宋_GBK" w:cs="Times New Roman"/>
          <w:i w:val="0"/>
          <w:iCs w:val="0"/>
          <w:caps w:val="0"/>
          <w:color w:val="333333"/>
          <w:spacing w:val="0"/>
          <w:sz w:val="32"/>
          <w:szCs w:val="32"/>
          <w:shd w:val="clear" w:fill="FFFFFF"/>
        </w:rPr>
        <w:t>城乡社区支出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4.37</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追加</w:t>
      </w:r>
      <w:r>
        <w:rPr>
          <w:rFonts w:hint="default" w:ascii="Times New Roman" w:hAnsi="Times New Roman" w:eastAsia="方正仿宋_GBK" w:cs="Times New Roman"/>
          <w:i w:val="0"/>
          <w:iCs w:val="0"/>
          <w:caps w:val="0"/>
          <w:color w:val="333333"/>
          <w:spacing w:val="0"/>
          <w:sz w:val="32"/>
          <w:szCs w:val="32"/>
          <w:shd w:val="clear" w:fill="FFFFFF"/>
        </w:rPr>
        <w:t>农林水支出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5435.54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追加灾害防治及应急管理</w:t>
      </w:r>
      <w:r>
        <w:rPr>
          <w:rFonts w:hint="default" w:ascii="Times New Roman" w:hAnsi="Times New Roman" w:eastAsia="方正仿宋_GBK" w:cs="Times New Roman"/>
          <w:i w:val="0"/>
          <w:iCs w:val="0"/>
          <w:caps w:val="0"/>
          <w:color w:val="333333"/>
          <w:spacing w:val="0"/>
          <w:sz w:val="32"/>
          <w:szCs w:val="32"/>
          <w:shd w:val="clear" w:fill="FFFFFF"/>
        </w:rPr>
        <w:t>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7.6</w:t>
      </w:r>
      <w:r>
        <w:rPr>
          <w:rFonts w:hint="default" w:ascii="Times New Roman" w:hAnsi="Times New Roman" w:eastAsia="方正仿宋_GBK" w:cs="Times New Roman"/>
          <w:i w:val="0"/>
          <w:iCs w:val="0"/>
          <w:caps w:val="0"/>
          <w:color w:val="333333"/>
          <w:spacing w:val="0"/>
          <w:sz w:val="32"/>
          <w:szCs w:val="32"/>
          <w:shd w:val="clear" w:fill="FFFFFF"/>
        </w:rPr>
        <w:t>万元，。此外，年初财政拨款结转和结余0.00万元</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2.支出情况</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年度一般公共预算财政拨款支出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2361.82</w:t>
      </w:r>
      <w:r>
        <w:rPr>
          <w:rFonts w:hint="default" w:ascii="Times New Roman" w:hAnsi="Times New Roman" w:eastAsia="方正仿宋_GBK" w:cs="Times New Roman"/>
          <w:i w:val="0"/>
          <w:iCs w:val="0"/>
          <w:caps w:val="0"/>
          <w:color w:val="333333"/>
          <w:spacing w:val="0"/>
          <w:sz w:val="32"/>
          <w:szCs w:val="32"/>
          <w:shd w:val="clear" w:fill="FFFFFF"/>
        </w:rPr>
        <w:t>万元，较上年决算数2233.92，</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127.94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5.73</w:t>
      </w:r>
      <w:r>
        <w:rPr>
          <w:rFonts w:hint="default" w:ascii="Times New Roman" w:hAnsi="Times New Roman" w:eastAsia="方正仿宋_GBK" w:cs="Times New Roman"/>
          <w:i w:val="0"/>
          <w:iCs w:val="0"/>
          <w:caps w:val="0"/>
          <w:color w:val="333333"/>
          <w:spacing w:val="0"/>
          <w:sz w:val="32"/>
          <w:szCs w:val="32"/>
          <w:shd w:val="clear" w:fill="FFFFFF"/>
        </w:rPr>
        <w:t>%。主要原因是本年预算内项目较</w:t>
      </w:r>
      <w:r>
        <w:rPr>
          <w:rFonts w:hint="default" w:ascii="Times New Roman" w:hAnsi="Times New Roman" w:eastAsia="方正仿宋_GBK" w:cs="Times New Roman"/>
          <w:i w:val="0"/>
          <w:iCs w:val="0"/>
          <w:caps w:val="0"/>
          <w:color w:val="333333"/>
          <w:spacing w:val="0"/>
          <w:sz w:val="32"/>
          <w:szCs w:val="32"/>
          <w:shd w:val="clear" w:fill="FFFFFF"/>
          <w:lang w:eastAsia="zh-CN"/>
        </w:rPr>
        <w:t>2021</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，相应的本年支出也有所</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。同时，我乡年初预算</w:t>
      </w:r>
      <w:r>
        <w:rPr>
          <w:rFonts w:hint="default" w:ascii="Times New Roman" w:hAnsi="Times New Roman" w:eastAsia="方正仿宋_GBK" w:cs="Times New Roman"/>
          <w:i w:val="0"/>
          <w:iCs w:val="0"/>
          <w:caps w:val="0"/>
          <w:color w:val="333333"/>
          <w:spacing w:val="0"/>
          <w:sz w:val="32"/>
          <w:szCs w:val="32"/>
          <w:shd w:val="clear" w:fill="FFFFFF"/>
          <w:lang w:val="en-US" w:eastAsia="zh-CN"/>
        </w:rPr>
        <w:t>1788.92</w:t>
      </w:r>
      <w:r>
        <w:rPr>
          <w:rFonts w:hint="default" w:ascii="Times New Roman" w:hAnsi="Times New Roman" w:eastAsia="方正仿宋_GBK" w:cs="Times New Roman"/>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572.94</w:t>
      </w:r>
      <w:r>
        <w:rPr>
          <w:rFonts w:hint="default" w:ascii="Times New Roman" w:hAnsi="Times New Roman" w:eastAsia="方正仿宋_GBK" w:cs="Times New Roman"/>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lang w:val="en-US" w:eastAsia="zh-CN"/>
        </w:rPr>
        <w:t>32.02</w:t>
      </w:r>
      <w:r>
        <w:rPr>
          <w:rFonts w:hint="default" w:ascii="Times New Roman" w:hAnsi="Times New Roman" w:eastAsia="方正仿宋_GBK" w:cs="Times New Roman"/>
          <w:i w:val="0"/>
          <w:iCs w:val="0"/>
          <w:caps w:val="0"/>
          <w:color w:val="333333"/>
          <w:spacing w:val="0"/>
          <w:sz w:val="32"/>
          <w:szCs w:val="32"/>
          <w:shd w:val="clear" w:fill="FFFFFF"/>
        </w:rPr>
        <w:t>%。主要原因：一是</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年年初预算时主要编制本单位人员经费等基本支出和部分项目支出，预算资金总量较小；二是年中财政局下达调整预算资金</w:t>
      </w:r>
      <w:r>
        <w:rPr>
          <w:rFonts w:hint="default" w:ascii="Times New Roman" w:hAnsi="Times New Roman" w:eastAsia="方正仿宋_GBK" w:cs="Times New Roman"/>
          <w:i w:val="0"/>
          <w:iCs w:val="0"/>
          <w:caps w:val="0"/>
          <w:color w:val="333333"/>
          <w:spacing w:val="0"/>
          <w:sz w:val="32"/>
          <w:szCs w:val="32"/>
          <w:shd w:val="clear" w:fill="FFFFFF"/>
          <w:lang w:val="en-US" w:eastAsia="zh-CN"/>
        </w:rPr>
        <w:t>572.94</w:t>
      </w:r>
      <w:r>
        <w:rPr>
          <w:rFonts w:hint="default" w:ascii="Times New Roman" w:hAnsi="Times New Roman" w:eastAsia="方正仿宋_GBK" w:cs="Times New Roman"/>
          <w:i w:val="0"/>
          <w:iCs w:val="0"/>
          <w:caps w:val="0"/>
          <w:color w:val="333333"/>
          <w:spacing w:val="0"/>
          <w:sz w:val="32"/>
          <w:szCs w:val="32"/>
          <w:shd w:val="clear" w:fill="FFFFFF"/>
        </w:rPr>
        <w:t>万元，相应的本年支出有所增加。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3.结转结余情况。</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年度年末一般公共预算财政拨款结转和结余0.00万元，较上年决算数增加0.00万元，增长0.00%。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4.比较情况。本部门</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年度一般公共预算财政拨款支出主要用于以下几个方面：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b/>
          <w:bCs/>
          <w:i w:val="0"/>
          <w:iCs w:val="0"/>
          <w:caps w:val="0"/>
          <w:color w:val="333333"/>
          <w:spacing w:val="0"/>
          <w:sz w:val="32"/>
          <w:szCs w:val="32"/>
          <w:shd w:val="clear" w:fill="FFFFFF"/>
        </w:rPr>
        <w:t>——一般公共服务支出</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475.</w:t>
      </w:r>
      <w:r>
        <w:rPr>
          <w:rFonts w:hint="default" w:ascii="Times New Roman" w:hAnsi="Times New Roman" w:eastAsia="方正仿宋_GBK" w:cs="Times New Roman"/>
          <w:b/>
          <w:bCs/>
          <w:i w:val="0"/>
          <w:iCs w:val="0"/>
          <w:caps w:val="0"/>
          <w:color w:val="333333"/>
          <w:spacing w:val="0"/>
          <w:sz w:val="32"/>
          <w:szCs w:val="32"/>
          <w:shd w:val="clear" w:fill="FFFFFF"/>
        </w:rPr>
        <w:t>54万元。</w:t>
      </w:r>
      <w:r>
        <w:rPr>
          <w:rFonts w:hint="default" w:ascii="Times New Roman" w:hAnsi="Times New Roman" w:eastAsia="方正仿宋_GBK" w:cs="Times New Roman"/>
          <w:i w:val="0"/>
          <w:iCs w:val="0"/>
          <w:caps w:val="0"/>
          <w:color w:val="333333"/>
          <w:spacing w:val="0"/>
          <w:sz w:val="32"/>
          <w:szCs w:val="32"/>
          <w:shd w:val="clear" w:fill="FFFFFF"/>
        </w:rPr>
        <w:t>主要用于：保障乡党政机关、人民团体单位基本支出；兑现干部职工基本工资提标，全额保障乡属财政供养人员津补贴、绩效考核奖和健康休养费发放。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其他环境保护管理事务支出99万元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，用于农田污水处理厂费用。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b/>
          <w:bCs/>
          <w:i w:val="0"/>
          <w:iCs w:val="0"/>
          <w:caps w:val="0"/>
          <w:color w:val="333333"/>
          <w:spacing w:val="0"/>
          <w:sz w:val="32"/>
          <w:szCs w:val="32"/>
          <w:shd w:val="clear" w:fill="FFFFFF"/>
        </w:rPr>
        <w:t>文化体育与传媒支出</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31.39</w:t>
      </w:r>
      <w:r>
        <w:rPr>
          <w:rFonts w:hint="default" w:ascii="Times New Roman" w:hAnsi="Times New Roman" w:eastAsia="方正仿宋_GBK" w:cs="Times New Roman"/>
          <w:b/>
          <w:bCs/>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rPr>
        <w:t>。主要用于：保障文化站基本支出，用于文化站财政供养人员工资福利支出。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bookmarkStart w:id="0" w:name="OLE_LINK3"/>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b/>
          <w:bCs/>
          <w:i w:val="0"/>
          <w:iCs w:val="0"/>
          <w:caps w:val="0"/>
          <w:color w:val="333333"/>
          <w:spacing w:val="0"/>
          <w:sz w:val="32"/>
          <w:szCs w:val="32"/>
          <w:shd w:val="clear" w:fill="FFFFFF"/>
        </w:rPr>
        <w:t>—社会保障和就业支出</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223.84</w:t>
      </w:r>
      <w:r>
        <w:rPr>
          <w:rFonts w:hint="default" w:ascii="Times New Roman" w:hAnsi="Times New Roman" w:eastAsia="方正仿宋_GBK" w:cs="Times New Roman"/>
          <w:b/>
          <w:bCs/>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rPr>
        <w:t>。主要用于社保所人员基本支出和公用经费，社区干部报酬及社区公用支出及行政事业退休人员退休费及其他生活补助，机关事业单位养老保险和职业年金缴费支出；人员死亡抚恤。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bookmarkStart w:id="1" w:name="_Hlk90575668"/>
      <w:r>
        <w:rPr>
          <w:rFonts w:hint="default" w:ascii="Times New Roman" w:hAnsi="Times New Roman" w:eastAsia="方正仿宋_GBK" w:cs="Times New Roman"/>
          <w:i w:val="0"/>
          <w:iCs w:val="0"/>
          <w:caps w:val="0"/>
          <w:color w:val="333333"/>
          <w:spacing w:val="0"/>
          <w:sz w:val="32"/>
          <w:szCs w:val="32"/>
          <w:shd w:val="clear" w:fill="FFFFFF"/>
        </w:rPr>
        <w:t>——</w:t>
      </w:r>
      <w:bookmarkEnd w:id="1"/>
      <w:r>
        <w:rPr>
          <w:rFonts w:hint="default" w:ascii="Times New Roman" w:hAnsi="Times New Roman" w:eastAsia="方正仿宋_GBK" w:cs="Times New Roman"/>
          <w:b/>
          <w:bCs/>
          <w:i w:val="0"/>
          <w:iCs w:val="0"/>
          <w:caps w:val="0"/>
          <w:color w:val="333333"/>
          <w:spacing w:val="0"/>
          <w:sz w:val="32"/>
          <w:szCs w:val="32"/>
          <w:shd w:val="clear" w:fill="FFFFFF"/>
        </w:rPr>
        <w:t>卫生健康支出40</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bCs/>
          <w:i w:val="0"/>
          <w:iCs w:val="0"/>
          <w:caps w:val="0"/>
          <w:color w:val="333333"/>
          <w:spacing w:val="0"/>
          <w:sz w:val="32"/>
          <w:szCs w:val="32"/>
          <w:shd w:val="clear" w:fill="FFFFFF"/>
        </w:rPr>
        <w:t>5</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7</w:t>
      </w:r>
      <w:r>
        <w:rPr>
          <w:rFonts w:hint="default" w:ascii="Times New Roman" w:hAnsi="Times New Roman" w:eastAsia="方正仿宋_GBK" w:cs="Times New Roman"/>
          <w:b/>
          <w:bCs/>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rPr>
        <w:t>主要用于乡属行政事业单位职工基本医疗、大病医疗、工伤保险、生育保险等医疗保障缴费。</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b/>
          <w:bCs/>
          <w:i w:val="0"/>
          <w:iCs w:val="0"/>
          <w:caps w:val="0"/>
          <w:color w:val="333333"/>
          <w:spacing w:val="0"/>
          <w:sz w:val="32"/>
          <w:szCs w:val="32"/>
          <w:shd w:val="clear" w:fill="FFFFFF"/>
        </w:rPr>
        <w:t>城乡社区支出</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26.23</w:t>
      </w:r>
      <w:r>
        <w:rPr>
          <w:rFonts w:hint="default" w:ascii="Times New Roman" w:hAnsi="Times New Roman" w:eastAsia="方正仿宋_GBK" w:cs="Times New Roman"/>
          <w:b/>
          <w:bCs/>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rPr>
        <w:t>主要用于：安排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14.66</w:t>
      </w:r>
      <w:r>
        <w:rPr>
          <w:rFonts w:hint="default" w:ascii="Times New Roman" w:hAnsi="Times New Roman" w:eastAsia="方正仿宋_GBK" w:cs="Times New Roman"/>
          <w:i w:val="0"/>
          <w:iCs w:val="0"/>
          <w:caps w:val="0"/>
          <w:color w:val="333333"/>
          <w:spacing w:val="0"/>
          <w:sz w:val="32"/>
          <w:szCs w:val="32"/>
          <w:shd w:val="clear" w:fill="FFFFFF"/>
        </w:rPr>
        <w:t>万元，组织全乡辖区内垃圾清运。安排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2.56</w:t>
      </w:r>
      <w:r>
        <w:rPr>
          <w:rFonts w:hint="default" w:ascii="Times New Roman" w:hAnsi="Times New Roman" w:eastAsia="方正仿宋_GBK" w:cs="Times New Roman"/>
          <w:i w:val="0"/>
          <w:iCs w:val="0"/>
          <w:caps w:val="0"/>
          <w:color w:val="333333"/>
          <w:spacing w:val="0"/>
          <w:sz w:val="32"/>
          <w:szCs w:val="32"/>
          <w:shd w:val="clear" w:fill="FFFFFF"/>
        </w:rPr>
        <w:t xml:space="preserve">万元，用于市政维护；安排 </w:t>
      </w:r>
      <w:r>
        <w:rPr>
          <w:rFonts w:hint="default" w:ascii="Times New Roman" w:hAnsi="Times New Roman" w:eastAsia="方正仿宋_GBK" w:cs="Times New Roman"/>
          <w:i w:val="0"/>
          <w:iCs w:val="0"/>
          <w:caps w:val="0"/>
          <w:color w:val="333333"/>
          <w:spacing w:val="0"/>
          <w:sz w:val="32"/>
          <w:szCs w:val="32"/>
          <w:shd w:val="clear" w:fill="FFFFFF"/>
          <w:lang w:val="en-US" w:eastAsia="zh-CN"/>
        </w:rPr>
        <w:t>9</w:t>
      </w:r>
      <w:r>
        <w:rPr>
          <w:rFonts w:hint="default" w:ascii="Times New Roman" w:hAnsi="Times New Roman" w:eastAsia="方正仿宋_GBK" w:cs="Times New Roman"/>
          <w:i w:val="0"/>
          <w:iCs w:val="0"/>
          <w:caps w:val="0"/>
          <w:color w:val="333333"/>
          <w:spacing w:val="0"/>
          <w:sz w:val="32"/>
          <w:szCs w:val="32"/>
          <w:shd w:val="clear" w:fill="FFFFFF"/>
        </w:rPr>
        <w:t>万元，用于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场镇电费</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b/>
          <w:bCs/>
          <w:i w:val="0"/>
          <w:iCs w:val="0"/>
          <w:caps w:val="0"/>
          <w:color w:val="333333"/>
          <w:spacing w:val="0"/>
          <w:sz w:val="32"/>
          <w:szCs w:val="32"/>
          <w:shd w:val="clear" w:fill="FFFFFF"/>
        </w:rPr>
        <w:t>灾害防治及应急管理支出</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7.6万元。</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7.6</w:t>
      </w:r>
      <w:r>
        <w:rPr>
          <w:rFonts w:hint="default" w:ascii="Times New Roman" w:hAnsi="Times New Roman" w:eastAsia="方正仿宋_GBK" w:cs="Times New Roman"/>
          <w:i w:val="0"/>
          <w:iCs w:val="0"/>
          <w:caps w:val="0"/>
          <w:color w:val="333333"/>
          <w:spacing w:val="0"/>
          <w:sz w:val="32"/>
          <w:szCs w:val="32"/>
          <w:shd w:val="clear" w:fill="FFFFFF"/>
        </w:rPr>
        <w:t>万元，用于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防洪抗旱。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b/>
          <w:bCs/>
          <w:i w:val="0"/>
          <w:iCs w:val="0"/>
          <w:caps w:val="0"/>
          <w:color w:val="333333"/>
          <w:spacing w:val="0"/>
          <w:sz w:val="32"/>
          <w:szCs w:val="32"/>
          <w:shd w:val="clear" w:fill="FFFFFF"/>
        </w:rPr>
        <w:t>农林水支出</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1413.49</w:t>
      </w:r>
      <w:r>
        <w:rPr>
          <w:rFonts w:hint="default" w:ascii="Times New Roman" w:hAnsi="Times New Roman" w:eastAsia="方正仿宋_GBK" w:cs="Times New Roman"/>
          <w:b/>
          <w:bCs/>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rPr>
        <w:t>主要用于：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88.58</w:t>
      </w:r>
      <w:r>
        <w:rPr>
          <w:rFonts w:hint="default" w:ascii="Times New Roman" w:hAnsi="Times New Roman" w:eastAsia="方正仿宋_GBK" w:cs="Times New Roman"/>
          <w:i w:val="0"/>
          <w:iCs w:val="0"/>
          <w:caps w:val="0"/>
          <w:color w:val="333333"/>
          <w:spacing w:val="0"/>
          <w:sz w:val="32"/>
          <w:szCs w:val="32"/>
          <w:shd w:val="clear" w:fill="FFFFFF"/>
        </w:rPr>
        <w:t>万元，保障农服中心、兽医站基本支出。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495.53</w:t>
      </w:r>
      <w:r>
        <w:rPr>
          <w:rFonts w:hint="default" w:ascii="Times New Roman" w:hAnsi="Times New Roman" w:eastAsia="方正仿宋_GBK" w:cs="Times New Roman"/>
          <w:i w:val="0"/>
          <w:iCs w:val="0"/>
          <w:caps w:val="0"/>
          <w:color w:val="333333"/>
          <w:spacing w:val="0"/>
          <w:sz w:val="32"/>
          <w:szCs w:val="32"/>
          <w:shd w:val="clear" w:fill="FFFFFF"/>
        </w:rPr>
        <w:t>万元，用于农业农村项目支出（具体为：安排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50</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用于</w:t>
      </w:r>
      <w:r>
        <w:rPr>
          <w:rFonts w:hint="default" w:ascii="Times New Roman" w:hAnsi="Times New Roman" w:eastAsia="方正仿宋_GBK" w:cs="Times New Roman"/>
          <w:i w:val="0"/>
          <w:iCs w:val="0"/>
          <w:caps w:val="0"/>
          <w:color w:val="333333"/>
          <w:spacing w:val="0"/>
          <w:sz w:val="32"/>
          <w:szCs w:val="32"/>
          <w:shd w:val="clear" w:fill="FFFFFF"/>
        </w:rPr>
        <w:t>2022年龙田乡食用菌提升基地；安排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45</w:t>
      </w:r>
      <w:r>
        <w:rPr>
          <w:rFonts w:hint="default" w:ascii="Times New Roman" w:hAnsi="Times New Roman" w:eastAsia="方正仿宋_GBK" w:cs="Times New Roman"/>
          <w:i w:val="0"/>
          <w:iCs w:val="0"/>
          <w:caps w:val="0"/>
          <w:color w:val="333333"/>
          <w:spacing w:val="0"/>
          <w:sz w:val="32"/>
          <w:szCs w:val="32"/>
          <w:shd w:val="clear" w:fill="FFFFFF"/>
        </w:rPr>
        <w:t>万元，用于2022年龙田乡露地蔬菜提升基地项目；安排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116.89</w:t>
      </w:r>
      <w:r>
        <w:rPr>
          <w:rFonts w:hint="default" w:ascii="Times New Roman" w:hAnsi="Times New Roman" w:eastAsia="方正仿宋_GBK" w:cs="Times New Roman"/>
          <w:i w:val="0"/>
          <w:iCs w:val="0"/>
          <w:caps w:val="0"/>
          <w:color w:val="333333"/>
          <w:spacing w:val="0"/>
          <w:sz w:val="32"/>
          <w:szCs w:val="32"/>
          <w:shd w:val="clear" w:fill="FFFFFF"/>
        </w:rPr>
        <w:t>万元，用于2022年龙田乡中药材产业（连翘、黄柏等）提升基地项目；安排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112.5</w:t>
      </w:r>
      <w:r>
        <w:rPr>
          <w:rFonts w:hint="default" w:ascii="Times New Roman" w:hAnsi="Times New Roman" w:eastAsia="方正仿宋_GBK" w:cs="Times New Roman"/>
          <w:i w:val="0"/>
          <w:iCs w:val="0"/>
          <w:caps w:val="0"/>
          <w:color w:val="333333"/>
          <w:spacing w:val="0"/>
          <w:sz w:val="32"/>
          <w:szCs w:val="32"/>
          <w:shd w:val="clear" w:fill="FFFFFF"/>
        </w:rPr>
        <w:t>万元，用于龙田乡202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年到户产业；安排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45</w:t>
      </w:r>
      <w:r>
        <w:rPr>
          <w:rFonts w:hint="default" w:ascii="Times New Roman" w:hAnsi="Times New Roman" w:eastAsia="方正仿宋_GBK" w:cs="Times New Roman"/>
          <w:i w:val="0"/>
          <w:iCs w:val="0"/>
          <w:caps w:val="0"/>
          <w:color w:val="333333"/>
          <w:spacing w:val="0"/>
          <w:sz w:val="32"/>
          <w:szCs w:val="32"/>
          <w:shd w:val="clear" w:fill="FFFFFF"/>
        </w:rPr>
        <w:t>万元，用于城口县2022年龙田乡中安村农村环境综合整治</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24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，城口县2022年龙田乡卫星村食用菌大棚维修项目。</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，城口县2022年龙田乡长茅村移民安置点产业配套设施建设。</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2.14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，2022年秋粮秋菜扶持项目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8.02</w:t>
      </w:r>
      <w:r>
        <w:rPr>
          <w:rFonts w:hint="default" w:ascii="Times New Roman" w:hAnsi="Times New Roman" w:eastAsia="方正仿宋_GBK" w:cs="Times New Roman"/>
          <w:i w:val="0"/>
          <w:iCs w:val="0"/>
          <w:caps w:val="0"/>
          <w:color w:val="333333"/>
          <w:spacing w:val="0"/>
          <w:sz w:val="32"/>
          <w:szCs w:val="32"/>
          <w:shd w:val="clear" w:fill="FFFFFF"/>
        </w:rPr>
        <w:t>万元，用于病虫害控制</w:t>
      </w:r>
      <w:r>
        <w:rPr>
          <w:rFonts w:hint="default" w:ascii="Times New Roman" w:hAnsi="Times New Roman" w:eastAsia="方正仿宋_GBK" w:cs="Times New Roman"/>
          <w:i w:val="0"/>
          <w:iCs w:val="0"/>
          <w:caps w:val="0"/>
          <w:color w:val="333333"/>
          <w:spacing w:val="0"/>
          <w:sz w:val="32"/>
          <w:szCs w:val="32"/>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shd w:val="clear" w:fill="FFFFFF"/>
        </w:rPr>
        <w:t>，具体项目为龙田乡2022年</w:t>
      </w:r>
      <w:r>
        <w:rPr>
          <w:rFonts w:hint="default" w:ascii="Times New Roman" w:hAnsi="Times New Roman" w:eastAsia="方正仿宋_GBK" w:cs="Times New Roman"/>
          <w:i w:val="0"/>
          <w:iCs w:val="0"/>
          <w:caps w:val="0"/>
          <w:color w:val="333333"/>
          <w:spacing w:val="0"/>
          <w:sz w:val="32"/>
          <w:szCs w:val="32"/>
          <w:shd w:val="clear" w:fill="FFFFFF"/>
          <w:lang w:val="en-US" w:eastAsia="zh-CN"/>
        </w:rPr>
        <w:t>农业生产及水利救灾</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38.43</w:t>
      </w:r>
      <w:r>
        <w:rPr>
          <w:rFonts w:hint="default" w:ascii="Times New Roman" w:hAnsi="Times New Roman" w:eastAsia="方正仿宋_GBK" w:cs="Times New Roman"/>
          <w:i w:val="0"/>
          <w:iCs w:val="0"/>
          <w:caps w:val="0"/>
          <w:color w:val="333333"/>
          <w:spacing w:val="0"/>
          <w:sz w:val="32"/>
          <w:szCs w:val="32"/>
          <w:shd w:val="clear" w:fill="FFFFFF"/>
        </w:rPr>
        <w:t>万元，用于林业草原支出，具体项目为龙田乡2022年</w:t>
      </w:r>
      <w:r>
        <w:rPr>
          <w:rFonts w:hint="default" w:ascii="Times New Roman" w:hAnsi="Times New Roman" w:eastAsia="方正仿宋_GBK" w:cs="Times New Roman"/>
          <w:i w:val="0"/>
          <w:iCs w:val="0"/>
          <w:caps w:val="0"/>
          <w:color w:val="333333"/>
          <w:spacing w:val="0"/>
          <w:sz w:val="32"/>
          <w:szCs w:val="32"/>
          <w:shd w:val="clear" w:fill="FFFFFF"/>
          <w:lang w:eastAsia="zh-CN"/>
        </w:rPr>
        <w:t>森林资源培育。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22.52</w:t>
      </w:r>
      <w:r>
        <w:rPr>
          <w:rFonts w:hint="default" w:ascii="Times New Roman" w:hAnsi="Times New Roman" w:eastAsia="方正仿宋_GBK" w:cs="Times New Roman"/>
          <w:i w:val="0"/>
          <w:iCs w:val="0"/>
          <w:caps w:val="0"/>
          <w:color w:val="333333"/>
          <w:spacing w:val="0"/>
          <w:sz w:val="32"/>
          <w:szCs w:val="32"/>
          <w:shd w:val="clear" w:fill="FFFFFF"/>
        </w:rPr>
        <w:t>万元，用于水利支出，（具体为：安排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7.67</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具体为2022年农村供水工程运行管理奖补资金。安排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14.85</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城口县龙田乡中安村管网延伸工程）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65.76</w:t>
      </w:r>
      <w:r>
        <w:rPr>
          <w:rFonts w:hint="default" w:ascii="Times New Roman" w:hAnsi="Times New Roman" w:eastAsia="方正仿宋_GBK" w:cs="Times New Roman"/>
          <w:i w:val="0"/>
          <w:iCs w:val="0"/>
          <w:caps w:val="0"/>
          <w:color w:val="333333"/>
          <w:spacing w:val="0"/>
          <w:sz w:val="32"/>
          <w:szCs w:val="32"/>
          <w:shd w:val="clear" w:fill="FFFFFF"/>
        </w:rPr>
        <w:t>万元，用于脱贫攻坚与乡村振兴衔接项目支出（具体为：安排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7.31</w:t>
      </w:r>
      <w:r>
        <w:rPr>
          <w:rFonts w:hint="default" w:ascii="Times New Roman" w:hAnsi="Times New Roman" w:eastAsia="方正仿宋_GBK" w:cs="Times New Roman"/>
          <w:i w:val="0"/>
          <w:iCs w:val="0"/>
          <w:caps w:val="0"/>
          <w:color w:val="333333"/>
          <w:spacing w:val="0"/>
          <w:sz w:val="32"/>
          <w:szCs w:val="32"/>
          <w:shd w:val="clear" w:fill="FFFFFF"/>
        </w:rPr>
        <w:t>万元，用于乡村振兴驻乡驻村工作队乡镇工作补助；安排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15.44</w:t>
      </w:r>
      <w:r>
        <w:rPr>
          <w:rFonts w:hint="default" w:ascii="Times New Roman" w:hAnsi="Times New Roman" w:eastAsia="方正仿宋_GBK" w:cs="Times New Roman"/>
          <w:i w:val="0"/>
          <w:iCs w:val="0"/>
          <w:caps w:val="0"/>
          <w:color w:val="333333"/>
          <w:spacing w:val="0"/>
          <w:sz w:val="32"/>
          <w:szCs w:val="32"/>
          <w:shd w:val="clear" w:fill="FFFFFF"/>
        </w:rPr>
        <w:t>万元，用于乡村振兴驻乡驻村工作队工作经费；安排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24</w:t>
      </w:r>
      <w:r>
        <w:rPr>
          <w:rFonts w:hint="default" w:ascii="Times New Roman" w:hAnsi="Times New Roman" w:eastAsia="方正仿宋_GBK" w:cs="Times New Roman"/>
          <w:i w:val="0"/>
          <w:iCs w:val="0"/>
          <w:caps w:val="0"/>
          <w:color w:val="333333"/>
          <w:spacing w:val="0"/>
          <w:sz w:val="32"/>
          <w:szCs w:val="32"/>
          <w:shd w:val="clear" w:fill="FFFFFF"/>
        </w:rPr>
        <w:t>万元，用于项目管理费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16</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，城口县2022年龙田乡积分兑现制度改补为奖项目；</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万元，龙田乡人民政府乡村振兴及农民工输出地入会工作经费）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429.1</w:t>
      </w:r>
      <w:r>
        <w:rPr>
          <w:rFonts w:hint="default" w:ascii="Times New Roman" w:hAnsi="Times New Roman" w:eastAsia="方正仿宋_GBK" w:cs="Times New Roman"/>
          <w:i w:val="0"/>
          <w:iCs w:val="0"/>
          <w:caps w:val="0"/>
          <w:color w:val="333333"/>
          <w:spacing w:val="0"/>
          <w:sz w:val="32"/>
          <w:szCs w:val="32"/>
          <w:shd w:val="clear" w:fill="FFFFFF"/>
        </w:rPr>
        <w:t>万元，用于农村</w:t>
      </w:r>
      <w:r>
        <w:rPr>
          <w:rFonts w:hint="default" w:ascii="Times New Roman" w:hAnsi="Times New Roman" w:eastAsia="方正仿宋_GBK" w:cs="Times New Roman"/>
          <w:i w:val="0"/>
          <w:iCs w:val="0"/>
          <w:caps w:val="0"/>
          <w:color w:val="333333"/>
          <w:spacing w:val="0"/>
          <w:sz w:val="32"/>
          <w:szCs w:val="32"/>
          <w:shd w:val="clear" w:fill="FFFFFF"/>
          <w:lang w:val="en-US" w:eastAsia="zh-CN"/>
        </w:rPr>
        <w:t>基础设施建设支出。</w:t>
      </w:r>
      <w:r>
        <w:rPr>
          <w:rFonts w:hint="default" w:ascii="Times New Roman" w:hAnsi="Times New Roman" w:eastAsia="方正仿宋_GBK" w:cs="Times New Roman"/>
          <w:i w:val="0"/>
          <w:iCs w:val="0"/>
          <w:caps w:val="0"/>
          <w:color w:val="333333"/>
          <w:spacing w:val="0"/>
          <w:sz w:val="32"/>
          <w:szCs w:val="32"/>
          <w:shd w:val="clear" w:fill="FFFFFF"/>
        </w:rPr>
        <w:t>（具体为：安排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shd w:val="clear" w:fill="FFFFFF"/>
        </w:rPr>
        <w:t>万元，用于龙田乡2022年农村户厕改造项目；安排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90</w:t>
      </w:r>
      <w:r>
        <w:rPr>
          <w:rFonts w:hint="default" w:ascii="Times New Roman" w:hAnsi="Times New Roman" w:eastAsia="方正仿宋_GBK" w:cs="Times New Roman"/>
          <w:i w:val="0"/>
          <w:iCs w:val="0"/>
          <w:caps w:val="0"/>
          <w:color w:val="333333"/>
          <w:spacing w:val="0"/>
          <w:sz w:val="32"/>
          <w:szCs w:val="32"/>
          <w:shd w:val="clear" w:fill="FFFFFF"/>
        </w:rPr>
        <w:t>万元，用于龙田乡2022年水毁公路修复、人行索桥维修项目</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60</w:t>
      </w:r>
      <w:r>
        <w:rPr>
          <w:rFonts w:hint="default" w:ascii="Times New Roman" w:hAnsi="Times New Roman" w:eastAsia="方正仿宋_GBK" w:cs="Times New Roman"/>
          <w:i w:val="0"/>
          <w:iCs w:val="0"/>
          <w:caps w:val="0"/>
          <w:color w:val="333333"/>
          <w:spacing w:val="0"/>
          <w:sz w:val="32"/>
          <w:szCs w:val="32"/>
          <w:shd w:val="clear" w:fill="FFFFFF"/>
        </w:rPr>
        <w:t>万元，龙田乡2021年长茅村公路硬化工程（续建）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50</w:t>
      </w:r>
      <w:r>
        <w:rPr>
          <w:rFonts w:hint="default" w:ascii="Times New Roman" w:hAnsi="Times New Roman" w:eastAsia="方正仿宋_GBK" w:cs="Times New Roman"/>
          <w:i w:val="0"/>
          <w:iCs w:val="0"/>
          <w:caps w:val="0"/>
          <w:color w:val="333333"/>
          <w:spacing w:val="0"/>
          <w:sz w:val="32"/>
          <w:szCs w:val="32"/>
          <w:shd w:val="clear" w:fill="FFFFFF"/>
        </w:rPr>
        <w:t>万元，龙田乡2022年仓房村索桥建设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58</w:t>
      </w:r>
      <w:r>
        <w:rPr>
          <w:rFonts w:hint="default" w:ascii="Times New Roman" w:hAnsi="Times New Roman" w:eastAsia="方正仿宋_GBK" w:cs="Times New Roman"/>
          <w:i w:val="0"/>
          <w:iCs w:val="0"/>
          <w:caps w:val="0"/>
          <w:color w:val="333333"/>
          <w:spacing w:val="0"/>
          <w:sz w:val="32"/>
          <w:szCs w:val="32"/>
          <w:shd w:val="clear" w:fill="FFFFFF"/>
        </w:rPr>
        <w:t>万元，2022年龙田乡四湾村农村环境综合整治</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 xml:space="preserve">安排 </w:t>
      </w:r>
      <w:r>
        <w:rPr>
          <w:rFonts w:hint="default" w:ascii="Times New Roman" w:hAnsi="Times New Roman" w:eastAsia="方正仿宋_GBK" w:cs="Times New Roman"/>
          <w:i w:val="0"/>
          <w:iCs w:val="0"/>
          <w:caps w:val="0"/>
          <w:color w:val="333333"/>
          <w:spacing w:val="0"/>
          <w:sz w:val="32"/>
          <w:szCs w:val="32"/>
          <w:shd w:val="clear" w:fill="FFFFFF"/>
          <w:lang w:val="en-US" w:eastAsia="zh-CN"/>
        </w:rPr>
        <w:t>80</w:t>
      </w:r>
      <w:r>
        <w:rPr>
          <w:rFonts w:hint="default" w:ascii="Times New Roman" w:hAnsi="Times New Roman" w:eastAsia="方正仿宋_GBK" w:cs="Times New Roman"/>
          <w:i w:val="0"/>
          <w:iCs w:val="0"/>
          <w:caps w:val="0"/>
          <w:color w:val="333333"/>
          <w:spacing w:val="0"/>
          <w:sz w:val="32"/>
          <w:szCs w:val="32"/>
          <w:shd w:val="clear" w:fill="FFFFFF"/>
        </w:rPr>
        <w:t>万元，2022年龙田乡团堡村农村环境综合整治</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 xml:space="preserve">安排 </w:t>
      </w:r>
      <w:r>
        <w:rPr>
          <w:rFonts w:hint="default" w:ascii="Times New Roman" w:hAnsi="Times New Roman" w:eastAsia="方正仿宋_GBK" w:cs="Times New Roman"/>
          <w:i w:val="0"/>
          <w:iCs w:val="0"/>
          <w:caps w:val="0"/>
          <w:color w:val="333333"/>
          <w:spacing w:val="0"/>
          <w:sz w:val="32"/>
          <w:szCs w:val="32"/>
          <w:shd w:val="clear" w:fill="FFFFFF"/>
          <w:lang w:val="en-US" w:eastAsia="zh-CN"/>
        </w:rPr>
        <w:t>73.1</w:t>
      </w:r>
      <w:r>
        <w:rPr>
          <w:rFonts w:hint="default" w:ascii="Times New Roman" w:hAnsi="Times New Roman" w:eastAsia="方正仿宋_GBK" w:cs="Times New Roman"/>
          <w:i w:val="0"/>
          <w:iCs w:val="0"/>
          <w:caps w:val="0"/>
          <w:color w:val="333333"/>
          <w:spacing w:val="0"/>
          <w:sz w:val="32"/>
          <w:szCs w:val="32"/>
          <w:shd w:val="clear" w:fill="FFFFFF"/>
        </w:rPr>
        <w:t>万元，龙田乡2022年联丰村环境综合整治项目。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19.2</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用于</w:t>
      </w:r>
      <w:r>
        <w:rPr>
          <w:rFonts w:hint="default" w:ascii="Times New Roman" w:hAnsi="Times New Roman" w:eastAsia="方正仿宋_GBK" w:cs="Times New Roman"/>
          <w:i w:val="0"/>
          <w:iCs w:val="0"/>
          <w:caps w:val="0"/>
          <w:color w:val="333333"/>
          <w:spacing w:val="0"/>
          <w:sz w:val="32"/>
          <w:szCs w:val="32"/>
          <w:shd w:val="clear" w:fill="FFFFFF"/>
          <w:lang w:eastAsia="zh-CN"/>
        </w:rPr>
        <w:t>对村级公益事业建设的补助</w:t>
      </w:r>
      <w:r>
        <w:rPr>
          <w:rFonts w:hint="default" w:ascii="Times New Roman" w:hAnsi="Times New Roman" w:eastAsia="方正仿宋_GBK" w:cs="Times New Roman"/>
          <w:i w:val="0"/>
          <w:iCs w:val="0"/>
          <w:caps w:val="0"/>
          <w:color w:val="333333"/>
          <w:spacing w:val="0"/>
          <w:sz w:val="32"/>
          <w:szCs w:val="32"/>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shd w:val="clear" w:fill="FFFFFF"/>
        </w:rPr>
        <w:t>（具体为：安排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60</w:t>
      </w:r>
      <w:r>
        <w:rPr>
          <w:rFonts w:hint="default" w:ascii="Times New Roman" w:hAnsi="Times New Roman" w:eastAsia="方正仿宋_GBK" w:cs="Times New Roman"/>
          <w:i w:val="0"/>
          <w:iCs w:val="0"/>
          <w:caps w:val="0"/>
          <w:color w:val="333333"/>
          <w:spacing w:val="0"/>
          <w:sz w:val="32"/>
          <w:szCs w:val="32"/>
          <w:shd w:val="clear" w:fill="FFFFFF"/>
        </w:rPr>
        <w:t>万元，城口县2022年龙田乡团堡村生产生活便道建设（美丽乡村建设）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城口县2022年龙田乡中安村农村环境综合整治（美丽乡村建设）；</w:t>
      </w: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13.2</w:t>
      </w:r>
      <w:r>
        <w:rPr>
          <w:rFonts w:hint="default" w:ascii="Times New Roman" w:hAnsi="Times New Roman" w:eastAsia="方正仿宋_GBK" w:cs="Times New Roman"/>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lang w:eastAsia="zh-CN"/>
        </w:rPr>
        <w:t>2022年农村环境整治垃圾分类项目资金）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188.23</w:t>
      </w:r>
      <w:r>
        <w:rPr>
          <w:rFonts w:hint="default" w:ascii="Times New Roman" w:hAnsi="Times New Roman" w:eastAsia="方正仿宋_GBK" w:cs="Times New Roman"/>
          <w:i w:val="0"/>
          <w:iCs w:val="0"/>
          <w:caps w:val="0"/>
          <w:color w:val="333333"/>
          <w:spacing w:val="0"/>
          <w:sz w:val="32"/>
          <w:szCs w:val="32"/>
          <w:shd w:val="clear" w:fill="FFFFFF"/>
        </w:rPr>
        <w:t>万元，用于对村民委员会和村党支部的补助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主要用于村办公经费，服务群众经费，村干部、社长、义务监督员的待遇。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b/>
          <w:bCs/>
          <w:i w:val="0"/>
          <w:iCs w:val="0"/>
          <w:caps w:val="0"/>
          <w:color w:val="333333"/>
          <w:spacing w:val="0"/>
          <w:sz w:val="32"/>
          <w:szCs w:val="32"/>
          <w:shd w:val="clear" w:fill="FFFFFF"/>
        </w:rPr>
        <w:t>住房保障支出</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44.3</w:t>
      </w:r>
      <w:r>
        <w:rPr>
          <w:rFonts w:hint="default" w:ascii="Times New Roman" w:hAnsi="Times New Roman" w:eastAsia="方正仿宋_GBK" w:cs="Times New Roman"/>
          <w:b/>
          <w:bCs/>
          <w:i w:val="0"/>
          <w:iCs w:val="0"/>
          <w:caps w:val="0"/>
          <w:color w:val="333333"/>
          <w:spacing w:val="0"/>
          <w:sz w:val="32"/>
          <w:szCs w:val="32"/>
          <w:shd w:val="clear" w:fill="FFFFFF"/>
        </w:rPr>
        <w:t>万元。</w:t>
      </w:r>
      <w:r>
        <w:rPr>
          <w:rFonts w:hint="default" w:ascii="Times New Roman" w:hAnsi="Times New Roman" w:eastAsia="方正仿宋_GBK" w:cs="Times New Roman"/>
          <w:i w:val="0"/>
          <w:iCs w:val="0"/>
          <w:caps w:val="0"/>
          <w:color w:val="333333"/>
          <w:spacing w:val="0"/>
          <w:sz w:val="32"/>
          <w:szCs w:val="32"/>
          <w:shd w:val="clear" w:fill="FFFFFF"/>
        </w:rPr>
        <w:t>主要用于：安排</w:t>
      </w:r>
      <w:r>
        <w:rPr>
          <w:rFonts w:hint="default" w:ascii="Times New Roman" w:hAnsi="Times New Roman" w:eastAsia="方正仿宋_GBK" w:cs="Times New Roman"/>
          <w:i w:val="0"/>
          <w:iCs w:val="0"/>
          <w:caps w:val="0"/>
          <w:color w:val="333333"/>
          <w:spacing w:val="0"/>
          <w:sz w:val="32"/>
          <w:szCs w:val="32"/>
          <w:shd w:val="clear" w:fill="FFFFFF"/>
          <w:lang w:val="en-US" w:eastAsia="zh-CN"/>
        </w:rPr>
        <w:t>44.3</w:t>
      </w:r>
      <w:r>
        <w:rPr>
          <w:rFonts w:hint="default" w:ascii="Times New Roman" w:hAnsi="Times New Roman" w:eastAsia="方正仿宋_GBK" w:cs="Times New Roman"/>
          <w:i w:val="0"/>
          <w:iCs w:val="0"/>
          <w:caps w:val="0"/>
          <w:color w:val="333333"/>
          <w:spacing w:val="0"/>
          <w:sz w:val="32"/>
          <w:szCs w:val="32"/>
          <w:shd w:val="clear" w:fill="FFFFFF"/>
        </w:rPr>
        <w:t>万元，用于保障乡属干部职工按法定比例缴纳住房公积金。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（四）一般公共预算财政拨款基本支出决算情况说明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年度一般公共财政拨款基本支出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2361.86</w:t>
      </w:r>
      <w:r>
        <w:rPr>
          <w:rFonts w:hint="default" w:ascii="Times New Roman" w:hAnsi="Times New Roman" w:eastAsia="方正仿宋_GBK" w:cs="Times New Roman"/>
          <w:i w:val="0"/>
          <w:iCs w:val="0"/>
          <w:caps w:val="0"/>
          <w:color w:val="333333"/>
          <w:spacing w:val="0"/>
          <w:sz w:val="32"/>
          <w:szCs w:val="32"/>
          <w:shd w:val="clear" w:fill="FFFFFF"/>
        </w:rPr>
        <w:t>万元。其中：人员经费</w:t>
      </w:r>
      <w:r>
        <w:rPr>
          <w:rFonts w:hint="default" w:ascii="Times New Roman" w:hAnsi="Times New Roman" w:eastAsia="方正仿宋_GBK" w:cs="Times New Roman"/>
          <w:i w:val="0"/>
          <w:iCs w:val="0"/>
          <w:caps w:val="0"/>
          <w:color w:val="333333"/>
          <w:spacing w:val="0"/>
          <w:sz w:val="32"/>
          <w:szCs w:val="32"/>
          <w:shd w:val="clear" w:fill="FFFFFF"/>
          <w:lang w:val="en-US" w:eastAsia="zh-CN"/>
        </w:rPr>
        <w:t>980.17</w:t>
      </w:r>
      <w:r>
        <w:rPr>
          <w:rFonts w:hint="default" w:ascii="Times New Roman" w:hAnsi="Times New Roman" w:eastAsia="方正仿宋_GBK" w:cs="Times New Roman"/>
          <w:i w:val="0"/>
          <w:iCs w:val="0"/>
          <w:caps w:val="0"/>
          <w:color w:val="333333"/>
          <w:spacing w:val="0"/>
          <w:sz w:val="32"/>
          <w:szCs w:val="32"/>
          <w:shd w:val="clear" w:fill="FFFFFF"/>
        </w:rPr>
        <w:t>万元，较上年决算数</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25.57</w:t>
      </w:r>
      <w:r>
        <w:rPr>
          <w:rFonts w:hint="default" w:ascii="Times New Roman" w:hAnsi="Times New Roman" w:eastAsia="方正仿宋_GBK" w:cs="Times New Roman"/>
          <w:i w:val="0"/>
          <w:iCs w:val="0"/>
          <w:caps w:val="0"/>
          <w:color w:val="333333"/>
          <w:spacing w:val="0"/>
          <w:sz w:val="32"/>
          <w:szCs w:val="32"/>
          <w:shd w:val="clear" w:fill="FFFFFF"/>
        </w:rPr>
        <w:t>万元，减少</w:t>
      </w:r>
      <w:r>
        <w:rPr>
          <w:rFonts w:hint="default" w:ascii="Times New Roman" w:hAnsi="Times New Roman" w:eastAsia="方正仿宋_GBK" w:cs="Times New Roman"/>
          <w:i w:val="0"/>
          <w:iCs w:val="0"/>
          <w:caps w:val="0"/>
          <w:color w:val="333333"/>
          <w:spacing w:val="0"/>
          <w:sz w:val="32"/>
          <w:szCs w:val="32"/>
          <w:shd w:val="clear" w:fill="FFFFFF"/>
          <w:lang w:val="en-US" w:eastAsia="zh-CN"/>
        </w:rPr>
        <w:t>2.03</w:t>
      </w:r>
      <w:r>
        <w:rPr>
          <w:rFonts w:hint="default" w:ascii="Times New Roman" w:hAnsi="Times New Roman" w:eastAsia="方正仿宋_GBK" w:cs="Times New Roman"/>
          <w:i w:val="0"/>
          <w:iCs w:val="0"/>
          <w:caps w:val="0"/>
          <w:color w:val="333333"/>
          <w:spacing w:val="0"/>
          <w:sz w:val="32"/>
          <w:szCs w:val="32"/>
          <w:shd w:val="clear" w:fill="FFFFFF"/>
        </w:rPr>
        <w:t>%，主要原因是人员变动后，新增人员工资基数正常变动</w:t>
      </w:r>
      <w:r>
        <w:rPr>
          <w:rFonts w:hint="default" w:ascii="Times New Roman" w:hAnsi="Times New Roman" w:eastAsia="方正仿宋_GBK" w:cs="Times New Roman"/>
          <w:i w:val="0"/>
          <w:iCs w:val="0"/>
          <w:caps w:val="0"/>
          <w:color w:val="333333"/>
          <w:spacing w:val="0"/>
          <w:sz w:val="32"/>
          <w:szCs w:val="32"/>
          <w:shd w:val="clear" w:fill="FFFFFF"/>
          <w:lang w:eastAsia="zh-CN"/>
        </w:rPr>
        <w:t>，工资调比调标</w:t>
      </w:r>
      <w:r>
        <w:rPr>
          <w:rFonts w:hint="default" w:ascii="Times New Roman" w:hAnsi="Times New Roman" w:eastAsia="方正仿宋_GBK" w:cs="Times New Roman"/>
          <w:i w:val="0"/>
          <w:iCs w:val="0"/>
          <w:caps w:val="0"/>
          <w:color w:val="333333"/>
          <w:spacing w:val="0"/>
          <w:sz w:val="32"/>
          <w:szCs w:val="32"/>
          <w:shd w:val="clear" w:fill="FFFFFF"/>
        </w:rPr>
        <w:t>。人员经费用途主要包括：基本工资、津贴补贴、奖金、伙食补助费、绩效工资、社会保障缴费及住房公积金等。公用经费</w:t>
      </w:r>
      <w:r>
        <w:rPr>
          <w:rFonts w:hint="default" w:ascii="Times New Roman" w:hAnsi="Times New Roman" w:eastAsia="方正仿宋_GBK" w:cs="Times New Roman"/>
          <w:i w:val="0"/>
          <w:iCs w:val="0"/>
          <w:caps w:val="0"/>
          <w:color w:val="333333"/>
          <w:spacing w:val="0"/>
          <w:sz w:val="32"/>
          <w:szCs w:val="32"/>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shd w:val="clear" w:fill="FFFFFF"/>
        </w:rPr>
        <w:t>万元，较上年决算数</w:t>
      </w:r>
      <w:r>
        <w:rPr>
          <w:rFonts w:hint="default" w:ascii="Times New Roman" w:hAnsi="Times New Roman" w:eastAsia="方正仿宋_GBK" w:cs="Times New Roman"/>
          <w:i w:val="0"/>
          <w:iCs w:val="0"/>
          <w:caps w:val="0"/>
          <w:color w:val="333333"/>
          <w:spacing w:val="0"/>
          <w:sz w:val="32"/>
          <w:szCs w:val="32"/>
          <w:shd w:val="clear" w:fill="FFFFFF"/>
          <w:lang w:eastAsia="zh-CN"/>
        </w:rPr>
        <w:t>减少</w:t>
      </w:r>
      <w:r>
        <w:rPr>
          <w:rFonts w:hint="default" w:ascii="Times New Roman" w:hAnsi="Times New Roman" w:eastAsia="方正仿宋_GBK" w:cs="Times New Roman"/>
          <w:i w:val="0"/>
          <w:iCs w:val="0"/>
          <w:caps w:val="0"/>
          <w:color w:val="333333"/>
          <w:spacing w:val="0"/>
          <w:sz w:val="32"/>
          <w:szCs w:val="32"/>
          <w:shd w:val="clear" w:fill="FFFFFF"/>
          <w:lang w:val="en-US" w:eastAsia="zh-CN"/>
        </w:rPr>
        <w:t>4.1</w:t>
      </w:r>
      <w:r>
        <w:rPr>
          <w:rFonts w:hint="default" w:ascii="Times New Roman" w:hAnsi="Times New Roman" w:eastAsia="方正仿宋_GBK" w:cs="Times New Roman"/>
          <w:i w:val="0"/>
          <w:iCs w:val="0"/>
          <w:caps w:val="0"/>
          <w:color w:val="333333"/>
          <w:spacing w:val="0"/>
          <w:sz w:val="32"/>
          <w:szCs w:val="32"/>
          <w:shd w:val="clear" w:fill="FFFFFF"/>
        </w:rPr>
        <w:t>万元，减少</w:t>
      </w:r>
      <w:r>
        <w:rPr>
          <w:rFonts w:hint="default" w:ascii="Times New Roman" w:hAnsi="Times New Roman" w:eastAsia="方正仿宋_GBK" w:cs="Times New Roman"/>
          <w:i w:val="0"/>
          <w:iCs w:val="0"/>
          <w:caps w:val="0"/>
          <w:color w:val="333333"/>
          <w:spacing w:val="0"/>
          <w:sz w:val="32"/>
          <w:szCs w:val="32"/>
          <w:shd w:val="clear" w:fill="FFFFFF"/>
          <w:lang w:val="en-US" w:eastAsia="zh-CN"/>
        </w:rPr>
        <w:t>3.96</w:t>
      </w:r>
      <w:r>
        <w:rPr>
          <w:rFonts w:hint="default" w:ascii="Times New Roman" w:hAnsi="Times New Roman" w:eastAsia="方正仿宋_GBK" w:cs="Times New Roman"/>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坚持过日子政策，压缩办公开支</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（五）政府性基金预算收支情况说明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年度单位政府性基金预算财政拨款25万，较上年增加19.76万元，377.36%。主要原因是增加农村旧房整治资金25万元。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三、“三公”经费情况说明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（一）“三公”经费支出总体情况说明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年度单位“三公”经费支出总额</w:t>
      </w:r>
      <w:r>
        <w:rPr>
          <w:rFonts w:hint="default" w:ascii="Times New Roman" w:hAnsi="Times New Roman" w:eastAsia="方正仿宋_GBK" w:cs="Times New Roman"/>
          <w:i w:val="0"/>
          <w:iCs w:val="0"/>
          <w:caps w:val="0"/>
          <w:color w:val="333333"/>
          <w:spacing w:val="0"/>
          <w:sz w:val="32"/>
          <w:szCs w:val="32"/>
          <w:shd w:val="clear" w:fill="FFFFFF"/>
          <w:lang w:val="en-US" w:eastAsia="zh-CN"/>
        </w:rPr>
        <w:t>5.88</w:t>
      </w:r>
      <w:r>
        <w:rPr>
          <w:rFonts w:hint="default" w:ascii="Times New Roman" w:hAnsi="Times New Roman" w:eastAsia="方正仿宋_GBK" w:cs="Times New Roman"/>
          <w:i w:val="0"/>
          <w:iCs w:val="0"/>
          <w:caps w:val="0"/>
          <w:color w:val="333333"/>
          <w:spacing w:val="0"/>
          <w:sz w:val="32"/>
          <w:szCs w:val="32"/>
          <w:shd w:val="clear" w:fill="FFFFFF"/>
        </w:rPr>
        <w:t>万元，较年初预算数减少</w:t>
      </w:r>
      <w:r>
        <w:rPr>
          <w:rFonts w:hint="default" w:ascii="Times New Roman" w:hAnsi="Times New Roman" w:eastAsia="方正仿宋_GBK" w:cs="Times New Roman"/>
          <w:i w:val="0"/>
          <w:iCs w:val="0"/>
          <w:caps w:val="0"/>
          <w:color w:val="333333"/>
          <w:spacing w:val="0"/>
          <w:sz w:val="32"/>
          <w:szCs w:val="32"/>
          <w:shd w:val="clear" w:fill="FFFFFF"/>
          <w:lang w:val="en-US" w:eastAsia="zh-CN"/>
        </w:rPr>
        <w:t>0.37</w:t>
      </w:r>
      <w:r>
        <w:rPr>
          <w:rFonts w:hint="default" w:ascii="Times New Roman" w:hAnsi="Times New Roman" w:eastAsia="方正仿宋_GBK" w:cs="Times New Roman"/>
          <w:i w:val="0"/>
          <w:iCs w:val="0"/>
          <w:caps w:val="0"/>
          <w:color w:val="333333"/>
          <w:spacing w:val="0"/>
          <w:sz w:val="32"/>
          <w:szCs w:val="32"/>
          <w:shd w:val="clear" w:fill="FFFFFF"/>
        </w:rPr>
        <w:t>万元，下降</w:t>
      </w:r>
      <w:r>
        <w:rPr>
          <w:rFonts w:hint="default" w:ascii="Times New Roman" w:hAnsi="Times New Roman" w:eastAsia="方正仿宋_GBK"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%；较上年下降</w:t>
      </w:r>
      <w:r>
        <w:rPr>
          <w:rFonts w:hint="default" w:ascii="Times New Roman" w:hAnsi="Times New Roman" w:eastAsia="方正仿宋_GBK" w:cs="Times New Roman"/>
          <w:i w:val="0"/>
          <w:iCs w:val="0"/>
          <w:caps w:val="0"/>
          <w:color w:val="333333"/>
          <w:spacing w:val="0"/>
          <w:sz w:val="32"/>
          <w:szCs w:val="32"/>
          <w:shd w:val="clear" w:fill="FFFFFF"/>
          <w:lang w:val="en-US" w:eastAsia="zh-CN"/>
        </w:rPr>
        <w:t>58.53</w:t>
      </w:r>
      <w:r>
        <w:rPr>
          <w:rFonts w:hint="default" w:ascii="Times New Roman" w:hAnsi="Times New Roman" w:eastAsia="方正仿宋_GBK" w:cs="Times New Roman"/>
          <w:i w:val="0"/>
          <w:iCs w:val="0"/>
          <w:caps w:val="0"/>
          <w:color w:val="333333"/>
          <w:spacing w:val="0"/>
          <w:sz w:val="32"/>
          <w:szCs w:val="32"/>
          <w:shd w:val="clear" w:fill="FFFFFF"/>
        </w:rPr>
        <w:t>%，较年初预算和上年决算下降的主要原因：一是认真贯彻落实中央八项规定精神，按照只减不增的要求从严控制“三公”经费。二是严格落实公车使用规定，控制公车运行维护成本。三是强化公务接待支出管理，严格遵守公务接待开支范围和开支标准，严格控制陪餐人数。四是进一步规范因公出国（境）活动，今年未安排人员出国出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（二）“三公”经费分项支出情况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年度未发生因公出国（境）支出。与年初预算、上年决算保持一致。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年度未发生公务车购置支出。公务用车运行维护费预算</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万元，公务车运行维护费</w:t>
      </w:r>
      <w:r>
        <w:rPr>
          <w:rFonts w:hint="default" w:ascii="Times New Roman" w:hAnsi="Times New Roman" w:eastAsia="方正仿宋_GBK" w:cs="Times New Roman"/>
          <w:i w:val="0"/>
          <w:iCs w:val="0"/>
          <w:caps w:val="0"/>
          <w:color w:val="333333"/>
          <w:spacing w:val="0"/>
          <w:sz w:val="32"/>
          <w:szCs w:val="32"/>
          <w:shd w:val="clear" w:fill="FFFFFF"/>
          <w:lang w:val="en-US" w:eastAsia="zh-CN"/>
        </w:rPr>
        <w:t>3.63</w:t>
      </w:r>
      <w:r>
        <w:rPr>
          <w:rFonts w:hint="default" w:ascii="Times New Roman" w:hAnsi="Times New Roman" w:eastAsia="方正仿宋_GBK" w:cs="Times New Roman"/>
          <w:i w:val="0"/>
          <w:iCs w:val="0"/>
          <w:caps w:val="0"/>
          <w:color w:val="333333"/>
          <w:spacing w:val="0"/>
          <w:sz w:val="32"/>
          <w:szCs w:val="32"/>
          <w:shd w:val="clear" w:fill="FFFFFF"/>
        </w:rPr>
        <w:t>万元。主要用于县内因公出行、脱贫攻坚检查等工作所需车辆的燃料费、维修费、保险费等。费用支出较年初预算数减少1.37万元，下降19.57%；较上年支出数减少0.06万元，下降1.06%。主要原因是严格落实公车使用规定，控制公车运行维护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公务接待费预算</w:t>
      </w:r>
      <w:r>
        <w:rPr>
          <w:rFonts w:hint="default" w:ascii="Times New Roman" w:hAnsi="Times New Roman" w:eastAsia="方正仿宋_GBK" w:cs="Times New Roman"/>
          <w:i w:val="0"/>
          <w:iCs w:val="0"/>
          <w:caps w:val="0"/>
          <w:color w:val="333333"/>
          <w:spacing w:val="0"/>
          <w:sz w:val="32"/>
          <w:szCs w:val="32"/>
          <w:shd w:val="clear" w:fill="FFFFFF"/>
          <w:lang w:val="en-US" w:eastAsia="zh-CN"/>
        </w:rPr>
        <w:t>2.25</w:t>
      </w:r>
      <w:r>
        <w:rPr>
          <w:rFonts w:hint="default" w:ascii="Times New Roman" w:hAnsi="Times New Roman" w:eastAsia="方正仿宋_GBK" w:cs="Times New Roman"/>
          <w:i w:val="0"/>
          <w:iCs w:val="0"/>
          <w:caps w:val="0"/>
          <w:color w:val="333333"/>
          <w:spacing w:val="0"/>
          <w:sz w:val="32"/>
          <w:szCs w:val="32"/>
          <w:shd w:val="clear" w:fill="FFFFFF"/>
        </w:rPr>
        <w:t>万元，实际产生</w:t>
      </w:r>
      <w:r>
        <w:rPr>
          <w:rFonts w:hint="default" w:ascii="Times New Roman" w:hAnsi="Times New Roman" w:eastAsia="方正仿宋_GBK" w:cs="Times New Roman"/>
          <w:i w:val="0"/>
          <w:iCs w:val="0"/>
          <w:caps w:val="0"/>
          <w:color w:val="333333"/>
          <w:spacing w:val="0"/>
          <w:sz w:val="32"/>
          <w:szCs w:val="32"/>
          <w:shd w:val="clear" w:fill="FFFFFF"/>
          <w:lang w:val="en-US" w:eastAsia="zh-CN"/>
        </w:rPr>
        <w:t>2.25</w:t>
      </w:r>
      <w:r>
        <w:rPr>
          <w:rFonts w:hint="default" w:ascii="Times New Roman" w:hAnsi="Times New Roman" w:eastAsia="方正仿宋_GBK" w:cs="Times New Roman"/>
          <w:i w:val="0"/>
          <w:iCs w:val="0"/>
          <w:caps w:val="0"/>
          <w:color w:val="333333"/>
          <w:spacing w:val="0"/>
          <w:sz w:val="32"/>
          <w:szCs w:val="32"/>
          <w:shd w:val="clear" w:fill="FFFFFF"/>
        </w:rPr>
        <w:t>万元，较上年</w:t>
      </w:r>
      <w:r>
        <w:rPr>
          <w:rFonts w:hint="default" w:ascii="Times New Roman" w:hAnsi="Times New Roman" w:eastAsia="方正仿宋_GBK" w:cs="Times New Roman"/>
          <w:i w:val="0"/>
          <w:iCs w:val="0"/>
          <w:caps w:val="0"/>
          <w:color w:val="333333"/>
          <w:spacing w:val="0"/>
          <w:sz w:val="32"/>
          <w:szCs w:val="32"/>
          <w:shd w:val="clear" w:fill="FFFFFF"/>
          <w:lang w:eastAsia="zh-CN"/>
        </w:rPr>
        <w:t>持平</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年度“三公”经费支出共计</w:t>
      </w:r>
      <w:r>
        <w:rPr>
          <w:rFonts w:hint="default" w:ascii="Times New Roman" w:hAnsi="Times New Roman" w:eastAsia="方正仿宋_GBK" w:cs="Times New Roman"/>
          <w:i w:val="0"/>
          <w:iCs w:val="0"/>
          <w:caps w:val="0"/>
          <w:color w:val="333333"/>
          <w:spacing w:val="0"/>
          <w:sz w:val="32"/>
          <w:szCs w:val="32"/>
          <w:shd w:val="clear" w:fill="FFFFFF"/>
          <w:lang w:val="en-US" w:eastAsia="zh-CN"/>
        </w:rPr>
        <w:t>5.88</w:t>
      </w:r>
      <w:r>
        <w:rPr>
          <w:rFonts w:hint="default" w:ascii="Times New Roman" w:hAnsi="Times New Roman" w:eastAsia="方正仿宋_GBK" w:cs="Times New Roman"/>
          <w:i w:val="0"/>
          <w:iCs w:val="0"/>
          <w:caps w:val="0"/>
          <w:color w:val="333333"/>
          <w:spacing w:val="0"/>
          <w:sz w:val="32"/>
          <w:szCs w:val="32"/>
          <w:shd w:val="clear" w:fill="FFFFFF"/>
        </w:rPr>
        <w:t>万元，较年初预算数减少0.67万元，较年初预算数减少</w:t>
      </w:r>
      <w:r>
        <w:rPr>
          <w:rFonts w:hint="default" w:ascii="Times New Roman" w:hAnsi="Times New Roman" w:eastAsia="方正仿宋_GBK" w:cs="Times New Roman"/>
          <w:i w:val="0"/>
          <w:iCs w:val="0"/>
          <w:caps w:val="0"/>
          <w:color w:val="333333"/>
          <w:spacing w:val="0"/>
          <w:sz w:val="32"/>
          <w:szCs w:val="32"/>
          <w:shd w:val="clear" w:fill="FFFFFF"/>
          <w:lang w:val="en-US" w:eastAsia="zh-CN"/>
        </w:rPr>
        <w:t>0.37</w:t>
      </w:r>
      <w:r>
        <w:rPr>
          <w:rFonts w:hint="default" w:ascii="Times New Roman" w:hAnsi="Times New Roman" w:eastAsia="方正仿宋_GBK" w:cs="Times New Roman"/>
          <w:i w:val="0"/>
          <w:iCs w:val="0"/>
          <w:caps w:val="0"/>
          <w:color w:val="333333"/>
          <w:spacing w:val="0"/>
          <w:sz w:val="32"/>
          <w:szCs w:val="32"/>
          <w:shd w:val="clear" w:fill="FFFFFF"/>
        </w:rPr>
        <w:t>万元，下降</w:t>
      </w:r>
      <w:r>
        <w:rPr>
          <w:rFonts w:hint="default" w:ascii="Times New Roman" w:hAnsi="Times New Roman" w:eastAsia="方正仿宋_GBK"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%；较上年下降</w:t>
      </w:r>
      <w:r>
        <w:rPr>
          <w:rFonts w:hint="default" w:ascii="Times New Roman" w:hAnsi="Times New Roman" w:eastAsia="方正仿宋_GBK" w:cs="Times New Roman"/>
          <w:i w:val="0"/>
          <w:iCs w:val="0"/>
          <w:caps w:val="0"/>
          <w:color w:val="333333"/>
          <w:spacing w:val="0"/>
          <w:sz w:val="32"/>
          <w:szCs w:val="32"/>
          <w:shd w:val="clear" w:fill="FFFFFF"/>
          <w:lang w:val="en-US" w:eastAsia="zh-CN"/>
        </w:rPr>
        <w:t>58.53</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（三）“三公”经费实物量情况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年度本部门因公出国（境）共计0个团组，0人；公务用车购置0辆，公务车保有量为2辆；国内公务接待50批次700人，其中：国内外事接，待0批次，0人；国（境）外公务接待0批次，0人。</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年本部门人均接待费0.0044万元，车均购置费0.0万元，车均维护费</w:t>
      </w:r>
      <w:r>
        <w:rPr>
          <w:rFonts w:hint="default" w:ascii="Times New Roman" w:hAnsi="Times New Roman" w:eastAsia="方正仿宋_GBK" w:cs="Times New Roman"/>
          <w:i w:val="0"/>
          <w:iCs w:val="0"/>
          <w:caps w:val="0"/>
          <w:color w:val="333333"/>
          <w:spacing w:val="0"/>
          <w:sz w:val="32"/>
          <w:szCs w:val="32"/>
          <w:shd w:val="clear" w:fill="FFFFFF"/>
          <w:lang w:val="en-US" w:eastAsia="zh-CN"/>
        </w:rPr>
        <w:t>1.81</w:t>
      </w:r>
      <w:r>
        <w:rPr>
          <w:rFonts w:hint="default" w:ascii="Times New Roman" w:hAnsi="Times New Roman" w:eastAsia="方正仿宋_GBK" w:cs="Times New Roman"/>
          <w:i w:val="0"/>
          <w:iCs w:val="0"/>
          <w:caps w:val="0"/>
          <w:color w:val="333333"/>
          <w:spacing w:val="0"/>
          <w:sz w:val="32"/>
          <w:szCs w:val="32"/>
          <w:shd w:val="clear" w:fill="FFFFFF"/>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四、其他需要说明的事项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（一）机关运行经费情况说明。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年度本部门机关运行经费支出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shd w:val="clear" w:fill="FFFFFF"/>
        </w:rPr>
        <w:t>万元，比</w:t>
      </w:r>
      <w:r>
        <w:rPr>
          <w:rFonts w:hint="default" w:ascii="Times New Roman" w:hAnsi="Times New Roman" w:eastAsia="方正仿宋_GBK" w:cs="Times New Roman"/>
          <w:i w:val="0"/>
          <w:iCs w:val="0"/>
          <w:caps w:val="0"/>
          <w:color w:val="333333"/>
          <w:spacing w:val="0"/>
          <w:sz w:val="32"/>
          <w:szCs w:val="32"/>
          <w:shd w:val="clear" w:fill="FFFFFF"/>
          <w:lang w:eastAsia="zh-CN"/>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年度减少</w:t>
      </w:r>
      <w:r>
        <w:rPr>
          <w:rFonts w:hint="default" w:ascii="Times New Roman" w:hAnsi="Times New Roman" w:eastAsia="方正仿宋_GBK" w:cs="Times New Roman"/>
          <w:i w:val="0"/>
          <w:iCs w:val="0"/>
          <w:caps w:val="0"/>
          <w:color w:val="333333"/>
          <w:spacing w:val="0"/>
          <w:sz w:val="32"/>
          <w:szCs w:val="32"/>
          <w:shd w:val="clear" w:fill="FFFFFF"/>
          <w:lang w:val="en-US" w:eastAsia="zh-CN"/>
        </w:rPr>
        <w:t>4.1</w:t>
      </w:r>
      <w:r>
        <w:rPr>
          <w:rFonts w:hint="default" w:ascii="Times New Roman" w:hAnsi="Times New Roman" w:eastAsia="方正仿宋_GBK" w:cs="Times New Roman"/>
          <w:i w:val="0"/>
          <w:iCs w:val="0"/>
          <w:caps w:val="0"/>
          <w:color w:val="333333"/>
          <w:spacing w:val="0"/>
          <w:sz w:val="32"/>
          <w:szCs w:val="32"/>
          <w:shd w:val="clear" w:fill="FFFFFF"/>
        </w:rPr>
        <w:t>万元，降低</w:t>
      </w:r>
      <w:r>
        <w:rPr>
          <w:rFonts w:hint="default" w:ascii="Times New Roman" w:hAnsi="Times New Roman" w:eastAsia="方正仿宋_GBK" w:cs="Times New Roman"/>
          <w:i w:val="0"/>
          <w:iCs w:val="0"/>
          <w:caps w:val="0"/>
          <w:color w:val="333333"/>
          <w:spacing w:val="0"/>
          <w:sz w:val="32"/>
          <w:szCs w:val="32"/>
          <w:shd w:val="clear" w:fill="FFFFFF"/>
          <w:lang w:val="en-US" w:eastAsia="zh-CN"/>
        </w:rPr>
        <w:t>3.96</w:t>
      </w:r>
      <w:r>
        <w:rPr>
          <w:rFonts w:hint="default" w:ascii="Times New Roman" w:hAnsi="Times New Roman" w:eastAsia="方正仿宋_GBK" w:cs="Times New Roman"/>
          <w:i w:val="0"/>
          <w:iCs w:val="0"/>
          <w:caps w:val="0"/>
          <w:color w:val="333333"/>
          <w:spacing w:val="0"/>
          <w:sz w:val="32"/>
          <w:szCs w:val="32"/>
          <w:shd w:val="clear" w:fill="FFFFFF"/>
        </w:rPr>
        <w:t>%，主要原因是严格落实政府“过紧日子”举措，公用经费减少。机关运</w:t>
      </w:r>
      <w:r>
        <w:rPr>
          <w:rFonts w:hint="eastAsia" w:ascii="Times New Roman" w:hAnsi="Times New Roman" w:eastAsia="方正仿宋_GBK" w:cs="Times New Roman"/>
          <w:i w:val="0"/>
          <w:iCs w:val="0"/>
          <w:caps w:val="0"/>
          <w:color w:val="333333"/>
          <w:spacing w:val="0"/>
          <w:sz w:val="32"/>
          <w:szCs w:val="32"/>
          <w:shd w:val="clear" w:fill="FFFFFF"/>
          <w:lang w:eastAsia="zh-CN"/>
        </w:rPr>
        <w:t>行</w:t>
      </w:r>
      <w:bookmarkStart w:id="2" w:name="_GoBack"/>
      <w:bookmarkEnd w:id="2"/>
      <w:r>
        <w:rPr>
          <w:rFonts w:hint="default" w:ascii="Times New Roman" w:hAnsi="Times New Roman" w:eastAsia="方正仿宋_GBK" w:cs="Times New Roman"/>
          <w:i w:val="0"/>
          <w:iCs w:val="0"/>
          <w:caps w:val="0"/>
          <w:color w:val="333333"/>
          <w:spacing w:val="0"/>
          <w:sz w:val="32"/>
          <w:szCs w:val="32"/>
          <w:shd w:val="clear" w:fill="FFFFFF"/>
        </w:rPr>
        <w:t>经费主要用于办公及印刷费、邮电费、差旅费、会议费、信息网络购置更新费、办公大楼日常维护及维修费、公务用车运行维护费以及其他费用等。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（二）国有资产占用情况说明。</w:t>
      </w:r>
      <w:r>
        <w:rPr>
          <w:rFonts w:hint="default" w:ascii="Times New Roman" w:hAnsi="Times New Roman" w:eastAsia="方正仿宋_GBK" w:cs="Times New Roman"/>
          <w:i w:val="0"/>
          <w:iCs w:val="0"/>
          <w:caps w:val="0"/>
          <w:color w:val="333333"/>
          <w:spacing w:val="0"/>
          <w:sz w:val="32"/>
          <w:szCs w:val="32"/>
          <w:shd w:val="clear" w:fill="FFFFFF"/>
        </w:rPr>
        <w:t>至少应包含以下信息：截至</w:t>
      </w: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12月31日，本部门共有车辆2辆。其中：副部（省）级及以上领导用车0辆，主要领导干部用车0辆，机要通信用车1辆，应急保障用车1辆，执法执勤用车0辆，特种专业技术用车0辆，离退休干部用车0辆，其他用车0辆。单价50万元（含）以上通用设备0台（套），单价100万元（含）以上专用设备0台（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（三）政府采购支出情况说明。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eastAsia="zh-CN"/>
        </w:rPr>
        <w:t>2022</w:t>
      </w:r>
      <w:r>
        <w:rPr>
          <w:rFonts w:hint="default" w:ascii="Times New Roman" w:hAnsi="Times New Roman" w:eastAsia="方正仿宋_GBK" w:cs="Times New Roman"/>
          <w:i w:val="0"/>
          <w:iCs w:val="0"/>
          <w:caps w:val="0"/>
          <w:color w:val="333333"/>
          <w:spacing w:val="0"/>
          <w:sz w:val="32"/>
          <w:szCs w:val="32"/>
          <w:shd w:val="clear" w:fill="FFFFFF"/>
        </w:rPr>
        <w:t>年度采购</w:t>
      </w:r>
      <w:r>
        <w:rPr>
          <w:rFonts w:hint="default" w:ascii="Times New Roman" w:hAnsi="Times New Roman" w:eastAsia="方正仿宋_GBK" w:cs="Times New Roman"/>
          <w:i w:val="0"/>
          <w:iCs w:val="0"/>
          <w:caps w:val="0"/>
          <w:color w:val="333333"/>
          <w:spacing w:val="0"/>
          <w:sz w:val="32"/>
          <w:szCs w:val="32"/>
          <w:shd w:val="clear" w:fill="FFFFFF"/>
          <w:lang w:val="en-US" w:eastAsia="zh-CN"/>
        </w:rPr>
        <w:t>52.5万元，较上年增加100%。采购电脑及打印机4.42万元，采购联丰电子商务49.5万元</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五、预算绩效管理情况说明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（一）预算绩效管理工作开展情况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根据预算绩效管理要求，我乡对</w:t>
      </w:r>
      <w:r>
        <w:rPr>
          <w:rFonts w:hint="default" w:ascii="Times New Roman" w:hAnsi="Times New Roman" w:eastAsia="方正仿宋_GBK" w:cs="Times New Roman"/>
          <w:i w:val="0"/>
          <w:iCs w:val="0"/>
          <w:caps w:val="0"/>
          <w:color w:val="333333"/>
          <w:spacing w:val="0"/>
          <w:sz w:val="32"/>
          <w:szCs w:val="32"/>
          <w:shd w:val="clear" w:fill="FFFFFF"/>
          <w:lang w:eastAsia="zh-CN"/>
        </w:rPr>
        <w:t>63</w:t>
      </w:r>
      <w:r>
        <w:rPr>
          <w:rFonts w:hint="default" w:ascii="Times New Roman" w:hAnsi="Times New Roman" w:eastAsia="方正仿宋_GBK" w:cs="Times New Roman"/>
          <w:i w:val="0"/>
          <w:iCs w:val="0"/>
          <w:caps w:val="0"/>
          <w:color w:val="333333"/>
          <w:spacing w:val="0"/>
          <w:sz w:val="32"/>
          <w:szCs w:val="32"/>
          <w:shd w:val="clear" w:fill="FFFFFF"/>
        </w:rPr>
        <w:t>个项目开展了绩效自评，其中，以填报目标自评表形式开展自评</w:t>
      </w:r>
      <w:r>
        <w:rPr>
          <w:rFonts w:hint="default" w:ascii="Times New Roman" w:hAnsi="Times New Roman" w:eastAsia="方正仿宋_GBK" w:cs="Times New Roman"/>
          <w:i w:val="0"/>
          <w:iCs w:val="0"/>
          <w:caps w:val="0"/>
          <w:color w:val="333333"/>
          <w:spacing w:val="0"/>
          <w:sz w:val="32"/>
          <w:szCs w:val="32"/>
          <w:shd w:val="clear" w:fill="FFFFFF"/>
          <w:lang w:eastAsia="zh-CN"/>
        </w:rPr>
        <w:t>63</w:t>
      </w:r>
      <w:r>
        <w:rPr>
          <w:rFonts w:hint="default" w:ascii="Times New Roman" w:hAnsi="Times New Roman" w:eastAsia="方正仿宋_GBK" w:cs="Times New Roman"/>
          <w:i w:val="0"/>
          <w:iCs w:val="0"/>
          <w:caps w:val="0"/>
          <w:color w:val="333333"/>
          <w:spacing w:val="0"/>
          <w:sz w:val="32"/>
          <w:szCs w:val="32"/>
          <w:shd w:val="clear" w:fill="FFFFFF"/>
        </w:rPr>
        <w:t>项，涉及资金</w:t>
      </w:r>
      <w:r>
        <w:rPr>
          <w:rFonts w:hint="default" w:ascii="Times New Roman" w:hAnsi="Times New Roman" w:eastAsia="方正仿宋_GBK" w:cs="Times New Roman"/>
          <w:i w:val="0"/>
          <w:iCs w:val="0"/>
          <w:caps w:val="0"/>
          <w:color w:val="333333"/>
          <w:spacing w:val="0"/>
          <w:sz w:val="32"/>
          <w:szCs w:val="32"/>
          <w:shd w:val="clear" w:fill="FFFFFF"/>
          <w:lang w:eastAsia="zh-CN"/>
        </w:rPr>
        <w:t>16876.66</w:t>
      </w:r>
      <w:r>
        <w:rPr>
          <w:rFonts w:hint="default" w:ascii="Times New Roman" w:hAnsi="Times New Roman" w:eastAsia="方正仿宋_GBK" w:cs="Times New Roman"/>
          <w:i w:val="0"/>
          <w:iCs w:val="0"/>
          <w:caps w:val="0"/>
          <w:color w:val="333333"/>
          <w:spacing w:val="0"/>
          <w:sz w:val="32"/>
          <w:szCs w:val="32"/>
          <w:shd w:val="clear" w:fill="FFFFFF"/>
        </w:rPr>
        <w:t>万元；以委托第三方形式开展绩效自评0项，涉及资金0万元，从评价情况来看，年度总体目标已完成，社会效益达到预期，群众满意度提高，项目完成绩效情况良好。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（二）绩效自评结果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1.绩效目标自评表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部门整体绩效自评</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00" w:lineRule="atLeast"/>
        <w:ind w:left="0"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shd w:val="clear" w:fill="FFFFFF"/>
        </w:rPr>
        <w:sectPr>
          <w:pgSz w:w="11906" w:h="16838"/>
          <w:pgMar w:top="2098" w:right="1474" w:bottom="1984" w:left="1588" w:header="851" w:footer="992" w:gutter="0"/>
          <w:cols w:space="425" w:num="1"/>
          <w:docGrid w:type="lines" w:linePitch="312" w:charSpace="0"/>
        </w:sectPr>
      </w:pPr>
    </w:p>
    <w:tbl>
      <w:tblPr>
        <w:tblStyle w:val="3"/>
        <w:tblpPr w:leftFromText="180" w:rightFromText="180" w:vertAnchor="text" w:horzAnchor="page" w:tblpX="2696" w:tblpY="187"/>
        <w:tblOverlap w:val="never"/>
        <w:tblW w:w="11358" w:type="dxa"/>
        <w:tblInd w:w="0" w:type="dxa"/>
        <w:tblLayout w:type="fixed"/>
        <w:tblCellMar>
          <w:top w:w="0" w:type="dxa"/>
          <w:left w:w="108" w:type="dxa"/>
          <w:bottom w:w="0" w:type="dxa"/>
          <w:right w:w="108" w:type="dxa"/>
        </w:tblCellMar>
      </w:tblPr>
      <w:tblGrid>
        <w:gridCol w:w="803"/>
        <w:gridCol w:w="1199"/>
        <w:gridCol w:w="293"/>
        <w:gridCol w:w="863"/>
        <w:gridCol w:w="900"/>
        <w:gridCol w:w="1023"/>
        <w:gridCol w:w="852"/>
        <w:gridCol w:w="175"/>
        <w:gridCol w:w="987"/>
        <w:gridCol w:w="825"/>
        <w:gridCol w:w="600"/>
        <w:gridCol w:w="338"/>
        <w:gridCol w:w="637"/>
        <w:gridCol w:w="750"/>
        <w:gridCol w:w="1113"/>
      </w:tblGrid>
      <w:tr>
        <w:trPr>
          <w:trHeight w:val="575" w:hRule="atLeast"/>
        </w:trPr>
        <w:tc>
          <w:tcPr>
            <w:tcW w:w="80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199"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龙田乡</w:t>
            </w:r>
            <w:r>
              <w:rPr>
                <w:rFonts w:hint="default" w:ascii="Times New Roman" w:hAnsi="Times New Roman" w:eastAsia="方正仿宋_GBK" w:cs="Times New Roman"/>
                <w:color w:val="000000"/>
                <w:kern w:val="0"/>
                <w:sz w:val="24"/>
                <w:szCs w:val="24"/>
              </w:rPr>
              <w:t>人民政府</w:t>
            </w:r>
          </w:p>
        </w:tc>
        <w:tc>
          <w:tcPr>
            <w:tcW w:w="2056" w:type="dxa"/>
            <w:gridSpan w:val="3"/>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财政处室</w:t>
            </w:r>
          </w:p>
        </w:tc>
        <w:tc>
          <w:tcPr>
            <w:tcW w:w="1023"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预算科</w:t>
            </w:r>
          </w:p>
        </w:tc>
        <w:tc>
          <w:tcPr>
            <w:tcW w:w="1027"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自评总分（分）</w:t>
            </w:r>
          </w:p>
        </w:tc>
        <w:tc>
          <w:tcPr>
            <w:tcW w:w="5250"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100</w:t>
            </w:r>
          </w:p>
        </w:tc>
      </w:tr>
      <w:tr>
        <w:trPr>
          <w:trHeight w:val="575" w:hRule="atLeast"/>
        </w:trPr>
        <w:tc>
          <w:tcPr>
            <w:tcW w:w="80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199"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2056"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23"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27"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987"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严朝菊</w:t>
            </w:r>
          </w:p>
        </w:tc>
        <w:tc>
          <w:tcPr>
            <w:tcW w:w="1425"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838"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15223749569</w:t>
            </w:r>
          </w:p>
        </w:tc>
      </w:tr>
      <w:tr>
        <w:trPr>
          <w:trHeight w:val="575" w:hRule="atLeast"/>
        </w:trPr>
        <w:tc>
          <w:tcPr>
            <w:tcW w:w="803"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部门预算执行情况</w:t>
            </w:r>
          </w:p>
        </w:tc>
        <w:tc>
          <w:tcPr>
            <w:tcW w:w="1199" w:type="dxa"/>
            <w:vMerge w:val="restart"/>
            <w:tcBorders>
              <w:top w:val="nil"/>
              <w:left w:val="nil"/>
              <w:right w:val="nil"/>
            </w:tcBorders>
            <w:noWrap w:val="0"/>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资金</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（万元）</w:t>
            </w:r>
          </w:p>
        </w:tc>
        <w:tc>
          <w:tcPr>
            <w:tcW w:w="2056"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023" w:type="dxa"/>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全年（调整）预算数</w:t>
            </w:r>
          </w:p>
        </w:tc>
        <w:tc>
          <w:tcPr>
            <w:tcW w:w="2014"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42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7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86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rPr>
          <w:trHeight w:val="575" w:hRule="atLeast"/>
        </w:trPr>
        <w:tc>
          <w:tcPr>
            <w:tcW w:w="80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199" w:type="dxa"/>
            <w:vMerge w:val="continue"/>
            <w:tcBorders>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2056"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1788.9</w:t>
            </w:r>
          </w:p>
        </w:tc>
        <w:tc>
          <w:tcPr>
            <w:tcW w:w="10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宋体" w:cs="Times New Roman"/>
                <w:i w:val="0"/>
                <w:color w:val="000000"/>
                <w:kern w:val="0"/>
                <w:sz w:val="20"/>
                <w:szCs w:val="20"/>
                <w:u w:val="none"/>
                <w:lang w:val="en-US" w:eastAsia="zh-CN" w:bidi="ar"/>
              </w:rPr>
              <w:t>572.92</w:t>
            </w:r>
          </w:p>
        </w:tc>
        <w:tc>
          <w:tcPr>
            <w:tcW w:w="2014"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iCs w:val="0"/>
                <w:caps w:val="0"/>
                <w:color w:val="333333"/>
                <w:spacing w:val="0"/>
                <w:sz w:val="28"/>
                <w:szCs w:val="28"/>
                <w:shd w:val="clear" w:fill="FFFFFF"/>
                <w:lang w:val="en-US" w:eastAsia="zh-CN"/>
              </w:rPr>
              <w:t>2361.82</w:t>
            </w:r>
          </w:p>
        </w:tc>
        <w:tc>
          <w:tcPr>
            <w:tcW w:w="1425"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100</w:t>
            </w:r>
          </w:p>
        </w:tc>
        <w:tc>
          <w:tcPr>
            <w:tcW w:w="975"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100%</w:t>
            </w:r>
          </w:p>
        </w:tc>
        <w:tc>
          <w:tcPr>
            <w:tcW w:w="1863"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r>
      <w:tr>
        <w:trPr>
          <w:trHeight w:val="671" w:hRule="atLeast"/>
        </w:trPr>
        <w:tc>
          <w:tcPr>
            <w:tcW w:w="803"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325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037"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4263"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rPr>
          <w:trHeight w:val="712" w:hRule="atLeast"/>
        </w:trPr>
        <w:tc>
          <w:tcPr>
            <w:tcW w:w="80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325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1.保障了乡镇运转以及人员待遇。2.村社区日常运转保障等。3.加强综合治理，维护社会稳定，妥善处理突发性、群体性事件，调节和处理好各种利益矛盾和纠纷。</w:t>
            </w:r>
          </w:p>
        </w:tc>
        <w:tc>
          <w:tcPr>
            <w:tcW w:w="3037"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1.实施基础设施建设，便于群众出行，提高群众生活质量。2.规范政府财政项目支出行为，健全科学的决策、建设和监督管理制度，提高政府项目运行效益。</w:t>
            </w:r>
          </w:p>
        </w:tc>
        <w:tc>
          <w:tcPr>
            <w:tcW w:w="4263"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贯彻执行上级的各项方针政策，稳定和完善农村基本经营管理，加强农业基础设施建设，改善农业生产条件，确保各项工作目标任务圆满完成。2.精准发力，落实“精准扶贫”推进工作；加强项目建设，促进农业发展、加强人居环境提升、各项补贴、基础设施等项目建设；</w:t>
            </w:r>
          </w:p>
        </w:tc>
      </w:tr>
      <w:tr>
        <w:trPr>
          <w:trHeight w:val="575" w:hRule="atLeast"/>
        </w:trPr>
        <w:tc>
          <w:tcPr>
            <w:tcW w:w="803" w:type="dxa"/>
            <w:vMerge w:val="restart"/>
            <w:tcBorders>
              <w:top w:val="nil"/>
              <w:left w:val="single" w:color="auto" w:sz="4" w:space="0"/>
              <w:right w:val="single" w:color="auto" w:sz="4" w:space="0"/>
            </w:tcBorders>
            <w:noWrap w:val="0"/>
            <w:textDirection w:val="tbRlV"/>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1492" w:type="dxa"/>
            <w:gridSpan w:val="2"/>
            <w:tcBorders>
              <w:top w:val="nil"/>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863" w:type="dxa"/>
            <w:tcBorders>
              <w:top w:val="nil"/>
              <w:left w:val="single" w:color="auto" w:sz="4" w:space="0"/>
              <w:bottom w:val="single" w:color="auto" w:sz="4" w:space="0"/>
              <w:right w:val="single" w:color="auto"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900" w:type="dxa"/>
            <w:tcBorders>
              <w:top w:val="nil"/>
              <w:left w:val="nil"/>
              <w:bottom w:val="single" w:color="auto" w:sz="4" w:space="0"/>
              <w:right w:val="single" w:color="auto"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1023" w:type="dxa"/>
            <w:tcBorders>
              <w:top w:val="nil"/>
              <w:left w:val="nil"/>
              <w:bottom w:val="single" w:color="auto" w:sz="4" w:space="0"/>
              <w:right w:val="single" w:color="auto"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年初指标值</w:t>
            </w:r>
          </w:p>
        </w:tc>
        <w:tc>
          <w:tcPr>
            <w:tcW w:w="852" w:type="dxa"/>
            <w:tcBorders>
              <w:top w:val="nil"/>
              <w:left w:val="nil"/>
              <w:bottom w:val="single" w:color="auto" w:sz="4" w:space="0"/>
              <w:right w:val="single" w:color="auto"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调整指标值</w:t>
            </w:r>
          </w:p>
        </w:tc>
        <w:tc>
          <w:tcPr>
            <w:tcW w:w="116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全年完成值</w:t>
            </w:r>
          </w:p>
        </w:tc>
        <w:tc>
          <w:tcPr>
            <w:tcW w:w="825" w:type="dxa"/>
            <w:tcBorders>
              <w:top w:val="nil"/>
              <w:left w:val="nil"/>
              <w:bottom w:val="single" w:color="auto" w:sz="4" w:space="0"/>
              <w:right w:val="single" w:color="auto"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得分系数</w:t>
            </w:r>
          </w:p>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38"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指标重</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387" w:type="dxa"/>
            <w:gridSpan w:val="2"/>
            <w:tcBorders>
              <w:top w:val="nil"/>
              <w:left w:val="nil"/>
              <w:bottom w:val="single" w:color="auto" w:sz="4" w:space="0"/>
              <w:right w:val="single" w:color="auto"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113" w:type="dxa"/>
            <w:tcBorders>
              <w:top w:val="nil"/>
              <w:left w:val="nil"/>
              <w:bottom w:val="single" w:color="auto" w:sz="4" w:space="0"/>
              <w:right w:val="single" w:color="auto"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是否核心指标</w:t>
            </w:r>
          </w:p>
        </w:tc>
      </w:tr>
      <w:tr>
        <w:trPr>
          <w:trHeight w:val="536" w:hRule="atLeast"/>
        </w:trPr>
        <w:tc>
          <w:tcPr>
            <w:tcW w:w="803"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492"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资金投入</w:t>
            </w:r>
          </w:p>
        </w:tc>
        <w:tc>
          <w:tcPr>
            <w:tcW w:w="86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0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102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1788.9</w:t>
            </w:r>
          </w:p>
        </w:tc>
        <w:tc>
          <w:tcPr>
            <w:tcW w:w="852"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宋体" w:cs="Times New Roman"/>
                <w:i w:val="0"/>
                <w:color w:val="000000"/>
                <w:kern w:val="0"/>
                <w:sz w:val="20"/>
                <w:szCs w:val="20"/>
                <w:u w:val="none"/>
                <w:lang w:val="en-US" w:eastAsia="zh-CN" w:bidi="ar"/>
              </w:rPr>
              <w:t>572.92</w:t>
            </w:r>
          </w:p>
        </w:tc>
        <w:tc>
          <w:tcPr>
            <w:tcW w:w="11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iCs w:val="0"/>
                <w:caps w:val="0"/>
                <w:color w:val="333333"/>
                <w:spacing w:val="0"/>
                <w:sz w:val="28"/>
                <w:szCs w:val="28"/>
                <w:shd w:val="clear" w:fill="FFFFFF"/>
                <w:lang w:val="en-US" w:eastAsia="zh-CN"/>
              </w:rPr>
              <w:t>2361.82</w:t>
            </w:r>
          </w:p>
        </w:tc>
        <w:tc>
          <w:tcPr>
            <w:tcW w:w="82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100</w:t>
            </w:r>
          </w:p>
        </w:tc>
        <w:tc>
          <w:tcPr>
            <w:tcW w:w="938"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8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20</w:t>
            </w:r>
          </w:p>
        </w:tc>
        <w:tc>
          <w:tcPr>
            <w:tcW w:w="1113"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rPr>
          <w:trHeight w:val="1646" w:hRule="atLeast"/>
        </w:trPr>
        <w:tc>
          <w:tcPr>
            <w:tcW w:w="803"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492"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执行序时进度</w:t>
            </w:r>
          </w:p>
        </w:tc>
        <w:tc>
          <w:tcPr>
            <w:tcW w:w="86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月</w:t>
            </w:r>
          </w:p>
        </w:tc>
        <w:tc>
          <w:tcPr>
            <w:tcW w:w="90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102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12</w:t>
            </w:r>
          </w:p>
        </w:tc>
        <w:tc>
          <w:tcPr>
            <w:tcW w:w="85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1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12</w:t>
            </w:r>
          </w:p>
        </w:tc>
        <w:tc>
          <w:tcPr>
            <w:tcW w:w="82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100</w:t>
            </w:r>
          </w:p>
        </w:tc>
        <w:tc>
          <w:tcPr>
            <w:tcW w:w="938"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20</w:t>
            </w:r>
          </w:p>
        </w:tc>
        <w:tc>
          <w:tcPr>
            <w:tcW w:w="138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20</w:t>
            </w:r>
          </w:p>
        </w:tc>
        <w:tc>
          <w:tcPr>
            <w:tcW w:w="1113"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rPr>
          <w:trHeight w:val="1646" w:hRule="atLeast"/>
        </w:trPr>
        <w:tc>
          <w:tcPr>
            <w:tcW w:w="803"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492"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aps w:val="0"/>
                <w:color w:val="333333"/>
                <w:spacing w:val="0"/>
                <w:sz w:val="20"/>
                <w:szCs w:val="20"/>
                <w:shd w:val="clear" w:fill="FFFFFF"/>
                <w:lang w:val="en-US" w:eastAsia="zh-CN"/>
              </w:rPr>
              <w:t>政策知晓率</w:t>
            </w:r>
          </w:p>
        </w:tc>
        <w:tc>
          <w:tcPr>
            <w:tcW w:w="86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90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102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85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p>
        </w:tc>
        <w:tc>
          <w:tcPr>
            <w:tcW w:w="11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82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38"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8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113"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rPr>
          <w:trHeight w:val="1646" w:hRule="atLeast"/>
        </w:trPr>
        <w:tc>
          <w:tcPr>
            <w:tcW w:w="803"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492"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经费拨付率</w:t>
            </w:r>
          </w:p>
        </w:tc>
        <w:tc>
          <w:tcPr>
            <w:tcW w:w="86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90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102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85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1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82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100</w:t>
            </w:r>
          </w:p>
        </w:tc>
        <w:tc>
          <w:tcPr>
            <w:tcW w:w="938"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c>
          <w:tcPr>
            <w:tcW w:w="138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10</w:t>
            </w:r>
          </w:p>
        </w:tc>
        <w:tc>
          <w:tcPr>
            <w:tcW w:w="1113"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r>
        <w:trPr>
          <w:trHeight w:val="1646" w:hRule="atLeast"/>
        </w:trPr>
        <w:tc>
          <w:tcPr>
            <w:tcW w:w="803"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492"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服务对象满意度</w:t>
            </w:r>
          </w:p>
        </w:tc>
        <w:tc>
          <w:tcPr>
            <w:tcW w:w="86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90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102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85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1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82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38"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c>
          <w:tcPr>
            <w:tcW w:w="138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c>
          <w:tcPr>
            <w:tcW w:w="1113"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r>
        <w:trPr>
          <w:trHeight w:val="1646" w:hRule="atLeast"/>
        </w:trPr>
        <w:tc>
          <w:tcPr>
            <w:tcW w:w="803"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492"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i w:val="0"/>
                <w:iCs w:val="0"/>
                <w:caps w:val="0"/>
                <w:color w:val="333333"/>
                <w:spacing w:val="0"/>
                <w:sz w:val="20"/>
                <w:szCs w:val="20"/>
                <w:shd w:val="clear" w:fill="FFFFFF"/>
              </w:rPr>
              <w:t>保</w:t>
            </w:r>
            <w:r>
              <w:rPr>
                <w:rFonts w:hint="default" w:ascii="Times New Roman" w:hAnsi="Times New Roman" w:eastAsia="方正仿宋_GBK" w:cs="Times New Roman"/>
                <w:color w:val="000000"/>
                <w:kern w:val="0"/>
                <w:sz w:val="24"/>
                <w:szCs w:val="24"/>
                <w:lang w:eastAsia="zh-CN"/>
              </w:rPr>
              <w:t>障工作运转率</w:t>
            </w:r>
          </w:p>
        </w:tc>
        <w:tc>
          <w:tcPr>
            <w:tcW w:w="86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90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102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85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1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82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38"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8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113"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rPr>
          <w:trHeight w:val="591" w:hRule="atLeast"/>
        </w:trPr>
        <w:tc>
          <w:tcPr>
            <w:tcW w:w="80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asciiTheme="minorHAnsi" w:hAnsiTheme="minorHAnsi"/>
                <w:color w:val="000000"/>
                <w:kern w:val="0"/>
                <w:sz w:val="24"/>
                <w:szCs w:val="24"/>
                <w:lang w:val="en-US" w:eastAsia="zh-CN" w:bidi="ar-SA"/>
              </w:rPr>
            </w:pPr>
            <w:r>
              <w:rPr>
                <w:rFonts w:hint="eastAsia" w:eastAsia="方正仿宋_GBK" w:cs="宋体"/>
                <w:color w:val="000000"/>
                <w:kern w:val="0"/>
                <w:sz w:val="24"/>
                <w:szCs w:val="24"/>
              </w:rPr>
              <w:t>说明</w:t>
            </w:r>
          </w:p>
        </w:tc>
        <w:tc>
          <w:tcPr>
            <w:tcW w:w="10555" w:type="dxa"/>
            <w:gridSpan w:val="14"/>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eastAsia="方正仿宋_GBK" w:cs="宋体" w:asciiTheme="minorHAnsi" w:hAnsiTheme="minorHAnsi"/>
                <w:color w:val="000000"/>
                <w:kern w:val="0"/>
                <w:sz w:val="24"/>
                <w:szCs w:val="24"/>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00" w:lineRule="atLeast"/>
        <w:ind w:right="0"/>
        <w:jc w:val="left"/>
        <w:textAlignment w:val="auto"/>
        <w:rPr>
          <w:rFonts w:hint="eastAsia" w:ascii="方正仿宋_GBK" w:hAnsi="方正仿宋_GBK" w:eastAsia="方正仿宋_GBK" w:cs="方正仿宋_GBK"/>
          <w:i w:val="0"/>
          <w:iCs w:val="0"/>
          <w:caps w:val="0"/>
          <w:color w:val="333333"/>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00" w:lineRule="atLeast"/>
        <w:ind w:left="0"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00" w:lineRule="atLeast"/>
        <w:ind w:left="0"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shd w:val="clear" w:fill="FFFFFF"/>
        </w:rPr>
      </w:pPr>
    </w:p>
    <w:p>
      <w:pPr>
        <w:rPr>
          <w:rFonts w:hint="eastAsia" w:ascii="方正仿宋_GBK" w:hAnsi="方正仿宋_GBK" w:eastAsia="方正仿宋_GBK" w:cs="方正仿宋_GBK"/>
          <w:i w:val="0"/>
          <w:iCs w:val="0"/>
          <w:caps w:val="0"/>
          <w:color w:val="333333"/>
          <w:spacing w:val="0"/>
          <w:sz w:val="28"/>
          <w:szCs w:val="28"/>
          <w:shd w:val="clear" w:fill="FFFFFF"/>
        </w:rPr>
      </w:pPr>
      <w:r>
        <w:rPr>
          <w:rFonts w:hint="eastAsia" w:ascii="方正仿宋_GBK" w:hAnsi="方正仿宋_GBK" w:eastAsia="方正仿宋_GBK" w:cs="方正仿宋_GBK"/>
          <w:i w:val="0"/>
          <w:iCs w:val="0"/>
          <w:caps w:val="0"/>
          <w:color w:val="333333"/>
          <w:spacing w:val="0"/>
          <w:sz w:val="28"/>
          <w:szCs w:val="28"/>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00" w:lineRule="atLeast"/>
        <w:ind w:left="0"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00" w:lineRule="atLeast"/>
        <w:ind w:left="0"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shd w:val="clear" w:fill="FFFFFF"/>
        </w:rPr>
      </w:pPr>
    </w:p>
    <w:p>
      <w:pPr>
        <w:pStyle w:val="5"/>
        <w:tabs>
          <w:tab w:val="center" w:pos="4153"/>
          <w:tab w:val="left" w:pos="7275"/>
        </w:tabs>
        <w:spacing w:line="600" w:lineRule="exact"/>
        <w:ind w:firstLine="0" w:firstLineChars="0"/>
        <w:jc w:val="center"/>
        <w:rPr>
          <w:rFonts w:hint="eastAsia" w:eastAsia="方正小标宋_GBK" w:cs="宋体"/>
          <w:color w:val="000000"/>
          <w:kern w:val="0"/>
          <w:sz w:val="36"/>
          <w:szCs w:val="36"/>
        </w:rPr>
      </w:pPr>
      <w:r>
        <w:rPr>
          <w:rFonts w:hint="eastAsia" w:eastAsia="方正小标宋_GBK" w:cs="宋体"/>
          <w:color w:val="000000"/>
          <w:kern w:val="0"/>
          <w:sz w:val="36"/>
          <w:szCs w:val="36"/>
        </w:rPr>
        <w:t>一级／二级项目绩效自评表</w:t>
      </w:r>
    </w:p>
    <w:p/>
    <w:tbl>
      <w:tblPr>
        <w:tblStyle w:val="3"/>
        <w:tblpPr w:leftFromText="180" w:rightFromText="180" w:vertAnchor="text" w:horzAnchor="page" w:tblpX="3109" w:tblpY="842"/>
        <w:tblOverlap w:val="never"/>
        <w:tblW w:w="10061" w:type="dxa"/>
        <w:tblInd w:w="0" w:type="dxa"/>
        <w:tblLayout w:type="fixed"/>
        <w:tblCellMar>
          <w:top w:w="0" w:type="dxa"/>
          <w:left w:w="108" w:type="dxa"/>
          <w:bottom w:w="0" w:type="dxa"/>
          <w:right w:w="108" w:type="dxa"/>
        </w:tblCellMar>
      </w:tblPr>
      <w:tblGrid>
        <w:gridCol w:w="814"/>
        <w:gridCol w:w="734"/>
        <w:gridCol w:w="518"/>
        <w:gridCol w:w="164"/>
        <w:gridCol w:w="245"/>
        <w:gridCol w:w="452"/>
        <w:gridCol w:w="217"/>
        <w:gridCol w:w="301"/>
        <w:gridCol w:w="358"/>
        <w:gridCol w:w="682"/>
        <w:gridCol w:w="1075"/>
        <w:gridCol w:w="998"/>
        <w:gridCol w:w="936"/>
        <w:gridCol w:w="395"/>
        <w:gridCol w:w="967"/>
        <w:gridCol w:w="1205"/>
      </w:tblGrid>
      <w:tr>
        <w:trPr>
          <w:trHeight w:val="479"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1661"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城财发（2021）967号城口县龙田乡2021年长茅村公路硬化工程（续建）</w:t>
            </w:r>
          </w:p>
        </w:tc>
        <w:tc>
          <w:tcPr>
            <w:tcW w:w="97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编码</w:t>
            </w:r>
          </w:p>
        </w:tc>
        <w:tc>
          <w:tcPr>
            <w:tcW w:w="1040"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7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4501"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100</w:t>
            </w:r>
          </w:p>
        </w:tc>
      </w:tr>
      <w:tr>
        <w:trPr>
          <w:trHeight w:val="479" w:hRule="atLeast"/>
        </w:trPr>
        <w:tc>
          <w:tcPr>
            <w:tcW w:w="81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661"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交通局</w:t>
            </w:r>
          </w:p>
        </w:tc>
        <w:tc>
          <w:tcPr>
            <w:tcW w:w="970"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处室</w:t>
            </w:r>
          </w:p>
        </w:tc>
        <w:tc>
          <w:tcPr>
            <w:tcW w:w="1040"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预算科</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998"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张巧沛</w:t>
            </w:r>
          </w:p>
        </w:tc>
        <w:tc>
          <w:tcPr>
            <w:tcW w:w="13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17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023-59506892</w:t>
            </w:r>
          </w:p>
        </w:tc>
      </w:tr>
      <w:tr>
        <w:trPr>
          <w:trHeight w:val="479" w:hRule="atLeast"/>
        </w:trPr>
        <w:tc>
          <w:tcPr>
            <w:tcW w:w="814"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ind w:left="113" w:right="113"/>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项目资金（万元）</w:t>
            </w:r>
          </w:p>
        </w:tc>
        <w:tc>
          <w:tcPr>
            <w:tcW w:w="1252" w:type="dxa"/>
            <w:gridSpan w:val="2"/>
            <w:vMerge w:val="restart"/>
            <w:tcBorders>
              <w:top w:val="nil"/>
              <w:left w:val="nil"/>
              <w:right w:val="nil"/>
            </w:tcBorders>
            <w:noWrap w:val="0"/>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年度</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总金额</w:t>
            </w:r>
          </w:p>
        </w:tc>
        <w:tc>
          <w:tcPr>
            <w:tcW w:w="107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34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（调整）预算数</w:t>
            </w:r>
          </w:p>
        </w:tc>
        <w:tc>
          <w:tcPr>
            <w:tcW w:w="2073"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3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67"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20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rPr>
          <w:trHeight w:val="479" w:hRule="atLeast"/>
        </w:trPr>
        <w:tc>
          <w:tcPr>
            <w:tcW w:w="81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2" w:type="dxa"/>
            <w:gridSpan w:val="2"/>
            <w:vMerge w:val="continue"/>
            <w:tcBorders>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7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60</w:t>
            </w:r>
          </w:p>
        </w:tc>
        <w:tc>
          <w:tcPr>
            <w:tcW w:w="134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0</w:t>
            </w:r>
          </w:p>
        </w:tc>
        <w:tc>
          <w:tcPr>
            <w:tcW w:w="2073"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60</w:t>
            </w:r>
          </w:p>
        </w:tc>
        <w:tc>
          <w:tcPr>
            <w:tcW w:w="13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100</w:t>
            </w:r>
          </w:p>
        </w:tc>
        <w:tc>
          <w:tcPr>
            <w:tcW w:w="967"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120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r>
      <w:tr>
        <w:trPr>
          <w:trHeight w:val="479" w:hRule="atLeast"/>
        </w:trPr>
        <w:tc>
          <w:tcPr>
            <w:tcW w:w="81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2"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其中：</w:t>
            </w:r>
          </w:p>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县级支出</w:t>
            </w:r>
          </w:p>
        </w:tc>
        <w:tc>
          <w:tcPr>
            <w:tcW w:w="107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4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2073"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67"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0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rPr>
          <w:trHeight w:val="479" w:hRule="atLeast"/>
        </w:trPr>
        <w:tc>
          <w:tcPr>
            <w:tcW w:w="81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2"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补助区县</w:t>
            </w:r>
          </w:p>
        </w:tc>
        <w:tc>
          <w:tcPr>
            <w:tcW w:w="107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4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2073"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67"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0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rPr>
          <w:trHeight w:val="479" w:hRule="atLeast"/>
        </w:trPr>
        <w:tc>
          <w:tcPr>
            <w:tcW w:w="81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631"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11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50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rPr>
          <w:trHeight w:val="1078" w:hRule="atLeast"/>
        </w:trPr>
        <w:tc>
          <w:tcPr>
            <w:tcW w:w="81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2631"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项目建成后能够有效</w:t>
            </w:r>
            <w:r>
              <w:rPr>
                <w:rFonts w:hint="default" w:ascii="Times New Roman" w:hAnsi="Times New Roman" w:eastAsia="方正仿宋_GBK" w:cs="Times New Roman"/>
                <w:color w:val="000000"/>
                <w:kern w:val="0"/>
                <w:sz w:val="24"/>
                <w:szCs w:val="24"/>
                <w:lang w:eastAsia="zh-CN"/>
              </w:rPr>
              <w:t>改善当地环境，提高群众满意度，</w:t>
            </w:r>
          </w:p>
        </w:tc>
        <w:tc>
          <w:tcPr>
            <w:tcW w:w="311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350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带动群众务工，亮化当地环境。</w:t>
            </w:r>
          </w:p>
        </w:tc>
      </w:tr>
      <w:tr>
        <w:trPr>
          <w:trHeight w:val="479" w:hRule="atLeast"/>
        </w:trPr>
        <w:tc>
          <w:tcPr>
            <w:tcW w:w="814" w:type="dxa"/>
            <w:vMerge w:val="restart"/>
            <w:tcBorders>
              <w:top w:val="nil"/>
              <w:left w:val="single" w:color="auto" w:sz="4" w:space="0"/>
              <w:right w:val="single" w:color="auto" w:sz="4" w:space="0"/>
            </w:tcBorders>
            <w:noWrap w:val="0"/>
            <w:textDirection w:val="tbRlV"/>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34" w:type="dxa"/>
            <w:tcBorders>
              <w:top w:val="nil"/>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682"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697"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876"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68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完成值</w:t>
            </w:r>
          </w:p>
        </w:tc>
        <w:tc>
          <w:tcPr>
            <w:tcW w:w="998"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3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36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20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rPr>
          <w:trHeight w:val="640" w:hRule="atLeast"/>
        </w:trPr>
        <w:tc>
          <w:tcPr>
            <w:tcW w:w="81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3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资金成本</w:t>
            </w:r>
          </w:p>
        </w:tc>
        <w:tc>
          <w:tcPr>
            <w:tcW w:w="68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元</w:t>
            </w:r>
          </w:p>
        </w:tc>
        <w:tc>
          <w:tcPr>
            <w:tcW w:w="69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eastAsia="zh-CN"/>
              </w:rPr>
              <w:t>=</w:t>
            </w:r>
          </w:p>
        </w:tc>
        <w:tc>
          <w:tcPr>
            <w:tcW w:w="876"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60万元</w:t>
            </w:r>
          </w:p>
        </w:tc>
        <w:tc>
          <w:tcPr>
            <w:tcW w:w="68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0</w:t>
            </w:r>
          </w:p>
        </w:tc>
        <w:tc>
          <w:tcPr>
            <w:tcW w:w="107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60万元</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rPr>
          <w:trHeight w:val="417" w:hRule="atLeast"/>
        </w:trPr>
        <w:tc>
          <w:tcPr>
            <w:tcW w:w="81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3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开工率</w:t>
            </w:r>
          </w:p>
        </w:tc>
        <w:tc>
          <w:tcPr>
            <w:tcW w:w="68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69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76"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68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07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100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rPr>
          <w:trHeight w:val="730" w:hRule="atLeast"/>
        </w:trPr>
        <w:tc>
          <w:tcPr>
            <w:tcW w:w="81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3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合格率</w:t>
            </w:r>
          </w:p>
        </w:tc>
        <w:tc>
          <w:tcPr>
            <w:tcW w:w="68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69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876"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100</w:t>
            </w:r>
          </w:p>
        </w:tc>
        <w:tc>
          <w:tcPr>
            <w:tcW w:w="68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07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100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rPr>
          <w:trHeight w:val="417" w:hRule="atLeast"/>
        </w:trPr>
        <w:tc>
          <w:tcPr>
            <w:tcW w:w="814"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3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提高群众满意度</w:t>
            </w:r>
          </w:p>
        </w:tc>
        <w:tc>
          <w:tcPr>
            <w:tcW w:w="68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69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876"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rPr>
              <w:t>95</w:t>
            </w:r>
          </w:p>
        </w:tc>
        <w:tc>
          <w:tcPr>
            <w:tcW w:w="68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07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95</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c>
          <w:tcPr>
            <w:tcW w:w="13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20</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rPr>
          <w:trHeight w:val="417" w:hRule="atLeast"/>
        </w:trPr>
        <w:tc>
          <w:tcPr>
            <w:tcW w:w="814"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3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社会</w:t>
            </w:r>
            <w:r>
              <w:rPr>
                <w:rFonts w:hint="default" w:ascii="Times New Roman" w:hAnsi="Times New Roman" w:eastAsia="方正仿宋_GBK" w:cs="Times New Roman"/>
                <w:color w:val="000000"/>
                <w:kern w:val="0"/>
                <w:sz w:val="24"/>
                <w:szCs w:val="24"/>
              </w:rPr>
              <w:t>效益指标</w:t>
            </w:r>
          </w:p>
        </w:tc>
        <w:tc>
          <w:tcPr>
            <w:tcW w:w="68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69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改善农村人居环境</w:t>
            </w:r>
          </w:p>
        </w:tc>
        <w:tc>
          <w:tcPr>
            <w:tcW w:w="876"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有效改善</w:t>
            </w:r>
          </w:p>
        </w:tc>
        <w:tc>
          <w:tcPr>
            <w:tcW w:w="682"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07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有效改善</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62"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20</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rPr>
          <w:trHeight w:val="602" w:hRule="atLeast"/>
        </w:trPr>
        <w:tc>
          <w:tcPr>
            <w:tcW w:w="814"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47" w:type="dxa"/>
            <w:gridSpan w:val="15"/>
            <w:tcBorders>
              <w:top w:val="single" w:color="auto" w:sz="4" w:space="0"/>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b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00" w:lineRule="atLeast"/>
        <w:ind w:left="0"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shd w:val="clear" w:fill="FFFFFF"/>
        </w:rPr>
        <w:sectPr>
          <w:pgSz w:w="16838" w:h="11906" w:orient="landscape"/>
          <w:pgMar w:top="720" w:right="720" w:bottom="720" w:left="720"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2.绩效自评报告或案例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无</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（三）重点绩效评价结果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无</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（二）事业收入：</w:t>
      </w:r>
      <w:r>
        <w:rPr>
          <w:rFonts w:hint="default" w:ascii="Times New Roman" w:hAnsi="Times New Roman" w:eastAsia="方正仿宋_GBK" w:cs="Times New Roman"/>
          <w:i w:val="0"/>
          <w:iCs w:val="0"/>
          <w:caps w:val="0"/>
          <w:color w:val="333333"/>
          <w:spacing w:val="0"/>
          <w:sz w:val="32"/>
          <w:szCs w:val="32"/>
          <w:shd w:val="clear" w:fill="FFFFFF"/>
        </w:rPr>
        <w:t>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（三）经营收入：</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指事业单位在专业业务活动及其辅助活动之外开展非独立核算经营活动取得的现金流入。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（四）其他收入：</w:t>
      </w:r>
      <w:r>
        <w:rPr>
          <w:rFonts w:hint="default" w:ascii="Times New Roman" w:hAnsi="Times New Roman" w:eastAsia="方正仿宋_GBK" w:cs="Times New Roman"/>
          <w:i w:val="0"/>
          <w:iCs w:val="0"/>
          <w:caps w:val="0"/>
          <w:color w:val="333333"/>
          <w:spacing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（五）使用非财政拨款结余</w:t>
      </w:r>
      <w:r>
        <w:rPr>
          <w:rFonts w:hint="default" w:ascii="Times New Roman" w:hAnsi="Times New Roman" w:eastAsia="方正仿宋_GBK" w:cs="Times New Roman"/>
          <w:i w:val="0"/>
          <w:iCs w:val="0"/>
          <w:caps w:val="0"/>
          <w:color w:val="333333"/>
          <w:spacing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（六）年初结转和结余</w:t>
      </w:r>
      <w:r>
        <w:rPr>
          <w:rFonts w:hint="default" w:ascii="Times New Roman" w:hAnsi="Times New Roman" w:eastAsia="方正仿宋_GBK" w:cs="Times New Roman"/>
          <w:i w:val="0"/>
          <w:iCs w:val="0"/>
          <w:caps w:val="0"/>
          <w:color w:val="333333"/>
          <w:spacing w:val="0"/>
          <w:sz w:val="32"/>
          <w:szCs w:val="32"/>
          <w:shd w:val="clear" w:fill="FFFFFF"/>
        </w:rPr>
        <w:t>：指单位上年结转本年使用的基本支出结转、项目支出结转和结余、经营结余。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（七）结余分配</w:t>
      </w:r>
      <w:r>
        <w:rPr>
          <w:rFonts w:hint="default" w:ascii="Times New Roman" w:hAnsi="Times New Roman" w:eastAsia="方正仿宋_GBK" w:cs="Times New Roman"/>
          <w:i w:val="0"/>
          <w:iCs w:val="0"/>
          <w:caps w:val="0"/>
          <w:color w:val="333333"/>
          <w:spacing w:val="0"/>
          <w:sz w:val="32"/>
          <w:szCs w:val="32"/>
          <w:shd w:val="clear" w:fill="FFFFFF"/>
        </w:rPr>
        <w:t>：指单位按照国家有关规定，缴纳所得税、提取专用基金、转入非财政拨款结余等当年结余的分配情况。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（八）年末结转和结余</w:t>
      </w:r>
      <w:r>
        <w:rPr>
          <w:rFonts w:hint="default" w:ascii="Times New Roman" w:hAnsi="Times New Roman" w:eastAsia="方正仿宋_GBK" w:cs="Times New Roman"/>
          <w:i w:val="0"/>
          <w:iCs w:val="0"/>
          <w:caps w:val="0"/>
          <w:color w:val="333333"/>
          <w:spacing w:val="0"/>
          <w:sz w:val="32"/>
          <w:szCs w:val="32"/>
          <w:shd w:val="clear" w:fill="FFFFFF"/>
        </w:rPr>
        <w:t>：指单位结转下年的基本支出结转、项目支出结转和结余、经营结余。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（九）基本支出</w:t>
      </w:r>
      <w:r>
        <w:rPr>
          <w:rFonts w:hint="default"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（十）项目支出</w:t>
      </w:r>
      <w:r>
        <w:rPr>
          <w:rFonts w:hint="default"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（十一）经营支出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（十二）“三公”经费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（十三）机关运行经费</w:t>
      </w:r>
      <w:r>
        <w:rPr>
          <w:rFonts w:hint="default" w:ascii="Times New Roman" w:hAnsi="Times New Roman" w:eastAsia="方正仿宋_GBK" w:cs="Times New Roman"/>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（十四）工资福利支出（支出经济分类科目类级）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：反映单位开支的在职职工和编制外长期聘用人员的各类劳动报酬，以及为上述人员缴纳的各项社会保险费等。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（十五）商品和服务支出（支出经济分类科目类级）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（十六）对个人和家庭的补助（支出经济分类科目类级）：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（十七）其他资本性支出（支出经济分类科目类级）：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七、决算公开联系方式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部门应提供能有效沟通的联系方式或渠道，便于公众咨询和反馈信息。龙田乡人民政府：59506892。</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NTYwZmVmY2ZkMjVhODViZDJiZjk1ODQ3MTlhNmYifQ=="/>
  </w:docVars>
  <w:rsids>
    <w:rsidRoot w:val="79D72F0B"/>
    <w:rsid w:val="09B94F9F"/>
    <w:rsid w:val="131E3DA6"/>
    <w:rsid w:val="163F34DA"/>
    <w:rsid w:val="2826784C"/>
    <w:rsid w:val="2A290330"/>
    <w:rsid w:val="2CEC0792"/>
    <w:rsid w:val="338A6449"/>
    <w:rsid w:val="34F744E5"/>
    <w:rsid w:val="3702621E"/>
    <w:rsid w:val="3D5A1608"/>
    <w:rsid w:val="4C137D9A"/>
    <w:rsid w:val="4C764EF9"/>
    <w:rsid w:val="52EC506B"/>
    <w:rsid w:val="63CC596D"/>
    <w:rsid w:val="79D72F0B"/>
    <w:rsid w:val="7B82492E"/>
    <w:rsid w:val="7D731D61"/>
    <w:rsid w:val="7EF61F74"/>
    <w:rsid w:val="EF2FDA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7172</Words>
  <Characters>8076</Characters>
  <Lines>0</Lines>
  <Paragraphs>0</Paragraphs>
  <TotalTime>2</TotalTime>
  <ScaleCrop>false</ScaleCrop>
  <LinksUpToDate>false</LinksUpToDate>
  <CharactersWithSpaces>8127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2023-08-30T00:12:00Z</dcterms:created>
  <dc:creator>讀伱</dc:creator>
  <cp:lastModifiedBy>龙田乡管理员</cp:lastModifiedBy>
  <dcterms:modified xsi:type="dcterms:W3CDTF">2025-07-01T10:49:05Z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66E41B5164B64ABC8FF183FBE2D903E0_11</vt:lpwstr>
  </property>
</Properties>
</file>