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重庆市城口县医疗保障局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2023年度决算公开说明</w:t>
      </w:r>
    </w:p>
    <w:p>
      <w:pPr>
        <w:pStyle w:val="6"/>
        <w:shd w:val="clear" w:color="auto" w:fill="FFFFFF"/>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一、部门基本情况</w:t>
      </w:r>
    </w:p>
    <w:p>
      <w:pPr>
        <w:pStyle w:val="6"/>
        <w:shd w:val="clear" w:color="auto" w:fill="FFFFFF"/>
        <w:ind w:firstLine="42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6"/>
        <w:shd w:val="clear" w:color="auto" w:fill="FFFFFF"/>
        <w:ind w:firstLine="42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贯彻执行国家、市医疗保险、生育保险、医疗救助等医疗保障制度的法律法规、政策、规划和标准，加强医疗保险政策宣传。2.组织实施医疗保障基金监督管理办法，建立健全医疗保障基金安全防控机制，推进医疗保障基金支付改革。3.贯彻执行市医疗保障筹资和待遇政策，完善动态调整和区域调剂平衡机制。组织实施长期护理保险制度改革方案。4.贯彻执行药品、医用耗材、医疗服务项目、医疗服务设施等医保目录和支付标准。5.监督管理全县医疗机构药品、医用耗材价格和医疗服务项目、医疗服务设施收费等政策的执行。推动建立医保支付医药服务价格合理确定和动态调整机制，推动建立市场主导的社会医药服务价格形成机制，建立价格信息监测和信息发布制度。6.贯彻执行重庆市药品、医用耗材的招标采购政策，监督管理医院对药品、医用耗材的招标采购，指导药品、医药耗材的招标采购平台建设。7.贯彻执行定点医药机构协议和支付管理办法，建立健全医疗保障信用评价体系和信息披露制度，监督管理全县纳入医保范围内的医疗服务行为和医疗费用，依法查处医疗保障领域违法违规行为。8.负责全县医疗保障经办管理、公共服务体系和信息化建设。执行异地就医管理和费用结算政策。建立健全医疗保障关系转移接续制度。9.完成县委、县政府交办的其他任务。10.职能转变。县医保局要完善统一的城乡居民基本医疗保险制度和大病保险制度，建立健全覆盖全民、城乡统筹的多层次医疗保障体系，不断提高医疗保障水平，确保医保资金合理使用、安全可控，推进医疗、医保、医药“三医联动”改革。11.有关职责。县医保局要建立与县发展改革委、县卫生健康委、县市场监管局、县税务局等部门的沟通协商机制，加强制度、政策衔接，协同推进改革，提高医疗资源使用效率和医疗保障水平。 </w:t>
      </w:r>
    </w:p>
    <w:p>
      <w:pPr>
        <w:pStyle w:val="6"/>
        <w:shd w:val="clear" w:color="auto" w:fill="FFFFFF"/>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shd w:val="clear" w:color="auto" w:fill="FFFFFF"/>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现单位机构数量1个，于2019年2月26日正式挂牌，5月5日正式入驻办公。机关现有领导4名，医疗保障服务中心领导1名。实行党政分设，党组书记、局长各一名，副局长2名，医保中心副主任一名。内设4个科室，分别为办公室、基金监管科、医药价格和招标采购科、待遇保障科。下属两个中心，分别为医疗保障服务中心和医药采购管理服务中心。</w:t>
      </w:r>
    </w:p>
    <w:p>
      <w:pPr>
        <w:pStyle w:val="6"/>
        <w:shd w:val="clear" w:color="auto" w:fill="FFFFFF"/>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二、部门决算情况说明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shd w:val="clear" w:color="auto" w:fill="FFFFFF"/>
        <w:ind w:firstLine="643" w:firstLineChars="200"/>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2023年度收入总计653.19万元，支出总计</w:t>
      </w:r>
      <w:r>
        <w:rPr>
          <w:rFonts w:hint="default" w:ascii="Times New Roman" w:hAnsi="Times New Roman" w:eastAsia="方正仿宋_GBK" w:cs="Times New Roman"/>
          <w:sz w:val="32"/>
          <w:szCs w:val="32"/>
        </w:rPr>
        <w:t>653.19</w:t>
      </w:r>
      <w:r>
        <w:rPr>
          <w:rFonts w:hint="default" w:ascii="Times New Roman" w:hAnsi="Times New Roman" w:eastAsia="方正仿宋_GBK" w:cs="Times New Roman"/>
          <w:sz w:val="32"/>
          <w:szCs w:val="32"/>
          <w:shd w:val="clear" w:color="auto" w:fill="FFFFFF"/>
        </w:rPr>
        <w:t>万元。收支较上年决算数增加121.01万元，增长22.74%，主要原因是</w:t>
      </w:r>
      <w:r>
        <w:rPr>
          <w:rFonts w:hint="default" w:ascii="Times New Roman" w:hAnsi="Times New Roman" w:eastAsia="方正仿宋_GBK" w:cs="Times New Roman"/>
          <w:sz w:val="32"/>
          <w:szCs w:val="32"/>
          <w:shd w:val="clear" w:color="auto" w:fill="FFFFFF"/>
          <w:lang w:eastAsia="zh-CN"/>
        </w:rPr>
        <w:t>新录用、遴选工作人员</w:t>
      </w:r>
      <w:r>
        <w:rPr>
          <w:rFonts w:hint="default" w:ascii="Times New Roman" w:hAnsi="Times New Roman" w:eastAsia="方正仿宋_GBK" w:cs="Times New Roman"/>
          <w:sz w:val="32"/>
          <w:szCs w:val="32"/>
          <w:shd w:val="clear" w:color="auto" w:fill="FFFFFF"/>
          <w:lang w:val="en-US" w:eastAsia="zh-CN"/>
        </w:rPr>
        <w:t>4名，原有工作人员调级等原因使财政拨款收入增加。</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2023年度收入合计646.74万元，较上年决算数增加137.79万元，增长27.07%，主要原因是</w:t>
      </w:r>
      <w:r>
        <w:rPr>
          <w:rFonts w:hint="default" w:ascii="Times New Roman" w:hAnsi="Times New Roman" w:eastAsia="方正仿宋_GBK" w:cs="Times New Roman"/>
          <w:sz w:val="32"/>
          <w:szCs w:val="32"/>
          <w:shd w:val="clear" w:color="auto" w:fill="FFFFFF"/>
          <w:lang w:eastAsia="zh-CN"/>
        </w:rPr>
        <w:t>本单位新录用、遴选工作人员</w:t>
      </w:r>
      <w:r>
        <w:rPr>
          <w:rFonts w:hint="default" w:ascii="Times New Roman" w:hAnsi="Times New Roman" w:eastAsia="方正仿宋_GBK" w:cs="Times New Roman"/>
          <w:sz w:val="32"/>
          <w:szCs w:val="32"/>
          <w:shd w:val="clear" w:color="auto" w:fill="FFFFFF"/>
          <w:lang w:val="en-US" w:eastAsia="zh-CN"/>
        </w:rPr>
        <w:t>4名，原有工作人员调级等原因使财政拨款收入增加。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610.90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94.46</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35.84</w:t>
      </w:r>
      <w:r>
        <w:rPr>
          <w:rFonts w:hint="default" w:ascii="Times New Roman" w:hAnsi="Times New Roman" w:eastAsia="方正仿宋_GBK" w:cs="Times New Roman"/>
          <w:sz w:val="32"/>
          <w:szCs w:val="32"/>
          <w:shd w:val="clear" w:color="auto" w:fill="FFFFFF"/>
        </w:rPr>
        <w:t>万元，占5.54%。此外，使用非财政拨款结余和专用结余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6.45</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639.74</w:t>
      </w:r>
      <w:r>
        <w:rPr>
          <w:rFonts w:hint="default" w:ascii="Times New Roman" w:hAnsi="Times New Roman" w:eastAsia="方正仿宋_GBK" w:cs="Times New Roman"/>
          <w:sz w:val="32"/>
          <w:szCs w:val="32"/>
          <w:shd w:val="clear" w:color="auto" w:fill="FFFFFF"/>
        </w:rPr>
        <w:t>万元，较上年决算数增加114.01万元，增长21.69%，主要原因是</w:t>
      </w:r>
      <w:r>
        <w:rPr>
          <w:rFonts w:hint="default" w:ascii="Times New Roman" w:hAnsi="Times New Roman" w:eastAsia="方正仿宋_GBK" w:cs="Times New Roman"/>
          <w:sz w:val="32"/>
          <w:szCs w:val="32"/>
          <w:shd w:val="clear" w:color="auto" w:fill="FFFFFF"/>
          <w:lang w:eastAsia="zh-CN"/>
        </w:rPr>
        <w:t>本单位新录用、遴选工作人员</w:t>
      </w:r>
      <w:r>
        <w:rPr>
          <w:rFonts w:hint="default" w:ascii="Times New Roman" w:hAnsi="Times New Roman" w:eastAsia="方正仿宋_GBK" w:cs="Times New Roman"/>
          <w:sz w:val="32"/>
          <w:szCs w:val="32"/>
          <w:shd w:val="clear" w:color="auto" w:fill="FFFFFF"/>
          <w:lang w:val="en-US" w:eastAsia="zh-CN"/>
        </w:rPr>
        <w:t>4名，原有工作人员调级等原因使支出增加。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531.37</w:t>
      </w:r>
      <w:r>
        <w:rPr>
          <w:rFonts w:hint="default" w:ascii="Times New Roman" w:hAnsi="Times New Roman" w:eastAsia="方正仿宋_GBK" w:cs="Times New Roman"/>
          <w:sz w:val="32"/>
          <w:szCs w:val="32"/>
          <w:shd w:val="clear" w:color="auto" w:fill="FFFFFF"/>
        </w:rPr>
        <w:t>万元，占83.06%；项目支出</w:t>
      </w:r>
      <w:r>
        <w:rPr>
          <w:rFonts w:hint="default" w:ascii="Times New Roman" w:hAnsi="Times New Roman" w:eastAsia="方正仿宋_GBK" w:cs="Times New Roman"/>
          <w:sz w:val="32"/>
          <w:szCs w:val="32"/>
        </w:rPr>
        <w:t>108.36</w:t>
      </w:r>
      <w:r>
        <w:rPr>
          <w:rFonts w:hint="default" w:ascii="Times New Roman" w:hAnsi="Times New Roman" w:eastAsia="方正仿宋_GBK" w:cs="Times New Roman"/>
          <w:sz w:val="32"/>
          <w:szCs w:val="32"/>
          <w:shd w:val="clear" w:color="auto" w:fill="FFFFFF"/>
        </w:rPr>
        <w:t>万元，占16.94%；经营支出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13.45</w:t>
      </w:r>
      <w:r>
        <w:rPr>
          <w:rFonts w:hint="default" w:ascii="Times New Roman" w:hAnsi="Times New Roman" w:eastAsia="方正仿宋_GBK" w:cs="Times New Roman"/>
          <w:sz w:val="32"/>
          <w:szCs w:val="32"/>
          <w:shd w:val="clear" w:color="auto" w:fill="FFFFFF"/>
        </w:rPr>
        <w:t>万元，较上年决算数增加7.00万元，增长108.53%，主要原因是</w:t>
      </w:r>
      <w:r>
        <w:rPr>
          <w:rFonts w:hint="default" w:ascii="Times New Roman" w:hAnsi="Times New Roman" w:eastAsia="方正仿宋_GBK" w:cs="Times New Roman"/>
          <w:sz w:val="32"/>
          <w:szCs w:val="32"/>
          <w:shd w:val="clear" w:color="auto" w:fill="FFFFFF"/>
          <w:lang w:eastAsia="zh-CN"/>
        </w:rPr>
        <w:t>医保网络运行费未用完。</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 w:eastAsia="zh-CN"/>
        </w:rPr>
      </w:pPr>
      <w:r>
        <w:rPr>
          <w:rFonts w:hint="default" w:ascii="Times New Roman" w:hAnsi="Times New Roman" w:eastAsia="方正仿宋_GBK" w:cs="Times New Roman"/>
          <w:sz w:val="32"/>
          <w:szCs w:val="32"/>
          <w:shd w:val="clear" w:color="auto" w:fill="FFFFFF"/>
        </w:rPr>
        <w:t>2023年度财政拨款收、支总计617.35万元。与2022年相比，财政拨款收、支总计各增加85.17万元，增长16.00%。主要原因是</w:t>
      </w:r>
      <w:r>
        <w:rPr>
          <w:rFonts w:hint="default" w:ascii="Times New Roman" w:hAnsi="Times New Roman" w:eastAsia="方正仿宋_GBK" w:cs="Times New Roman"/>
          <w:sz w:val="32"/>
          <w:szCs w:val="32"/>
          <w:shd w:val="clear" w:color="auto" w:fill="FFFFFF"/>
          <w:lang w:eastAsia="zh-CN"/>
        </w:rPr>
        <w:t>本单位新录用</w:t>
      </w:r>
      <w:r>
        <w:rPr>
          <w:rFonts w:hint="default" w:ascii="Times New Roman" w:hAnsi="Times New Roman" w:eastAsia="仿宋" w:cs="Times New Roman"/>
          <w:sz w:val="30"/>
          <w:szCs w:val="30"/>
          <w:lang w:eastAsia="zh-CN"/>
        </w:rPr>
        <w:t>、</w:t>
      </w:r>
      <w:r>
        <w:rPr>
          <w:rFonts w:hint="default" w:ascii="Times New Roman" w:hAnsi="Times New Roman" w:eastAsia="方正仿宋_GBK" w:cs="Times New Roman"/>
          <w:sz w:val="32"/>
          <w:szCs w:val="32"/>
          <w:shd w:val="clear" w:color="auto" w:fill="FFFFFF"/>
          <w:lang w:eastAsia="zh-CN"/>
        </w:rPr>
        <w:t>遴选工作人员</w:t>
      </w:r>
      <w:r>
        <w:rPr>
          <w:rFonts w:hint="default" w:ascii="Times New Roman" w:hAnsi="Times New Roman" w:eastAsia="方正仿宋_GBK" w:cs="Times New Roman"/>
          <w:sz w:val="32"/>
          <w:szCs w:val="32"/>
          <w:shd w:val="clear" w:color="auto" w:fill="FFFFFF"/>
          <w:lang w:val="en-US" w:eastAsia="zh-CN"/>
        </w:rPr>
        <w:t>4名，原有工作人员调级。</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spacing w:line="360" w:lineRule="auto"/>
        <w:ind w:firstLineChars="200"/>
        <w:jc w:val="left"/>
        <w:outlineLvl w:val="9"/>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610.90</w:t>
      </w:r>
      <w:r>
        <w:rPr>
          <w:rFonts w:hint="default" w:ascii="Times New Roman" w:hAnsi="Times New Roman" w:eastAsia="方正仿宋_GBK" w:cs="Times New Roman"/>
          <w:sz w:val="32"/>
          <w:szCs w:val="32"/>
          <w:shd w:val="clear" w:color="auto" w:fill="FFFFFF"/>
        </w:rPr>
        <w:t>万元，较上年决算数增加101.95万元，增长20.03%。主要原因是</w:t>
      </w:r>
      <w:r>
        <w:rPr>
          <w:rFonts w:hint="default" w:ascii="Times New Roman" w:hAnsi="Times New Roman" w:eastAsia="方正仿宋_GBK" w:cs="Times New Roman"/>
          <w:sz w:val="32"/>
          <w:szCs w:val="32"/>
          <w:shd w:val="clear" w:color="auto" w:fill="FFFFFF"/>
          <w:lang w:eastAsia="zh-CN"/>
        </w:rPr>
        <w:t>本单位新录用、遴选工作人员</w:t>
      </w:r>
      <w:r>
        <w:rPr>
          <w:rFonts w:hint="default" w:ascii="Times New Roman" w:hAnsi="Times New Roman" w:eastAsia="方正仿宋_GBK" w:cs="Times New Roman"/>
          <w:sz w:val="32"/>
          <w:szCs w:val="32"/>
          <w:shd w:val="clear" w:color="auto" w:fill="FFFFFF"/>
          <w:lang w:val="en-US" w:eastAsia="zh-CN"/>
        </w:rPr>
        <w:t>4名，原有工作人员调级等原因使财政拨款收入增加。较年初预算减少</w:t>
      </w:r>
      <w:r>
        <w:rPr>
          <w:rFonts w:hint="default" w:ascii="Times New Roman" w:hAnsi="Times New Roman" w:eastAsia="方正仿宋_GBK" w:cs="Times New Roman"/>
          <w:sz w:val="32"/>
          <w:szCs w:val="32"/>
          <w:shd w:val="clear" w:color="auto" w:fill="FFFFFF"/>
        </w:rPr>
        <w:t>426.88万元，下降41.13%。主要原因是</w:t>
      </w:r>
      <w:r>
        <w:rPr>
          <w:rFonts w:hint="default" w:ascii="Times New Roman" w:hAnsi="Times New Roman" w:eastAsia="方正仿宋_GBK" w:cs="Times New Roman"/>
          <w:sz w:val="32"/>
          <w:szCs w:val="32"/>
          <w:shd w:val="clear" w:color="auto" w:fill="FFFFFF"/>
          <w:lang w:eastAsia="zh-CN"/>
        </w:rPr>
        <w:t>我局将能力提升资金划给各个乡镇使本局实际收入较年初预算数减少。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6.45</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610.90</w:t>
      </w:r>
      <w:r>
        <w:rPr>
          <w:rFonts w:hint="default" w:ascii="Times New Roman" w:hAnsi="Times New Roman" w:eastAsia="方正仿宋_GBK" w:cs="Times New Roman"/>
          <w:sz w:val="32"/>
          <w:szCs w:val="32"/>
          <w:shd w:val="clear" w:color="auto" w:fill="FFFFFF"/>
        </w:rPr>
        <w:t>万元，较上年决算数增加85.17万元，增长16.20%。主要原因是</w:t>
      </w:r>
      <w:r>
        <w:rPr>
          <w:rFonts w:hint="default" w:ascii="Times New Roman" w:hAnsi="Times New Roman" w:eastAsia="方正仿宋_GBK" w:cs="Times New Roman"/>
          <w:sz w:val="32"/>
          <w:szCs w:val="32"/>
          <w:shd w:val="clear" w:color="auto" w:fill="FFFFFF"/>
          <w:lang w:eastAsia="zh-CN"/>
        </w:rPr>
        <w:t>本单位新录用、遴选工作人员</w:t>
      </w:r>
      <w:r>
        <w:rPr>
          <w:rFonts w:hint="default" w:ascii="Times New Roman" w:hAnsi="Times New Roman" w:eastAsia="方正仿宋_GBK" w:cs="Times New Roman"/>
          <w:sz w:val="32"/>
          <w:szCs w:val="32"/>
          <w:shd w:val="clear" w:color="auto" w:fill="FFFFFF"/>
          <w:lang w:val="en-US" w:eastAsia="zh-CN"/>
        </w:rPr>
        <w:t>4名，原有工作人员调级等原因使支出增加。</w:t>
      </w:r>
      <w:r>
        <w:rPr>
          <w:rFonts w:hint="default" w:ascii="Times New Roman" w:hAnsi="Times New Roman" w:eastAsia="方正仿宋_GBK" w:cs="Times New Roman"/>
          <w:sz w:val="32"/>
          <w:szCs w:val="32"/>
          <w:shd w:val="clear" w:color="auto" w:fill="FFFFFF"/>
        </w:rPr>
        <w:t>较年初预算数减少426.88万元，下降41.13%。主要原因是</w:t>
      </w:r>
      <w:r>
        <w:rPr>
          <w:rFonts w:hint="default" w:ascii="Times New Roman" w:hAnsi="Times New Roman" w:eastAsia="方正仿宋_GBK" w:cs="Times New Roman"/>
          <w:sz w:val="32"/>
          <w:szCs w:val="32"/>
          <w:shd w:val="clear" w:color="auto" w:fill="FFFFFF"/>
          <w:lang w:eastAsia="zh-CN"/>
        </w:rPr>
        <w:t>我局将能力提升资金划给各个乡镇，使本局实际支出较年初预算减少。</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val="en"/>
        </w:rPr>
        <w:t>2</w:t>
      </w:r>
      <w:r>
        <w:rPr>
          <w:rFonts w:hint="default" w:ascii="Times New Roman" w:hAnsi="Times New Roman" w:eastAsia="方正仿宋_GBK" w:cs="Times New Roman"/>
          <w:sz w:val="32"/>
          <w:szCs w:val="32"/>
          <w:shd w:val="clear" w:color="auto" w:fill="FFFFFF"/>
        </w:rPr>
        <w:t>023年度年末一般公共预算财政拨款结转和结余</w:t>
      </w:r>
      <w:r>
        <w:rPr>
          <w:rFonts w:hint="default" w:ascii="Times New Roman" w:hAnsi="Times New Roman" w:eastAsia="方正仿宋_GBK" w:cs="Times New Roman"/>
          <w:sz w:val="32"/>
          <w:szCs w:val="32"/>
        </w:rPr>
        <w:t>6.45</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0.30</w:t>
      </w:r>
      <w:r>
        <w:rPr>
          <w:rFonts w:hint="default" w:ascii="Times New Roman" w:hAnsi="Times New Roman" w:eastAsia="方正仿宋_GBK" w:cs="Times New Roman"/>
          <w:sz w:val="32"/>
          <w:szCs w:val="32"/>
          <w:shd w:val="clear" w:color="auto" w:fill="FFFFFF"/>
        </w:rPr>
        <w:t>%，较年初预算数无增减，</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２</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109.39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17.91</w:t>
      </w:r>
      <w:r>
        <w:rPr>
          <w:rFonts w:hint="default" w:ascii="Times New Roman" w:hAnsi="Times New Roman" w:eastAsia="方正仿宋_GBK" w:cs="Times New Roman"/>
          <w:sz w:val="32"/>
          <w:szCs w:val="32"/>
          <w:shd w:val="clear" w:color="auto" w:fill="FFFFFF"/>
        </w:rPr>
        <w:t>%，较年初预算数减少6.00万元，下降5.20%，主要原因是</w:t>
      </w:r>
      <w:r>
        <w:rPr>
          <w:rFonts w:hint="default" w:ascii="Times New Roman" w:hAnsi="Times New Roman" w:eastAsia="方正仿宋_GBK" w:cs="Times New Roman"/>
          <w:sz w:val="32"/>
          <w:szCs w:val="32"/>
          <w:shd w:val="clear" w:color="auto" w:fill="FFFFFF"/>
          <w:lang w:eastAsia="zh-CN"/>
        </w:rPr>
        <w:t>我局将能力提升资金划给各个乡镇，使本局实际决算数较年初预算数减少。</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３</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466.62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76.38</w:t>
      </w:r>
      <w:r>
        <w:rPr>
          <w:rFonts w:hint="default" w:ascii="Times New Roman" w:hAnsi="Times New Roman" w:eastAsia="方正仿宋_GBK" w:cs="Times New Roman"/>
          <w:sz w:val="32"/>
          <w:szCs w:val="32"/>
          <w:shd w:val="clear" w:color="auto" w:fill="FFFFFF"/>
        </w:rPr>
        <w:t>%，较年初预算数减少420.88万元，下降47.42%，主要原因是</w:t>
      </w:r>
      <w:r>
        <w:rPr>
          <w:rFonts w:hint="default" w:ascii="Times New Roman" w:hAnsi="Times New Roman" w:eastAsia="方正仿宋_GBK" w:cs="Times New Roman"/>
          <w:sz w:val="32"/>
          <w:szCs w:val="32"/>
          <w:shd w:val="clear" w:color="auto" w:fill="FFFFFF"/>
          <w:lang w:eastAsia="zh-CN"/>
        </w:rPr>
        <w:t>我局将能力提升资金划给各个乡镇，使本局实际决算数较年初预算数减少。</w:t>
      </w:r>
    </w:p>
    <w:p>
      <w:pPr>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４</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住房保障支出33.06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5.41</w:t>
      </w:r>
      <w:r>
        <w:rPr>
          <w:rFonts w:hint="default" w:ascii="Times New Roman" w:hAnsi="Times New Roman" w:eastAsia="方正仿宋_GBK" w:cs="Times New Roman"/>
          <w:sz w:val="32"/>
          <w:szCs w:val="32"/>
          <w:shd w:val="clear" w:color="auto" w:fill="FFFFFF"/>
        </w:rPr>
        <w:t>%，较年初预算数无增</w:t>
      </w:r>
      <w:r>
        <w:rPr>
          <w:rFonts w:hint="default" w:ascii="Times New Roman" w:hAnsi="Times New Roman" w:eastAsia="方正仿宋_GBK" w:cs="Times New Roman"/>
          <w:sz w:val="32"/>
          <w:szCs w:val="32"/>
          <w:shd w:val="clear" w:color="auto" w:fill="FFFFFF"/>
          <w:lang w:eastAsia="zh-CN"/>
        </w:rPr>
        <w:t>减。</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531.37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492.78</w:t>
      </w:r>
      <w:r>
        <w:rPr>
          <w:rFonts w:hint="default" w:ascii="Times New Roman" w:hAnsi="Times New Roman" w:eastAsia="方正仿宋_GBK" w:cs="Times New Roman"/>
          <w:sz w:val="32"/>
          <w:szCs w:val="32"/>
          <w:shd w:val="clear" w:color="auto" w:fill="FFFFFF"/>
        </w:rPr>
        <w:t>万元，较上年决算数增加127.98万元，增长35.08%，主要原因是</w:t>
      </w:r>
      <w:r>
        <w:rPr>
          <w:rFonts w:hint="default" w:ascii="Times New Roman" w:hAnsi="Times New Roman" w:eastAsia="方正仿宋_GBK" w:cs="Times New Roman"/>
          <w:sz w:val="32"/>
          <w:szCs w:val="32"/>
          <w:shd w:val="clear" w:color="auto" w:fill="FFFFFF"/>
          <w:lang w:eastAsia="zh-CN"/>
        </w:rPr>
        <w:t>本单位新录用、遴选工作人员</w:t>
      </w:r>
      <w:r>
        <w:rPr>
          <w:rFonts w:hint="default" w:ascii="Times New Roman" w:hAnsi="Times New Roman" w:eastAsia="方正仿宋_GBK" w:cs="Times New Roman"/>
          <w:sz w:val="32"/>
          <w:szCs w:val="32"/>
          <w:shd w:val="clear" w:color="auto" w:fill="FFFFFF"/>
          <w:lang w:val="en-US" w:eastAsia="zh-CN"/>
        </w:rPr>
        <w:t>4名，原有工作人员调级等原因使人员经费增加。</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单位开支的在职职工和编外长期聘用人员的各类劳动报酬。</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38.59</w:t>
      </w:r>
      <w:r>
        <w:rPr>
          <w:rFonts w:hint="default" w:ascii="Times New Roman" w:hAnsi="Times New Roman" w:eastAsia="方正仿宋_GBK" w:cs="Times New Roman"/>
          <w:sz w:val="32"/>
          <w:szCs w:val="32"/>
          <w:shd w:val="clear" w:color="auto" w:fill="FFFFFF"/>
        </w:rPr>
        <w:t>万元，较上年决算数减少0.94万元，下降2.38%，主要原因是</w:t>
      </w:r>
      <w:r>
        <w:rPr>
          <w:rFonts w:hint="default" w:ascii="Times New Roman" w:hAnsi="Times New Roman" w:eastAsia="方正仿宋_GBK" w:cs="Times New Roman"/>
          <w:sz w:val="32"/>
          <w:szCs w:val="32"/>
          <w:shd w:val="clear" w:color="auto" w:fill="FFFFFF"/>
          <w:lang w:eastAsia="zh-CN"/>
        </w:rPr>
        <w:t>我单位严格落实政府过</w:t>
      </w:r>
      <w:r>
        <w:rPr>
          <w:rFonts w:hint="default" w:ascii="Times New Roman" w:hAnsi="Times New Roman" w:eastAsia="方正仿宋_GBK" w:cs="Times New Roman"/>
          <w:sz w:val="32"/>
          <w:szCs w:val="32"/>
          <w:shd w:val="clear" w:color="auto" w:fill="FFFFFF"/>
          <w:lang w:val="en-US" w:eastAsia="zh-CN"/>
        </w:rPr>
        <w:t>”紧日子”十大举措,严格控制公用经费支出。</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办公及印刷费、邮电费、差旅费、会议费、福利费、日常维护费、专用材料及一般设备购置费、办公用房水电费、办公用房取暖费、办公用房物业管理费、公务用车运行维护费以及其他费用。</w:t>
      </w:r>
    </w:p>
    <w:p>
      <w:pPr>
        <w:pStyle w:val="11"/>
        <w:autoSpaceDE w:val="0"/>
        <w:ind w:left="0" w:leftChars="0" w:firstLine="482" w:firstLineChars="15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lang w:val="en" w:eastAsia="zh-CN"/>
        </w:rPr>
        <w:t>2023年度无政府性基金财政拨款收支。</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lang w:val="en" w:eastAsia="zh-CN"/>
        </w:rPr>
        <w:t>2023年度无国有资本经验预算拨款支出。</w:t>
      </w:r>
    </w:p>
    <w:p>
      <w:pPr>
        <w:pStyle w:val="6"/>
        <w:shd w:val="clear" w:color="auto" w:fill="FFFFFF"/>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三、“三公”经费情况说明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3.62</w:t>
      </w:r>
      <w:r>
        <w:rPr>
          <w:rFonts w:hint="default" w:ascii="Times New Roman" w:hAnsi="Times New Roman" w:eastAsia="方正仿宋_GBK" w:cs="Times New Roman"/>
          <w:sz w:val="32"/>
          <w:szCs w:val="32"/>
          <w:shd w:val="clear" w:color="auto" w:fill="FFFFFF"/>
        </w:rPr>
        <w:t>万元，较年初预算数减少0.38万元，下降9.50%，主要原因是</w:t>
      </w:r>
      <w:r>
        <w:rPr>
          <w:rFonts w:hint="default" w:ascii="Times New Roman" w:hAnsi="Times New Roman" w:eastAsia="方正仿宋_GBK" w:cs="Times New Roman"/>
          <w:sz w:val="32"/>
          <w:szCs w:val="32"/>
          <w:shd w:val="clear" w:color="auto" w:fill="FFFFFF"/>
          <w:lang w:eastAsia="zh-CN"/>
        </w:rPr>
        <w:t>我单位严格落实政府过</w:t>
      </w:r>
      <w:r>
        <w:rPr>
          <w:rFonts w:hint="default" w:ascii="Times New Roman" w:hAnsi="Times New Roman" w:eastAsia="方正仿宋_GBK" w:cs="Times New Roman"/>
          <w:sz w:val="32"/>
          <w:szCs w:val="32"/>
          <w:shd w:val="clear" w:color="auto" w:fill="FFFFFF"/>
          <w:lang w:val="en-US" w:eastAsia="zh-CN"/>
        </w:rPr>
        <w:t>”紧日子”十大举措,严格控制三公经费支出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较上年支出数增加1.33万元，增长58.08%，</w:t>
      </w:r>
      <w:r>
        <w:rPr>
          <w:rFonts w:hint="default" w:ascii="Times New Roman" w:hAnsi="Times New Roman" w:eastAsia="方正仿宋_GBK" w:cs="Times New Roman"/>
          <w:sz w:val="32"/>
          <w:szCs w:val="32"/>
          <w:shd w:val="clear" w:color="auto" w:fill="FFFFFF"/>
          <w:lang w:eastAsia="zh-CN"/>
        </w:rPr>
        <w:t>主要原因是疫情结束后公务车使用以及公务接待较</w:t>
      </w:r>
      <w:r>
        <w:rPr>
          <w:rFonts w:hint="default" w:ascii="Times New Roman" w:hAnsi="Times New Roman" w:eastAsia="方正仿宋_GBK" w:cs="Times New Roman"/>
          <w:sz w:val="32"/>
          <w:szCs w:val="32"/>
          <w:shd w:val="clear" w:color="auto" w:fill="FFFFFF"/>
          <w:lang w:val="en-US" w:eastAsia="zh-CN"/>
        </w:rPr>
        <w:t>22年疫情期间有所增加。</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w:t>
      </w:r>
      <w:bookmarkStart w:id="0" w:name="_GoBack"/>
      <w:bookmarkEnd w:id="0"/>
      <w:r>
        <w:rPr>
          <w:rFonts w:hint="default" w:ascii="Times New Roman" w:hAnsi="Times New Roman" w:eastAsia="方正仿宋_GBK" w:cs="Times New Roman"/>
          <w:sz w:val="32"/>
          <w:szCs w:val="32"/>
          <w:shd w:val="clear" w:color="auto" w:fill="FFFFFF"/>
        </w:rPr>
        <w:t>023年度本单位因公出国（境）费用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sz w:val="32"/>
          <w:szCs w:val="32"/>
          <w:shd w:val="clear" w:color="auto" w:fill="FFFFFF"/>
          <w:lang w:val="en-US" w:eastAsia="zh-CN"/>
        </w:rPr>
        <w:t>2023年度本单位为发生因公出国（境）情况，</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 w:eastAsia="zh-C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2.50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市、县内因公出行、基金监督管理的燃料费、维修费、过桥过路费、保险费等。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费用支出较年初预算数无增减，较上年支出数增加0.55万元，增长28.21%，</w:t>
      </w:r>
      <w:r>
        <w:rPr>
          <w:rFonts w:hint="default" w:ascii="Times New Roman" w:hAnsi="Times New Roman" w:eastAsia="方正仿宋_GBK" w:cs="Times New Roman"/>
          <w:sz w:val="32"/>
          <w:szCs w:val="32"/>
          <w:shd w:val="clear" w:color="auto" w:fill="FFFFFF"/>
          <w:lang w:eastAsia="zh-CN"/>
        </w:rPr>
        <w:t>主要原因是疫情结束后公务车使用较</w:t>
      </w:r>
      <w:r>
        <w:rPr>
          <w:rFonts w:hint="default" w:ascii="Times New Roman" w:hAnsi="Times New Roman" w:eastAsia="方正仿宋_GBK" w:cs="Times New Roman"/>
          <w:sz w:val="32"/>
          <w:szCs w:val="32"/>
          <w:shd w:val="clear" w:color="auto" w:fill="FFFFFF"/>
          <w:lang w:val="en-US" w:eastAsia="zh-CN"/>
        </w:rPr>
        <w:t>22年疫情期间有所增加</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1.12</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eastAsia="zh-CN"/>
        </w:rPr>
        <w:t>医保基金监督交叉检查组和长护险试点调研发生的公务接待支出。</w:t>
      </w:r>
      <w:r>
        <w:rPr>
          <w:rFonts w:hint="default" w:ascii="Times New Roman" w:hAnsi="Times New Roman" w:eastAsia="方正仿宋_GBK" w:cs="Times New Roman"/>
          <w:sz w:val="32"/>
          <w:szCs w:val="32"/>
          <w:shd w:val="clear" w:color="auto" w:fill="FFFFFF"/>
        </w:rPr>
        <w:t>费用支出较年初预算数减少0.38万元，下降25.33%，主要原因是</w:t>
      </w:r>
      <w:r>
        <w:rPr>
          <w:rFonts w:hint="default" w:ascii="Times New Roman" w:hAnsi="Times New Roman" w:eastAsia="方正仿宋_GBK" w:cs="Times New Roman"/>
          <w:sz w:val="32"/>
          <w:szCs w:val="32"/>
          <w:shd w:val="clear" w:color="auto" w:fill="FFFFFF"/>
          <w:lang w:eastAsia="zh-CN"/>
        </w:rPr>
        <w:t>我单位严格落实政府过</w:t>
      </w:r>
      <w:r>
        <w:rPr>
          <w:rFonts w:hint="default" w:ascii="Times New Roman" w:hAnsi="Times New Roman" w:eastAsia="方正仿宋_GBK" w:cs="Times New Roman"/>
          <w:sz w:val="32"/>
          <w:szCs w:val="32"/>
          <w:shd w:val="clear" w:color="auto" w:fill="FFFFFF"/>
          <w:lang w:val="en-US" w:eastAsia="zh-CN"/>
        </w:rPr>
        <w:t>”紧日子”十大举措,严格控制三公经费支出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较上年支出数增加0.78万元，增长229.41%，主要原因是</w:t>
      </w:r>
      <w:r>
        <w:rPr>
          <w:rFonts w:hint="default" w:ascii="Times New Roman" w:hAnsi="Times New Roman" w:eastAsia="方正仿宋_GBK" w:cs="Times New Roman"/>
          <w:sz w:val="32"/>
          <w:szCs w:val="32"/>
          <w:shd w:val="clear" w:color="auto" w:fill="FFFFFF"/>
          <w:lang w:eastAsia="zh-CN"/>
        </w:rPr>
        <w:t>疫情结束后国家及市医保局加大了对医保基金的监管力度，派出飞行检查组对各区县医保基金进行监督检查。</w:t>
      </w:r>
    </w:p>
    <w:p>
      <w:pPr>
        <w:pStyle w:val="11"/>
        <w:autoSpaceDE w:val="0"/>
        <w:ind w:left="0" w:leftChars="0" w:firstLine="803" w:firstLineChars="250"/>
        <w:rPr>
          <w:rFonts w:hint="default" w:ascii="Times New Roman" w:hAnsi="Times New Roman" w:eastAsia="楷体" w:cs="Times New Roman"/>
          <w:b/>
          <w:bCs/>
          <w:sz w:val="32"/>
          <w:szCs w:val="32"/>
          <w:shd w:val="clear" w:color="auto" w:fill="FFFFFF"/>
        </w:rPr>
      </w:pPr>
    </w:p>
    <w:p>
      <w:pPr>
        <w:pStyle w:val="11"/>
        <w:autoSpaceDE w:val="0"/>
        <w:ind w:left="0" w:leftChars="0" w:firstLine="803" w:firstLineChars="25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145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77.37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2.50</w:t>
      </w:r>
      <w:r>
        <w:rPr>
          <w:rFonts w:hint="default" w:ascii="Times New Roman" w:hAnsi="Times New Roman" w:eastAsia="方正仿宋_GBK" w:cs="Times New Roman"/>
          <w:sz w:val="32"/>
          <w:szCs w:val="32"/>
          <w:shd w:val="clear" w:color="auto" w:fill="FFFFFF"/>
        </w:rPr>
        <w:t>万元。</w:t>
      </w:r>
    </w:p>
    <w:p>
      <w:pPr>
        <w:pStyle w:val="6"/>
        <w:shd w:val="clear" w:color="auto" w:fill="FFFFFF"/>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autoSpaceDE w:val="0"/>
        <w:ind w:left="0" w:leftChars="0"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0.17</w:t>
      </w:r>
      <w:r>
        <w:rPr>
          <w:rFonts w:hint="default" w:ascii="Times New Roman" w:hAnsi="Times New Roman" w:eastAsia="方正仿宋_GBK" w:cs="Times New Roman"/>
          <w:sz w:val="32"/>
          <w:szCs w:val="32"/>
          <w:shd w:val="clear" w:color="auto" w:fill="FFFFFF"/>
        </w:rPr>
        <w:t>万元，较上年决算数增加0.17万元，增长100.00%，主要原因是</w:t>
      </w:r>
      <w:r>
        <w:rPr>
          <w:rFonts w:hint="default" w:ascii="Times New Roman" w:hAnsi="Times New Roman" w:eastAsia="方正仿宋_GBK" w:cs="Times New Roman"/>
          <w:sz w:val="32"/>
          <w:szCs w:val="32"/>
          <w:shd w:val="clear" w:color="auto" w:fill="FFFFFF"/>
          <w:lang w:eastAsia="zh-CN"/>
        </w:rPr>
        <w:t>去年因疫情原因我单位无会议费支出，今年我单位开展了全县医疗保障工作会议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万元，较上年决算数增加1.00万元，增长100.00%，主要原因是</w:t>
      </w:r>
      <w:r>
        <w:rPr>
          <w:rFonts w:hint="default" w:ascii="Times New Roman" w:hAnsi="Times New Roman" w:eastAsia="方正仿宋_GBK" w:cs="Times New Roman"/>
          <w:sz w:val="32"/>
          <w:szCs w:val="32"/>
          <w:shd w:val="clear" w:color="auto" w:fill="FFFFFF"/>
          <w:lang w:eastAsia="zh-CN"/>
        </w:rPr>
        <w:t>去年因疫情原因我单位无培训费支出，今年我单位对乡镇从事医保工作人员进行了医保业务培训</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600" w:lineRule="exact"/>
        <w:ind w:firstLine="1280" w:firstLineChars="400"/>
        <w:jc w:val="both"/>
        <w:rPr>
          <w:rFonts w:hint="default" w:ascii="Times New Roman" w:hAnsi="Times New Roman" w:eastAsia="方正仿宋_GBK" w:cs="Times New Roman"/>
          <w:sz w:val="32"/>
          <w:szCs w:val="32"/>
        </w:rPr>
      </w:pP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2023年度本单位机关运行经费支出</w:t>
      </w:r>
      <w:r>
        <w:rPr>
          <w:rFonts w:hint="default" w:ascii="Times New Roman" w:hAnsi="Times New Roman" w:eastAsia="方正仿宋_GBK" w:cs="Times New Roman"/>
          <w:sz w:val="32"/>
          <w:szCs w:val="32"/>
        </w:rPr>
        <w:t>38.59</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eastAsia="zh-CN"/>
        </w:rPr>
        <w:t>办公费、水电费、劳务费、公务车运行维护费等。</w:t>
      </w:r>
      <w:r>
        <w:rPr>
          <w:rFonts w:hint="default" w:ascii="Times New Roman" w:hAnsi="Times New Roman" w:eastAsia="方正仿宋_GBK" w:cs="Times New Roman"/>
          <w:sz w:val="32"/>
          <w:szCs w:val="32"/>
          <w:shd w:val="clear" w:color="auto" w:fill="FFFFFF"/>
        </w:rPr>
        <w:t>机关运行经费较上年支出数减少0.94万元，下降2.38%，主要原因是</w:t>
      </w:r>
      <w:r>
        <w:rPr>
          <w:rFonts w:hint="default" w:ascii="Times New Roman" w:hAnsi="Times New Roman" w:eastAsia="方正仿宋_GBK" w:cs="Times New Roman"/>
          <w:sz w:val="32"/>
          <w:szCs w:val="32"/>
          <w:shd w:val="clear" w:color="auto" w:fill="FFFFFF"/>
          <w:lang w:eastAsia="zh-CN"/>
        </w:rPr>
        <w:t>我单位严格落实政府过</w:t>
      </w:r>
      <w:r>
        <w:rPr>
          <w:rFonts w:hint="default" w:ascii="Times New Roman" w:hAnsi="Times New Roman" w:eastAsia="方正仿宋_GBK" w:cs="Times New Roman"/>
          <w:sz w:val="32"/>
          <w:szCs w:val="32"/>
          <w:shd w:val="clear" w:color="auto" w:fill="FFFFFF"/>
          <w:lang w:val="en-US" w:eastAsia="zh-CN"/>
        </w:rPr>
        <w:t>”紧日子”十大举措,严格控制公用经费支出。</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截至2023年12月31日，本部门共有车辆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xml:space="preserve"> 2023年度本单位政府采购支出总额</w:t>
      </w:r>
      <w:r>
        <w:rPr>
          <w:rFonts w:hint="default" w:ascii="Times New Roman" w:hAnsi="Times New Roman" w:eastAsia="方正仿宋_GBK" w:cs="Times New Roman"/>
          <w:sz w:val="32"/>
          <w:szCs w:val="32"/>
        </w:rPr>
        <w:t>22.57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3.52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19.05</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21.62万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95.79</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21.62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95.79</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医保宣传品、办公设备等。</w:t>
      </w:r>
    </w:p>
    <w:p>
      <w:pPr>
        <w:pStyle w:val="6"/>
        <w:numPr>
          <w:ilvl w:val="0"/>
          <w:numId w:val="1"/>
        </w:numPr>
        <w:shd w:val="clear" w:color="auto" w:fill="FFFFFF"/>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预算绩效管理情况说明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pPr>
        <w:pStyle w:val="12"/>
        <w:autoSpaceDE w:val="0"/>
        <w:spacing w:before="0" w:beforeAutospacing="0" w:line="600" w:lineRule="exact"/>
        <w:ind w:firstLine="800" w:firstLineChars="25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对部门整体和</w:t>
      </w:r>
      <w:r>
        <w:rPr>
          <w:rFonts w:hint="default" w:ascii="Times New Roman" w:hAnsi="Times New Roman" w:eastAsia="方正仿宋_GBK" w:cs="Times New Roman"/>
          <w:sz w:val="32"/>
          <w:szCs w:val="32"/>
          <w:shd w:val="clear" w:color="auto" w:fill="FFFFFF"/>
          <w:lang w:eastAsia="zh-CN"/>
        </w:rPr>
        <w:t>零</w:t>
      </w:r>
      <w:r>
        <w:rPr>
          <w:rFonts w:hint="default" w:ascii="Times New Roman" w:hAnsi="Times New Roman" w:eastAsia="方正仿宋_GBK" w:cs="Times New Roman"/>
          <w:sz w:val="32"/>
          <w:szCs w:val="32"/>
          <w:shd w:val="clear" w:color="auto" w:fill="FFFFFF"/>
        </w:rPr>
        <w:t>个一级项目、</w:t>
      </w:r>
      <w:r>
        <w:rPr>
          <w:rFonts w:hint="default" w:ascii="Times New Roman" w:hAnsi="Times New Roman" w:eastAsia="方正仿宋_GBK" w:cs="Times New Roman"/>
          <w:sz w:val="32"/>
          <w:szCs w:val="32"/>
          <w:shd w:val="clear" w:color="auto" w:fill="FFFFFF"/>
          <w:lang w:eastAsia="zh-CN"/>
        </w:rPr>
        <w:t>四</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93</w:t>
      </w:r>
      <w:r>
        <w:rPr>
          <w:rFonts w:hint="default" w:ascii="Times New Roman" w:hAnsi="Times New Roman" w:eastAsia="方正仿宋_GBK" w:cs="Times New Roman"/>
          <w:sz w:val="32"/>
          <w:szCs w:val="32"/>
          <w:shd w:val="clear" w:color="auto" w:fill="FFFFFF"/>
          <w:lang w:val="en" w:eastAsia="zh-CN"/>
        </w:rPr>
        <w:t>.74</w:t>
      </w:r>
      <w:r>
        <w:rPr>
          <w:rFonts w:hint="default" w:ascii="Times New Roman" w:hAnsi="Times New Roman" w:eastAsia="方正仿宋_GBK" w:cs="Times New Roman"/>
          <w:sz w:val="32"/>
          <w:szCs w:val="32"/>
          <w:shd w:val="clear" w:color="auto" w:fill="FFFFFF"/>
        </w:rPr>
        <w:t>万元</w:t>
      </w:r>
    </w:p>
    <w:p>
      <w:pPr>
        <w:pStyle w:val="12"/>
        <w:autoSpaceDE w:val="0"/>
        <w:spacing w:before="0" w:beforeAutospacing="0" w:line="600" w:lineRule="exact"/>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部门整体绩效自评表</w:t>
      </w:r>
    </w:p>
    <w:p>
      <w:pPr>
        <w:spacing w:line="596" w:lineRule="exact"/>
        <w:ind w:firstLine="720" w:firstLineChars="200"/>
        <w:jc w:val="center"/>
        <w:rPr>
          <w:rFonts w:hint="default" w:ascii="Times New Roman" w:hAnsi="Times New Roman" w:eastAsia="方正仿宋_GBK" w:cs="Times New Roman"/>
          <w:sz w:val="28"/>
          <w:szCs w:val="28"/>
          <w:shd w:val="clear" w:color="auto" w:fill="FFFFFF"/>
          <w:lang w:val="en-US" w:eastAsia="zh-CN"/>
        </w:rPr>
      </w:pPr>
      <w:r>
        <w:rPr>
          <w:rFonts w:hint="default" w:ascii="Times New Roman" w:hAnsi="Times New Roman" w:eastAsia="方正小标宋_GBK" w:cs="Times New Roman"/>
          <w:color w:val="000000"/>
          <w:kern w:val="0"/>
          <w:sz w:val="36"/>
          <w:szCs w:val="36"/>
          <w:lang w:bidi="ar"/>
        </w:rPr>
        <w:t>2022年度部门整体绩效自评表</w:t>
      </w:r>
    </w:p>
    <w:tbl>
      <w:tblPr>
        <w:tblStyle w:val="7"/>
        <w:tblW w:w="9626" w:type="dxa"/>
        <w:tblInd w:w="-4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3"/>
        <w:gridCol w:w="1301"/>
        <w:gridCol w:w="819"/>
        <w:gridCol w:w="911"/>
        <w:gridCol w:w="862"/>
        <w:gridCol w:w="779"/>
        <w:gridCol w:w="823"/>
        <w:gridCol w:w="1222"/>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9626" w:type="dxa"/>
            <w:gridSpan w:val="9"/>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方正小标宋_GBK" w:cs="Times New Roman"/>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753"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301"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819"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911"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862"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779"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823"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222"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18"/>
                <w:szCs w:val="18"/>
                <w:u w:val="none"/>
              </w:rPr>
            </w:pPr>
          </w:p>
        </w:tc>
        <w:tc>
          <w:tcPr>
            <w:tcW w:w="115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方正楷体_GBK" w:cs="Times New Roman"/>
                <w:i w:val="0"/>
                <w:iCs w:val="0"/>
                <w:color w:val="000000"/>
                <w:sz w:val="20"/>
                <w:szCs w:val="20"/>
                <w:u w:val="none"/>
              </w:rPr>
            </w:pPr>
            <w:r>
              <w:rPr>
                <w:rFonts w:hint="default" w:ascii="Times New Roman" w:hAnsi="Times New Roman" w:eastAsia="方正楷体_GBK" w:cs="Times New Roman"/>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2"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填报单位</w:t>
            </w:r>
          </w:p>
        </w:tc>
        <w:tc>
          <w:tcPr>
            <w:tcW w:w="3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443-城口县医疗保障局</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财政归口处室</w:t>
            </w:r>
          </w:p>
        </w:tc>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001-行政财务和社会保障科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部门预算执行情况</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预算数</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监控节点执行数</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监控节点执行率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全年预计执行数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全年预计执行率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737.82</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524.57</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71.10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737.82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当年整体绩效目标</w:t>
            </w:r>
          </w:p>
        </w:tc>
        <w:tc>
          <w:tcPr>
            <w:tcW w:w="3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当年绩效目标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监控节点实际完成情况</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全年预计完成情况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0"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3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目标1：巩固全县医疗保险参保率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目标2：稳步提高医疗保障水平</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目标3：确保医疗保障待遇“一站式”结算</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目标4：开展打击欺诈骗保专项治理，严肃查处违规违法行为</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目标5：实现医疗保障基金收支平衡。</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预算执行目前按照序时进度完成，年末全部完成。下半年我单位将继续对各定点医疗机构监督检查，年末达到全覆盖。</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绩效指标</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计量单位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指标性质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年初目标值</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监控节点完成值</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完成程度（%）</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偏差原因和纠正措施</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全年完成目标可能性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公用经费控制率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一般性支出压减率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基本支出预算控制率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三公经费变动率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预算执行序时进度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月</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目前按照序时进度完成，年末全部完成。</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基本医疗保险政策覆盖率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2"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监督检查范围全覆盖</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下半年我单位将继续对各定点医疗机构监督检查，年末达到全覆盖。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特殊困难人员参保率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服务对象满意度</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确定能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联系人</w:t>
            </w:r>
          </w:p>
        </w:tc>
        <w:tc>
          <w:tcPr>
            <w:tcW w:w="3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谢国勇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联系电话</w:t>
            </w:r>
          </w:p>
        </w:tc>
        <w:tc>
          <w:tcPr>
            <w:tcW w:w="3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59229590</w:t>
            </w:r>
          </w:p>
        </w:tc>
      </w:tr>
    </w:tbl>
    <w:p>
      <w:pPr>
        <w:pStyle w:val="12"/>
        <w:spacing w:before="0" w:beforeAutospacing="0"/>
        <w:rPr>
          <w:rFonts w:hint="default" w:ascii="Times New Roman" w:hAnsi="Times New Roman" w:eastAsia="方正仿宋_GBK" w:cs="Times New Roman"/>
          <w:sz w:val="32"/>
          <w:szCs w:val="32"/>
          <w:shd w:val="clear" w:color="auto" w:fill="FFFFFF"/>
        </w:rPr>
      </w:pPr>
    </w:p>
    <w:p>
      <w:pPr>
        <w:pStyle w:val="12"/>
        <w:spacing w:before="0" w:beforeAutospacing="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28"/>
          <w:szCs w:val="28"/>
          <w:shd w:val="clear" w:color="auto" w:fill="FFFFFF"/>
        </w:rPr>
        <w:t>项目支出绩效自评表（</w:t>
      </w:r>
      <w:r>
        <w:rPr>
          <w:rFonts w:hint="default" w:ascii="Times New Roman" w:hAnsi="Times New Roman" w:eastAsia="方正仿宋_GBK" w:cs="Times New Roman"/>
          <w:sz w:val="28"/>
          <w:szCs w:val="28"/>
          <w:shd w:val="clear" w:color="auto" w:fill="FFFFFF"/>
          <w:lang w:val="en-US" w:eastAsia="zh-CN"/>
        </w:rPr>
        <w:t>二</w:t>
      </w:r>
      <w:r>
        <w:rPr>
          <w:rFonts w:hint="default" w:ascii="Times New Roman" w:hAnsi="Times New Roman" w:eastAsia="方正仿宋_GBK" w:cs="Times New Roman"/>
          <w:sz w:val="28"/>
          <w:szCs w:val="28"/>
          <w:shd w:val="clear" w:color="auto" w:fill="FFFFFF"/>
        </w:rPr>
        <w:t>级项目）</w:t>
      </w:r>
    </w:p>
    <w:tbl>
      <w:tblPr>
        <w:tblStyle w:val="7"/>
        <w:tblW w:w="10685" w:type="dxa"/>
        <w:tblInd w:w="-7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720"/>
        <w:gridCol w:w="220"/>
        <w:gridCol w:w="410"/>
        <w:gridCol w:w="202"/>
        <w:gridCol w:w="1068"/>
        <w:gridCol w:w="1252"/>
        <w:gridCol w:w="1088"/>
        <w:gridCol w:w="138"/>
        <w:gridCol w:w="669"/>
        <w:gridCol w:w="213"/>
        <w:gridCol w:w="660"/>
        <w:gridCol w:w="650"/>
        <w:gridCol w:w="839"/>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68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4"/>
                <w:szCs w:val="24"/>
                <w:u w:val="none"/>
              </w:rPr>
            </w:pPr>
            <w:r>
              <w:rPr>
                <w:rFonts w:hint="default" w:ascii="Times New Roman" w:hAnsi="Times New Roman" w:eastAsia="微软雅黑" w:cs="Times New Roman"/>
                <w:b/>
                <w:bCs/>
                <w:i w:val="0"/>
                <w:iCs w:val="0"/>
                <w:color w:val="000000"/>
                <w:kern w:val="0"/>
                <w:sz w:val="24"/>
                <w:szCs w:val="24"/>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85"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4"/>
                <w:szCs w:val="24"/>
                <w:u w:val="none"/>
              </w:rPr>
            </w:pPr>
            <w:r>
              <w:rPr>
                <w:rFonts w:hint="default" w:ascii="Times New Roman" w:hAnsi="Times New Roman" w:eastAsia="宋体" w:cs="Times New Roman"/>
                <w:b/>
                <w:bCs/>
                <w:i w:val="0"/>
                <w:iCs w:val="0"/>
                <w:color w:val="DA3232"/>
                <w:kern w:val="0"/>
                <w:sz w:val="24"/>
                <w:szCs w:val="24"/>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医疗服务与保障能力提升补助资金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项目编码：</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50022922Y000002214316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自评总分：</w:t>
            </w:r>
          </w:p>
        </w:tc>
        <w:tc>
          <w:tcPr>
            <w:tcW w:w="15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bCs/>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项目主管部门：</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443-城口县医疗保障局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财政归口处室：</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001-行政财务和社会保障科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部门联系人：</w:t>
            </w:r>
          </w:p>
        </w:tc>
        <w:tc>
          <w:tcPr>
            <w:tcW w:w="15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谢国勇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联系电话：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59229590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8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4"/>
                <w:szCs w:val="24"/>
                <w:u w:val="none"/>
              </w:rPr>
            </w:pPr>
            <w:r>
              <w:rPr>
                <w:rFonts w:hint="default" w:ascii="Times New Roman" w:hAnsi="Times New Roman" w:eastAsia="微软雅黑" w:cs="Times New Roman"/>
                <w:b/>
                <w:bCs/>
                <w:i w:val="0"/>
                <w:iCs w:val="0"/>
                <w:color w:val="808080"/>
                <w:kern w:val="0"/>
                <w:sz w:val="24"/>
                <w:szCs w:val="24"/>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年初预算数</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全年（调整）预算数</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全年执行数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执行率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执行率权重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年度总金额</w:t>
            </w:r>
          </w:p>
        </w:tc>
        <w:tc>
          <w:tcPr>
            <w:tcW w:w="1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1,007,438.47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407,438.47</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407,438.47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其中：财政拨款</w:t>
            </w:r>
          </w:p>
        </w:tc>
        <w:tc>
          <w:tcPr>
            <w:tcW w:w="1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1,007,438.47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407,438.47</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407,438.47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一般公共预算</w:t>
            </w:r>
          </w:p>
        </w:tc>
        <w:tc>
          <w:tcPr>
            <w:tcW w:w="1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1,007,438.47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407,438.47</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407,438.47 </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68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4"/>
                <w:szCs w:val="24"/>
                <w:u w:val="none"/>
              </w:rPr>
            </w:pPr>
            <w:r>
              <w:rPr>
                <w:rFonts w:hint="default" w:ascii="Times New Roman" w:hAnsi="Times New Roman" w:eastAsia="微软雅黑" w:cs="Times New Roman"/>
                <w:b/>
                <w:bCs/>
                <w:i w:val="0"/>
                <w:iCs w:val="0"/>
                <w:color w:val="80808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年初绩效目标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全年（调整）绩效目标</w:t>
            </w:r>
          </w:p>
        </w:tc>
        <w:tc>
          <w:tcPr>
            <w:tcW w:w="3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4"/>
                <w:szCs w:val="24"/>
                <w:u w:val="none"/>
              </w:rPr>
            </w:pP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主要用于医保公共服务标准化、规范化等能力提升方面。有效提升综合监管、宣传引导、经办服务等医疗保障服务能力</w:t>
            </w:r>
          </w:p>
        </w:tc>
        <w:tc>
          <w:tcPr>
            <w:tcW w:w="30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全年建立标准化医保示范点5个，基金监督检查定点医疗机构全覆盖。印发宣传资料10万余册。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8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4"/>
                <w:szCs w:val="24"/>
                <w:u w:val="none"/>
              </w:rPr>
            </w:pPr>
            <w:r>
              <w:rPr>
                <w:rFonts w:hint="default" w:ascii="Times New Roman" w:hAnsi="Times New Roman" w:eastAsia="微软雅黑" w:cs="Times New Roman"/>
                <w:b/>
                <w:bCs/>
                <w:i w:val="0"/>
                <w:iCs w:val="0"/>
                <w:color w:val="808080"/>
                <w:kern w:val="0"/>
                <w:sz w:val="24"/>
                <w:szCs w:val="24"/>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指标名称</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计量单位</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指标性质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指标值</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全年完成值</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偏离度（%）</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得分系数（%）</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指标权重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指标得分</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是否核心指标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推行医保支付方式改革和DRG试点</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场次</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医保经办服务能力</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人数</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定点医药机构监督检查覆盖率</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跨省异地就医直接结算率</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元/人·次</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好</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医保标准化水平</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好</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医保法制建设能力</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人数</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好</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医保宣传能力</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优</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医保综合监管能力</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优</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参保人员对医保服务的满意度</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r>
    </w:tbl>
    <w:p>
      <w:pPr>
        <w:pStyle w:val="12"/>
        <w:spacing w:before="0" w:beforeAutospacing="0"/>
        <w:rPr>
          <w:rFonts w:hint="default" w:ascii="Times New Roman" w:hAnsi="Times New Roman" w:eastAsia="方正仿宋_GBK" w:cs="Times New Roman"/>
          <w:sz w:val="32"/>
          <w:szCs w:val="32"/>
        </w:rPr>
      </w:pPr>
    </w:p>
    <w:p>
      <w:pPr>
        <w:pStyle w:val="12"/>
        <w:spacing w:before="0" w:beforeAutospacing="0"/>
        <w:rPr>
          <w:rFonts w:hint="default" w:ascii="Times New Roman" w:hAnsi="Times New Roman" w:eastAsia="方正仿宋_GBK" w:cs="Times New Roman"/>
          <w:sz w:val="32"/>
          <w:szCs w:val="32"/>
        </w:rPr>
      </w:pPr>
    </w:p>
    <w:tbl>
      <w:tblPr>
        <w:tblStyle w:val="7"/>
        <w:tblW w:w="10440" w:type="dxa"/>
        <w:tblInd w:w="-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7"/>
        <w:gridCol w:w="592"/>
        <w:gridCol w:w="656"/>
        <w:gridCol w:w="806"/>
        <w:gridCol w:w="1093"/>
        <w:gridCol w:w="1305"/>
        <w:gridCol w:w="818"/>
        <w:gridCol w:w="501"/>
        <w:gridCol w:w="712"/>
        <w:gridCol w:w="712"/>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DA3232"/>
                <w:sz w:val="20"/>
                <w:szCs w:val="20"/>
                <w:u w:val="none"/>
              </w:rPr>
            </w:pPr>
            <w:r>
              <w:rPr>
                <w:rFonts w:hint="default" w:ascii="Times New Roman" w:hAnsi="Times New Roman" w:eastAsia="宋体" w:cs="Times New Roman"/>
                <w:b/>
                <w:bCs/>
                <w:i w:val="0"/>
                <w:iCs w:val="0"/>
                <w:color w:val="DA3232"/>
                <w:kern w:val="0"/>
                <w:sz w:val="20"/>
                <w:szCs w:val="20"/>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项目名称：</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医疗服务与保障能力提升补助资金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项目编码：</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50022923T000003701230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自评总分：</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83.81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bCs/>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项目主管部门：</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443-城口县医疗保障局</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财政归口处室：</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001-行政财务和社会保障科</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部门联系人：</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谢国勇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联系电话：</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59229590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0"/>
                <w:szCs w:val="20"/>
                <w:u w:val="none"/>
              </w:rPr>
            </w:pPr>
            <w:r>
              <w:rPr>
                <w:rFonts w:hint="default" w:ascii="Times New Roman" w:hAnsi="Times New Roman" w:eastAsia="微软雅黑" w:cs="Times New Roman"/>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年初预算数</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全年（调整）预算数</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全年执行数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执行率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执行率权重</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年度总金额</w:t>
            </w:r>
          </w:p>
        </w:tc>
        <w:tc>
          <w:tcPr>
            <w:tcW w:w="607"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5,000,000.00 </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230,000.00 </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87,837.53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其中：财政拨款</w:t>
            </w:r>
          </w:p>
        </w:tc>
        <w:tc>
          <w:tcPr>
            <w:tcW w:w="607"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5,000,000.00 </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230,000.00 </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87,837.53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38.19</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一般公共预算</w:t>
            </w:r>
          </w:p>
        </w:tc>
        <w:tc>
          <w:tcPr>
            <w:tcW w:w="607"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5,000,000.00 </w:t>
            </w:r>
          </w:p>
        </w:tc>
        <w:tc>
          <w:tcPr>
            <w:tcW w:w="2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230,000.00 </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87,837.53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38.19</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0"/>
                <w:szCs w:val="20"/>
                <w:u w:val="none"/>
              </w:rPr>
            </w:pPr>
            <w:r>
              <w:rPr>
                <w:rFonts w:hint="default" w:ascii="Times New Roman" w:hAnsi="Times New Roman" w:eastAsia="微软雅黑" w:cs="Times New Roman"/>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8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年初绩效目标</w:t>
            </w:r>
          </w:p>
        </w:tc>
        <w:tc>
          <w:tcPr>
            <w:tcW w:w="3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全年（调整）绩效目标</w:t>
            </w:r>
          </w:p>
        </w:tc>
        <w:tc>
          <w:tcPr>
            <w:tcW w:w="30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8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主要用于医保公共服务标准化、规范化等能力提升方面。有效提升综合监管、宣传引导、经办服务等医疗保障服务能力</w:t>
            </w:r>
          </w:p>
        </w:tc>
        <w:tc>
          <w:tcPr>
            <w:tcW w:w="354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全年建立标准化医保示范点5个，基金监督检查定点医疗机构全覆盖。印发宣传资料10万余册。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0"/>
                <w:szCs w:val="20"/>
                <w:u w:val="none"/>
              </w:rPr>
            </w:pPr>
            <w:r>
              <w:rPr>
                <w:rFonts w:hint="default" w:ascii="Times New Roman" w:hAnsi="Times New Roman" w:eastAsia="微软雅黑" w:cs="Times New Roman"/>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指标名称</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计量单位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指标性质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指标值</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全年完成值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偏离度（%）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得分系数（%）</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指标权重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是否核心指标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培训监督检查人次</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租赁面积</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设备完好率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培训计划按期完成率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人均培训监督检查费用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元/户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宣传政策知晓率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宣传资料通过政府已采购，但当年未能实现支出。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服务对象满意度</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bl>
    <w:p>
      <w:pPr>
        <w:pStyle w:val="12"/>
        <w:spacing w:before="0" w:beforeAutospacing="0"/>
        <w:rPr>
          <w:rFonts w:hint="default" w:ascii="Times New Roman" w:hAnsi="Times New Roman" w:eastAsia="方正仿宋_GBK" w:cs="Times New Roman"/>
          <w:sz w:val="32"/>
          <w:szCs w:val="32"/>
          <w:lang w:eastAsia="zh-CN"/>
        </w:rPr>
      </w:pPr>
    </w:p>
    <w:tbl>
      <w:tblPr>
        <w:tblStyle w:val="7"/>
        <w:tblW w:w="10440" w:type="dxa"/>
        <w:tblInd w:w="-4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3"/>
        <w:gridCol w:w="776"/>
        <w:gridCol w:w="738"/>
        <w:gridCol w:w="804"/>
        <w:gridCol w:w="1300"/>
        <w:gridCol w:w="1012"/>
        <w:gridCol w:w="757"/>
        <w:gridCol w:w="613"/>
        <w:gridCol w:w="527"/>
        <w:gridCol w:w="84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城乡居民合作医疗经费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50022923T000003722855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443-城口县医疗保障局</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001-行政财务和社会保障科</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谢国勇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59229590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2"/>
                <w:szCs w:val="22"/>
                <w:u w:val="none"/>
              </w:rPr>
            </w:pPr>
            <w:r>
              <w:rPr>
                <w:rFonts w:hint="default" w:ascii="Times New Roman" w:hAnsi="Times New Roman" w:eastAsia="微软雅黑" w:cs="Times New Roman"/>
                <w:b/>
                <w:bCs/>
                <w:i w:val="0"/>
                <w:iCs w:val="0"/>
                <w:color w:val="808080"/>
                <w:kern w:val="0"/>
                <w:sz w:val="22"/>
                <w:szCs w:val="22"/>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776" w:type="dxa"/>
            <w:tcBorders>
              <w:top w:val="single" w:color="000000" w:sz="4" w:space="0"/>
              <w:left w:val="nil"/>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776" w:type="dxa"/>
            <w:tcBorders>
              <w:top w:val="single" w:color="000000" w:sz="4" w:space="0"/>
              <w:left w:val="nil"/>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776" w:type="dxa"/>
            <w:tcBorders>
              <w:top w:val="single" w:color="000000" w:sz="4" w:space="0"/>
              <w:left w:val="nil"/>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2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300,000.00 </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2"/>
                <w:szCs w:val="22"/>
                <w:u w:val="none"/>
              </w:rPr>
            </w:pPr>
            <w:r>
              <w:rPr>
                <w:rFonts w:hint="default" w:ascii="Times New Roman" w:hAnsi="Times New Roman" w:eastAsia="微软雅黑" w:cs="Times New Roman"/>
                <w:b/>
                <w:bCs/>
                <w:i w:val="0"/>
                <w:iCs w:val="0"/>
                <w:color w:val="80808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3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431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巩固全县居民医疗参保率，稳步提高医疗水平，确保医疗保障待遇“一站式”结算，开展打击欺诈骗保专项治理，严肃查处违法违规行为，实现医疗保障基金收支平衡。</w:t>
            </w:r>
          </w:p>
        </w:tc>
        <w:tc>
          <w:tcPr>
            <w:tcW w:w="368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全年巩固了居民医保参保率，开通了医疗保障待遇“一站式”结算，基金监督检查定点医疗机构全覆盖。印发宣传资料10万余册。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2"/>
                <w:szCs w:val="22"/>
                <w:u w:val="none"/>
              </w:rPr>
            </w:pPr>
            <w:r>
              <w:rPr>
                <w:rFonts w:hint="default" w:ascii="Times New Roman" w:hAnsi="Times New Roman" w:eastAsia="微软雅黑" w:cs="Times New Roman"/>
                <w:b/>
                <w:bCs/>
                <w:i w:val="0"/>
                <w:iCs w:val="0"/>
                <w:color w:val="808080"/>
                <w:kern w:val="0"/>
                <w:sz w:val="22"/>
                <w:szCs w:val="22"/>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基本医疗保险政策覆盖面</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特殊困难人员参保率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监督检查范围全覆盖</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全县基本医疗参保率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享受医疗救助对象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服务对象满意度</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bl>
    <w:p>
      <w:pPr>
        <w:pStyle w:val="12"/>
        <w:spacing w:before="0" w:beforeAutospacing="0"/>
        <w:rPr>
          <w:rFonts w:hint="default" w:ascii="Times New Roman" w:hAnsi="Times New Roman" w:eastAsia="方正仿宋_GBK" w:cs="Times New Roman"/>
          <w:sz w:val="32"/>
          <w:szCs w:val="32"/>
          <w:lang w:eastAsia="zh-CN"/>
        </w:rPr>
      </w:pPr>
    </w:p>
    <w:tbl>
      <w:tblPr>
        <w:tblStyle w:val="7"/>
        <w:tblW w:w="10752"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0"/>
        <w:gridCol w:w="1186"/>
        <w:gridCol w:w="584"/>
        <w:gridCol w:w="760"/>
        <w:gridCol w:w="1255"/>
        <w:gridCol w:w="1005"/>
        <w:gridCol w:w="770"/>
        <w:gridCol w:w="640"/>
        <w:gridCol w:w="920"/>
        <w:gridCol w:w="71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75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75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医疗服务与保障能力提升医疗保障能力建设（第二批）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50022923T000002848068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b/>
                <w:bCs/>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443-城口县医疗保障局</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001-行政财务和社会保障科</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谢国勇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59229590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2"/>
                <w:szCs w:val="22"/>
                <w:u w:val="none"/>
              </w:rPr>
            </w:pPr>
            <w:r>
              <w:rPr>
                <w:rFonts w:hint="default" w:ascii="Times New Roman" w:hAnsi="Times New Roman" w:eastAsia="微软雅黑" w:cs="Times New Roman"/>
                <w:b/>
                <w:bCs/>
                <w:i w:val="0"/>
                <w:iCs w:val="0"/>
                <w:color w:val="808080"/>
                <w:kern w:val="0"/>
                <w:sz w:val="22"/>
                <w:szCs w:val="22"/>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1186"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1186"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1186"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2"/>
                <w:szCs w:val="22"/>
                <w:u w:val="none"/>
              </w:rPr>
            </w:pPr>
            <w:r>
              <w:rPr>
                <w:rFonts w:hint="default" w:ascii="Times New Roman" w:hAnsi="Times New Roman" w:eastAsia="微软雅黑" w:cs="Times New Roman"/>
                <w:b/>
                <w:bCs/>
                <w:i w:val="0"/>
                <w:iCs w:val="0"/>
                <w:color w:val="80808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4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主要用于医保公共服务标准化、规范化等能力提升方面。有效提升综合监管、宣传引导、经办服务等医疗保障服务能力</w:t>
            </w:r>
          </w:p>
        </w:tc>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全年建立标准化医保示范点5个，基金监督检查定点医疗机构全覆盖。印发宣传资料10万余册。有效提升了经办服务能力。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2"/>
                <w:szCs w:val="22"/>
                <w:u w:val="none"/>
              </w:rPr>
            </w:pPr>
            <w:r>
              <w:rPr>
                <w:rFonts w:hint="default" w:ascii="Times New Roman" w:hAnsi="Times New Roman" w:eastAsia="微软雅黑" w:cs="Times New Roman"/>
                <w:b/>
                <w:bCs/>
                <w:i w:val="0"/>
                <w:iCs w:val="0"/>
                <w:color w:val="808080"/>
                <w:kern w:val="0"/>
                <w:sz w:val="22"/>
                <w:szCs w:val="22"/>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定点医药机构监督检查覆盖率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家/年</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推行医保支付方式改革和DRG试点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跨省异地就医直接结算率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医保标准化水平</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家/年</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医保经办服务能力</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家</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好</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医保法制建设能力</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家</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好</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医保宣传能力</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好</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医保综合监管能力</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好</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参保人员对医保服务的满意度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bl>
    <w:p>
      <w:pPr>
        <w:pStyle w:val="12"/>
        <w:spacing w:before="0" w:beforeAutospacing="0"/>
        <w:rPr>
          <w:rFonts w:hint="default" w:ascii="Times New Roman" w:hAnsi="Times New Roman" w:eastAsia="方正仿宋_GBK" w:cs="Times New Roman"/>
          <w:sz w:val="32"/>
          <w:szCs w:val="32"/>
          <w:lang w:eastAsia="zh-CN"/>
        </w:rPr>
      </w:pP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pPr>
        <w:pStyle w:val="11"/>
        <w:numPr>
          <w:ilvl w:val="0"/>
          <w:numId w:val="0"/>
        </w:numPr>
        <w:autoSpaceDE w:val="0"/>
        <w:ind w:firstLine="800" w:firstLineChars="25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我部门未组织开展绩效评价。</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1"/>
        <w:numPr>
          <w:ilvl w:val="0"/>
          <w:numId w:val="0"/>
        </w:numPr>
        <w:autoSpaceDE w:val="0"/>
        <w:ind w:firstLine="800" w:firstLineChars="25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市财政局未委托第三方对我部门开展绩效评价。</w:t>
      </w:r>
    </w:p>
    <w:p>
      <w:pPr>
        <w:pStyle w:val="6"/>
        <w:shd w:val="clear" w:color="auto" w:fill="FFFFFF"/>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七、决算公开联系方式及信息反馈渠道</w:t>
      </w:r>
    </w:p>
    <w:p>
      <w:pPr>
        <w:pStyle w:val="11"/>
        <w:autoSpaceDE w:val="0"/>
        <w:ind w:firstLine="0" w:firstLineChars="0"/>
        <w:rPr>
          <w:rStyle w:val="10"/>
          <w:rFonts w:hint="default" w:ascii="Times New Roman" w:hAnsi="Times New Roman" w:eastAsia="方正仿宋_GBK" w:cs="Times New Roman"/>
          <w:sz w:val="32"/>
          <w:szCs w:val="32"/>
          <w:shd w:val="clear" w:color="auto" w:fill="FFFF00"/>
          <w:lang w:val="en-US"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023-59229590</w:t>
      </w:r>
    </w:p>
    <w:p>
      <w:pPr>
        <w:pStyle w:val="11"/>
        <w:autoSpaceDE w:val="0"/>
        <w:ind w:firstLine="0" w:firstLineChars="0"/>
        <w:rPr>
          <w:rStyle w:val="10"/>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pPr>
        <w:rPr>
          <w:rFonts w:hint="default" w:ascii="Times New Roman" w:hAnsi="Times New Roman" w:cs="Times New Roman"/>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公开部门：</w:t>
            </w:r>
            <w:r>
              <w:rPr>
                <w:rFonts w:hint="default" w:ascii="Times New Roman" w:hAnsi="Times New Roman" w:cs="Times New Roman"/>
                <w:sz w:val="20"/>
                <w:u w:color="auto"/>
              </w:rPr>
              <w:t>重庆市城口县医疗保障局</w:t>
            </w: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610.90</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35.84</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118.22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466.62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33.06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ascii="Times New Roman" w:hAnsi="Times New Roman" w:cs="Times New Roman"/>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646.74</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639.74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6.45</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13.45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653.19</w:t>
            </w:r>
            <w:r>
              <w:rPr>
                <w:rFonts w:hint="default" w:ascii="Times New Roman" w:hAnsi="Times New Roman" w:cs="Times New Roman"/>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653.19</w:t>
            </w:r>
            <w:r>
              <w:rPr>
                <w:rFonts w:hint="default" w:ascii="Times New Roman" w:hAnsi="Times New Roman" w:cs="Times New Roman"/>
                <w:color w:val="000000"/>
                <w:sz w:val="20"/>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sz w:val="20"/>
                <w:u w:color="auto"/>
              </w:rPr>
              <w:t>重庆市城口县医疗保障局</w:t>
            </w: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646.74</w:t>
            </w: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610.90</w:t>
            </w: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35.84</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125.23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109.39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15.84</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45.84</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15.84</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45.84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79.39</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13.97</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25.89</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466.62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466.62</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20.08</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20.08</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446.53</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352.73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352.73</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44.28</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其他医疗保障管理事务支出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40.74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40.74</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33.06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33.06</w:t>
            </w: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autofit"/>
        <w:tblCellMar>
          <w:top w:w="0" w:type="dxa"/>
          <w:left w:w="0" w:type="dxa"/>
          <w:bottom w:w="0" w:type="dxa"/>
          <w:right w:w="0" w:type="dxa"/>
        </w:tblCellMar>
      </w:tblPr>
      <w:tblGrid>
        <w:gridCol w:w="1754"/>
        <w:gridCol w:w="3630"/>
        <w:gridCol w:w="1654"/>
        <w:gridCol w:w="1654"/>
        <w:gridCol w:w="1654"/>
        <w:gridCol w:w="1638"/>
        <w:gridCol w:w="1638"/>
        <w:gridCol w:w="1700"/>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重庆市城口县医疗保障局 </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639.74</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531.37</w:t>
            </w:r>
            <w:r>
              <w:rPr>
                <w:rFonts w:hint="default" w:ascii="Times New Roman" w:hAnsi="Times New Roman"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108.36</w:t>
            </w: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118.22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38.84</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38.84</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13.97</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25.89</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466.62</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417.09</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49.53</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20.08</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446.53</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397.00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49.53</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352.73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352.73</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8.78</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44.28</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其他医疗保障管理事务支出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40.74</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40.74</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w:t>
            </w:r>
            <w:r>
              <w:rPr>
                <w:rFonts w:hint="default" w:ascii="Times New Roman" w:hAnsi="Times New Roman"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w:t>
            </w: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33.06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33.06</w:t>
            </w:r>
            <w:r>
              <w:rPr>
                <w:rFonts w:hint="default" w:ascii="Times New Roman" w:hAnsi="Times New Roman"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重庆市城口县医疗保障局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610.90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109.39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109.39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466.62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466.62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33.06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33.06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610.90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610.90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610.90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617.35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617.35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617.35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重庆市城口县医疗保障局</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610.90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531.37</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79.53</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109.39</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79.39</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79.39</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79.39</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39.53</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39.53</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13.97</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13.97</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25.89</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25.89</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466.62</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417.09</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49.53</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20.08</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20.08</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18.04</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18.04</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2.04</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446.53</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397.00</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49.53</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352.73</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352.73</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44.28</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44.28</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其他医疗保障管理事务支出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40.74</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40.74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33.06</w:t>
            </w:r>
            <w:r>
              <w:rPr>
                <w:rFonts w:hint="default" w:ascii="Times New Roman" w:hAnsi="Times New Roman" w:cs="Times New Roman"/>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33.06</w:t>
            </w:r>
            <w:r>
              <w:rPr>
                <w:rFonts w:hint="default" w:ascii="Times New Roman" w:hAnsi="Times New Roman"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33.06</w:t>
            </w:r>
            <w:r>
              <w:rPr>
                <w:rFonts w:hint="default" w:ascii="Times New Roman" w:hAnsi="Times New Roman" w:cs="Times New Roman"/>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重庆市城口县医疗保障局</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466.89</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38.59</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118.97</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147.48</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63.26</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30.02</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39.53</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13.97</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17.46</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3.14</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3.15</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33.06</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25.89</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20.00</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5.89</w:t>
            </w: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15.63</w:t>
            </w: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492.78</w:t>
            </w:r>
            <w:r>
              <w:rPr>
                <w:rFonts w:hint="default" w:ascii="Times New Roman" w:hAnsi="Times New Roman"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38.59</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重庆市城口县医疗保障局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重庆市城口县医疗保障局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722"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704"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508"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71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公开部门</w:t>
            </w:r>
            <w:r>
              <w:rPr>
                <w:rFonts w:hint="default" w:ascii="Times New Roman" w:hAnsi="Times New Roman" w:cs="Times New Roman"/>
                <w:color w:val="000000"/>
                <w:kern w:val="2"/>
                <w:sz w:val="20"/>
                <w:szCs w:val="20"/>
              </w:rPr>
              <w:t xml:space="preserve">： </w:t>
            </w:r>
            <w:r>
              <w:rPr>
                <w:rFonts w:hint="default" w:ascii="Times New Roman" w:hAnsi="Times New Roman" w:cs="Times New Roman"/>
                <w:color w:val="000000"/>
                <w:sz w:val="20"/>
                <w:u w:color="auto"/>
              </w:rPr>
              <w:t>重庆市城口县医疗保障局</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38.59</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3.62</w:t>
            </w: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3.62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38.59</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2.50</w:t>
            </w: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2.50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2.50</w:t>
            </w: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2.50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1.12</w:t>
            </w:r>
            <w:r>
              <w:rPr>
                <w:rFonts w:hint="default" w:ascii="Times New Roman" w:hAnsi="Times New Roman" w:cs="Times New Roman"/>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1.12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1.12</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15</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22.57</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3.52</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145</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19.05</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21.62</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21.62</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0.17</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ascii="Times New Roman" w:hAnsi="Times New Roman" w:cs="Times New Roman"/>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1.00</w:t>
            </w:r>
            <w:r>
              <w:rPr>
                <w:rFonts w:hint="default" w:ascii="Times New Roman" w:hAnsi="Times New Roman" w:cs="Times New Roman"/>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ascii="Times New Roman" w:hAnsi="Times New Roman" w:cs="Times New Roman"/>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kern w:val="2"/>
                <w:sz w:val="16"/>
                <w:szCs w:val="16"/>
              </w:rPr>
            </w:pPr>
          </w:p>
        </w:tc>
      </w:tr>
    </w:tbl>
    <w:p>
      <w:pPr>
        <w:rPr>
          <w:rFonts w:hint="default" w:ascii="Times New Roman" w:hAnsi="Times New Roman" w:cs="Times New Roman"/>
        </w:rPr>
      </w:pPr>
      <w:r>
        <w:rPr>
          <w:rFonts w:hint="default" w:ascii="Times New Roman" w:hAnsi="Times New Roman" w:cs="Times New Roman"/>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OWZiZGQzNzAyNWQwNmNlYjFiODczOTczODkwNzUifQ=="/>
    <w:docVar w:name="KSO_WPS_MARK_KEY" w:val="fb9669cf-917d-4b55-b7d6-490e6ab721d1"/>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7A20A0"/>
    <w:rsid w:val="03B87EA0"/>
    <w:rsid w:val="03C3286B"/>
    <w:rsid w:val="03E3214F"/>
    <w:rsid w:val="044C50BA"/>
    <w:rsid w:val="05856728"/>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CF29E8"/>
    <w:rsid w:val="0F836721"/>
    <w:rsid w:val="0FA25D96"/>
    <w:rsid w:val="107B59E5"/>
    <w:rsid w:val="10EC0126"/>
    <w:rsid w:val="10F70B9A"/>
    <w:rsid w:val="111445C7"/>
    <w:rsid w:val="114278C6"/>
    <w:rsid w:val="1158083A"/>
    <w:rsid w:val="11643A4B"/>
    <w:rsid w:val="11ED0F98"/>
    <w:rsid w:val="11F03528"/>
    <w:rsid w:val="12887C05"/>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30275E"/>
    <w:rsid w:val="1C5C0973"/>
    <w:rsid w:val="1CA55E64"/>
    <w:rsid w:val="1D014A01"/>
    <w:rsid w:val="1D022362"/>
    <w:rsid w:val="1D0B1216"/>
    <w:rsid w:val="1D1B04B0"/>
    <w:rsid w:val="1D77452F"/>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382DC5"/>
    <w:rsid w:val="25791755"/>
    <w:rsid w:val="26396DF4"/>
    <w:rsid w:val="27167136"/>
    <w:rsid w:val="27B23302"/>
    <w:rsid w:val="28700AC7"/>
    <w:rsid w:val="29310A5F"/>
    <w:rsid w:val="29C37A35"/>
    <w:rsid w:val="2A076083"/>
    <w:rsid w:val="2A73162E"/>
    <w:rsid w:val="2B167953"/>
    <w:rsid w:val="2B200583"/>
    <w:rsid w:val="2B8209DE"/>
    <w:rsid w:val="2C6762A3"/>
    <w:rsid w:val="2DEC0548"/>
    <w:rsid w:val="2EBF7B3E"/>
    <w:rsid w:val="2EDE1934"/>
    <w:rsid w:val="2FCA4B37"/>
    <w:rsid w:val="2FE029D7"/>
    <w:rsid w:val="2FF06E00"/>
    <w:rsid w:val="30562E26"/>
    <w:rsid w:val="30586FEC"/>
    <w:rsid w:val="30EC7046"/>
    <w:rsid w:val="315F0B22"/>
    <w:rsid w:val="31796C3F"/>
    <w:rsid w:val="319D022C"/>
    <w:rsid w:val="31C90022"/>
    <w:rsid w:val="31D84415"/>
    <w:rsid w:val="32285F6F"/>
    <w:rsid w:val="32770556"/>
    <w:rsid w:val="329C0913"/>
    <w:rsid w:val="32AA0460"/>
    <w:rsid w:val="3337290D"/>
    <w:rsid w:val="33E31118"/>
    <w:rsid w:val="33EF7674"/>
    <w:rsid w:val="342D7BC6"/>
    <w:rsid w:val="352930DB"/>
    <w:rsid w:val="35573069"/>
    <w:rsid w:val="355F6038"/>
    <w:rsid w:val="356674DA"/>
    <w:rsid w:val="358C217E"/>
    <w:rsid w:val="35937598"/>
    <w:rsid w:val="35EA1EB9"/>
    <w:rsid w:val="36C9128A"/>
    <w:rsid w:val="372E3953"/>
    <w:rsid w:val="37841E99"/>
    <w:rsid w:val="37BF1123"/>
    <w:rsid w:val="383C3F15"/>
    <w:rsid w:val="38BE4696"/>
    <w:rsid w:val="3939115E"/>
    <w:rsid w:val="394C4C39"/>
    <w:rsid w:val="39B82A39"/>
    <w:rsid w:val="39C42CA8"/>
    <w:rsid w:val="39DC4FD6"/>
    <w:rsid w:val="39E6508D"/>
    <w:rsid w:val="39F03D7A"/>
    <w:rsid w:val="39F33306"/>
    <w:rsid w:val="3A2C1C67"/>
    <w:rsid w:val="3AEA23C2"/>
    <w:rsid w:val="3B1705E5"/>
    <w:rsid w:val="3B18334B"/>
    <w:rsid w:val="3B36794F"/>
    <w:rsid w:val="3C566AD6"/>
    <w:rsid w:val="3C6A5B02"/>
    <w:rsid w:val="3D2757A1"/>
    <w:rsid w:val="3D3D4FC4"/>
    <w:rsid w:val="3DDF3AB1"/>
    <w:rsid w:val="3E1D0952"/>
    <w:rsid w:val="3E42660A"/>
    <w:rsid w:val="3E7555B1"/>
    <w:rsid w:val="3E76A776"/>
    <w:rsid w:val="3E787ED9"/>
    <w:rsid w:val="3EEC37F3"/>
    <w:rsid w:val="3F032E93"/>
    <w:rsid w:val="3F0527E5"/>
    <w:rsid w:val="3F694D83"/>
    <w:rsid w:val="3F885DCC"/>
    <w:rsid w:val="3FCD675E"/>
    <w:rsid w:val="4004000C"/>
    <w:rsid w:val="411B6CE5"/>
    <w:rsid w:val="412070D7"/>
    <w:rsid w:val="41314E40"/>
    <w:rsid w:val="41373BE6"/>
    <w:rsid w:val="41E0734B"/>
    <w:rsid w:val="426554D0"/>
    <w:rsid w:val="426C1EA8"/>
    <w:rsid w:val="42736402"/>
    <w:rsid w:val="42C2363C"/>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4C257C"/>
    <w:rsid w:val="578867FC"/>
    <w:rsid w:val="5842572D"/>
    <w:rsid w:val="595B6AA6"/>
    <w:rsid w:val="5A3B59D6"/>
    <w:rsid w:val="5A64198B"/>
    <w:rsid w:val="5AD134D8"/>
    <w:rsid w:val="5B6503B1"/>
    <w:rsid w:val="5C263CE4"/>
    <w:rsid w:val="5C5D2777"/>
    <w:rsid w:val="5CF66BF3"/>
    <w:rsid w:val="5D290C69"/>
    <w:rsid w:val="5E7F3237"/>
    <w:rsid w:val="5F2D4A41"/>
    <w:rsid w:val="60B30F76"/>
    <w:rsid w:val="60C74F6C"/>
    <w:rsid w:val="60F5158E"/>
    <w:rsid w:val="61025A59"/>
    <w:rsid w:val="613D5BBC"/>
    <w:rsid w:val="61536C39"/>
    <w:rsid w:val="62944DD7"/>
    <w:rsid w:val="6319381F"/>
    <w:rsid w:val="63236436"/>
    <w:rsid w:val="634E6F01"/>
    <w:rsid w:val="63C25DC5"/>
    <w:rsid w:val="63C62057"/>
    <w:rsid w:val="63CD3810"/>
    <w:rsid w:val="64571EF5"/>
    <w:rsid w:val="64F34037"/>
    <w:rsid w:val="64FB113D"/>
    <w:rsid w:val="656152C6"/>
    <w:rsid w:val="6587477F"/>
    <w:rsid w:val="658C3A08"/>
    <w:rsid w:val="65C031CA"/>
    <w:rsid w:val="65CE6852"/>
    <w:rsid w:val="66267C04"/>
    <w:rsid w:val="663F505A"/>
    <w:rsid w:val="66967186"/>
    <w:rsid w:val="66EE5541"/>
    <w:rsid w:val="670F0ED0"/>
    <w:rsid w:val="67924660"/>
    <w:rsid w:val="68407834"/>
    <w:rsid w:val="68594AF9"/>
    <w:rsid w:val="6883293E"/>
    <w:rsid w:val="688412AD"/>
    <w:rsid w:val="68EB1B71"/>
    <w:rsid w:val="69475C96"/>
    <w:rsid w:val="6AAD2300"/>
    <w:rsid w:val="6AC2306D"/>
    <w:rsid w:val="6B474EF5"/>
    <w:rsid w:val="6BBF53FD"/>
    <w:rsid w:val="6C560CAE"/>
    <w:rsid w:val="6C576495"/>
    <w:rsid w:val="6CF36D2F"/>
    <w:rsid w:val="6D903FF5"/>
    <w:rsid w:val="6DA87988"/>
    <w:rsid w:val="6DA955B8"/>
    <w:rsid w:val="6DE346AB"/>
    <w:rsid w:val="6DE5391A"/>
    <w:rsid w:val="6EFD1324"/>
    <w:rsid w:val="6F5A53AC"/>
    <w:rsid w:val="6FAC003D"/>
    <w:rsid w:val="6FBC9555"/>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AB23BF5"/>
    <w:rsid w:val="7B420052"/>
    <w:rsid w:val="7B5829EE"/>
    <w:rsid w:val="7B861484"/>
    <w:rsid w:val="7BD06A28"/>
    <w:rsid w:val="7C3A7C0B"/>
    <w:rsid w:val="7C5248E4"/>
    <w:rsid w:val="7C566698"/>
    <w:rsid w:val="7C5866A3"/>
    <w:rsid w:val="7D7406BB"/>
    <w:rsid w:val="7DE94331"/>
    <w:rsid w:val="7E977CD1"/>
    <w:rsid w:val="7F446A19"/>
    <w:rsid w:val="7F7452B9"/>
    <w:rsid w:val="DF7C3849"/>
    <w:rsid w:val="EF6BEE47"/>
    <w:rsid w:val="F7BFA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12049</Words>
  <Characters>15043</Characters>
  <Lines>194</Lines>
  <Paragraphs>54</Paragraphs>
  <TotalTime>269</TotalTime>
  <ScaleCrop>false</ScaleCrop>
  <LinksUpToDate>false</LinksUpToDate>
  <CharactersWithSpaces>16276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Administrator</cp:lastModifiedBy>
  <dcterms:modified xsi:type="dcterms:W3CDTF">2026-05-08T03:28:09Z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8342BBE9A67948B7BAF39375ABD82CEF_13</vt:lpwstr>
  </property>
</Properties>
</file>