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C8" w:rsidRDefault="00A26EC8" w:rsidP="00A26EC8">
      <w:pPr>
        <w:spacing w:line="600" w:lineRule="exact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附件3</w:t>
      </w:r>
    </w:p>
    <w:p w:rsidR="00962335" w:rsidRDefault="008418A3">
      <w:pPr>
        <w:spacing w:line="600" w:lineRule="exact"/>
        <w:ind w:firstLineChars="1600" w:firstLine="5760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健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t>康学校评价参考标准</w:t>
      </w:r>
    </w:p>
    <w:tbl>
      <w:tblPr>
        <w:tblW w:w="143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1692"/>
        <w:gridCol w:w="4961"/>
        <w:gridCol w:w="4556"/>
        <w:gridCol w:w="680"/>
        <w:gridCol w:w="1142"/>
      </w:tblGrid>
      <w:tr w:rsidR="00962335">
        <w:trPr>
          <w:trHeight w:val="270"/>
          <w:tblHeader/>
        </w:trPr>
        <w:tc>
          <w:tcPr>
            <w:tcW w:w="1300" w:type="dxa"/>
            <w:vAlign w:val="center"/>
          </w:tcPr>
          <w:p w:rsidR="00962335" w:rsidRDefault="008418A3">
            <w:pPr>
              <w:spacing w:line="600" w:lineRule="exact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Cs w:val="21"/>
              </w:rPr>
              <w:t>一级指标</w:t>
            </w:r>
          </w:p>
        </w:tc>
        <w:tc>
          <w:tcPr>
            <w:tcW w:w="1692" w:type="dxa"/>
            <w:vAlign w:val="center"/>
          </w:tcPr>
          <w:p w:rsidR="00962335" w:rsidRDefault="008418A3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Cs w:val="21"/>
              </w:rPr>
              <w:t>二级指标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Cs w:val="21"/>
              </w:rPr>
              <w:t>指标内容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Cs w:val="21"/>
              </w:rPr>
              <w:t>评分标准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1142" w:type="dxa"/>
            <w:vAlign w:val="center"/>
          </w:tcPr>
          <w:p w:rsidR="00962335" w:rsidRDefault="008418A3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Cs w:val="21"/>
              </w:rPr>
              <w:t>考核方法</w:t>
            </w:r>
          </w:p>
        </w:tc>
      </w:tr>
      <w:tr w:rsidR="00962335">
        <w:trPr>
          <w:cantSplit/>
          <w:trHeight w:val="270"/>
        </w:trPr>
        <w:tc>
          <w:tcPr>
            <w:tcW w:w="1300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一、健康政策(15分)</w:t>
            </w: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承诺动员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学校公开承诺开展健康促进学校建设，宣传健康促进理念。动员全体师生广泛参加健康促进学校建设，主动促进自身健康。给师生提供参与学校管理的机会，定期听取意见和建议。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校内明显可见健康促进学校承诺或有关标识，得1分；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在全校开展动员，得1分。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查阅档案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听取汇报</w:t>
            </w:r>
          </w:p>
        </w:tc>
      </w:tr>
      <w:tr w:rsidR="00962335">
        <w:trPr>
          <w:cantSplit/>
          <w:trHeight w:val="27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组织管理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成立校长或分管校长为组长的健康促进学校工作领导小组，明确相关职能部门职责，定期召开例会。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校长为组长的领导小组得1分，副校长为组长的领导小组得0.5分；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领导小组每学年召开例会讨论健康促进学校工作满2次得1分。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将健康促进学校工作纳入学校重点工作，所需经费在学校公用经费中列支。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学校年度工作计划体现健康促进学校工作得1分；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财务表显示有健康促进学校建设经费得1分。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80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有专人负责健康促进学校工作，定期邀请专业机构开展专业培训，提高建设健康促进学校建设能力。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有专人负责得1分。接受过健康促进学校培训得1分。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102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制定健康促进学校工作计划，根据学校特点和学生主要健康问题，选择合适的健康问题作为切入点。整理收集工作记录，完成年度工作总结。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有健康促进学校计划得0.5分，计划合理、重点突出，得0.5分。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有详细建设过程记录得0.5分，有年度健康促进学校工作总结得0.5分。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5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制度建设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制定系列促进师生健康的政策、规章制度和管理措施。包括校内全面禁烟、食品安全、饮水和环境设施、合理安排课时、保障学生每天1小时体育活动时间、开设健康教育课、开展健康教育活动、提高学生健康素养、查验预防接种证、禁用违禁药物、确保学生安全、突发事件应急预案、困难学生帮扶等内容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学校制定促进学生健康的政策，每个政策得0.5分，最高5分。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965"/>
        </w:trPr>
        <w:tc>
          <w:tcPr>
            <w:tcW w:w="1300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二、学习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生活环境(20分)</w:t>
            </w: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环境卫生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学校环境整洁优美，无卫生死角，无安全隐患。 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使用卫生厕所并保持清洁。新建教学楼每层设厕所。女生15人一蹲位，男生30人一蹲位，有洗手设施。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校园无垃圾堆积，得1分。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随机进入一个厕所，数量够用得1分，清洁卫生得1分。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查阅档案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听取汇报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现场查看</w:t>
            </w:r>
          </w:p>
        </w:tc>
      </w:tr>
      <w:tr w:rsidR="00962335">
        <w:trPr>
          <w:cantSplit/>
          <w:trHeight w:val="79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无烟环境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符合无烟学校参考标准。校内无人吸烟，无烟头，无烟草销售和广告，有禁烟标识。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有禁止吸烟标识得1分，学校内无人吸烟得0.5分，无烟头得0.5分，无烟草销售和广告得1分。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117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教室设施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教室人均使用面积小学不低于1.15平方米,中学不低于1.12 平方米；前排课桌前缘与黑板不低于2 米；桌椅每人一席；教室应配备9盏以上40瓦荧光灯。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前排课桌前缘与黑板距离大于2 米，得1分。学生一人一桌椅，得1分。教室灯光明亮，得1分。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14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健康饮食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提供安全、合理的营养膳食，提供充足、安全的饮用水。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学生食堂三证齐全，有洗刷、消毒池等清洗设施，生熟分开。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提供来源安全的饮食得1分，膳食结构合理得1分。提供充足、安全的饮用水得1分。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学校食堂生熟分开得1分，厨房和就餐清洁卫生得1分。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7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潜能发展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成立不同类型的兴趣小组，开设艺术课程，为学生提供发挥个人潜能的机会，促进学生良好个性的发展。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每成立1个体育和艺术类兴趣班并定期组织活动得1分，最高3分。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1055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师生互爱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对困难学生提供适当的支持和帮助。如减免学费、捐款、心理支持等。不体罚辱骂学生，学生无打骂、斗殴行为，相互关心、信任和友好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对困难学生有具体的帮扶措施，每项措施得1分，最高2分。没有学生反映体罚、恶性斗殴事件，得1分。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860"/>
        </w:trPr>
        <w:tc>
          <w:tcPr>
            <w:tcW w:w="1300" w:type="dxa"/>
            <w:vMerge w:val="restart"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三、健康服务(20分)</w:t>
            </w: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卫生室/保健室和人员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寄宿制学校必须设立卫生室，非寄宿制学校可视学校规模设立卫生室或保健室。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寄宿制学校设立卫生室得3分，未设卫生室但有医院医生定点诊疗得2分。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查阅档案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听取汇报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现场查看</w:t>
            </w:r>
          </w:p>
        </w:tc>
      </w:tr>
      <w:tr w:rsidR="00962335">
        <w:trPr>
          <w:cantSplit/>
          <w:trHeight w:val="99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寄宿制学校或600名学生以上的非寄宿制学校应配备卫生专业技术人员，600名学生以下的非寄宿制学校应配备保健教师。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寄宿制学校或600名学生以上的非寄宿制学校，有卫生专业技术人员得3分，无专门人员但有医院医生定点定期来校诊疗得2分。</w:t>
            </w:r>
          </w:p>
        </w:tc>
        <w:tc>
          <w:tcPr>
            <w:tcW w:w="680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6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600名学生以下的非寄宿制学校有配备保健教师得3分。</w:t>
            </w:r>
          </w:p>
        </w:tc>
        <w:tc>
          <w:tcPr>
            <w:tcW w:w="68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5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卫生专业技术人员和保健教师应定期接受专业培训，为学生提供健康教育、医疗服务和心理辅导。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定期接受培训得1分.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定期为学生提供健康服务得1分。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7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健康管理和服务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建立学生健康管理机制。新生入学建立健康档案。每年组织师生健康体检，将健康评价结果告知学生和家长。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有学生健康档案得1分。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每年组织一次健康体检得1分。体检结果告知学生和家长得1分。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7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建立突发公共卫生事件、传染病、学生常见病与多发病管理机制。配合有关单位，开展传染病监测和学生常见病综合防治工作。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有突发公共卫生事件应急处理预案得1分；学校卫生数据报送及时得1分。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3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提醒学生到卫生行政部门指定机构接种常规疫苗和应急疫苗，儿童入学时查验预防接种证和接种记录。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查验疫苗接种卡，得1分。适时提醒学生接种疫苗得1分。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无集体性食物中毒和安全事故发生，无传染病暴发流行。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无集体性食物中毒和安全事故发生，得1分。无传染病暴发流行,得1分。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积极预防控制营养不良、视力不良、肥胖、龋齿、贫血等学生常见疾病。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有预防控制营养不良、视力不良、肥胖、龋齿、贫血等学生常见疾病的具体措施，每项措施0.5分，最高2分。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学生常见疾病发生率不高于当地平均水平得1分。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850"/>
        </w:trPr>
        <w:tc>
          <w:tcPr>
            <w:tcW w:w="1300" w:type="dxa"/>
            <w:vMerge w:val="restart"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四、健康素养(25分)</w:t>
            </w: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健康教育课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开设高质量的健康教育课程，每学期《体育与健康》等健康教育类课程中有6学时用于健康教育。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设健康教育课程得2分。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查阅档案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听取汇报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现场查看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现场访谈</w:t>
            </w:r>
          </w:p>
        </w:tc>
      </w:tr>
      <w:tr w:rsidR="00962335">
        <w:trPr>
          <w:cantSplit/>
          <w:trHeight w:val="73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采用规范的健康教育教材，教学过程中配合使用有针对性的课件和健康传播材料。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使用规范教材得2分。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使用健康传播材料得1分。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95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授课教师定期接受健康教育技能培训。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教师定期接受培训得1分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体育锻炼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体育课课时应达到小学1-2年级每周4学时，3-6年级和初中每周3课时，高中每周2课时。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课时数符合要求得2分。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65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体育锻炼时间和运动负荷应达到《中小学生体育锻炼运动负荷卫生标准（WS/T101-1998）》要求。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没有体育课当天安排1小时集体体育锻炼得1分。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5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40%以上学生达到《国家学生体质健康标准》良好以上等级，并逐年增长。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40%以上学生达到良好以上等级得2分。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心理健康教育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在《中小学心理健康教育指导纲要》指导下，根据不同年级学生生理、心理发育特点，开展特定主题的心理健康教育活动，提高学生心理健康素养。为有需求的学生提供心理信箱、心理咨询等渠道的心理援助。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每个班级都开展心理健康主题活动，得2分。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开展1次全校范围的主题活动，得1分。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有畅通的心理援助渠道得1分。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102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健康主题活动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在《中小学健康教育指导纲要》指导下，针对不同年级学生开展特定主题的健康教育活动，提高中小学生在健康行为与生活方式、疾病预防、心理健康、生长发育与青春期保健、安全应急与避险等5方面的知识和技能，提高学生健康素养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主题活动可包括专题班会、主题讲座、健康咨询、健康知识竞赛、演讲比赛、健康征文、健康绘画等形式。应配合使用健康教育材料。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每学期每开展一次主题明确、形式新颖、学生参与度高的健康主题活动得0.5分，最高5分。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65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健康素养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学生掌握一定的健康知识，具备基本的健康素养。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学生养成良好的健康行为习惯，注意个人卫生。指甲清洁、饭前便后洗手、读写姿势正确、正确做眼保健操、早晚刷牙、睡眠充足、不吸烟、不饮酒。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评估时随机进入一个班级，观察学生衣服整洁、手指清洁、读写姿势规范、眼保健操动作规范等情况，酌情赋分，最低0分，最高5分。</w:t>
            </w:r>
          </w:p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有条件的地区可开展专项健康素养测评。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65"/>
        </w:trPr>
        <w:tc>
          <w:tcPr>
            <w:tcW w:w="1300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五、社会互动(10分)</w:t>
            </w: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家校互动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定期召开健康教育主题家长会，为家长开设健康讲座，邀请家长参与学校健康教育活动，宣传健康促进学校理念，与家长保持良好的沟通，与家长共同促进学生健康。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项目期间，每召开1次至少覆盖一个年级的针对家长的健康主题家长会、家长健康讲座、亲子健康活动得0.5分，最高3分。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查阅档案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听取汇报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br/>
              <w:t>现场访谈</w:t>
            </w:r>
          </w:p>
        </w:tc>
      </w:tr>
      <w:tr w:rsidR="00962335">
        <w:trPr>
          <w:cantSplit/>
          <w:trHeight w:val="9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家校互动，开展家庭健康支持。如家庭饮食结构改善、家庭成员行为改善、家庭健身计划等。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家长响应学校号召开展家庭健康支持，酌情赋分，最高2分。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1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社区健康支持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争取政府和社区支持，共享体育文化场地、设施等资源。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学校与社区共享体育、文化资源，得1分。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575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学校周围环境清洁安静，有明显的交通提示。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学校周边环境整洁得1分，有交通提示得1分。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70"/>
        </w:trPr>
        <w:tc>
          <w:tcPr>
            <w:tcW w:w="13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与社区联合开展健康相关活动，每年至少组织学生参加两次社区健康实践。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每学期与社区联合开展有学生参加实践的健康主题活动，1次0.5分，最高2分。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730"/>
        </w:trPr>
        <w:tc>
          <w:tcPr>
            <w:tcW w:w="130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四、建设效果（10分）</w:t>
            </w: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目标人群评价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目标人群对健康促进工作支持、理解、满意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详见目标人群测评方案。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114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快速调查</w:t>
            </w:r>
          </w:p>
        </w:tc>
      </w:tr>
      <w:tr w:rsidR="00962335">
        <w:trPr>
          <w:cantSplit/>
          <w:trHeight w:val="805"/>
        </w:trPr>
        <w:tc>
          <w:tcPr>
            <w:tcW w:w="130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合计</w:t>
            </w:r>
          </w:p>
        </w:tc>
        <w:tc>
          <w:tcPr>
            <w:tcW w:w="169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100</w:t>
            </w:r>
          </w:p>
        </w:tc>
        <w:tc>
          <w:tcPr>
            <w:tcW w:w="1142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　</w:t>
            </w:r>
          </w:p>
        </w:tc>
      </w:tr>
    </w:tbl>
    <w:p w:rsidR="00962335" w:rsidRDefault="00962335">
      <w:pPr>
        <w:spacing w:line="280" w:lineRule="exact"/>
        <w:rPr>
          <w:rFonts w:ascii="方正仿宋_GBK" w:eastAsia="方正仿宋_GBK" w:hAnsi="方正仿宋_GBK" w:cs="方正仿宋_GBK"/>
          <w:color w:val="000000"/>
          <w:szCs w:val="21"/>
        </w:rPr>
      </w:pPr>
    </w:p>
    <w:p w:rsidR="00962335" w:rsidRDefault="008418A3">
      <w:pPr>
        <w:spacing w:line="28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说明：</w:t>
      </w:r>
    </w:p>
    <w:p w:rsidR="00962335" w:rsidRDefault="008418A3">
      <w:pPr>
        <w:spacing w:line="28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1.开设健康教育课、无烟学校、无集体性食物中毒和安全事故是健康促进学校的前提条件。</w:t>
      </w:r>
    </w:p>
    <w:p w:rsidR="00962335" w:rsidRPr="00CA6DE5" w:rsidRDefault="008418A3" w:rsidP="00CA6DE5">
      <w:pPr>
        <w:spacing w:line="280" w:lineRule="exact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2.健康促进学校评价标准采取百分制，现场评估达到分及以上，认为达到健康促进学校标准。</w:t>
      </w:r>
    </w:p>
    <w:sectPr w:rsidR="00962335" w:rsidRPr="00CA6DE5" w:rsidSect="00CA6DE5">
      <w:pgSz w:w="16838" w:h="11906" w:orient="landscape"/>
      <w:pgMar w:top="2098" w:right="1587" w:bottom="2098" w:left="1587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35" w:rsidRDefault="00962335" w:rsidP="00962335">
      <w:r>
        <w:separator/>
      </w:r>
    </w:p>
  </w:endnote>
  <w:endnote w:type="continuationSeparator" w:id="0">
    <w:p w:rsidR="00962335" w:rsidRDefault="00962335" w:rsidP="0096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35" w:rsidRDefault="00962335" w:rsidP="00962335">
      <w:r>
        <w:separator/>
      </w:r>
    </w:p>
  </w:footnote>
  <w:footnote w:type="continuationSeparator" w:id="0">
    <w:p w:rsidR="00962335" w:rsidRDefault="00962335" w:rsidP="00962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47C64F"/>
    <w:multiLevelType w:val="singleLevel"/>
    <w:tmpl w:val="C747C64F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mMjkwZDc2NzI1NzM5ZDI4NTE3NGI4NDViNmJhMDQifQ=="/>
  </w:docVars>
  <w:rsids>
    <w:rsidRoot w:val="63445A5C"/>
    <w:rsid w:val="00177E93"/>
    <w:rsid w:val="001A5FC5"/>
    <w:rsid w:val="00313569"/>
    <w:rsid w:val="00375841"/>
    <w:rsid w:val="00747965"/>
    <w:rsid w:val="007E4CA5"/>
    <w:rsid w:val="008418A3"/>
    <w:rsid w:val="00962335"/>
    <w:rsid w:val="00A26EC8"/>
    <w:rsid w:val="00CA6DE5"/>
    <w:rsid w:val="00D31D3B"/>
    <w:rsid w:val="00DA7099"/>
    <w:rsid w:val="00F54464"/>
    <w:rsid w:val="03634B61"/>
    <w:rsid w:val="05453514"/>
    <w:rsid w:val="071375C7"/>
    <w:rsid w:val="072B545A"/>
    <w:rsid w:val="08021DF0"/>
    <w:rsid w:val="08615753"/>
    <w:rsid w:val="0F2E1175"/>
    <w:rsid w:val="102B55AF"/>
    <w:rsid w:val="117017BF"/>
    <w:rsid w:val="13B011C1"/>
    <w:rsid w:val="15121DFF"/>
    <w:rsid w:val="1629525B"/>
    <w:rsid w:val="17932C57"/>
    <w:rsid w:val="17EB1239"/>
    <w:rsid w:val="18601EFF"/>
    <w:rsid w:val="188E78A4"/>
    <w:rsid w:val="18A312F5"/>
    <w:rsid w:val="18C140A9"/>
    <w:rsid w:val="1A11228E"/>
    <w:rsid w:val="1AB506E4"/>
    <w:rsid w:val="1AE175A3"/>
    <w:rsid w:val="1BC25D8A"/>
    <w:rsid w:val="1D0C2AEC"/>
    <w:rsid w:val="1F6D440A"/>
    <w:rsid w:val="1FA4005D"/>
    <w:rsid w:val="21780E44"/>
    <w:rsid w:val="24CF3471"/>
    <w:rsid w:val="25D65D0B"/>
    <w:rsid w:val="2613738E"/>
    <w:rsid w:val="288046D1"/>
    <w:rsid w:val="2AF810F3"/>
    <w:rsid w:val="2D7A3830"/>
    <w:rsid w:val="2EBC7077"/>
    <w:rsid w:val="32617353"/>
    <w:rsid w:val="34515C51"/>
    <w:rsid w:val="35BA2DA8"/>
    <w:rsid w:val="36883480"/>
    <w:rsid w:val="36DD7CB5"/>
    <w:rsid w:val="375D2459"/>
    <w:rsid w:val="376A1DCE"/>
    <w:rsid w:val="3B8E32E7"/>
    <w:rsid w:val="3D750467"/>
    <w:rsid w:val="3F2323F3"/>
    <w:rsid w:val="41594397"/>
    <w:rsid w:val="42C143D9"/>
    <w:rsid w:val="4401095D"/>
    <w:rsid w:val="44436F79"/>
    <w:rsid w:val="481F39D0"/>
    <w:rsid w:val="4B2D1D3D"/>
    <w:rsid w:val="4DB6197A"/>
    <w:rsid w:val="4DE45275"/>
    <w:rsid w:val="4EFB6A8D"/>
    <w:rsid w:val="50FD7058"/>
    <w:rsid w:val="52993D88"/>
    <w:rsid w:val="53FC12DE"/>
    <w:rsid w:val="54442C85"/>
    <w:rsid w:val="577A5B49"/>
    <w:rsid w:val="59771406"/>
    <w:rsid w:val="59941FB8"/>
    <w:rsid w:val="5A9A745C"/>
    <w:rsid w:val="5D2F37B9"/>
    <w:rsid w:val="5DC30021"/>
    <w:rsid w:val="5F562D33"/>
    <w:rsid w:val="5FDE5E1C"/>
    <w:rsid w:val="60247A82"/>
    <w:rsid w:val="60DE3C10"/>
    <w:rsid w:val="62C236F2"/>
    <w:rsid w:val="63445A5C"/>
    <w:rsid w:val="641B67AC"/>
    <w:rsid w:val="69CC4625"/>
    <w:rsid w:val="6BC93D43"/>
    <w:rsid w:val="6FBB18A6"/>
    <w:rsid w:val="71030531"/>
    <w:rsid w:val="71C034F3"/>
    <w:rsid w:val="71C04C7A"/>
    <w:rsid w:val="73B94EBB"/>
    <w:rsid w:val="73E3796C"/>
    <w:rsid w:val="75436915"/>
    <w:rsid w:val="77ED3F6F"/>
    <w:rsid w:val="77F739E6"/>
    <w:rsid w:val="780A6ED9"/>
    <w:rsid w:val="78355A6C"/>
    <w:rsid w:val="7FBE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uiPriority="99" w:unhideWhenUsed="1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623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962335"/>
  </w:style>
  <w:style w:type="paragraph" w:styleId="5">
    <w:name w:val="toc 5"/>
    <w:basedOn w:val="a"/>
    <w:next w:val="a"/>
    <w:qFormat/>
    <w:rsid w:val="00962335"/>
    <w:pPr>
      <w:ind w:leftChars="800" w:left="1680"/>
    </w:pPr>
  </w:style>
  <w:style w:type="paragraph" w:styleId="a4">
    <w:name w:val="Date"/>
    <w:basedOn w:val="a"/>
    <w:next w:val="a"/>
    <w:uiPriority w:val="99"/>
    <w:unhideWhenUsed/>
    <w:qFormat/>
    <w:rsid w:val="00962335"/>
    <w:pPr>
      <w:ind w:leftChars="2500" w:left="100"/>
    </w:pPr>
    <w:rPr>
      <w:rFonts w:ascii="Times New Roman" w:hAnsi="Times New Roman"/>
      <w:szCs w:val="24"/>
    </w:rPr>
  </w:style>
  <w:style w:type="paragraph" w:styleId="a5">
    <w:name w:val="footer"/>
    <w:basedOn w:val="a"/>
    <w:link w:val="Char"/>
    <w:qFormat/>
    <w:rsid w:val="0096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6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62335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uiPriority w:val="99"/>
    <w:qFormat/>
    <w:rsid w:val="00962335"/>
    <w:pPr>
      <w:ind w:firstLineChars="100" w:firstLine="420"/>
    </w:pPr>
  </w:style>
  <w:style w:type="table" w:styleId="a9">
    <w:name w:val="Table Grid"/>
    <w:basedOn w:val="a2"/>
    <w:qFormat/>
    <w:rsid w:val="00962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sid w:val="00962335"/>
    <w:rPr>
      <w:color w:val="0000FF"/>
      <w:u w:val="single"/>
    </w:rPr>
  </w:style>
  <w:style w:type="character" w:customStyle="1" w:styleId="Char0">
    <w:name w:val="页眉 Char"/>
    <w:basedOn w:val="a1"/>
    <w:link w:val="a6"/>
    <w:qFormat/>
    <w:rsid w:val="0096233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9623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577</Words>
  <Characters>3295</Characters>
  <Application>Microsoft Office Word</Application>
  <DocSecurity>0</DocSecurity>
  <Lines>27</Lines>
  <Paragraphs>7</Paragraphs>
  <ScaleCrop>false</ScaleCrop>
  <Company>china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安静</dc:creator>
  <cp:lastModifiedBy>xbany</cp:lastModifiedBy>
  <cp:revision>11</cp:revision>
  <cp:lastPrinted>2022-06-29T09:05:00Z</cp:lastPrinted>
  <dcterms:created xsi:type="dcterms:W3CDTF">2020-09-08T07:34:00Z</dcterms:created>
  <dcterms:modified xsi:type="dcterms:W3CDTF">2022-07-28T03:55:00Z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4A31058C187E48BCB04E815214D12826</vt:lpwstr>
  </property>
</Properties>
</file>