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C5" w:rsidRDefault="003732C5">
      <w:pPr>
        <w:spacing w:line="579" w:lineRule="exact"/>
        <w:rPr>
          <w:rFonts w:hint="eastAsia"/>
          <w:kern w:val="2"/>
          <w:szCs w:val="32"/>
        </w:rPr>
      </w:pPr>
    </w:p>
    <w:p w:rsidR="003732C5" w:rsidRDefault="003732C5">
      <w:pPr>
        <w:spacing w:line="579" w:lineRule="exact"/>
        <w:rPr>
          <w:kern w:val="2"/>
          <w:szCs w:val="32"/>
        </w:rPr>
      </w:pPr>
    </w:p>
    <w:p w:rsidR="003732C5" w:rsidRDefault="003732C5">
      <w:pPr>
        <w:spacing w:line="579" w:lineRule="exact"/>
        <w:rPr>
          <w:kern w:val="2"/>
          <w:szCs w:val="32"/>
        </w:rPr>
      </w:pPr>
    </w:p>
    <w:p w:rsidR="003732C5" w:rsidRDefault="003732C5">
      <w:pPr>
        <w:spacing w:line="579" w:lineRule="exact"/>
        <w:jc w:val="center"/>
        <w:rPr>
          <w:kern w:val="2"/>
          <w:szCs w:val="32"/>
        </w:rPr>
      </w:pPr>
    </w:p>
    <w:p w:rsidR="003732C5" w:rsidRDefault="006B46CB">
      <w:pPr>
        <w:spacing w:line="579" w:lineRule="exact"/>
        <w:jc w:val="center"/>
        <w:rPr>
          <w:rFonts w:eastAsia="方正楷体_GBK"/>
        </w:rPr>
      </w:pPr>
      <w:r>
        <w:t>城发改委发〔</w:t>
      </w:r>
      <w:r>
        <w:t>2021</w:t>
      </w:r>
      <w:r>
        <w:t>〕</w:t>
      </w:r>
      <w:r>
        <w:rPr>
          <w:rFonts w:hint="eastAsia"/>
        </w:rPr>
        <w:t>192</w:t>
      </w:r>
      <w:r>
        <w:t>号</w:t>
      </w:r>
    </w:p>
    <w:p w:rsidR="003732C5" w:rsidRDefault="003732C5">
      <w:pPr>
        <w:spacing w:line="579" w:lineRule="exact"/>
        <w:jc w:val="center"/>
      </w:pPr>
    </w:p>
    <w:p w:rsidR="003732C5" w:rsidRDefault="003732C5">
      <w:pPr>
        <w:spacing w:line="560" w:lineRule="exact"/>
        <w:jc w:val="center"/>
      </w:pPr>
    </w:p>
    <w:p w:rsidR="003732C5" w:rsidRDefault="006B46CB">
      <w:pPr>
        <w:spacing w:line="560" w:lineRule="exact"/>
        <w:jc w:val="center"/>
        <w:rPr>
          <w:rFonts w:eastAsia="方正小标宋_GBK"/>
          <w:sz w:val="44"/>
          <w:szCs w:val="44"/>
        </w:rPr>
      </w:pPr>
      <w:r>
        <w:rPr>
          <w:rFonts w:eastAsia="方正小标宋_GBK"/>
          <w:sz w:val="44"/>
          <w:szCs w:val="44"/>
        </w:rPr>
        <w:t>城口县发展和改革委员会</w:t>
      </w:r>
    </w:p>
    <w:p w:rsidR="003732C5" w:rsidRDefault="006B46CB">
      <w:pPr>
        <w:spacing w:line="560" w:lineRule="exact"/>
        <w:jc w:val="center"/>
        <w:rPr>
          <w:rFonts w:eastAsia="方正小标宋_GBK"/>
          <w:sz w:val="44"/>
          <w:szCs w:val="44"/>
        </w:rPr>
      </w:pPr>
      <w:r>
        <w:rPr>
          <w:rFonts w:eastAsia="方正小标宋_GBK"/>
          <w:sz w:val="44"/>
          <w:szCs w:val="44"/>
        </w:rPr>
        <w:t>关于印发城口县城镇非居民用水超定额累进</w:t>
      </w:r>
    </w:p>
    <w:p w:rsidR="003732C5" w:rsidRDefault="006B46CB">
      <w:pPr>
        <w:spacing w:line="560" w:lineRule="exact"/>
        <w:jc w:val="center"/>
        <w:rPr>
          <w:rFonts w:eastAsia="方正小标宋_GBK"/>
          <w:sz w:val="44"/>
          <w:szCs w:val="44"/>
        </w:rPr>
      </w:pPr>
      <w:r>
        <w:rPr>
          <w:rFonts w:eastAsia="方正小标宋_GBK"/>
          <w:sz w:val="44"/>
          <w:szCs w:val="44"/>
        </w:rPr>
        <w:t>加价制度的通知</w:t>
      </w:r>
    </w:p>
    <w:p w:rsidR="003732C5" w:rsidRDefault="003732C5">
      <w:pPr>
        <w:snapToGrid w:val="0"/>
        <w:spacing w:line="560" w:lineRule="exact"/>
        <w:jc w:val="center"/>
        <w:rPr>
          <w:rFonts w:eastAsia="方正小标宋简体"/>
          <w:sz w:val="44"/>
          <w:szCs w:val="44"/>
        </w:rPr>
      </w:pPr>
    </w:p>
    <w:p w:rsidR="003732C5" w:rsidRDefault="006B46CB">
      <w:pPr>
        <w:spacing w:line="560" w:lineRule="exact"/>
        <w:rPr>
          <w:szCs w:val="32"/>
        </w:rPr>
      </w:pPr>
      <w:r>
        <w:rPr>
          <w:szCs w:val="32"/>
        </w:rPr>
        <w:t>各乡镇人民政府、街道办事处，</w:t>
      </w:r>
      <w:bookmarkStart w:id="0" w:name="_GoBack"/>
      <w:bookmarkEnd w:id="0"/>
      <w:r>
        <w:rPr>
          <w:szCs w:val="32"/>
        </w:rPr>
        <w:t>有关单位：</w:t>
      </w:r>
    </w:p>
    <w:p w:rsidR="003732C5" w:rsidRDefault="006B46CB">
      <w:pPr>
        <w:spacing w:line="560" w:lineRule="exact"/>
        <w:ind w:firstLineChars="200" w:firstLine="632"/>
        <w:rPr>
          <w:kern w:val="2"/>
          <w:szCs w:val="32"/>
        </w:rPr>
      </w:pPr>
      <w:r>
        <w:rPr>
          <w:kern w:val="2"/>
          <w:szCs w:val="32"/>
        </w:rPr>
        <w:t>《城口县城镇非居民用水超定额累进加价制度》已经县委、县政府同意，现印发给你们，请遵照执行。</w:t>
      </w:r>
    </w:p>
    <w:p w:rsidR="003732C5" w:rsidRDefault="006B46CB">
      <w:pPr>
        <w:spacing w:line="560" w:lineRule="exact"/>
        <w:ind w:firstLineChars="200" w:firstLine="632"/>
        <w:rPr>
          <w:szCs w:val="32"/>
        </w:rPr>
      </w:pPr>
      <w:r>
        <w:rPr>
          <w:szCs w:val="32"/>
        </w:rPr>
        <w:t>考虑疫情影响，为支持实体经济发展，对我县工商业用户暂缓执行，具体执行时间由县政府另行决定。</w:t>
      </w:r>
    </w:p>
    <w:p w:rsidR="003732C5" w:rsidRDefault="006B46CB">
      <w:pPr>
        <w:spacing w:line="560" w:lineRule="exact"/>
        <w:rPr>
          <w:szCs w:val="32"/>
        </w:rPr>
      </w:pPr>
      <w:r>
        <w:rPr>
          <w:szCs w:val="32"/>
        </w:rPr>
        <w:t xml:space="preserve">                      </w:t>
      </w:r>
    </w:p>
    <w:p w:rsidR="003732C5" w:rsidRDefault="006B46CB">
      <w:pPr>
        <w:spacing w:line="560" w:lineRule="exact"/>
        <w:ind w:firstLineChars="200" w:firstLine="632"/>
        <w:jc w:val="center"/>
        <w:rPr>
          <w:szCs w:val="32"/>
        </w:rPr>
      </w:pPr>
      <w:r>
        <w:rPr>
          <w:rFonts w:hint="eastAsia"/>
          <w:szCs w:val="32"/>
        </w:rPr>
        <w:t xml:space="preserve">                      </w:t>
      </w:r>
      <w:r>
        <w:rPr>
          <w:szCs w:val="32"/>
        </w:rPr>
        <w:t>城口县发展和改革委员会</w:t>
      </w:r>
    </w:p>
    <w:p w:rsidR="003732C5" w:rsidRDefault="006B46CB">
      <w:pPr>
        <w:spacing w:line="560" w:lineRule="exact"/>
        <w:rPr>
          <w:szCs w:val="32"/>
        </w:rPr>
        <w:sectPr w:rsidR="003732C5">
          <w:footerReference w:type="even" r:id="rId7"/>
          <w:footerReference w:type="default" r:id="rId8"/>
          <w:pgSz w:w="11906" w:h="16838"/>
          <w:pgMar w:top="2098" w:right="1474" w:bottom="1985" w:left="1588" w:header="851" w:footer="1587" w:gutter="0"/>
          <w:cols w:space="720"/>
          <w:docGrid w:type="linesAndChars" w:linePitch="579" w:charSpace="-849"/>
        </w:sectPr>
      </w:pPr>
      <w:r>
        <w:rPr>
          <w:szCs w:val="32"/>
        </w:rPr>
        <w:t xml:space="preserve">                                  2021</w:t>
      </w:r>
      <w:r>
        <w:rPr>
          <w:szCs w:val="32"/>
        </w:rPr>
        <w:t>年</w:t>
      </w:r>
      <w:r>
        <w:rPr>
          <w:szCs w:val="32"/>
        </w:rPr>
        <w:t>6</w:t>
      </w:r>
      <w:r>
        <w:rPr>
          <w:szCs w:val="32"/>
        </w:rPr>
        <w:t>月</w:t>
      </w:r>
      <w:r>
        <w:rPr>
          <w:rFonts w:hint="eastAsia"/>
          <w:szCs w:val="32"/>
        </w:rPr>
        <w:t>1</w:t>
      </w:r>
      <w:r>
        <w:rPr>
          <w:szCs w:val="32"/>
        </w:rPr>
        <w:t>日</w:t>
      </w:r>
    </w:p>
    <w:p w:rsidR="003732C5" w:rsidRDefault="006B46CB">
      <w:pPr>
        <w:spacing w:line="560" w:lineRule="exact"/>
        <w:jc w:val="center"/>
        <w:rPr>
          <w:rFonts w:eastAsia="方正小标宋_GBK"/>
          <w:sz w:val="44"/>
          <w:szCs w:val="44"/>
        </w:rPr>
      </w:pPr>
      <w:r>
        <w:rPr>
          <w:rFonts w:eastAsia="方正小标宋_GBK"/>
          <w:sz w:val="44"/>
          <w:szCs w:val="44"/>
        </w:rPr>
        <w:lastRenderedPageBreak/>
        <w:t>城口县城镇非居民用水超定额累进加价制度</w:t>
      </w:r>
    </w:p>
    <w:p w:rsidR="003732C5" w:rsidRDefault="003732C5">
      <w:pPr>
        <w:spacing w:line="560" w:lineRule="exact"/>
        <w:rPr>
          <w:szCs w:val="32"/>
        </w:rPr>
      </w:pPr>
    </w:p>
    <w:p w:rsidR="003732C5" w:rsidRDefault="006B46CB">
      <w:pPr>
        <w:spacing w:line="560" w:lineRule="exact"/>
        <w:ind w:firstLineChars="200" w:firstLine="632"/>
        <w:rPr>
          <w:szCs w:val="32"/>
        </w:rPr>
      </w:pPr>
      <w:r>
        <w:rPr>
          <w:szCs w:val="32"/>
        </w:rPr>
        <w:t>根据《国务院关于印发水污染防治行动计划的通知》（国发〔</w:t>
      </w:r>
      <w:r>
        <w:rPr>
          <w:szCs w:val="32"/>
        </w:rPr>
        <w:t>2015</w:t>
      </w:r>
      <w:r>
        <w:rPr>
          <w:szCs w:val="32"/>
        </w:rPr>
        <w:t>〕</w:t>
      </w:r>
      <w:r>
        <w:rPr>
          <w:szCs w:val="32"/>
        </w:rPr>
        <w:t xml:space="preserve">17 </w:t>
      </w:r>
      <w:r>
        <w:rPr>
          <w:szCs w:val="32"/>
        </w:rPr>
        <w:t>号）、《国家发展改革委</w:t>
      </w:r>
      <w:r>
        <w:rPr>
          <w:szCs w:val="32"/>
        </w:rPr>
        <w:t xml:space="preserve"> </w:t>
      </w:r>
      <w:r>
        <w:rPr>
          <w:szCs w:val="32"/>
        </w:rPr>
        <w:t>住房城乡建设部关于加快建立健全城镇非居民用水超定额累进加价制度的指导意见》（发改价格〔</w:t>
      </w:r>
      <w:r>
        <w:rPr>
          <w:szCs w:val="32"/>
        </w:rPr>
        <w:t>2017</w:t>
      </w:r>
      <w:r>
        <w:rPr>
          <w:szCs w:val="32"/>
        </w:rPr>
        <w:t>〕</w:t>
      </w:r>
      <w:r>
        <w:rPr>
          <w:szCs w:val="32"/>
        </w:rPr>
        <w:t xml:space="preserve">1792 </w:t>
      </w:r>
      <w:r>
        <w:rPr>
          <w:szCs w:val="32"/>
        </w:rPr>
        <w:t>号）、《重庆市物价局</w:t>
      </w:r>
      <w:r>
        <w:rPr>
          <w:szCs w:val="32"/>
        </w:rPr>
        <w:t xml:space="preserve"> </w:t>
      </w:r>
      <w:r>
        <w:rPr>
          <w:szCs w:val="32"/>
        </w:rPr>
        <w:t>重庆市城市管理局</w:t>
      </w:r>
      <w:r>
        <w:rPr>
          <w:szCs w:val="32"/>
        </w:rPr>
        <w:t xml:space="preserve"> </w:t>
      </w:r>
      <w:r>
        <w:rPr>
          <w:szCs w:val="32"/>
        </w:rPr>
        <w:t>重庆市经济和信息化委员会</w:t>
      </w:r>
      <w:r>
        <w:rPr>
          <w:szCs w:val="32"/>
        </w:rPr>
        <w:t xml:space="preserve"> </w:t>
      </w:r>
      <w:r>
        <w:rPr>
          <w:szCs w:val="32"/>
        </w:rPr>
        <w:t>重庆市水利局关于印发重庆市建立健全城镇非居民用水超定额累进加价制度实施方案的通知》（渝价〔</w:t>
      </w:r>
      <w:r>
        <w:rPr>
          <w:szCs w:val="32"/>
        </w:rPr>
        <w:t>2018</w:t>
      </w:r>
      <w:r>
        <w:rPr>
          <w:szCs w:val="32"/>
        </w:rPr>
        <w:t>〕</w:t>
      </w:r>
      <w:r>
        <w:rPr>
          <w:szCs w:val="32"/>
        </w:rPr>
        <w:t xml:space="preserve">117 </w:t>
      </w:r>
      <w:r>
        <w:rPr>
          <w:szCs w:val="32"/>
        </w:rPr>
        <w:t>号）精神，按照《重庆市发展和改革委员会关于印发中心城区非居民用水超定额累进加价制度的通知》（渝发改规范〔</w:t>
      </w:r>
      <w:r>
        <w:rPr>
          <w:szCs w:val="32"/>
        </w:rPr>
        <w:t>2020</w:t>
      </w:r>
      <w:r>
        <w:rPr>
          <w:szCs w:val="32"/>
        </w:rPr>
        <w:t>〕</w:t>
      </w:r>
      <w:r>
        <w:rPr>
          <w:szCs w:val="32"/>
        </w:rPr>
        <w:t xml:space="preserve">1 </w:t>
      </w:r>
      <w:r>
        <w:rPr>
          <w:szCs w:val="32"/>
        </w:rPr>
        <w:t>号）文件要求，建立我县城镇非居民用水超定额累进加价制度。</w:t>
      </w:r>
    </w:p>
    <w:p w:rsidR="003732C5" w:rsidRDefault="006B46CB">
      <w:pPr>
        <w:spacing w:line="560" w:lineRule="exact"/>
        <w:ind w:firstLineChars="200" w:firstLine="632"/>
        <w:rPr>
          <w:szCs w:val="32"/>
        </w:rPr>
      </w:pPr>
      <w:r>
        <w:rPr>
          <w:rFonts w:eastAsia="方正黑体_GBK"/>
          <w:szCs w:val="32"/>
        </w:rPr>
        <w:t>一、实施范围。</w:t>
      </w:r>
      <w:r>
        <w:rPr>
          <w:szCs w:val="32"/>
        </w:rPr>
        <w:t>葛城街道、复兴街道、修齐镇、高观镇、明通镇</w:t>
      </w:r>
      <w:r>
        <w:rPr>
          <w:szCs w:val="32"/>
        </w:rPr>
        <w:t>、庙坝镇、坪坝镇、巴山镇、高燕镇、东安镇、咸宜镇、高楠镇的城市公共供水管网供水的非居民用水户（包括经营性用水用户、行政事业性用水用户、生产性用水用户）。</w:t>
      </w:r>
    </w:p>
    <w:p w:rsidR="003732C5" w:rsidRDefault="006B46CB">
      <w:pPr>
        <w:spacing w:line="560" w:lineRule="exact"/>
        <w:ind w:firstLineChars="200" w:firstLine="632"/>
        <w:rPr>
          <w:szCs w:val="32"/>
        </w:rPr>
      </w:pPr>
      <w:r>
        <w:rPr>
          <w:rFonts w:eastAsia="方正黑体_GBK"/>
          <w:szCs w:val="32"/>
        </w:rPr>
        <w:t>二、分档水量和加价标准。</w:t>
      </w:r>
      <w:r>
        <w:rPr>
          <w:szCs w:val="32"/>
        </w:rPr>
        <w:t>参照重庆市中心城区非居民用水超定额累进加价制度确定的档位和加价标准，结合我县实际情况，同意严格按照市上出台的分档水量和加价标准执行，即：我县城镇非居民用水超定额累进加价水量分为三档：一档为定额内，按非居民分类用水综合水价标准执行；二档为超定额</w:t>
      </w:r>
      <w:r>
        <w:rPr>
          <w:szCs w:val="32"/>
        </w:rPr>
        <w:t xml:space="preserve"> 30%</w:t>
      </w:r>
      <w:r>
        <w:rPr>
          <w:szCs w:val="32"/>
        </w:rPr>
        <w:t>以内（不含</w:t>
      </w:r>
      <w:r>
        <w:rPr>
          <w:szCs w:val="32"/>
        </w:rPr>
        <w:t xml:space="preserve"> 30%</w:t>
      </w:r>
      <w:r>
        <w:rPr>
          <w:szCs w:val="32"/>
        </w:rPr>
        <w:t>），超过部分按分类用水综合水价扣减水资源费、污水处</w:t>
      </w:r>
      <w:r>
        <w:rPr>
          <w:szCs w:val="32"/>
        </w:rPr>
        <w:lastRenderedPageBreak/>
        <w:t>理费和各种附加后</w:t>
      </w:r>
      <w:r>
        <w:rPr>
          <w:szCs w:val="32"/>
        </w:rPr>
        <w:t>的价格（以下简称</w:t>
      </w:r>
      <w:r>
        <w:rPr>
          <w:szCs w:val="32"/>
        </w:rPr>
        <w:t>“</w:t>
      </w:r>
      <w:r>
        <w:rPr>
          <w:szCs w:val="32"/>
        </w:rPr>
        <w:t>基准供水价格</w:t>
      </w:r>
      <w:r>
        <w:rPr>
          <w:szCs w:val="32"/>
        </w:rPr>
        <w:t>”</w:t>
      </w:r>
      <w:r>
        <w:rPr>
          <w:szCs w:val="32"/>
        </w:rPr>
        <w:t>）标准加价</w:t>
      </w:r>
      <w:r>
        <w:rPr>
          <w:szCs w:val="32"/>
        </w:rPr>
        <w:t xml:space="preserve"> 0.5 </w:t>
      </w:r>
      <w:r>
        <w:rPr>
          <w:szCs w:val="32"/>
        </w:rPr>
        <w:t>倍执行；三档为超定额</w:t>
      </w:r>
      <w:r>
        <w:rPr>
          <w:szCs w:val="32"/>
        </w:rPr>
        <w:t xml:space="preserve"> 30%</w:t>
      </w:r>
      <w:r>
        <w:rPr>
          <w:szCs w:val="32"/>
        </w:rPr>
        <w:t>以上，超过部分按基准供水价格标准加价</w:t>
      </w:r>
      <w:r>
        <w:rPr>
          <w:szCs w:val="32"/>
        </w:rPr>
        <w:t xml:space="preserve"> 1 </w:t>
      </w:r>
      <w:r>
        <w:rPr>
          <w:szCs w:val="32"/>
        </w:rPr>
        <w:t>倍执行。</w:t>
      </w:r>
    </w:p>
    <w:p w:rsidR="003732C5" w:rsidRDefault="006B46CB">
      <w:pPr>
        <w:spacing w:line="560" w:lineRule="exact"/>
        <w:ind w:firstLineChars="200" w:firstLine="632"/>
        <w:rPr>
          <w:szCs w:val="32"/>
        </w:rPr>
      </w:pPr>
      <w:r>
        <w:rPr>
          <w:szCs w:val="32"/>
        </w:rPr>
        <w:t>为加快淘汰落后产能，促进产业结构转型升级，整改期内的落后产能企业用水超定额累进加价水量分为三档：一档为定额内，按非居民分类用水综合水价标准执行；二档为超定额</w:t>
      </w:r>
      <w:r>
        <w:rPr>
          <w:szCs w:val="32"/>
        </w:rPr>
        <w:t xml:space="preserve"> 30%</w:t>
      </w:r>
      <w:r>
        <w:rPr>
          <w:szCs w:val="32"/>
        </w:rPr>
        <w:t>以内（不含</w:t>
      </w:r>
      <w:r>
        <w:rPr>
          <w:szCs w:val="32"/>
        </w:rPr>
        <w:t xml:space="preserve"> 30%</w:t>
      </w:r>
      <w:r>
        <w:rPr>
          <w:szCs w:val="32"/>
        </w:rPr>
        <w:t>），超过部分按基准供水价格标准加价</w:t>
      </w:r>
      <w:r>
        <w:rPr>
          <w:szCs w:val="32"/>
        </w:rPr>
        <w:t xml:space="preserve"> 1 </w:t>
      </w:r>
      <w:r>
        <w:rPr>
          <w:szCs w:val="32"/>
        </w:rPr>
        <w:t>倍执行；三档为超定额</w:t>
      </w:r>
      <w:r>
        <w:rPr>
          <w:szCs w:val="32"/>
        </w:rPr>
        <w:t xml:space="preserve"> 30%</w:t>
      </w:r>
      <w:r>
        <w:rPr>
          <w:szCs w:val="32"/>
        </w:rPr>
        <w:t>以上，超过部分按基准供水价格标准加价</w:t>
      </w:r>
      <w:r>
        <w:rPr>
          <w:szCs w:val="32"/>
        </w:rPr>
        <w:t xml:space="preserve"> 1.5</w:t>
      </w:r>
      <w:r>
        <w:rPr>
          <w:szCs w:val="32"/>
        </w:rPr>
        <w:t>倍执行。整改期内落后产能企业名单由县经济信息委提供。</w:t>
      </w:r>
    </w:p>
    <w:p w:rsidR="003732C5" w:rsidRDefault="006B46CB">
      <w:pPr>
        <w:spacing w:line="560" w:lineRule="exact"/>
        <w:ind w:firstLineChars="200" w:firstLine="632"/>
        <w:rPr>
          <w:szCs w:val="32"/>
        </w:rPr>
      </w:pPr>
      <w:r>
        <w:rPr>
          <w:rFonts w:eastAsia="方正黑体_GBK"/>
          <w:szCs w:val="32"/>
        </w:rPr>
        <w:t>三、定额管理标准。</w:t>
      </w:r>
      <w:r>
        <w:rPr>
          <w:szCs w:val="32"/>
        </w:rPr>
        <w:t>非居民用水定额</w:t>
      </w:r>
      <w:r>
        <w:rPr>
          <w:szCs w:val="32"/>
        </w:rPr>
        <w:t>按照我市颁布的各行业用水定额标准核定，各行业用水定额标准由市行业主管部门及时修订完善，按程序审核发布实施。非居民超定额用水由城市供水主管部门会同行业主管部门、供水企业核定。</w:t>
      </w:r>
    </w:p>
    <w:p w:rsidR="003732C5" w:rsidRDefault="006B46CB">
      <w:pPr>
        <w:spacing w:line="560" w:lineRule="exact"/>
        <w:ind w:firstLineChars="200" w:firstLine="632"/>
        <w:rPr>
          <w:szCs w:val="32"/>
        </w:rPr>
      </w:pPr>
      <w:r>
        <w:rPr>
          <w:rFonts w:eastAsia="方正黑体_GBK"/>
          <w:szCs w:val="32"/>
        </w:rPr>
        <w:t>四、计费周期。</w:t>
      </w:r>
      <w:r>
        <w:rPr>
          <w:szCs w:val="32"/>
        </w:rPr>
        <w:t>以年度作为一个计费周期。</w:t>
      </w:r>
    </w:p>
    <w:p w:rsidR="003732C5" w:rsidRDefault="006B46CB">
      <w:pPr>
        <w:spacing w:line="560" w:lineRule="exact"/>
        <w:ind w:firstLineChars="200" w:firstLine="632"/>
        <w:rPr>
          <w:szCs w:val="32"/>
        </w:rPr>
      </w:pPr>
      <w:r>
        <w:rPr>
          <w:rFonts w:eastAsia="方正黑体_GBK"/>
          <w:szCs w:val="32"/>
        </w:rPr>
        <w:t>五、资金用途。</w:t>
      </w:r>
      <w:r>
        <w:rPr>
          <w:szCs w:val="32"/>
        </w:rPr>
        <w:t>严格按照《国家发展改革委</w:t>
      </w:r>
      <w:r>
        <w:rPr>
          <w:szCs w:val="32"/>
        </w:rPr>
        <w:t xml:space="preserve"> </w:t>
      </w:r>
      <w:r>
        <w:rPr>
          <w:szCs w:val="32"/>
        </w:rPr>
        <w:t>住房城乡建设部关于加快建立健全城镇非居民用水超定额累进加价制度的指导意见》（发改价格〔</w:t>
      </w:r>
      <w:r>
        <w:rPr>
          <w:szCs w:val="32"/>
        </w:rPr>
        <w:t>2017</w:t>
      </w:r>
      <w:r>
        <w:rPr>
          <w:szCs w:val="32"/>
        </w:rPr>
        <w:t>〕</w:t>
      </w:r>
      <w:r>
        <w:rPr>
          <w:szCs w:val="32"/>
        </w:rPr>
        <w:t xml:space="preserve">1792 </w:t>
      </w:r>
      <w:r>
        <w:rPr>
          <w:szCs w:val="32"/>
        </w:rPr>
        <w:t>号）精神，非居民超定额用水累进加价形成的收入坚持</w:t>
      </w:r>
      <w:r>
        <w:rPr>
          <w:szCs w:val="32"/>
        </w:rPr>
        <w:t>“</w:t>
      </w:r>
      <w:r>
        <w:rPr>
          <w:szCs w:val="32"/>
        </w:rPr>
        <w:t>取之于水，用之于水</w:t>
      </w:r>
      <w:r>
        <w:rPr>
          <w:szCs w:val="32"/>
        </w:rPr>
        <w:t>”</w:t>
      </w:r>
      <w:r>
        <w:rPr>
          <w:szCs w:val="32"/>
        </w:rPr>
        <w:t>，主要用于供水企业管网及户表改造、完善计量设施和水质提升等，也可提取一定比例对节水</w:t>
      </w:r>
      <w:r>
        <w:rPr>
          <w:szCs w:val="32"/>
        </w:rPr>
        <w:t>成效突出的企业进行奖励，用于企业节水技术改造、节水技术工艺推广等。我县城镇非居民用水超定额累进加价资金收取和使用管理办法由县住房城乡建委另行制定。</w:t>
      </w:r>
    </w:p>
    <w:p w:rsidR="003732C5" w:rsidRDefault="006B46CB">
      <w:pPr>
        <w:spacing w:line="560" w:lineRule="exact"/>
        <w:ind w:firstLineChars="200" w:firstLine="632"/>
        <w:rPr>
          <w:rFonts w:eastAsia="方正黑体_GBK"/>
          <w:szCs w:val="32"/>
        </w:rPr>
      </w:pPr>
      <w:r>
        <w:rPr>
          <w:rFonts w:eastAsia="方正黑体_GBK"/>
          <w:szCs w:val="32"/>
        </w:rPr>
        <w:lastRenderedPageBreak/>
        <w:t>六、工作要求</w:t>
      </w:r>
    </w:p>
    <w:p w:rsidR="003732C5" w:rsidRDefault="006B46CB">
      <w:pPr>
        <w:pStyle w:val="a8"/>
        <w:shd w:val="clear" w:color="auto" w:fill="FFFFFF"/>
        <w:spacing w:beforeAutospacing="0" w:afterAutospacing="0" w:line="560" w:lineRule="exact"/>
        <w:ind w:firstLineChars="200" w:firstLine="632"/>
        <w:rPr>
          <w:rFonts w:ascii="Times New Roman" w:eastAsia="方正仿宋_GBK" w:hAnsi="Times New Roman" w:cs="Times New Roman"/>
          <w:sz w:val="32"/>
          <w:szCs w:val="32"/>
        </w:rPr>
      </w:pPr>
      <w:r>
        <w:rPr>
          <w:rFonts w:ascii="Times New Roman" w:eastAsia="方正楷体_GBK" w:hAnsi="Times New Roman" w:cs="Times New Roman"/>
          <w:sz w:val="32"/>
          <w:szCs w:val="32"/>
        </w:rPr>
        <w:t>（一）强化组织保障。</w:t>
      </w:r>
      <w:r>
        <w:rPr>
          <w:rFonts w:ascii="Times New Roman" w:eastAsia="方正仿宋_GBK" w:hAnsi="Times New Roman" w:cs="Times New Roman"/>
          <w:sz w:val="32"/>
          <w:szCs w:val="32"/>
        </w:rPr>
        <w:t>实施非居民用水超定额累进加价制度是发挥价格机制在水资源配置中的调节作用，引导非居民用户提高节水意识，推动供给侧结构性改革和绿色发展的重要举措。各乡镇、街道</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有关部门要高度重视，加强组织领导，强化部门协作，完善工作机制，确保非居民用水超定额累进加价制度的顺利实施。</w:t>
      </w:r>
    </w:p>
    <w:p w:rsidR="003732C5" w:rsidRDefault="006B46CB">
      <w:pPr>
        <w:pStyle w:val="a8"/>
        <w:shd w:val="clear" w:color="auto" w:fill="FFFFFF"/>
        <w:spacing w:beforeAutospacing="0" w:afterAutospacing="0" w:line="560" w:lineRule="exact"/>
        <w:ind w:firstLineChars="200" w:firstLine="632"/>
        <w:rPr>
          <w:rFonts w:ascii="Times New Roman" w:eastAsia="方正仿宋_GBK" w:hAnsi="Times New Roman" w:cs="Times New Roman"/>
          <w:sz w:val="32"/>
          <w:szCs w:val="32"/>
        </w:rPr>
      </w:pPr>
      <w:r>
        <w:rPr>
          <w:rFonts w:ascii="Times New Roman" w:eastAsia="方正楷体_GBK" w:hAnsi="Times New Roman" w:cs="Times New Roman"/>
          <w:sz w:val="32"/>
          <w:szCs w:val="32"/>
        </w:rPr>
        <w:t>（二）完善配套措施。</w:t>
      </w:r>
      <w:r>
        <w:rPr>
          <w:rFonts w:ascii="Times New Roman" w:eastAsia="方正仿宋_GBK" w:hAnsi="Times New Roman" w:cs="Times New Roman"/>
          <w:sz w:val="32"/>
          <w:szCs w:val="32"/>
        </w:rPr>
        <w:t>供水主管部门、供水企业要加快完善用水计量设施，不断提高用水计量效率和精准度，推进信息化系统建设，逐步实现数据采集、定额核定等智能化管理，为非居民用水超定额累进加价制度全面落地提供有利条件。</w:t>
      </w:r>
    </w:p>
    <w:p w:rsidR="003732C5" w:rsidRDefault="006B46CB">
      <w:pPr>
        <w:spacing w:line="560" w:lineRule="exact"/>
        <w:ind w:firstLineChars="200" w:firstLine="632"/>
        <w:rPr>
          <w:rFonts w:eastAsia="方正黑体_GBK"/>
          <w:szCs w:val="32"/>
        </w:rPr>
      </w:pPr>
      <w:r>
        <w:rPr>
          <w:rFonts w:eastAsia="方正楷体_GBK"/>
          <w:szCs w:val="32"/>
        </w:rPr>
        <w:t>（三）强化宣传引导。</w:t>
      </w:r>
      <w:r>
        <w:rPr>
          <w:szCs w:val="32"/>
        </w:rPr>
        <w:t>各乡镇、街道</w:t>
      </w:r>
      <w:r>
        <w:rPr>
          <w:rFonts w:hint="eastAsia"/>
          <w:szCs w:val="32"/>
        </w:rPr>
        <w:t>，</w:t>
      </w:r>
      <w:r>
        <w:rPr>
          <w:szCs w:val="32"/>
        </w:rPr>
        <w:t>有关部门要做好政策解读，宣传引导各用水主体树立节水观念，提高节水自觉性，推动非居民用水超定额累进加价制度实施取得实效。</w:t>
      </w:r>
    </w:p>
    <w:p w:rsidR="003732C5" w:rsidRDefault="006B46CB">
      <w:pPr>
        <w:spacing w:line="560" w:lineRule="exact"/>
        <w:ind w:firstLineChars="200" w:firstLine="632"/>
        <w:rPr>
          <w:szCs w:val="32"/>
        </w:rPr>
      </w:pPr>
      <w:r>
        <w:rPr>
          <w:rFonts w:eastAsia="方正黑体_GBK"/>
          <w:szCs w:val="32"/>
        </w:rPr>
        <w:t>七、执行时间。</w:t>
      </w:r>
      <w:r>
        <w:rPr>
          <w:szCs w:val="32"/>
        </w:rPr>
        <w:t>自发文之日起执行。</w:t>
      </w:r>
    </w:p>
    <w:p w:rsidR="003732C5" w:rsidRDefault="003732C5">
      <w:pPr>
        <w:spacing w:line="560" w:lineRule="exact"/>
        <w:rPr>
          <w:szCs w:val="32"/>
        </w:rPr>
      </w:pPr>
    </w:p>
    <w:p w:rsidR="003732C5" w:rsidRDefault="003732C5">
      <w:pPr>
        <w:spacing w:line="560" w:lineRule="exact"/>
        <w:rPr>
          <w:szCs w:val="32"/>
        </w:rPr>
      </w:pPr>
    </w:p>
    <w:p w:rsidR="003732C5" w:rsidRDefault="003732C5">
      <w:pPr>
        <w:spacing w:line="560" w:lineRule="exact"/>
        <w:rPr>
          <w:szCs w:val="32"/>
        </w:rPr>
      </w:pPr>
    </w:p>
    <w:p w:rsidR="003732C5" w:rsidRDefault="003732C5">
      <w:pPr>
        <w:spacing w:line="560" w:lineRule="exact"/>
        <w:rPr>
          <w:szCs w:val="32"/>
        </w:rPr>
      </w:pPr>
    </w:p>
    <w:sectPr w:rsidR="003732C5" w:rsidSect="003732C5">
      <w:pgSz w:w="11906" w:h="16838"/>
      <w:pgMar w:top="2098" w:right="1474" w:bottom="1985" w:left="1588" w:header="851" w:footer="158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2C5" w:rsidRDefault="003732C5" w:rsidP="003732C5">
      <w:r>
        <w:separator/>
      </w:r>
    </w:p>
  </w:endnote>
  <w:endnote w:type="continuationSeparator" w:id="0">
    <w:p w:rsidR="003732C5" w:rsidRDefault="003732C5" w:rsidP="00373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80E0000" w:usb2="00000000" w:usb3="00000000" w:csb0="00040000" w:csb1="00000000"/>
  </w:font>
  <w:font w:name="仿宋_GB2312">
    <w:charset w:val="86"/>
    <w:family w:val="modern"/>
    <w:pitch w:val="default"/>
    <w:sig w:usb0="00000001" w:usb1="080E0000" w:usb2="00000000" w:usb3="00000000" w:csb0="00040000" w:csb1="00000000"/>
  </w:font>
  <w:font w:name="方正楷体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方正小标宋简体">
    <w:altName w:val="微软雅黑"/>
    <w:charset w:val="86"/>
    <w:family w:val="script"/>
    <w:pitch w:val="default"/>
    <w:sig w:usb0="00000000" w:usb1="080E0000" w:usb2="00000000" w:usb3="00000000" w:csb0="00040000" w:csb1="00000000"/>
  </w:font>
  <w:font w:name="方正黑体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C5" w:rsidRDefault="006B46CB">
    <w:pPr>
      <w:pStyle w:val="a6"/>
      <w:ind w:leftChars="100" w:left="320"/>
      <w:rPr>
        <w:rFonts w:ascii="宋体" w:eastAsia="宋体" w:hAnsi="宋体"/>
        <w:sz w:val="28"/>
        <w:szCs w:val="28"/>
      </w:rPr>
    </w:pPr>
    <w:r>
      <w:rPr>
        <w:rFonts w:ascii="宋体" w:eastAsia="宋体" w:hAnsi="宋体" w:hint="eastAsia"/>
        <w:sz w:val="28"/>
        <w:szCs w:val="21"/>
      </w:rPr>
      <w:t>—</w:t>
    </w:r>
    <w:r>
      <w:rPr>
        <w:rFonts w:ascii="宋体" w:eastAsia="宋体" w:hAnsi="宋体"/>
        <w:sz w:val="28"/>
        <w:szCs w:val="21"/>
      </w:rPr>
      <w:t xml:space="preserve"> </w:t>
    </w:r>
    <w:r w:rsidR="003732C5">
      <w:rPr>
        <w:rFonts w:ascii="宋体" w:eastAsia="宋体" w:hAnsi="宋体"/>
        <w:sz w:val="28"/>
        <w:szCs w:val="21"/>
      </w:rPr>
      <w:fldChar w:fldCharType="begin"/>
    </w:r>
    <w:r>
      <w:rPr>
        <w:rFonts w:ascii="宋体" w:eastAsia="宋体" w:hAnsi="宋体"/>
        <w:sz w:val="28"/>
        <w:szCs w:val="21"/>
      </w:rPr>
      <w:instrText xml:space="preserve"> PAGE </w:instrText>
    </w:r>
    <w:r w:rsidR="003732C5">
      <w:rPr>
        <w:rFonts w:ascii="宋体" w:eastAsia="宋体" w:hAnsi="宋体"/>
        <w:sz w:val="28"/>
        <w:szCs w:val="21"/>
      </w:rPr>
      <w:fldChar w:fldCharType="separate"/>
    </w:r>
    <w:r>
      <w:rPr>
        <w:rFonts w:ascii="宋体" w:eastAsia="宋体" w:hAnsi="宋体"/>
        <w:noProof/>
        <w:sz w:val="28"/>
        <w:szCs w:val="21"/>
      </w:rPr>
      <w:t>4</w:t>
    </w:r>
    <w:r w:rsidR="003732C5">
      <w:rPr>
        <w:rFonts w:ascii="宋体" w:eastAsia="宋体" w:hAnsi="宋体"/>
        <w:sz w:val="28"/>
        <w:szCs w:val="21"/>
      </w:rPr>
      <w:fldChar w:fldCharType="end"/>
    </w:r>
    <w:r>
      <w:rPr>
        <w:rFonts w:ascii="宋体" w:eastAsia="宋体" w:hAnsi="宋体"/>
        <w:sz w:val="28"/>
        <w:szCs w:val="21"/>
      </w:rPr>
      <w:t xml:space="preserve"> </w:t>
    </w:r>
    <w:r>
      <w:rPr>
        <w:rFonts w:ascii="宋体" w:eastAsia="宋体" w:hAnsi="宋体" w:hint="eastAsia"/>
        <w:sz w:val="28"/>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C5" w:rsidRDefault="006B46CB">
    <w:pPr>
      <w:pStyle w:val="a6"/>
      <w:ind w:rightChars="100" w:right="320"/>
      <w:jc w:val="right"/>
      <w:rPr>
        <w:rFonts w:ascii="宋体" w:eastAsia="宋体" w:hAnsi="宋体"/>
        <w:sz w:val="28"/>
        <w:szCs w:val="28"/>
      </w:rPr>
    </w:pPr>
    <w:r>
      <w:rPr>
        <w:rFonts w:ascii="宋体" w:eastAsia="宋体" w:hAnsi="宋体" w:hint="eastAsia"/>
        <w:sz w:val="28"/>
        <w:szCs w:val="21"/>
      </w:rPr>
      <w:t>—</w:t>
    </w:r>
    <w:r>
      <w:rPr>
        <w:rFonts w:ascii="宋体" w:eastAsia="宋体" w:hAnsi="宋体"/>
        <w:sz w:val="28"/>
        <w:szCs w:val="21"/>
      </w:rPr>
      <w:t xml:space="preserve"> </w:t>
    </w:r>
    <w:r w:rsidR="003732C5">
      <w:rPr>
        <w:rFonts w:ascii="宋体" w:eastAsia="宋体" w:hAnsi="宋体"/>
        <w:sz w:val="28"/>
        <w:szCs w:val="21"/>
      </w:rPr>
      <w:fldChar w:fldCharType="begin"/>
    </w:r>
    <w:r>
      <w:rPr>
        <w:rFonts w:ascii="宋体" w:eastAsia="宋体" w:hAnsi="宋体"/>
        <w:sz w:val="28"/>
        <w:szCs w:val="21"/>
      </w:rPr>
      <w:instrText xml:space="preserve"> PAGE </w:instrText>
    </w:r>
    <w:r w:rsidR="003732C5">
      <w:rPr>
        <w:rFonts w:ascii="宋体" w:eastAsia="宋体" w:hAnsi="宋体"/>
        <w:sz w:val="28"/>
        <w:szCs w:val="21"/>
      </w:rPr>
      <w:fldChar w:fldCharType="separate"/>
    </w:r>
    <w:r>
      <w:rPr>
        <w:rFonts w:ascii="宋体" w:eastAsia="宋体" w:hAnsi="宋体"/>
        <w:noProof/>
        <w:sz w:val="28"/>
        <w:szCs w:val="21"/>
      </w:rPr>
      <w:t>3</w:t>
    </w:r>
    <w:r w:rsidR="003732C5">
      <w:rPr>
        <w:rFonts w:ascii="宋体" w:eastAsia="宋体" w:hAnsi="宋体"/>
        <w:sz w:val="28"/>
        <w:szCs w:val="21"/>
      </w:rPr>
      <w:fldChar w:fldCharType="end"/>
    </w:r>
    <w:r>
      <w:rPr>
        <w:rFonts w:ascii="宋体" w:eastAsia="宋体" w:hAnsi="宋体"/>
        <w:sz w:val="28"/>
        <w:szCs w:val="21"/>
      </w:rPr>
      <w:t xml:space="preserve"> </w:t>
    </w:r>
    <w:r>
      <w:rPr>
        <w:rFonts w:ascii="宋体" w:eastAsia="宋体" w:hAnsi="宋体" w:hint="eastAsia"/>
        <w:sz w:val="28"/>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2C5" w:rsidRDefault="003732C5" w:rsidP="003732C5">
      <w:r>
        <w:separator/>
      </w:r>
    </w:p>
  </w:footnote>
  <w:footnote w:type="continuationSeparator" w:id="0">
    <w:p w:rsidR="003732C5" w:rsidRDefault="003732C5" w:rsidP="003732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50BB2"/>
    <w:rsid w:val="000C3E79"/>
    <w:rsid w:val="000D4644"/>
    <w:rsid w:val="00137577"/>
    <w:rsid w:val="00172A27"/>
    <w:rsid w:val="00175DF8"/>
    <w:rsid w:val="001811A8"/>
    <w:rsid w:val="001F3AA0"/>
    <w:rsid w:val="003011E7"/>
    <w:rsid w:val="003071E5"/>
    <w:rsid w:val="00320AEA"/>
    <w:rsid w:val="0036127D"/>
    <w:rsid w:val="003732C5"/>
    <w:rsid w:val="003930FA"/>
    <w:rsid w:val="003E0C35"/>
    <w:rsid w:val="00491630"/>
    <w:rsid w:val="004C21F1"/>
    <w:rsid w:val="004F16AF"/>
    <w:rsid w:val="00583C8B"/>
    <w:rsid w:val="005B73F2"/>
    <w:rsid w:val="005B7F68"/>
    <w:rsid w:val="006B46CB"/>
    <w:rsid w:val="006B67FE"/>
    <w:rsid w:val="00721D00"/>
    <w:rsid w:val="00764963"/>
    <w:rsid w:val="00774EA1"/>
    <w:rsid w:val="00835251"/>
    <w:rsid w:val="008676D6"/>
    <w:rsid w:val="00887595"/>
    <w:rsid w:val="008A1C66"/>
    <w:rsid w:val="0090613E"/>
    <w:rsid w:val="00934AC6"/>
    <w:rsid w:val="009B76DC"/>
    <w:rsid w:val="00A24BB5"/>
    <w:rsid w:val="00AB2A6F"/>
    <w:rsid w:val="00B50D57"/>
    <w:rsid w:val="00B97391"/>
    <w:rsid w:val="00BA40B3"/>
    <w:rsid w:val="00D364E0"/>
    <w:rsid w:val="00D67CC2"/>
    <w:rsid w:val="00DD7F6C"/>
    <w:rsid w:val="00DE3B88"/>
    <w:rsid w:val="00EA30A9"/>
    <w:rsid w:val="00FF3EE0"/>
    <w:rsid w:val="01304AA9"/>
    <w:rsid w:val="06224373"/>
    <w:rsid w:val="069E16A2"/>
    <w:rsid w:val="088D2344"/>
    <w:rsid w:val="0F1D3543"/>
    <w:rsid w:val="0FEE10E1"/>
    <w:rsid w:val="14204FEE"/>
    <w:rsid w:val="17F151F1"/>
    <w:rsid w:val="18AF324F"/>
    <w:rsid w:val="25C559E0"/>
    <w:rsid w:val="264548B4"/>
    <w:rsid w:val="2EF81EB2"/>
    <w:rsid w:val="2F5D4312"/>
    <w:rsid w:val="303971D8"/>
    <w:rsid w:val="30B45AFB"/>
    <w:rsid w:val="32644365"/>
    <w:rsid w:val="331C02D5"/>
    <w:rsid w:val="334D2ED8"/>
    <w:rsid w:val="36CD4AE9"/>
    <w:rsid w:val="37AE2F4E"/>
    <w:rsid w:val="37C7645B"/>
    <w:rsid w:val="39DE1D07"/>
    <w:rsid w:val="3A411426"/>
    <w:rsid w:val="3B6B0985"/>
    <w:rsid w:val="3EA00C96"/>
    <w:rsid w:val="495F59D8"/>
    <w:rsid w:val="5B395099"/>
    <w:rsid w:val="5C787034"/>
    <w:rsid w:val="5CEF21FC"/>
    <w:rsid w:val="5E9C5168"/>
    <w:rsid w:val="60C00655"/>
    <w:rsid w:val="6408055A"/>
    <w:rsid w:val="658178BC"/>
    <w:rsid w:val="690F15D2"/>
    <w:rsid w:val="78176B93"/>
    <w:rsid w:val="7BB222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32C5"/>
    <w:pPr>
      <w:widowControl w:val="0"/>
      <w:jc w:val="both"/>
    </w:pPr>
    <w:rPr>
      <w:rFonts w:ascii="Times New Roman" w:eastAsia="方正仿宋_GBK" w:hAnsi="Times New Roman"/>
      <w:sz w:val="32"/>
      <w:szCs w:val="24"/>
    </w:rPr>
  </w:style>
  <w:style w:type="paragraph" w:styleId="3">
    <w:name w:val="heading 3"/>
    <w:basedOn w:val="a"/>
    <w:next w:val="a"/>
    <w:qFormat/>
    <w:rsid w:val="003732C5"/>
    <w:pPr>
      <w:keepNext/>
      <w:keepLines/>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732C5"/>
    <w:pPr>
      <w:ind w:firstLineChars="225" w:firstLine="720"/>
    </w:pPr>
    <w:rPr>
      <w:rFonts w:ascii="仿宋_GB2312" w:eastAsia="仿宋_GB2312" w:hAnsi="Calibri" w:hint="eastAsia"/>
    </w:rPr>
  </w:style>
  <w:style w:type="paragraph" w:styleId="a4">
    <w:name w:val="Date"/>
    <w:basedOn w:val="a"/>
    <w:next w:val="a"/>
    <w:qFormat/>
    <w:rsid w:val="003732C5"/>
    <w:pPr>
      <w:ind w:leftChars="2500" w:left="100"/>
    </w:pPr>
  </w:style>
  <w:style w:type="paragraph" w:styleId="a5">
    <w:name w:val="Balloon Text"/>
    <w:basedOn w:val="a"/>
    <w:qFormat/>
    <w:rsid w:val="003732C5"/>
    <w:rPr>
      <w:sz w:val="18"/>
    </w:rPr>
  </w:style>
  <w:style w:type="paragraph" w:styleId="a6">
    <w:name w:val="footer"/>
    <w:basedOn w:val="a"/>
    <w:qFormat/>
    <w:rsid w:val="003732C5"/>
    <w:pPr>
      <w:tabs>
        <w:tab w:val="center" w:pos="4153"/>
        <w:tab w:val="right" w:pos="8306"/>
      </w:tabs>
      <w:snapToGrid w:val="0"/>
      <w:jc w:val="left"/>
    </w:pPr>
    <w:rPr>
      <w:sz w:val="18"/>
      <w:szCs w:val="18"/>
    </w:rPr>
  </w:style>
  <w:style w:type="paragraph" w:styleId="a7">
    <w:name w:val="header"/>
    <w:basedOn w:val="a"/>
    <w:qFormat/>
    <w:rsid w:val="003732C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3732C5"/>
    <w:pPr>
      <w:widowControl/>
      <w:spacing w:before="100" w:beforeAutospacing="1" w:after="100" w:afterAutospacing="1"/>
      <w:jc w:val="left"/>
    </w:pPr>
    <w:rPr>
      <w:rFonts w:ascii="宋体" w:eastAsia="宋体" w:hAnsi="宋体" w:cs="宋体"/>
      <w:sz w:val="24"/>
    </w:rPr>
  </w:style>
  <w:style w:type="character" w:styleId="a9">
    <w:name w:val="Strong"/>
    <w:basedOn w:val="a0"/>
    <w:qFormat/>
    <w:rsid w:val="003732C5"/>
    <w:rPr>
      <w:b/>
      <w:bCs/>
    </w:rPr>
  </w:style>
  <w:style w:type="character" w:styleId="aa">
    <w:name w:val="page number"/>
    <w:basedOn w:val="a0"/>
    <w:qFormat/>
    <w:rsid w:val="003732C5"/>
  </w:style>
  <w:style w:type="character" w:styleId="ab">
    <w:name w:val="Hyperlink"/>
    <w:basedOn w:val="a0"/>
    <w:qFormat/>
    <w:rsid w:val="003732C5"/>
    <w:rPr>
      <w:color w:val="0000FF"/>
      <w:u w:val="single"/>
    </w:rPr>
  </w:style>
  <w:style w:type="paragraph" w:customStyle="1" w:styleId="Char1">
    <w:name w:val="Char1"/>
    <w:basedOn w:val="a"/>
    <w:qFormat/>
    <w:rsid w:val="003732C5"/>
    <w:pPr>
      <w:widowControl/>
      <w:spacing w:line="240" w:lineRule="exact"/>
      <w:jc w:val="left"/>
    </w:pPr>
    <w:rPr>
      <w:szCs w:val="20"/>
    </w:rPr>
  </w:style>
  <w:style w:type="paragraph" w:customStyle="1" w:styleId="Char">
    <w:name w:val="Char"/>
    <w:basedOn w:val="a"/>
    <w:qFormat/>
    <w:rsid w:val="003732C5"/>
    <w:pPr>
      <w:widowControl/>
      <w:spacing w:line="240" w:lineRule="exact"/>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1610</Words>
  <Characters>184</Characters>
  <Application>Microsoft Office Word</Application>
  <DocSecurity>0</DocSecurity>
  <Lines>1</Lines>
  <Paragraphs>3</Paragraphs>
  <ScaleCrop>false</ScaleCrop>
  <Company>微软中国</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城口县旅游局</dc:title>
  <dc:creator>微软用户</dc:creator>
  <cp:lastModifiedBy>xtzj</cp:lastModifiedBy>
  <cp:revision>20</cp:revision>
  <cp:lastPrinted>2021-06-23T09:51:00Z</cp:lastPrinted>
  <dcterms:created xsi:type="dcterms:W3CDTF">2014-12-25T08:18:00Z</dcterms:created>
  <dcterms:modified xsi:type="dcterms:W3CDTF">2023-02-17T07:28:00Z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81A4B0D1A3794362B8A7E2B94ECABA28</vt:lpwstr>
  </property>
</Properties>
</file>