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bidi w:val="0"/>
        <w:rPr>
          <w:rFonts w:hint="eastAsia"/>
        </w:rPr>
      </w:pPr>
      <w:r>
        <w:rPr>
          <w:rFonts w:hint="eastAsia"/>
        </w:rPr>
        <w:t>重庆市城口县农业农村委员会</w:t>
      </w:r>
    </w:p>
    <w:p>
      <w:pPr>
        <w:pStyle w:val="12"/>
        <w:bidi w:val="0"/>
        <w:rPr>
          <w:rFonts w:hint="eastAsia"/>
        </w:rPr>
      </w:pPr>
      <w:r>
        <w:rPr>
          <w:rFonts w:hint="eastAsia"/>
        </w:rPr>
        <w:t>2022年度部门决算情况说明</w:t>
      </w:r>
    </w:p>
    <w:p>
      <w:pPr>
        <w:rPr>
          <w:rFonts w:hint="eastAsia"/>
        </w:rPr>
      </w:pPr>
    </w:p>
    <w:p>
      <w:pPr>
        <w:pStyle w:val="13"/>
        <w:bidi w:val="0"/>
        <w:rPr>
          <w:rFonts w:hint="eastAsia"/>
        </w:rPr>
      </w:pPr>
      <w:r>
        <w:rPr>
          <w:rFonts w:hint="eastAsia"/>
        </w:rPr>
        <w:t>一、部门基本情况</w:t>
      </w:r>
    </w:p>
    <w:p>
      <w:pPr>
        <w:pStyle w:val="14"/>
        <w:bidi w:val="0"/>
        <w:rPr>
          <w:rFonts w:hint="eastAsia"/>
        </w:rPr>
      </w:pPr>
      <w:r>
        <w:rPr>
          <w:rFonts w:hint="eastAsia"/>
        </w:rPr>
        <w:t>（一）职能职责</w:t>
      </w:r>
    </w:p>
    <w:p>
      <w:pPr>
        <w:rPr>
          <w:rFonts w:hint="eastAsia"/>
        </w:rPr>
      </w:pPr>
      <w:r>
        <w:rPr>
          <w:rFonts w:hint="eastAsia"/>
        </w:rPr>
        <w:t>1.统筹研究和组织实施“三农”工作的地方发展战略、中长期规划、重大政策。负责县级农业综合执法，具体执法交由执法队伍承担，并以部门的名义统一执法。指导乡镇、街道农业综合执法工作。参与涉农的财税、价格、收储、金融保险、进出口等政策制定。</w:t>
      </w:r>
    </w:p>
    <w:p>
      <w:pPr>
        <w:rPr>
          <w:rFonts w:hint="eastAsia"/>
        </w:rPr>
      </w:pPr>
      <w:r>
        <w:rPr>
          <w:rFonts w:hint="eastAsia"/>
        </w:rPr>
        <w:t>2.统筹推进发展农村社会事业、农村公共服务、农村文化、农村基础设施和乡村治理。牵头组织改善农村人居环境。指导农村精神文明和优秀农耕文化建设。</w:t>
      </w:r>
    </w:p>
    <w:p>
      <w:pPr>
        <w:rPr>
          <w:rFonts w:hint="eastAsia"/>
        </w:rPr>
      </w:pPr>
      <w:r>
        <w:rPr>
          <w:rFonts w:hint="eastAsia"/>
        </w:rPr>
        <w:t>3.拟订全县深化农村经济体制改革和巩固完善农村基本经营制度的政策。负责农民承包地、农村宅基地改革和管理有关工作。负责农村集体产权制度改革相关工作，指导农村集体经济组织发展和集体资产管理工作。指导农民合作经济组织、农业社会化服务体系、新型农业经营主体建设与发展。承担中共城口县委全面深化改革委员会农业农村改革专项小组办公室日常工作。</w:t>
      </w:r>
    </w:p>
    <w:p>
      <w:pPr>
        <w:rPr>
          <w:rFonts w:hint="eastAsia"/>
        </w:rPr>
      </w:pPr>
      <w:r>
        <w:rPr>
          <w:rFonts w:hint="eastAsia"/>
        </w:rPr>
        <w:t>4.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rPr>
          <w:rFonts w:hint="eastAsia"/>
        </w:rPr>
      </w:pPr>
      <w:r>
        <w:rPr>
          <w:rFonts w:hint="eastAsia"/>
        </w:rPr>
        <w:t>5.负责种植业、畜牧业、渔业、农业机械化等农业各产业的监督管理。指导粮食等农产品生产。组织构建现代农业产业体系、生产体系、经营体系，指导农业标准化生产。负责渔政、渔船、渔港监督管理。</w:t>
      </w:r>
    </w:p>
    <w:p>
      <w:pPr>
        <w:rPr>
          <w:rFonts w:hint="eastAsia"/>
        </w:rPr>
      </w:pPr>
      <w:r>
        <w:rPr>
          <w:rFonts w:hint="eastAsia"/>
        </w:rPr>
        <w:t>6.负责食用农产品从种植养殖环节到进入批发、零售市场或生产加工企业前的质量安全监督管理，动植物疫病防控、畜禽屠宰环节、生鲜乳收购环节质量安全的监督管理。组织开展农产品质量安全监测、追溯、风险评估。指导农业检验检测体系建设。指导农业行业安全生产工作</w:t>
      </w:r>
      <w:r>
        <w:rPr>
          <w:rFonts w:hint="eastAsia"/>
          <w:lang w:eastAsia="zh-CN"/>
        </w:rPr>
        <w:t>。</w:t>
      </w:r>
    </w:p>
    <w:p>
      <w:pPr>
        <w:rPr>
          <w:rFonts w:hint="eastAsia"/>
        </w:rPr>
      </w:pPr>
      <w:r>
        <w:rPr>
          <w:rFonts w:hint="eastAsia"/>
        </w:rPr>
        <w:t>7.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rPr>
          <w:rFonts w:hint="eastAsia"/>
        </w:rPr>
      </w:pPr>
      <w:r>
        <w:rPr>
          <w:rFonts w:hint="eastAsia"/>
        </w:rPr>
        <w:t>8.负责有关农业生产资料和农业投入品的监督管理。组织农业生产资料市场体系建设。组织兽医医政、兽药药政药检工作，负责执业兽医和畜禽屠宰行业管理。</w:t>
      </w:r>
    </w:p>
    <w:p>
      <w:pPr>
        <w:rPr>
          <w:rFonts w:hint="eastAsia"/>
        </w:rPr>
      </w:pPr>
      <w:r>
        <w:rPr>
          <w:rFonts w:hint="eastAsia"/>
        </w:rPr>
        <w:t>9.负责农业防灾减灾、农作物重大病虫害防治工作。指导动植物防疫检疫体系建设，组织、监督动植物防疫检疫工作，发布疫情并组织扑灭。承担城口县防治动物重大疫病指挥部办公室日常工作。</w:t>
      </w:r>
    </w:p>
    <w:p>
      <w:pPr>
        <w:rPr>
          <w:rFonts w:hint="eastAsia"/>
        </w:rPr>
      </w:pPr>
      <w:r>
        <w:rPr>
          <w:rFonts w:hint="eastAsia"/>
        </w:rPr>
        <w:t>10.负责农业投资管理。提出农业投融资体制机制改革建议。编制财政专项投资安排的农业投资建设规划，提出农业投资规模和方向、扶持农业农村发展财政项目的建议，按县政府规定权限审批农业投资项目，负责农业投资项目资金安排和监督管理。</w:t>
      </w:r>
    </w:p>
    <w:p>
      <w:pPr>
        <w:rPr>
          <w:rFonts w:hint="eastAsia"/>
        </w:rPr>
      </w:pPr>
      <w:r>
        <w:rPr>
          <w:rFonts w:hint="eastAsia"/>
        </w:rPr>
        <w:t>11.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rPr>
          <w:rFonts w:hint="eastAsia"/>
        </w:rPr>
      </w:pPr>
      <w:r>
        <w:rPr>
          <w:rFonts w:hint="eastAsia"/>
        </w:rPr>
        <w:t>12.指导农业农村人才工作。拟订全县农业农村人才队伍建设规划并组织实施，指导农业教育和农业职业技能开发，指导新型职业农民培育、农业科技人才培养和农村实用人才培训工作。</w:t>
      </w:r>
    </w:p>
    <w:p>
      <w:pPr>
        <w:rPr>
          <w:rFonts w:hint="eastAsia"/>
        </w:rPr>
      </w:pPr>
      <w:r>
        <w:rPr>
          <w:rFonts w:hint="eastAsia"/>
        </w:rPr>
        <w:t>13.承担农业对外合作工作。承办政府间农业涉外事务，组织开展农业农村国际交流合作。</w:t>
      </w:r>
    </w:p>
    <w:p>
      <w:pPr>
        <w:rPr>
          <w:rFonts w:hint="eastAsia"/>
        </w:rPr>
      </w:pPr>
      <w:r>
        <w:rPr>
          <w:rFonts w:hint="eastAsia"/>
        </w:rPr>
        <w:t>14.负责所属企事业单位国有资产管理，按照权限管理所属单位干部人事、机构编制工作。承担农业农村招商引资工作，指导有关社会团体为农业农村经济发展服务。</w:t>
      </w:r>
    </w:p>
    <w:p>
      <w:pPr>
        <w:rPr>
          <w:rFonts w:hint="eastAsia"/>
        </w:rPr>
      </w:pPr>
      <w:r>
        <w:rPr>
          <w:rFonts w:hint="eastAsia"/>
        </w:rPr>
        <w:t>15.负责机关、直属单位和行业社会组织党建工作。</w:t>
      </w:r>
    </w:p>
    <w:p>
      <w:pPr>
        <w:rPr>
          <w:rFonts w:hint="eastAsia"/>
        </w:rPr>
      </w:pPr>
      <w:r>
        <w:rPr>
          <w:rFonts w:hint="eastAsia"/>
        </w:rPr>
        <w:t>16.完成县委、县政府交办的其他任务。</w:t>
      </w:r>
    </w:p>
    <w:p>
      <w:pPr>
        <w:pStyle w:val="14"/>
        <w:bidi w:val="0"/>
        <w:rPr>
          <w:rFonts w:hint="eastAsia"/>
        </w:rPr>
      </w:pPr>
      <w:r>
        <w:rPr>
          <w:rFonts w:hint="eastAsia"/>
        </w:rPr>
        <w:t>（二）机构设置</w:t>
      </w:r>
    </w:p>
    <w:p>
      <w:pPr>
        <w:rPr>
          <w:rFonts w:hint="eastAsia"/>
        </w:rPr>
      </w:pPr>
      <w:r>
        <w:rPr>
          <w:rFonts w:hint="eastAsia"/>
        </w:rPr>
        <w:t>县农业农村委设下列内设机构：办公室（党群办公室）、政策法规科（行政审批服务科）、计划财务审计科、规划与乡村产业发展科（粮经作物科）、农村合作经济指导科、农产品质量安全监管科、信息与科技教育科、农田建设科、畜牧兽医科（城口县防治动物重大疫病指挥部办公室）。</w:t>
      </w:r>
    </w:p>
    <w:p>
      <w:pPr>
        <w:rPr>
          <w:rFonts w:hint="eastAsia"/>
        </w:rPr>
      </w:pPr>
      <w:r>
        <w:rPr>
          <w:rFonts w:hint="eastAsia"/>
        </w:rPr>
        <w:t>县农业农村委所属事业单位：城口县农业技术推广中心、城口县畜牧技术推广中心、城口县农业综合检测中心、城口县农产品质量安全监督管理站、城口县农村能源与农业生态资源保护站、重庆市农业电视广播学校城口县分校（城口县农业信息中心）、重庆市城岚公路北屏动物卫生监督检查站、重庆市城万快速公路双河动物卫生监督检查站、城口县农业综合行政执法支队（城口县动物卫生监督所）。</w:t>
      </w:r>
    </w:p>
    <w:p>
      <w:pPr>
        <w:pStyle w:val="13"/>
        <w:bidi w:val="0"/>
        <w:rPr>
          <w:rFonts w:hint="eastAsia"/>
        </w:rPr>
      </w:pPr>
      <w:r>
        <w:rPr>
          <w:rFonts w:hint="eastAsia"/>
        </w:rPr>
        <w:t>二、部门决算情况说明</w:t>
      </w:r>
    </w:p>
    <w:p>
      <w:pPr>
        <w:pStyle w:val="14"/>
        <w:bidi w:val="0"/>
        <w:rPr>
          <w:rFonts w:hint="eastAsia"/>
        </w:rPr>
      </w:pPr>
      <w:r>
        <w:rPr>
          <w:rFonts w:hint="eastAsia"/>
        </w:rPr>
        <w:t>（一）收入支出决算总体情况说明</w:t>
      </w:r>
    </w:p>
    <w:p>
      <w:pPr>
        <w:rPr>
          <w:rFonts w:hint="eastAsia"/>
        </w:rPr>
      </w:pPr>
      <w:r>
        <w:rPr>
          <w:rStyle w:val="17"/>
          <w:rFonts w:hint="eastAsia"/>
        </w:rPr>
        <w:t>1.总体情况。</w:t>
      </w:r>
      <w:r>
        <w:rPr>
          <w:rFonts w:hint="eastAsia"/>
        </w:rPr>
        <w:t>2022年度收入总计13,249.20万元，支出总计13,249.20万元。收支较上年决算数减少1,497.72万元</w:t>
      </w:r>
      <w:r>
        <w:rPr>
          <w:rFonts w:hint="eastAsia"/>
          <w:lang w:eastAsia="zh-CN"/>
        </w:rPr>
        <w:t>，</w:t>
      </w:r>
      <w:r>
        <w:rPr>
          <w:rFonts w:hint="eastAsia"/>
        </w:rPr>
        <w:t>下降10.2%，主要原因是</w:t>
      </w:r>
      <w:r>
        <w:rPr>
          <w:rFonts w:hint="eastAsia"/>
          <w:lang w:val="en-US" w:eastAsia="zh-CN"/>
        </w:rPr>
        <w:t>2022年我单位收到</w:t>
      </w:r>
      <w:r>
        <w:rPr>
          <w:rFonts w:hint="eastAsia"/>
        </w:rPr>
        <w:t>财政拨款</w:t>
      </w:r>
      <w:r>
        <w:rPr>
          <w:rFonts w:hint="eastAsia"/>
          <w:lang w:val="en-US" w:eastAsia="zh-CN"/>
        </w:rPr>
        <w:t>专项</w:t>
      </w:r>
      <w:r>
        <w:rPr>
          <w:rFonts w:hint="eastAsia"/>
        </w:rPr>
        <w:t>预算资金有所减少。</w:t>
      </w:r>
    </w:p>
    <w:p>
      <w:pPr>
        <w:rPr>
          <w:rFonts w:hint="eastAsia"/>
        </w:rPr>
      </w:pPr>
      <w:r>
        <w:rPr>
          <w:rStyle w:val="17"/>
          <w:rFonts w:hint="eastAsia"/>
        </w:rPr>
        <w:t>2.收入情况。</w:t>
      </w:r>
      <w:r>
        <w:rPr>
          <w:rFonts w:hint="eastAsia"/>
        </w:rPr>
        <w:t>2022年度收入合计10,010.10万元，较上年决算数减少2,640.36万元，下降20.9%，主要原因是</w:t>
      </w:r>
      <w:r>
        <w:rPr>
          <w:rFonts w:hint="eastAsia"/>
          <w:lang w:val="en-US" w:eastAsia="zh-CN"/>
        </w:rPr>
        <w:t>2022年度我单位收到</w:t>
      </w:r>
      <w:r>
        <w:rPr>
          <w:rFonts w:hint="eastAsia"/>
        </w:rPr>
        <w:t>财政拨款</w:t>
      </w:r>
      <w:r>
        <w:rPr>
          <w:rFonts w:hint="eastAsia"/>
          <w:lang w:val="en-US" w:eastAsia="zh-CN"/>
        </w:rPr>
        <w:t>专项</w:t>
      </w:r>
      <w:r>
        <w:rPr>
          <w:rFonts w:hint="eastAsia"/>
        </w:rPr>
        <w:t>预算资金有所减少。其中：财政拨款收入10,010.10万元，占100%；此外，年初结转和结余3,239.10万元。</w:t>
      </w:r>
    </w:p>
    <w:p>
      <w:pPr>
        <w:rPr>
          <w:rFonts w:hint="eastAsia"/>
        </w:rPr>
      </w:pPr>
      <w:r>
        <w:rPr>
          <w:rStyle w:val="17"/>
          <w:rFonts w:hint="eastAsia"/>
        </w:rPr>
        <w:t>3.支出情况。</w:t>
      </w:r>
      <w:r>
        <w:rPr>
          <w:rFonts w:hint="eastAsia"/>
        </w:rPr>
        <w:t>2022年度支出合计10,274.32万元，较上年决算减少1,233.50万元，下降10.7%，主要原因是</w:t>
      </w:r>
      <w:r>
        <w:rPr>
          <w:rFonts w:hint="eastAsia"/>
          <w:lang w:val="en-US" w:eastAsia="zh-CN"/>
        </w:rPr>
        <w:t>2022年度我单位收到</w:t>
      </w:r>
      <w:r>
        <w:rPr>
          <w:rFonts w:hint="eastAsia"/>
        </w:rPr>
        <w:t>财政拨款</w:t>
      </w:r>
      <w:r>
        <w:rPr>
          <w:rFonts w:hint="eastAsia"/>
          <w:lang w:val="en-US" w:eastAsia="zh-CN"/>
        </w:rPr>
        <w:t>专项</w:t>
      </w:r>
      <w:r>
        <w:rPr>
          <w:rFonts w:hint="eastAsia"/>
        </w:rPr>
        <w:t>预算资金有所减少，支出对应减少。其中：基本支出2,237.40万元，占21.8%；项目支出8,036.92万元，占78.2%。</w:t>
      </w:r>
    </w:p>
    <w:p>
      <w:pPr>
        <w:rPr>
          <w:rFonts w:hint="eastAsia"/>
        </w:rPr>
      </w:pPr>
      <w:r>
        <w:rPr>
          <w:rStyle w:val="17"/>
          <w:rFonts w:hint="eastAsia"/>
        </w:rPr>
        <w:t>4.结转结余情况。</w:t>
      </w:r>
      <w:r>
        <w:rPr>
          <w:rFonts w:hint="eastAsia"/>
        </w:rPr>
        <w:t>2022年度年末结转和结余2,974.89万元，较上年决算数减少264.21万元，下降8.2%，主要原因是2022年度加快了项目实施进度，拨款进度加快，支出增加。</w:t>
      </w:r>
    </w:p>
    <w:p>
      <w:pPr>
        <w:pStyle w:val="14"/>
        <w:bidi w:val="0"/>
        <w:rPr>
          <w:rFonts w:hint="eastAsia"/>
        </w:rPr>
      </w:pPr>
      <w:r>
        <w:rPr>
          <w:rFonts w:hint="eastAsia"/>
        </w:rPr>
        <w:t>（二）财政拨款收入支出决算总体情况说明</w:t>
      </w:r>
    </w:p>
    <w:p>
      <w:pPr>
        <w:rPr>
          <w:rFonts w:hint="eastAsia"/>
        </w:rPr>
      </w:pPr>
      <w:r>
        <w:rPr>
          <w:rFonts w:hint="eastAsia"/>
        </w:rPr>
        <w:t>2022年度财政拨款收、支总计11,052.28万元。与2021年相比，财政拨款收、支总计各增加520.36万元，增长4.9%。主要原因是2022年支出部分2021年结转财政拨款专项资金。</w:t>
      </w:r>
    </w:p>
    <w:p>
      <w:pPr>
        <w:pStyle w:val="14"/>
        <w:bidi w:val="0"/>
        <w:rPr>
          <w:rFonts w:hint="eastAsia"/>
        </w:rPr>
      </w:pPr>
      <w:r>
        <w:rPr>
          <w:rFonts w:hint="eastAsia"/>
        </w:rPr>
        <w:t>（三）一般公共预算财政拨款收入支出决算情况说明</w:t>
      </w:r>
    </w:p>
    <w:p>
      <w:pPr>
        <w:rPr>
          <w:rFonts w:hint="eastAsia"/>
        </w:rPr>
      </w:pPr>
      <w:r>
        <w:rPr>
          <w:rStyle w:val="17"/>
          <w:rFonts w:hint="eastAsia"/>
        </w:rPr>
        <w:t>1.收入情况。</w:t>
      </w:r>
      <w:r>
        <w:rPr>
          <w:rFonts w:hint="eastAsia"/>
        </w:rPr>
        <w:t>2022年度一般公共预算财政拨款收入10,010.10万元，较上年决算数增加1,357.61万元，增长15.7%。主要原因是2022年度我单位收到财政拨款预算资金有所减少。较年初预算数减少106.30万元，下降1.1%。主要原因是根据单位实际情况，财政调整预算。此外，年初财政拨款结转和结余1,042.18万元。</w:t>
      </w:r>
    </w:p>
    <w:p>
      <w:pPr>
        <w:rPr>
          <w:rFonts w:hint="eastAsia"/>
        </w:rPr>
      </w:pPr>
      <w:r>
        <w:rPr>
          <w:rStyle w:val="17"/>
          <w:rFonts w:hint="eastAsia"/>
        </w:rPr>
        <w:t>2.支出情况。</w:t>
      </w:r>
      <w:r>
        <w:rPr>
          <w:rFonts w:hint="eastAsia"/>
        </w:rPr>
        <w:t>2022年度一般公共预算财政拨款支出10,272.92万元，较上年决算数增加783.19万元，增长8.3%。较年初预算数增加156.52万元，增长1.5%。主要原因是2022年支出部分2021年结转财政拨款专项资金。</w:t>
      </w:r>
    </w:p>
    <w:p>
      <w:pPr>
        <w:rPr>
          <w:rFonts w:hint="eastAsia"/>
        </w:rPr>
      </w:pPr>
      <w:r>
        <w:rPr>
          <w:rStyle w:val="17"/>
          <w:rFonts w:hint="eastAsia"/>
        </w:rPr>
        <w:t>3.结转结余情况。</w:t>
      </w:r>
      <w:r>
        <w:rPr>
          <w:rFonts w:hint="eastAsia"/>
        </w:rPr>
        <w:t>2022年度年末一般公共预算财政拨款结转和结余779.36万元，较上年决算数减少262.82万元，下降25.2%，主要原因是2022年支出部分2021年结转财政拨款专项资金。</w:t>
      </w:r>
    </w:p>
    <w:p>
      <w:pPr>
        <w:rPr>
          <w:rFonts w:hint="eastAsia"/>
        </w:rPr>
      </w:pPr>
      <w:r>
        <w:rPr>
          <w:rStyle w:val="17"/>
          <w:rFonts w:hint="eastAsia"/>
        </w:rPr>
        <w:t>4.比较情况。</w:t>
      </w:r>
      <w:r>
        <w:rPr>
          <w:rFonts w:hint="eastAsia"/>
        </w:rPr>
        <w:t>本部门2022年度一般公共预算财政拨款支出主要用于以下几个方面：</w:t>
      </w:r>
    </w:p>
    <w:p>
      <w:pPr>
        <w:rPr>
          <w:rFonts w:hint="eastAsia"/>
        </w:rPr>
      </w:pPr>
      <w:r>
        <w:rPr>
          <w:rFonts w:hint="eastAsia"/>
        </w:rPr>
        <w:t>（1）一般公共服务支出55.37万元，占0.5%，较年初预算数减少1.28万元，下降2.3%，主要原因是人员增减变动，年中调整预算。</w:t>
      </w:r>
    </w:p>
    <w:p>
      <w:pPr>
        <w:rPr>
          <w:rFonts w:hint="eastAsia"/>
        </w:rPr>
      </w:pPr>
      <w:r>
        <w:rPr>
          <w:rFonts w:hint="eastAsia"/>
        </w:rPr>
        <w:t>（2）社会保障与就业支出663.77万元，占6.5%，较年初预算数增加0.00万元，增长0%。</w:t>
      </w:r>
    </w:p>
    <w:p>
      <w:pPr>
        <w:rPr>
          <w:rFonts w:hint="eastAsia"/>
        </w:rPr>
      </w:pPr>
      <w:r>
        <w:rPr>
          <w:rFonts w:hint="eastAsia"/>
        </w:rPr>
        <w:t>（3）卫生健康支出112.99万元，占1.1%，较年初预算数增加0.00万元，增长0%。</w:t>
      </w:r>
    </w:p>
    <w:p>
      <w:pPr>
        <w:rPr>
          <w:rFonts w:hint="eastAsia"/>
        </w:rPr>
      </w:pPr>
      <w:r>
        <w:rPr>
          <w:rFonts w:hint="eastAsia"/>
        </w:rPr>
        <w:t>（4）节能环保支出220.15万元，占2.1%，较年初预算数增加220.15万元，增长100%，主要原因是该笔资金是以前年底结转专项资金。</w:t>
      </w:r>
    </w:p>
    <w:p>
      <w:pPr>
        <w:rPr>
          <w:rFonts w:hint="eastAsia"/>
        </w:rPr>
      </w:pPr>
      <w:r>
        <w:rPr>
          <w:rFonts w:hint="eastAsia"/>
        </w:rPr>
        <w:t>（5）农林水支出9,092.17万元，占88.5%，较年初预算数减少62.35万元，下降0.7%，主要原因是财政局根据项目实施具体情况，人员增减变动等情况对单位预算资金量进行合理调整。</w:t>
      </w:r>
    </w:p>
    <w:p>
      <w:pPr>
        <w:rPr>
          <w:rFonts w:hint="eastAsia"/>
        </w:rPr>
      </w:pPr>
      <w:r>
        <w:rPr>
          <w:rFonts w:hint="eastAsia"/>
        </w:rPr>
        <w:t>（6）住房保障支出128.47万元，占1.3%，较年初预算数增加0.00万元，增长0%。</w:t>
      </w:r>
    </w:p>
    <w:p>
      <w:pPr>
        <w:pStyle w:val="14"/>
        <w:bidi w:val="0"/>
        <w:rPr>
          <w:rFonts w:hint="eastAsia" w:eastAsia="方正楷体_GBK"/>
          <w:lang w:eastAsia="zh-CN"/>
        </w:rPr>
      </w:pPr>
      <w:r>
        <w:rPr>
          <w:rFonts w:hint="eastAsia"/>
        </w:rPr>
        <w:t>（四）一般公共预算财政拨款基本支出决算情况说明</w:t>
      </w:r>
      <w:r>
        <w:rPr>
          <w:rFonts w:hint="eastAsia"/>
          <w:lang w:eastAsia="zh-CN"/>
        </w:rPr>
        <w:t>。</w:t>
      </w:r>
    </w:p>
    <w:p>
      <w:pPr>
        <w:rPr>
          <w:rFonts w:hint="eastAsia"/>
        </w:rPr>
      </w:pPr>
      <w:r>
        <w:rPr>
          <w:rFonts w:hint="eastAsia"/>
        </w:rPr>
        <w:t>2022年度一般公共预算财政拨款基本支出2,237.40万元。其中：人员经费1,852.67万元，较上年决算数减少674.61万元，下降26.7%。公用经费384.73万元，较上年决算数增加196.76万元，增长104.7%。造成人员经费和公用经费较去年增减变动较大的主要原因是预算拨款指标功能分类错误，误用人大事务-事业运行186903.6元，政府办公厅（室）及相关机构事务-行政运行272166.6元，人力资源和社会保障管理事务-行政运行54433.34元，事业运行2242843.2元，卫生健康管理事务-行政运行27216.66元，以上共计2783563.4元。因决算审核需要，将以上误用功能科目资金由人员经费支出调整到机关运行经费支出。人员经费用途主要包括职工工资、社会保险费、公积金等职工待遇支出。公用经费用途主要包括差旅费、公务用车运行维护费、办公费、办公设备购置费、其他交通费用、公务接待费、水电费、物业管理费等。</w:t>
      </w:r>
    </w:p>
    <w:p>
      <w:pPr>
        <w:pStyle w:val="14"/>
        <w:bidi w:val="0"/>
        <w:rPr>
          <w:rFonts w:hint="eastAsia"/>
        </w:rPr>
      </w:pPr>
      <w:r>
        <w:rPr>
          <w:rFonts w:hint="eastAsia"/>
        </w:rPr>
        <w:t>（五）政府性基金预算收支决算情况说明。</w:t>
      </w:r>
    </w:p>
    <w:p>
      <w:pPr>
        <w:rPr>
          <w:rFonts w:hint="eastAsia"/>
        </w:rPr>
      </w:pPr>
      <w:r>
        <w:rPr>
          <w:rFonts w:hint="eastAsia"/>
        </w:rPr>
        <w:t>本部门2022年度无政府性基金预算财政拨款收支。</w:t>
      </w:r>
    </w:p>
    <w:p>
      <w:pPr>
        <w:pStyle w:val="14"/>
        <w:bidi w:val="0"/>
        <w:rPr>
          <w:rFonts w:hint="eastAsia"/>
        </w:rPr>
      </w:pPr>
      <w:r>
        <w:rPr>
          <w:rFonts w:hint="eastAsia"/>
        </w:rPr>
        <w:t>（六）国有资本经营预算财政拨款支出决算情况说明。</w:t>
      </w:r>
    </w:p>
    <w:p>
      <w:pPr>
        <w:rPr>
          <w:rFonts w:hint="eastAsia"/>
        </w:rPr>
      </w:pPr>
      <w:r>
        <w:rPr>
          <w:rFonts w:hint="eastAsia"/>
        </w:rPr>
        <w:t>本部门2022年度无国有资本经营预算财政拨款支出。</w:t>
      </w:r>
    </w:p>
    <w:p>
      <w:pPr>
        <w:pStyle w:val="13"/>
        <w:bidi w:val="0"/>
        <w:rPr>
          <w:rFonts w:hint="eastAsia"/>
        </w:rPr>
      </w:pPr>
      <w:r>
        <w:rPr>
          <w:rFonts w:hint="eastAsia"/>
        </w:rPr>
        <w:t>三、“三公”经费情况说明</w:t>
      </w:r>
    </w:p>
    <w:p>
      <w:pPr>
        <w:pStyle w:val="14"/>
        <w:bidi w:val="0"/>
        <w:rPr>
          <w:rFonts w:hint="eastAsia"/>
        </w:rPr>
      </w:pPr>
      <w:r>
        <w:rPr>
          <w:rFonts w:hint="eastAsia"/>
        </w:rPr>
        <w:t>（一）“三公”经费支出总体情况说明</w:t>
      </w:r>
    </w:p>
    <w:p>
      <w:pPr>
        <w:rPr>
          <w:rFonts w:hint="eastAsia"/>
        </w:rPr>
      </w:pPr>
      <w:r>
        <w:rPr>
          <w:rFonts w:hint="eastAsia"/>
        </w:rPr>
        <w:t>2022年度“三公”经费支出共计76.07万元，较年初预算数增加53.57万元，增长238.1%，主要原因是年中进行预算调整，下达部分资金。较上年支出数增加33.51万元，增长78.7%，主要原因是2022年购置一辆农业执法用车。</w:t>
      </w:r>
    </w:p>
    <w:p>
      <w:pPr>
        <w:pStyle w:val="14"/>
        <w:bidi w:val="0"/>
        <w:rPr>
          <w:rFonts w:hint="eastAsia"/>
        </w:rPr>
      </w:pPr>
      <w:r>
        <w:rPr>
          <w:rFonts w:hint="eastAsia"/>
        </w:rPr>
        <w:t>（二）“三公”经费分项支出情况</w:t>
      </w:r>
    </w:p>
    <w:p>
      <w:pPr>
        <w:rPr>
          <w:rFonts w:hint="eastAsia"/>
        </w:rPr>
      </w:pPr>
      <w:r>
        <w:rPr>
          <w:rFonts w:hint="eastAsia"/>
        </w:rPr>
        <w:t>本单位2022年度未发生因公出国（境）费用支出。</w:t>
      </w:r>
    </w:p>
    <w:p>
      <w:pPr>
        <w:rPr>
          <w:rFonts w:hint="eastAsia"/>
        </w:rPr>
      </w:pPr>
      <w:r>
        <w:rPr>
          <w:rFonts w:hint="eastAsia"/>
        </w:rPr>
        <w:t>公务车购置费34.69万元，主要用于采购农业执法车辆，费用支出较年初预算数增加34.69万元，增长100%，主要原因是该车辆使用渔政执法专项工作经费，未纳入年初预算。较上年支出数增加34.69万元，增长100%，主要原因是上年未购置</w:t>
      </w:r>
      <w:r>
        <w:rPr>
          <w:rFonts w:hint="eastAsia"/>
          <w:lang w:val="en-US" w:eastAsia="zh-CN"/>
        </w:rPr>
        <w:t>公务用</w:t>
      </w:r>
      <w:bookmarkStart w:id="0" w:name="_GoBack"/>
      <w:bookmarkEnd w:id="0"/>
      <w:r>
        <w:rPr>
          <w:rFonts w:hint="eastAsia"/>
        </w:rPr>
        <w:t>车。</w:t>
      </w:r>
    </w:p>
    <w:p>
      <w:pPr>
        <w:rPr>
          <w:rFonts w:hint="eastAsia"/>
        </w:rPr>
      </w:pPr>
      <w:r>
        <w:rPr>
          <w:rFonts w:hint="eastAsia"/>
        </w:rPr>
        <w:t>公务车运行维护费32.46万元，主要用于公务用车燃料费、维修费、过路费、保险费、过路费、安全奖励等支出。费用支出较年初预算数增加21.96万元，增长209.1%，主要原因是年中财政局下达调整预算。较上年支出数减少3.19万元，下降8.9%，主要原因是费用报销存在年度时间差异，部分开支未收到报销票据。</w:t>
      </w:r>
    </w:p>
    <w:p>
      <w:pPr>
        <w:rPr>
          <w:rFonts w:hint="eastAsia"/>
        </w:rPr>
      </w:pPr>
      <w:r>
        <w:rPr>
          <w:rFonts w:hint="eastAsia"/>
        </w:rPr>
        <w:t>公务接待费8.92万元，主要用于上级部门调研、检查指导工作、技术交流学习等接待支出。费用支出较年初预算数减少3.08万元，下降25.7%，主要原因是我单位严格执行中央八项规定，厉行节约，严格控制接待支出标准。较上年支出数增加2.00万元，增长28.9%，主要原因是交流学习、检查工作等次数有所增加。</w:t>
      </w:r>
    </w:p>
    <w:p>
      <w:pPr>
        <w:pStyle w:val="14"/>
        <w:bidi w:val="0"/>
        <w:rPr>
          <w:rFonts w:hint="eastAsia"/>
        </w:rPr>
      </w:pPr>
      <w:r>
        <w:rPr>
          <w:rFonts w:hint="eastAsia"/>
        </w:rPr>
        <w:t>（三）“三公”经费实物量情况</w:t>
      </w:r>
    </w:p>
    <w:p>
      <w:pPr>
        <w:rPr>
          <w:rFonts w:hint="eastAsia"/>
        </w:rPr>
      </w:pPr>
      <w:r>
        <w:rPr>
          <w:rFonts w:hint="eastAsia"/>
        </w:rPr>
        <w:t>2022年度本部门因公出国（境）共计0个团组，0人；公务用车购置1辆，公务车保有量为7辆；国内公务接待152批次875人，其中：国内外事接待0批次，0人；国（境）外公务接待0批次，0人。2022年本部门人均接待费101.94元，车均购置费34.69万元，车均维护费4.64万元。</w:t>
      </w:r>
    </w:p>
    <w:p>
      <w:pPr>
        <w:pStyle w:val="13"/>
        <w:bidi w:val="0"/>
        <w:rPr>
          <w:rFonts w:hint="eastAsia"/>
        </w:rPr>
      </w:pPr>
      <w:r>
        <w:rPr>
          <w:rFonts w:hint="eastAsia"/>
        </w:rPr>
        <w:t>四、其他需要说明的事项</w:t>
      </w:r>
    </w:p>
    <w:p>
      <w:pPr>
        <w:pStyle w:val="14"/>
        <w:bidi w:val="0"/>
        <w:rPr>
          <w:rFonts w:hint="eastAsia"/>
        </w:rPr>
      </w:pPr>
      <w:r>
        <w:rPr>
          <w:rFonts w:hint="eastAsia"/>
        </w:rPr>
        <w:t>（一）财政拨款会议费和培训费情况说明</w:t>
      </w:r>
    </w:p>
    <w:p>
      <w:pPr>
        <w:rPr>
          <w:rFonts w:hint="eastAsia"/>
        </w:rPr>
      </w:pPr>
      <w:r>
        <w:rPr>
          <w:rFonts w:hint="eastAsia"/>
        </w:rPr>
        <w:t>本年度会议费支出0.15万元，较上年决算数减少0.36万元，下降70.6%，主要原因是2022年</w:t>
      </w:r>
      <w:r>
        <w:rPr>
          <w:rFonts w:hint="eastAsia"/>
          <w:lang w:eastAsia="zh-CN"/>
        </w:rPr>
        <w:t>召开</w:t>
      </w:r>
      <w:r>
        <w:rPr>
          <w:rFonts w:hint="eastAsia"/>
        </w:rPr>
        <w:t>会议次数较少。本年度培训费支出108.33万元，较上年决算数增加5.40万元，增长5.2%，主要原因是2022年开展培训次数较多。</w:t>
      </w:r>
    </w:p>
    <w:p>
      <w:pPr>
        <w:pStyle w:val="14"/>
        <w:bidi w:val="0"/>
        <w:rPr>
          <w:rFonts w:hint="eastAsia"/>
        </w:rPr>
      </w:pPr>
      <w:r>
        <w:rPr>
          <w:rFonts w:hint="eastAsia"/>
        </w:rPr>
        <w:t>（二）机关运行经费支出情况说明</w:t>
      </w:r>
    </w:p>
    <w:p>
      <w:pPr>
        <w:rPr>
          <w:rFonts w:hint="eastAsia"/>
        </w:rPr>
      </w:pPr>
      <w:r>
        <w:rPr>
          <w:rFonts w:hint="eastAsia"/>
        </w:rPr>
        <w:t>2022年度本部门机关运行经费支出384.73万元，主要用于开支差旅费、公务用车运行维护费、办公费、办公设备购置费、其他交通费用、公务接待费、水电费、物业管理费等。机关运行经费较上年决算数增加196.76万元，增长104.7%，主要原因是预算拨款指标功能分类错误。因决算审核需要，将误用功能科目资金由人员经费支出调整到机关运行经费支出。单位实际机关运行经费支出数据较上年有所减少。</w:t>
      </w:r>
    </w:p>
    <w:p>
      <w:pPr>
        <w:pStyle w:val="14"/>
        <w:bidi w:val="0"/>
        <w:rPr>
          <w:rFonts w:hint="eastAsia"/>
        </w:rPr>
      </w:pPr>
      <w:r>
        <w:rPr>
          <w:rFonts w:hint="eastAsia"/>
        </w:rPr>
        <w:t>（三）国有资产占用情况说明</w:t>
      </w:r>
    </w:p>
    <w:p>
      <w:pPr>
        <w:rPr>
          <w:rFonts w:hint="eastAsia"/>
        </w:rPr>
      </w:pPr>
      <w:r>
        <w:rPr>
          <w:rFonts w:hint="eastAsia"/>
        </w:rPr>
        <w:t>截至2022年12月31日，本部门共有车辆7辆，其中，机要通信用车1辆、执法执勤用车6辆。单价100万元（含）以上设备（不含车辆）0台（套）。</w:t>
      </w:r>
    </w:p>
    <w:p>
      <w:pPr>
        <w:pStyle w:val="14"/>
        <w:bidi w:val="0"/>
        <w:rPr>
          <w:rFonts w:hint="eastAsia"/>
        </w:rPr>
      </w:pPr>
      <w:r>
        <w:rPr>
          <w:rFonts w:hint="eastAsia"/>
        </w:rPr>
        <w:t>（四）政府采购支出说明</w:t>
      </w:r>
    </w:p>
    <w:p>
      <w:pPr>
        <w:rPr>
          <w:rFonts w:hint="eastAsia"/>
        </w:rPr>
      </w:pPr>
      <w:r>
        <w:rPr>
          <w:rFonts w:hint="eastAsia"/>
        </w:rPr>
        <w:t>2022年度本部门政府采购支出总额1,104.63万元，其中：政府采购货物支出165.06万元、政府采购工程支出3.00万元、政府采购服务支出936.58万元。授予中小企业合同金额400.57万元，占政府采购支出总额的36.3%，其中：授予小微企业合同金额335.22万元，占政府采购支出总额的30.3%。主要用于采购农业项目专业技术服务、设施设备、专用耗材等。</w:t>
      </w:r>
    </w:p>
    <w:p>
      <w:pPr>
        <w:pStyle w:val="13"/>
        <w:bidi w:val="0"/>
        <w:rPr>
          <w:rFonts w:hint="eastAsia"/>
        </w:rPr>
      </w:pPr>
      <w:r>
        <w:rPr>
          <w:rFonts w:hint="eastAsia"/>
        </w:rPr>
        <w:t>五、预算绩效管理情况说明</w:t>
      </w:r>
    </w:p>
    <w:p>
      <w:pPr>
        <w:pStyle w:val="14"/>
        <w:bidi w:val="0"/>
        <w:rPr>
          <w:rFonts w:hint="eastAsia"/>
        </w:rPr>
      </w:pPr>
      <w:r>
        <w:rPr>
          <w:rFonts w:hint="eastAsia"/>
        </w:rPr>
        <w:t>（一）预算绩效管理工作开展情况</w:t>
      </w:r>
    </w:p>
    <w:p>
      <w:pPr>
        <w:rPr>
          <w:rFonts w:hint="eastAsia"/>
        </w:rPr>
      </w:pPr>
      <w:r>
        <w:rPr>
          <w:rFonts w:hint="eastAsia"/>
        </w:rPr>
        <w:t>根据预算绩效管理要求，我委对部门整体和68个项目开展了绩效自评，其中，以填报自评表形式开展自评68项，涉及资金8526.49万元。</w:t>
      </w:r>
    </w:p>
    <w:p>
      <w:pPr>
        <w:pStyle w:val="14"/>
        <w:bidi w:val="0"/>
        <w:rPr>
          <w:rFonts w:hint="eastAsia"/>
        </w:rPr>
      </w:pPr>
      <w:r>
        <w:rPr>
          <w:rFonts w:hint="eastAsia"/>
        </w:rPr>
        <w:t>（二）绩效自评结果。</w:t>
      </w:r>
    </w:p>
    <w:p>
      <w:pPr>
        <w:rPr>
          <w:rFonts w:hint="eastAsia"/>
        </w:rPr>
      </w:pPr>
      <w:r>
        <w:rPr>
          <w:rFonts w:hint="eastAsia"/>
        </w:rPr>
        <w:t>绩效目标自评表。</w:t>
      </w:r>
    </w:p>
    <w:p>
      <w:pPr>
        <w:pStyle w:val="2"/>
        <w:rPr>
          <w:rFonts w:hint="eastAsia"/>
        </w:rPr>
      </w:pPr>
    </w:p>
    <w:p>
      <w:pPr>
        <w:pStyle w:val="2"/>
        <w:rPr>
          <w:rFonts w:hint="eastAsia"/>
        </w:rPr>
      </w:pPr>
    </w:p>
    <w:p>
      <w:pPr>
        <w:pStyle w:val="2"/>
        <w:rPr>
          <w:rFonts w:hint="eastAsia"/>
        </w:rPr>
        <w:sectPr>
          <w:pgSz w:w="11906" w:h="16838"/>
          <w:pgMar w:top="2098" w:right="1474" w:bottom="1984" w:left="1587" w:header="851" w:footer="1361" w:gutter="0"/>
          <w:pgNumType w:fmt="decimal"/>
          <w:cols w:space="0" w:num="1"/>
          <w:rtlGutter w:val="0"/>
          <w:docGrid w:type="linesAndChars" w:linePitch="579" w:charSpace="-842"/>
        </w:sectPr>
      </w:pPr>
    </w:p>
    <w:p>
      <w:pPr>
        <w:keepNext w:val="0"/>
        <w:keepLines w:val="0"/>
        <w:pageBreakBefore w:val="0"/>
        <w:tabs>
          <w:tab w:val="center" w:pos="4153"/>
          <w:tab w:val="left" w:pos="7275"/>
        </w:tabs>
        <w:kinsoku/>
        <w:wordWrap/>
        <w:overflowPunct/>
        <w:topLinePunct w:val="0"/>
        <w:autoSpaceDE/>
        <w:autoSpaceDN/>
        <w:bidi w:val="0"/>
        <w:adjustRightInd/>
        <w:snapToGrid/>
        <w:spacing w:line="600" w:lineRule="exact"/>
        <w:ind w:firstLine="712" w:firstLineChars="200"/>
        <w:jc w:val="center"/>
        <w:textAlignment w:val="auto"/>
        <w:rPr>
          <w:rFonts w:hint="eastAsia" w:ascii="Times New Roman" w:hAnsi="Times New Roman" w:eastAsia="方正小标宋_GBK" w:cs="宋体"/>
          <w:color w:val="000000"/>
          <w:kern w:val="0"/>
          <w:sz w:val="36"/>
          <w:szCs w:val="36"/>
          <w:lang w:val="en-US" w:eastAsia="zh-CN" w:bidi="ar"/>
        </w:rPr>
      </w:pPr>
      <w:r>
        <w:rPr>
          <w:rFonts w:hint="eastAsia" w:ascii="Times New Roman" w:hAnsi="Times New Roman" w:eastAsia="方正小标宋_GBK" w:cs="宋体"/>
          <w:color w:val="000000"/>
          <w:kern w:val="0"/>
          <w:sz w:val="36"/>
          <w:szCs w:val="36"/>
          <w:lang w:val="en-US" w:eastAsia="zh-CN" w:bidi="ar"/>
        </w:rPr>
        <w:t>部门整体绩效自评表</w:t>
      </w:r>
    </w:p>
    <w:tbl>
      <w:tblPr>
        <w:tblStyle w:val="7"/>
        <w:tblW w:w="0" w:type="auto"/>
        <w:tblInd w:w="0" w:type="dxa"/>
        <w:tblLayout w:type="autofit"/>
        <w:tblCellMar>
          <w:top w:w="0" w:type="dxa"/>
          <w:left w:w="108" w:type="dxa"/>
          <w:bottom w:w="0" w:type="dxa"/>
          <w:right w:w="108" w:type="dxa"/>
        </w:tblCellMar>
      </w:tblPr>
      <w:tblGrid>
        <w:gridCol w:w="992"/>
        <w:gridCol w:w="929"/>
        <w:gridCol w:w="790"/>
        <w:gridCol w:w="959"/>
        <w:gridCol w:w="522"/>
        <w:gridCol w:w="425"/>
        <w:gridCol w:w="817"/>
        <w:gridCol w:w="786"/>
        <w:gridCol w:w="968"/>
        <w:gridCol w:w="968"/>
        <w:gridCol w:w="905"/>
      </w:tblGrid>
      <w:tr>
        <w:tblPrEx>
          <w:tblCellMar>
            <w:top w:w="0" w:type="dxa"/>
            <w:left w:w="108" w:type="dxa"/>
            <w:bottom w:w="0" w:type="dxa"/>
            <w:right w:w="108" w:type="dxa"/>
          </w:tblCellMar>
        </w:tblPrEx>
        <w:trPr>
          <w:cantSplit/>
          <w:trHeight w:val="449" w:hRule="atLeast"/>
        </w:trPr>
        <w:tc>
          <w:tcPr>
            <w:tcW w:w="977"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主管</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部门</w:t>
            </w:r>
          </w:p>
        </w:tc>
        <w:tc>
          <w:tcPr>
            <w:tcW w:w="1693"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1"/>
                <w:szCs w:val="21"/>
                <w:highlight w:val="none"/>
                <w:lang w:eastAsia="zh-CN" w:bidi="ar"/>
              </w:rPr>
              <w:t>城口县农业农村委员会</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财政处室</w:t>
            </w:r>
          </w:p>
        </w:tc>
        <w:tc>
          <w:tcPr>
            <w:tcW w:w="0" w:type="auto"/>
            <w:gridSpan w:val="2"/>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1"/>
                <w:szCs w:val="21"/>
                <w:highlight w:val="none"/>
                <w:lang w:eastAsia="zh-CN" w:bidi="ar"/>
              </w:rPr>
              <w:t>农业农村和产业发展科</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自评总分（分）</w:t>
            </w:r>
          </w:p>
        </w:tc>
        <w:tc>
          <w:tcPr>
            <w:tcW w:w="0" w:type="auto"/>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宋体"/>
                <w:color w:val="000000"/>
                <w:kern w:val="0"/>
                <w:sz w:val="20"/>
                <w:szCs w:val="20"/>
                <w:lang w:val="en-US" w:eastAsia="zh-CN" w:bidi="ar"/>
              </w:rPr>
            </w:pPr>
            <w:r>
              <w:rPr>
                <w:rFonts w:hint="eastAsia" w:ascii="Times New Roman" w:hAnsi="Times New Roman" w:cs="宋体"/>
                <w:color w:val="000000"/>
                <w:kern w:val="0"/>
                <w:sz w:val="20"/>
                <w:szCs w:val="20"/>
                <w:lang w:val="en-US" w:eastAsia="zh-CN" w:bidi="ar"/>
              </w:rPr>
              <w:t>97.1</w:t>
            </w:r>
          </w:p>
        </w:tc>
      </w:tr>
      <w:tr>
        <w:tblPrEx>
          <w:tblCellMar>
            <w:top w:w="0" w:type="dxa"/>
            <w:left w:w="108" w:type="dxa"/>
            <w:bottom w:w="0" w:type="dxa"/>
            <w:right w:w="108" w:type="dxa"/>
          </w:tblCellMar>
        </w:tblPrEx>
        <w:trPr>
          <w:cantSplit/>
          <w:trHeight w:val="111" w:hRule="atLeast"/>
        </w:trPr>
        <w:tc>
          <w:tcPr>
            <w:tcW w:w="9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方正仿宋_GBK" w:cs="宋体"/>
                <w:color w:val="000000"/>
                <w:kern w:val="0"/>
                <w:sz w:val="20"/>
                <w:szCs w:val="20"/>
                <w:lang w:bidi="ar"/>
              </w:rPr>
            </w:pPr>
          </w:p>
        </w:tc>
        <w:tc>
          <w:tcPr>
            <w:tcW w:w="1693" w:type="dxa"/>
            <w:gridSpan w:val="2"/>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方正仿宋_GBK" w:cs="宋体"/>
                <w:color w:val="000000"/>
                <w:kern w:val="0"/>
                <w:sz w:val="20"/>
                <w:szCs w:val="20"/>
                <w:lang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方正仿宋_GBK" w:cs="宋体"/>
                <w:color w:val="000000"/>
                <w:kern w:val="0"/>
                <w:sz w:val="20"/>
                <w:szCs w:val="20"/>
                <w:lang w:bidi="ar"/>
              </w:rPr>
            </w:pPr>
          </w:p>
        </w:tc>
        <w:tc>
          <w:tcPr>
            <w:tcW w:w="0" w:type="auto"/>
            <w:gridSpan w:val="2"/>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方正仿宋_GBK" w:cs="宋体"/>
                <w:color w:val="000000"/>
                <w:kern w:val="0"/>
                <w:sz w:val="20"/>
                <w:szCs w:val="20"/>
                <w:lang w:bidi="ar"/>
              </w:rPr>
            </w:pP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部门系人</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Times New Roman" w:hAnsi="Times New Roman" w:eastAsia="方正仿宋_GBK" w:cs="宋体"/>
                <w:color w:val="000000"/>
                <w:kern w:val="0"/>
                <w:sz w:val="20"/>
                <w:szCs w:val="20"/>
                <w:lang w:val="en-US" w:eastAsia="zh-CN" w:bidi="ar"/>
              </w:rPr>
            </w:pP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联系电话</w:t>
            </w:r>
          </w:p>
        </w:tc>
        <w:tc>
          <w:tcPr>
            <w:tcW w:w="0" w:type="auto"/>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Times New Roman" w:hAnsi="Times New Roman" w:eastAsia="方正仿宋_GBK" w:cs="宋体"/>
                <w:color w:val="000000"/>
                <w:kern w:val="0"/>
                <w:sz w:val="20"/>
                <w:szCs w:val="20"/>
                <w:lang w:bidi="ar"/>
              </w:rPr>
            </w:pPr>
          </w:p>
        </w:tc>
      </w:tr>
      <w:tr>
        <w:tblPrEx>
          <w:tblCellMar>
            <w:top w:w="0" w:type="dxa"/>
            <w:left w:w="108" w:type="dxa"/>
            <w:bottom w:w="0" w:type="dxa"/>
            <w:right w:w="108" w:type="dxa"/>
          </w:tblCellMar>
        </w:tblPrEx>
        <w:trPr>
          <w:cantSplit/>
          <w:trHeight w:val="667" w:hRule="atLeast"/>
        </w:trPr>
        <w:tc>
          <w:tcPr>
            <w:tcW w:w="9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Times New Roman" w:hAnsi="Times New Roman" w:eastAsia="方正仿宋_GBK" w:cs="宋体"/>
                <w:color w:val="000000"/>
                <w:spacing w:val="-11"/>
                <w:kern w:val="0"/>
                <w:sz w:val="20"/>
                <w:szCs w:val="20"/>
                <w:lang w:bidi="ar"/>
              </w:rPr>
            </w:pPr>
            <w:r>
              <w:rPr>
                <w:rFonts w:hint="eastAsia" w:ascii="Times New Roman" w:hAnsi="Times New Roman" w:eastAsia="方正仿宋_GBK" w:cs="宋体"/>
                <w:color w:val="000000"/>
                <w:spacing w:val="-11"/>
                <w:kern w:val="0"/>
                <w:sz w:val="20"/>
                <w:szCs w:val="20"/>
                <w:lang w:bidi="ar"/>
              </w:rPr>
              <w:t>部门预算执行情况</w:t>
            </w:r>
          </w:p>
        </w:tc>
        <w:tc>
          <w:tcPr>
            <w:tcW w:w="9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spacing w:val="-11"/>
                <w:kern w:val="0"/>
                <w:sz w:val="20"/>
                <w:szCs w:val="20"/>
                <w:lang w:bidi="ar"/>
              </w:rPr>
            </w:pPr>
            <w:r>
              <w:rPr>
                <w:rFonts w:hint="eastAsia" w:ascii="Times New Roman" w:hAnsi="Times New Roman" w:eastAsia="方正仿宋_GBK" w:cs="宋体"/>
                <w:color w:val="000000"/>
                <w:spacing w:val="-11"/>
                <w:kern w:val="0"/>
                <w:sz w:val="20"/>
                <w:szCs w:val="20"/>
                <w:lang w:bidi="ar"/>
              </w:rPr>
              <w:t>预算资金（万元）</w:t>
            </w:r>
          </w:p>
        </w:tc>
        <w:tc>
          <w:tcPr>
            <w:tcW w:w="16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spacing w:val="-11"/>
                <w:kern w:val="0"/>
                <w:sz w:val="20"/>
                <w:szCs w:val="20"/>
                <w:lang w:bidi="ar"/>
              </w:rPr>
            </w:pPr>
            <w:r>
              <w:rPr>
                <w:rFonts w:hint="eastAsia" w:ascii="Times New Roman" w:hAnsi="Times New Roman" w:eastAsia="方正仿宋_GBK" w:cs="宋体"/>
                <w:color w:val="000000"/>
                <w:spacing w:val="-11"/>
                <w:kern w:val="0"/>
                <w:sz w:val="20"/>
                <w:szCs w:val="20"/>
                <w:lang w:bidi="ar"/>
              </w:rPr>
              <w:t>年初预算数</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spacing w:val="-11"/>
                <w:kern w:val="0"/>
                <w:sz w:val="20"/>
                <w:szCs w:val="20"/>
                <w:lang w:bidi="ar"/>
              </w:rPr>
            </w:pPr>
            <w:r>
              <w:rPr>
                <w:rFonts w:hint="eastAsia" w:ascii="Times New Roman" w:hAnsi="Times New Roman" w:eastAsia="方正仿宋_GBK" w:cs="宋体"/>
                <w:color w:val="000000"/>
                <w:spacing w:val="-11"/>
                <w:kern w:val="0"/>
                <w:sz w:val="20"/>
                <w:szCs w:val="20"/>
                <w:lang w:bidi="ar"/>
              </w:rPr>
              <w:t>全年（调整）预算数</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spacing w:val="-11"/>
                <w:kern w:val="0"/>
                <w:sz w:val="20"/>
                <w:szCs w:val="20"/>
                <w:lang w:bidi="ar"/>
              </w:rPr>
            </w:pPr>
            <w:r>
              <w:rPr>
                <w:rFonts w:hint="eastAsia" w:ascii="Times New Roman" w:hAnsi="Times New Roman" w:eastAsia="方正仿宋_GBK" w:cs="宋体"/>
                <w:color w:val="000000"/>
                <w:spacing w:val="-11"/>
                <w:kern w:val="0"/>
                <w:sz w:val="20"/>
                <w:szCs w:val="20"/>
                <w:lang w:bidi="ar"/>
              </w:rPr>
              <w:t>全年执行数</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spacing w:val="-11"/>
                <w:kern w:val="0"/>
                <w:sz w:val="20"/>
                <w:szCs w:val="20"/>
                <w:lang w:bidi="ar"/>
              </w:rPr>
            </w:pPr>
            <w:r>
              <w:rPr>
                <w:rFonts w:hint="eastAsia" w:ascii="Times New Roman" w:hAnsi="Times New Roman" w:eastAsia="方正仿宋_GBK" w:cs="宋体"/>
                <w:color w:val="000000"/>
                <w:spacing w:val="-11"/>
                <w:kern w:val="0"/>
                <w:sz w:val="20"/>
                <w:szCs w:val="20"/>
                <w:lang w:bidi="ar"/>
              </w:rPr>
              <w:t>执行率（%）</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spacing w:val="-11"/>
                <w:kern w:val="0"/>
                <w:sz w:val="20"/>
                <w:szCs w:val="20"/>
                <w:lang w:bidi="ar"/>
              </w:rPr>
            </w:pPr>
            <w:r>
              <w:rPr>
                <w:rFonts w:hint="eastAsia" w:ascii="Times New Roman" w:hAnsi="Times New Roman" w:eastAsia="方正仿宋_GBK" w:cs="宋体"/>
                <w:color w:val="000000"/>
                <w:spacing w:val="-11"/>
                <w:kern w:val="0"/>
                <w:sz w:val="20"/>
                <w:szCs w:val="20"/>
                <w:lang w:bidi="ar"/>
              </w:rPr>
              <w:t>执行率权重</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spacing w:val="-11"/>
                <w:kern w:val="0"/>
                <w:sz w:val="20"/>
                <w:szCs w:val="20"/>
                <w:lang w:bidi="ar"/>
              </w:rPr>
            </w:pPr>
            <w:r>
              <w:rPr>
                <w:rFonts w:hint="eastAsia" w:ascii="Times New Roman" w:hAnsi="Times New Roman" w:eastAsia="方正仿宋_GBK" w:cs="宋体"/>
                <w:color w:val="000000"/>
                <w:spacing w:val="-11"/>
                <w:kern w:val="0"/>
                <w:sz w:val="20"/>
                <w:szCs w:val="20"/>
                <w:lang w:bidi="ar"/>
              </w:rPr>
              <w:t>执行率得分（分）</w:t>
            </w:r>
          </w:p>
        </w:tc>
      </w:tr>
      <w:tr>
        <w:tblPrEx>
          <w:tblCellMar>
            <w:top w:w="0" w:type="dxa"/>
            <w:left w:w="108" w:type="dxa"/>
            <w:bottom w:w="0" w:type="dxa"/>
            <w:right w:w="108" w:type="dxa"/>
          </w:tblCellMar>
        </w:tblPrEx>
        <w:trPr>
          <w:cantSplit/>
          <w:trHeight w:val="572" w:hRule="atLeast"/>
        </w:trPr>
        <w:tc>
          <w:tcPr>
            <w:tcW w:w="9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Times New Roman" w:hAnsi="Times New Roman" w:eastAsia="方正仿宋_GBK" w:cs="宋体"/>
                <w:color w:val="000000"/>
                <w:spacing w:val="-11"/>
                <w:kern w:val="0"/>
                <w:sz w:val="20"/>
                <w:szCs w:val="20"/>
                <w:lang w:bidi="ar"/>
              </w:rPr>
            </w:pP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Times New Roman" w:hAnsi="Times New Roman" w:eastAsia="方正仿宋_GBK" w:cs="宋体"/>
                <w:color w:val="000000"/>
                <w:spacing w:val="-11"/>
                <w:kern w:val="0"/>
                <w:sz w:val="20"/>
                <w:szCs w:val="20"/>
                <w:lang w:bidi="ar"/>
              </w:rPr>
            </w:pPr>
          </w:p>
        </w:tc>
        <w:tc>
          <w:tcPr>
            <w:tcW w:w="91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spacing w:val="-11"/>
                <w:kern w:val="0"/>
                <w:sz w:val="20"/>
                <w:szCs w:val="20"/>
                <w:lang w:bidi="ar"/>
              </w:rPr>
            </w:pPr>
          </w:p>
        </w:tc>
        <w:tc>
          <w:tcPr>
            <w:tcW w:w="16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宋体"/>
                <w:color w:val="000000"/>
                <w:spacing w:val="-11"/>
                <w:kern w:val="0"/>
                <w:sz w:val="20"/>
                <w:szCs w:val="20"/>
                <w:lang w:val="en-US" w:eastAsia="zh-CN" w:bidi="ar"/>
              </w:rPr>
            </w:pPr>
            <w:r>
              <w:rPr>
                <w:rFonts w:hint="eastAsia" w:ascii="Times New Roman" w:hAnsi="Times New Roman" w:eastAsia="方正仿宋_GBK" w:cs="宋体"/>
                <w:color w:val="000000"/>
                <w:spacing w:val="-11"/>
                <w:kern w:val="0"/>
                <w:sz w:val="20"/>
                <w:szCs w:val="20"/>
                <w:lang w:val="en-US" w:eastAsia="zh-CN" w:bidi="ar"/>
              </w:rPr>
              <w:t>10226</w:t>
            </w:r>
            <w:r>
              <w:rPr>
                <w:rFonts w:hint="eastAsia" w:ascii="Times New Roman" w:hAnsi="Times New Roman" w:cs="宋体"/>
                <w:color w:val="000000"/>
                <w:spacing w:val="-11"/>
                <w:kern w:val="0"/>
                <w:sz w:val="20"/>
                <w:szCs w:val="20"/>
                <w:lang w:val="en-US" w:eastAsia="zh-CN" w:bidi="ar"/>
              </w:rPr>
              <w:t>.</w:t>
            </w:r>
            <w:r>
              <w:rPr>
                <w:rFonts w:hint="eastAsia" w:ascii="Times New Roman" w:hAnsi="Times New Roman" w:eastAsia="方正仿宋_GBK" w:cs="宋体"/>
                <w:color w:val="000000"/>
                <w:spacing w:val="-11"/>
                <w:kern w:val="0"/>
                <w:sz w:val="20"/>
                <w:szCs w:val="20"/>
                <w:lang w:val="en-US" w:eastAsia="zh-CN" w:bidi="ar"/>
              </w:rPr>
              <w:t>8</w:t>
            </w:r>
            <w:r>
              <w:rPr>
                <w:rFonts w:hint="eastAsia" w:ascii="Times New Roman" w:hAnsi="Times New Roman" w:cs="宋体"/>
                <w:color w:val="000000"/>
                <w:spacing w:val="-11"/>
                <w:kern w:val="0"/>
                <w:sz w:val="20"/>
                <w:szCs w:val="20"/>
                <w:lang w:val="en-US" w:eastAsia="zh-CN" w:bidi="ar"/>
              </w:rPr>
              <w:t>1</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spacing w:val="-11"/>
                <w:kern w:val="0"/>
                <w:sz w:val="20"/>
                <w:szCs w:val="20"/>
                <w:lang w:bidi="ar"/>
              </w:rPr>
            </w:pPr>
            <w:r>
              <w:rPr>
                <w:rFonts w:hint="eastAsia" w:ascii="Times New Roman" w:hAnsi="Times New Roman" w:eastAsia="方正仿宋_GBK" w:cs="宋体"/>
                <w:color w:val="000000"/>
                <w:spacing w:val="-11"/>
                <w:kern w:val="0"/>
                <w:sz w:val="20"/>
                <w:szCs w:val="20"/>
                <w:lang w:bidi="ar"/>
              </w:rPr>
              <w:t>14144</w:t>
            </w:r>
            <w:r>
              <w:rPr>
                <w:rFonts w:hint="eastAsia" w:ascii="Times New Roman" w:hAnsi="Times New Roman" w:cs="宋体"/>
                <w:color w:val="000000"/>
                <w:spacing w:val="-11"/>
                <w:kern w:val="0"/>
                <w:sz w:val="20"/>
                <w:szCs w:val="20"/>
                <w:lang w:val="en-US" w:eastAsia="zh-CN" w:bidi="ar"/>
              </w:rPr>
              <w:t>.</w:t>
            </w:r>
            <w:r>
              <w:rPr>
                <w:rFonts w:hint="eastAsia" w:ascii="Times New Roman" w:hAnsi="Times New Roman" w:eastAsia="方正仿宋_GBK" w:cs="宋体"/>
                <w:color w:val="000000"/>
                <w:spacing w:val="-11"/>
                <w:kern w:val="0"/>
                <w:sz w:val="20"/>
                <w:szCs w:val="20"/>
                <w:lang w:bidi="ar"/>
              </w:rPr>
              <w:t>5</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宋体"/>
                <w:color w:val="000000"/>
                <w:spacing w:val="-11"/>
                <w:kern w:val="0"/>
                <w:sz w:val="20"/>
                <w:szCs w:val="20"/>
                <w:lang w:val="en-US" w:eastAsia="zh-CN" w:bidi="ar"/>
              </w:rPr>
            </w:pPr>
            <w:r>
              <w:rPr>
                <w:rFonts w:hint="eastAsia" w:ascii="Times New Roman" w:hAnsi="Times New Roman" w:eastAsia="方正仿宋_GBK" w:cs="宋体"/>
                <w:color w:val="000000"/>
                <w:spacing w:val="-11"/>
                <w:kern w:val="0"/>
                <w:sz w:val="20"/>
                <w:szCs w:val="20"/>
                <w:lang w:val="en-US" w:eastAsia="zh-CN" w:bidi="ar"/>
              </w:rPr>
              <w:t>10102</w:t>
            </w:r>
            <w:r>
              <w:rPr>
                <w:rFonts w:hint="eastAsia" w:ascii="Times New Roman" w:hAnsi="Times New Roman" w:cs="宋体"/>
                <w:color w:val="000000"/>
                <w:spacing w:val="-11"/>
                <w:kern w:val="0"/>
                <w:sz w:val="20"/>
                <w:szCs w:val="20"/>
                <w:lang w:val="en-US" w:eastAsia="zh-CN" w:bidi="ar"/>
              </w:rPr>
              <w:t>.</w:t>
            </w:r>
            <w:r>
              <w:rPr>
                <w:rFonts w:hint="eastAsia" w:ascii="Times New Roman" w:hAnsi="Times New Roman" w:eastAsia="方正仿宋_GBK" w:cs="宋体"/>
                <w:color w:val="000000"/>
                <w:spacing w:val="-11"/>
                <w:kern w:val="0"/>
                <w:sz w:val="20"/>
                <w:szCs w:val="20"/>
                <w:lang w:val="en-US" w:eastAsia="zh-CN" w:bidi="ar"/>
              </w:rPr>
              <w:t>39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宋体"/>
                <w:color w:val="000000"/>
                <w:spacing w:val="-11"/>
                <w:kern w:val="0"/>
                <w:sz w:val="20"/>
                <w:szCs w:val="20"/>
                <w:lang w:val="en-US" w:eastAsia="zh-CN" w:bidi="ar"/>
              </w:rPr>
            </w:pPr>
            <w:r>
              <w:rPr>
                <w:rFonts w:hint="eastAsia" w:ascii="Times New Roman" w:hAnsi="Times New Roman" w:cs="宋体"/>
                <w:color w:val="000000"/>
                <w:spacing w:val="-11"/>
                <w:kern w:val="0"/>
                <w:sz w:val="20"/>
                <w:szCs w:val="20"/>
                <w:lang w:val="en-US" w:eastAsia="zh-CN" w:bidi="ar"/>
              </w:rPr>
              <w:t>71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宋体"/>
                <w:color w:val="000000"/>
                <w:spacing w:val="-11"/>
                <w:kern w:val="0"/>
                <w:sz w:val="20"/>
                <w:szCs w:val="20"/>
                <w:lang w:val="en-US" w:eastAsia="zh-CN" w:bidi="ar"/>
              </w:rPr>
            </w:pPr>
            <w:r>
              <w:rPr>
                <w:rFonts w:hint="eastAsia" w:ascii="Times New Roman" w:hAnsi="Times New Roman" w:eastAsia="方正仿宋_GBK" w:cs="宋体"/>
                <w:color w:val="000000"/>
                <w:spacing w:val="-11"/>
                <w:kern w:val="0"/>
                <w:sz w:val="20"/>
                <w:szCs w:val="20"/>
                <w:lang w:val="en-US" w:eastAsia="zh-CN" w:bidi="ar"/>
              </w:rPr>
              <w:t>10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宋体"/>
                <w:color w:val="000000"/>
                <w:spacing w:val="-11"/>
                <w:kern w:val="0"/>
                <w:sz w:val="20"/>
                <w:szCs w:val="20"/>
                <w:lang w:val="en-US" w:eastAsia="zh-CN" w:bidi="ar"/>
              </w:rPr>
            </w:pPr>
            <w:r>
              <w:rPr>
                <w:rFonts w:hint="eastAsia" w:ascii="Times New Roman" w:hAnsi="Times New Roman" w:cs="宋体"/>
                <w:color w:val="000000"/>
                <w:spacing w:val="-11"/>
                <w:kern w:val="0"/>
                <w:sz w:val="20"/>
                <w:szCs w:val="20"/>
                <w:lang w:val="en-US" w:eastAsia="zh-CN" w:bidi="ar"/>
              </w:rPr>
              <w:t>7.1</w:t>
            </w:r>
          </w:p>
        </w:tc>
      </w:tr>
      <w:tr>
        <w:tblPrEx>
          <w:tblCellMar>
            <w:top w:w="0" w:type="dxa"/>
            <w:left w:w="108" w:type="dxa"/>
            <w:bottom w:w="0" w:type="dxa"/>
            <w:right w:w="108" w:type="dxa"/>
          </w:tblCellMar>
        </w:tblPrEx>
        <w:trPr>
          <w:cantSplit/>
          <w:trHeight w:val="544" w:hRule="atLeast"/>
        </w:trPr>
        <w:tc>
          <w:tcPr>
            <w:tcW w:w="9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当年绩效目标</w:t>
            </w:r>
          </w:p>
        </w:tc>
        <w:tc>
          <w:tcPr>
            <w:tcW w:w="2545"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年初绩效目标</w:t>
            </w:r>
          </w:p>
        </w:tc>
        <w:tc>
          <w:tcPr>
            <w:tcW w:w="0" w:type="auto"/>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全年（调整）绩效目标</w:t>
            </w:r>
          </w:p>
        </w:tc>
        <w:tc>
          <w:tcPr>
            <w:tcW w:w="0" w:type="auto"/>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全年目标实际完成情况</w:t>
            </w:r>
          </w:p>
        </w:tc>
      </w:tr>
      <w:tr>
        <w:tblPrEx>
          <w:tblCellMar>
            <w:top w:w="0" w:type="dxa"/>
            <w:left w:w="108" w:type="dxa"/>
            <w:bottom w:w="0" w:type="dxa"/>
            <w:right w:w="108" w:type="dxa"/>
          </w:tblCellMar>
        </w:tblPrEx>
        <w:trPr>
          <w:cantSplit/>
          <w:trHeight w:val="3560" w:hRule="atLeast"/>
        </w:trPr>
        <w:tc>
          <w:tcPr>
            <w:tcW w:w="9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ascii="Times New Roman" w:hAnsi="Times New Roman" w:eastAsia="方正仿宋_GBK" w:cs="宋体"/>
                <w:color w:val="000000"/>
                <w:kern w:val="0"/>
                <w:sz w:val="20"/>
                <w:szCs w:val="20"/>
                <w:lang w:bidi="ar"/>
              </w:rPr>
            </w:pPr>
          </w:p>
        </w:tc>
        <w:tc>
          <w:tcPr>
            <w:tcW w:w="2545"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执行党的路线方针政策和国家法律法规，实施乡村振兴战略，提升乡村特色产业。加强动植物疫病防控，确保</w:t>
            </w:r>
            <w:r>
              <w:rPr>
                <w:rFonts w:hint="eastAsia" w:cs="宋体"/>
                <w:color w:val="000000"/>
                <w:kern w:val="0"/>
                <w:sz w:val="20"/>
                <w:szCs w:val="20"/>
                <w:lang w:eastAsia="zh-CN" w:bidi="ar"/>
              </w:rPr>
              <w:t>种植业</w:t>
            </w:r>
            <w:r>
              <w:rPr>
                <w:rFonts w:hint="eastAsia" w:ascii="Times New Roman" w:hAnsi="Times New Roman" w:eastAsia="方正仿宋_GBK" w:cs="宋体"/>
                <w:color w:val="000000"/>
                <w:kern w:val="0"/>
                <w:sz w:val="20"/>
                <w:szCs w:val="20"/>
                <w:lang w:bidi="ar"/>
              </w:rPr>
              <w:t>、畜牧业健康快速发展；保障农产品质量安全，建设打造农业本土品牌；高质高效完成高标准农田建设任务、基层农技推广、新职农培训任务；改善人居环境、水生态环境；发展区域性特色产业，加快集体经济组织建设，稳步推进我县农业产业发展。</w:t>
            </w:r>
          </w:p>
        </w:tc>
        <w:tc>
          <w:tcPr>
            <w:tcW w:w="0" w:type="auto"/>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Times New Roman" w:hAnsi="Times New Roman" w:eastAsia="方正仿宋_GBK" w:cs="宋体"/>
                <w:color w:val="000000"/>
                <w:kern w:val="0"/>
                <w:sz w:val="20"/>
                <w:szCs w:val="20"/>
                <w:lang w:bidi="ar"/>
              </w:rPr>
            </w:pPr>
          </w:p>
        </w:tc>
        <w:tc>
          <w:tcPr>
            <w:tcW w:w="0" w:type="auto"/>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执行党的路线方针政策和国家法律法规，实施乡村振兴战略，提升乡村特色产业。加强动植物疫病防控，确保</w:t>
            </w:r>
            <w:r>
              <w:rPr>
                <w:rFonts w:hint="eastAsia" w:cs="宋体"/>
                <w:color w:val="000000"/>
                <w:kern w:val="0"/>
                <w:sz w:val="20"/>
                <w:szCs w:val="20"/>
                <w:lang w:eastAsia="zh-CN" w:bidi="ar"/>
              </w:rPr>
              <w:t>种植业</w:t>
            </w:r>
            <w:r>
              <w:rPr>
                <w:rFonts w:hint="eastAsia" w:ascii="Times New Roman" w:hAnsi="Times New Roman" w:eastAsia="方正仿宋_GBK" w:cs="宋体"/>
                <w:color w:val="000000"/>
                <w:kern w:val="0"/>
                <w:sz w:val="20"/>
                <w:szCs w:val="20"/>
                <w:lang w:bidi="ar"/>
              </w:rPr>
              <w:t>、畜牧业健康快速发展；保障农产品质量安全，建设打造农业本土品牌；高质高效完成高标准农田建设任务、基层农技推广、新职农培训任务；改善人居环境、水生态环境；发展区域性特色产业，加快集体经济组织建设，稳步推进我县农业产业发展。</w:t>
            </w:r>
          </w:p>
        </w:tc>
      </w:tr>
      <w:tr>
        <w:tblPrEx>
          <w:tblCellMar>
            <w:top w:w="0" w:type="dxa"/>
            <w:left w:w="108" w:type="dxa"/>
            <w:bottom w:w="0" w:type="dxa"/>
            <w:right w:w="108" w:type="dxa"/>
          </w:tblCellMar>
        </w:tblPrEx>
        <w:trPr>
          <w:cantSplit/>
          <w:trHeight w:val="616" w:hRule="atLeast"/>
        </w:trPr>
        <w:tc>
          <w:tcPr>
            <w:tcW w:w="977" w:type="dxa"/>
            <w:vMerge w:val="restart"/>
            <w:tcBorders>
              <w:top w:val="nil"/>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绩效指标</w:t>
            </w:r>
          </w:p>
        </w:tc>
        <w:tc>
          <w:tcPr>
            <w:tcW w:w="915"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指标名称</w:t>
            </w:r>
          </w:p>
        </w:tc>
        <w:tc>
          <w:tcPr>
            <w:tcW w:w="7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计量单位</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指标性质</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年初指标值</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调整指标值</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全年完成值</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得分系数（%）</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指标权重（分）</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指标得分（分）</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是否核心指标</w:t>
            </w:r>
          </w:p>
        </w:tc>
      </w:tr>
      <w:tr>
        <w:tblPrEx>
          <w:tblCellMar>
            <w:top w:w="0" w:type="dxa"/>
            <w:left w:w="108" w:type="dxa"/>
            <w:bottom w:w="0" w:type="dxa"/>
            <w:right w:w="108" w:type="dxa"/>
          </w:tblCellMar>
        </w:tblPrEx>
        <w:trPr>
          <w:cantSplit/>
          <w:trHeight w:val="500" w:hRule="atLeast"/>
        </w:trPr>
        <w:tc>
          <w:tcPr>
            <w:tcW w:w="9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方正仿宋_GBK" w:cs="宋体"/>
                <w:color w:val="000000"/>
                <w:kern w:val="0"/>
                <w:sz w:val="20"/>
                <w:szCs w:val="20"/>
                <w:lang w:bidi="ar"/>
              </w:rPr>
            </w:pPr>
          </w:p>
        </w:tc>
        <w:tc>
          <w:tcPr>
            <w:tcW w:w="915" w:type="dxa"/>
            <w:tcBorders>
              <w:top w:val="nil"/>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农业产业覆盖乡镇</w:t>
            </w:r>
          </w:p>
        </w:tc>
        <w:tc>
          <w:tcPr>
            <w:tcW w:w="778" w:type="dxa"/>
            <w:tcBorders>
              <w:top w:val="nil"/>
              <w:left w:val="single" w:color="auto"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i w:val="0"/>
                <w:color w:val="000000"/>
                <w:kern w:val="0"/>
                <w:sz w:val="20"/>
                <w:szCs w:val="20"/>
                <w:u w:val="none"/>
                <w:lang w:val="en-US" w:eastAsia="zh-CN" w:bidi="ar"/>
              </w:rPr>
              <w:t>个</w:t>
            </w: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w:t>
            </w: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25</w:t>
            </w: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0"/>
                <w:szCs w:val="20"/>
                <w:lang w:val="en-US" w:eastAsia="zh-CN" w:bidi="ar"/>
              </w:rPr>
            </w:pP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25</w:t>
            </w: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CN" w:bidi="ar"/>
              </w:rPr>
              <w:t>100</w:t>
            </w: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CN" w:bidi="ar"/>
              </w:rPr>
              <w:t>30</w:t>
            </w: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CN" w:bidi="ar"/>
              </w:rPr>
              <w:t>30</w:t>
            </w:r>
          </w:p>
        </w:tc>
        <w:tc>
          <w:tcPr>
            <w:tcW w:w="0" w:type="auto"/>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CN" w:bidi="ar"/>
              </w:rPr>
              <w:t>是</w:t>
            </w:r>
          </w:p>
        </w:tc>
      </w:tr>
      <w:tr>
        <w:tblPrEx>
          <w:tblCellMar>
            <w:top w:w="0" w:type="dxa"/>
            <w:left w:w="108" w:type="dxa"/>
            <w:bottom w:w="0" w:type="dxa"/>
            <w:right w:w="108" w:type="dxa"/>
          </w:tblCellMar>
        </w:tblPrEx>
        <w:trPr>
          <w:cantSplit/>
          <w:trHeight w:val="500" w:hRule="atLeast"/>
        </w:trPr>
        <w:tc>
          <w:tcPr>
            <w:tcW w:w="9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方正仿宋_GBK" w:cs="宋体"/>
                <w:color w:val="000000"/>
                <w:kern w:val="0"/>
                <w:sz w:val="20"/>
                <w:szCs w:val="20"/>
                <w:lang w:bidi="ar"/>
              </w:rPr>
            </w:pPr>
          </w:p>
        </w:tc>
        <w:tc>
          <w:tcPr>
            <w:tcW w:w="915" w:type="dxa"/>
            <w:tcBorders>
              <w:top w:val="nil"/>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资金使用合法合规率</w:t>
            </w:r>
          </w:p>
        </w:tc>
        <w:tc>
          <w:tcPr>
            <w:tcW w:w="778" w:type="dxa"/>
            <w:tcBorders>
              <w:top w:val="nil"/>
              <w:left w:val="single" w:color="auto"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i w:val="0"/>
                <w:color w:val="000000"/>
                <w:kern w:val="0"/>
                <w:sz w:val="20"/>
                <w:szCs w:val="20"/>
                <w:u w:val="none"/>
                <w:lang w:val="en-US" w:eastAsia="zh-CN" w:bidi="ar"/>
              </w:rPr>
              <w:t>%</w:t>
            </w: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w:t>
            </w: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100</w:t>
            </w: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0"/>
                <w:szCs w:val="20"/>
                <w:lang w:val="en-US" w:eastAsia="zh-CN" w:bidi="ar"/>
              </w:rPr>
            </w:pP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100</w:t>
            </w: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CN" w:bidi="ar"/>
              </w:rPr>
              <w:t>100</w:t>
            </w: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CN" w:bidi="ar"/>
              </w:rPr>
              <w:t>20</w:t>
            </w: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CN" w:bidi="ar"/>
              </w:rPr>
              <w:t>20</w:t>
            </w:r>
          </w:p>
        </w:tc>
        <w:tc>
          <w:tcPr>
            <w:tcW w:w="0" w:type="auto"/>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CN" w:bidi="ar"/>
              </w:rPr>
              <w:t>是</w:t>
            </w:r>
          </w:p>
        </w:tc>
      </w:tr>
      <w:tr>
        <w:tblPrEx>
          <w:tblCellMar>
            <w:top w:w="0" w:type="dxa"/>
            <w:left w:w="108" w:type="dxa"/>
            <w:bottom w:w="0" w:type="dxa"/>
            <w:right w:w="108" w:type="dxa"/>
          </w:tblCellMar>
        </w:tblPrEx>
        <w:trPr>
          <w:cantSplit/>
          <w:trHeight w:val="500" w:hRule="atLeast"/>
        </w:trPr>
        <w:tc>
          <w:tcPr>
            <w:tcW w:w="9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方正仿宋_GBK" w:cs="宋体"/>
                <w:color w:val="000000"/>
                <w:kern w:val="0"/>
                <w:sz w:val="20"/>
                <w:szCs w:val="20"/>
                <w:lang w:bidi="ar"/>
              </w:rPr>
            </w:pPr>
          </w:p>
        </w:tc>
        <w:tc>
          <w:tcPr>
            <w:tcW w:w="915" w:type="dxa"/>
            <w:tcBorders>
              <w:top w:val="nil"/>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促进农户增收</w:t>
            </w:r>
          </w:p>
        </w:tc>
        <w:tc>
          <w:tcPr>
            <w:tcW w:w="778"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方正仿宋_GBK" w:cs="Times New Roman"/>
                <w:color w:val="000000"/>
                <w:kern w:val="0"/>
                <w:sz w:val="20"/>
                <w:szCs w:val="20"/>
                <w:lang w:bidi="ar"/>
              </w:rPr>
            </w:pP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定性</w:t>
            </w: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有所增加</w:t>
            </w: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0"/>
                <w:szCs w:val="20"/>
                <w:lang w:val="en-US" w:eastAsia="zh-CN" w:bidi="ar"/>
              </w:rPr>
            </w:pP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有所增加</w:t>
            </w: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CN" w:bidi="ar"/>
              </w:rPr>
              <w:t>100</w:t>
            </w: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CN" w:bidi="ar"/>
              </w:rPr>
              <w:t>20</w:t>
            </w: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CN" w:bidi="ar"/>
              </w:rPr>
              <w:t>20</w:t>
            </w:r>
          </w:p>
        </w:tc>
        <w:tc>
          <w:tcPr>
            <w:tcW w:w="0" w:type="auto"/>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CN" w:bidi="ar"/>
              </w:rPr>
              <w:t>是</w:t>
            </w:r>
          </w:p>
        </w:tc>
      </w:tr>
      <w:tr>
        <w:tblPrEx>
          <w:tblCellMar>
            <w:top w:w="0" w:type="dxa"/>
            <w:left w:w="108" w:type="dxa"/>
            <w:bottom w:w="0" w:type="dxa"/>
            <w:right w:w="108" w:type="dxa"/>
          </w:tblCellMar>
        </w:tblPrEx>
        <w:trPr>
          <w:cantSplit/>
          <w:trHeight w:val="500" w:hRule="atLeast"/>
        </w:trPr>
        <w:tc>
          <w:tcPr>
            <w:tcW w:w="9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方正仿宋_GBK" w:cs="宋体"/>
                <w:color w:val="000000"/>
                <w:kern w:val="0"/>
                <w:sz w:val="20"/>
                <w:szCs w:val="20"/>
                <w:lang w:bidi="ar"/>
              </w:rPr>
            </w:pPr>
          </w:p>
        </w:tc>
        <w:tc>
          <w:tcPr>
            <w:tcW w:w="915" w:type="dxa"/>
            <w:tcBorders>
              <w:top w:val="nil"/>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推进我县农业产业发展</w:t>
            </w:r>
          </w:p>
        </w:tc>
        <w:tc>
          <w:tcPr>
            <w:tcW w:w="778"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default" w:ascii="Times New Roman" w:hAnsi="Times New Roman" w:eastAsia="方正仿宋_GBK" w:cs="Times New Roman"/>
                <w:color w:val="000000"/>
                <w:kern w:val="0"/>
                <w:sz w:val="20"/>
                <w:szCs w:val="20"/>
                <w:lang w:bidi="ar"/>
              </w:rPr>
            </w:pP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定性</w:t>
            </w: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优</w:t>
            </w: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0"/>
                <w:szCs w:val="20"/>
                <w:lang w:val="en-US" w:eastAsia="zh-CN" w:bidi="ar"/>
              </w:rPr>
            </w:pP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优</w:t>
            </w: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CN" w:bidi="ar"/>
              </w:rPr>
              <w:t>100</w:t>
            </w: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CN" w:bidi="ar"/>
              </w:rPr>
              <w:t>20</w:t>
            </w:r>
          </w:p>
        </w:tc>
        <w:tc>
          <w:tcPr>
            <w:tcW w:w="0" w:type="auto"/>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CN" w:bidi="ar"/>
              </w:rPr>
              <w:t>20</w:t>
            </w:r>
          </w:p>
        </w:tc>
        <w:tc>
          <w:tcPr>
            <w:tcW w:w="0" w:type="auto"/>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CN" w:bidi="ar"/>
              </w:rPr>
              <w:t>是</w:t>
            </w:r>
          </w:p>
        </w:tc>
      </w:tr>
      <w:tr>
        <w:tblPrEx>
          <w:tblCellMar>
            <w:top w:w="0" w:type="dxa"/>
            <w:left w:w="108" w:type="dxa"/>
            <w:bottom w:w="0" w:type="dxa"/>
            <w:right w:w="108" w:type="dxa"/>
          </w:tblCellMar>
        </w:tblPrEx>
        <w:trPr>
          <w:cantSplit/>
          <w:trHeight w:val="517" w:hRule="atLeast"/>
        </w:trPr>
        <w:tc>
          <w:tcPr>
            <w:tcW w:w="97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宋体"/>
                <w:color w:val="000000"/>
                <w:kern w:val="0"/>
                <w:sz w:val="20"/>
                <w:szCs w:val="20"/>
                <w:lang w:bidi="ar"/>
              </w:rPr>
            </w:pPr>
            <w:r>
              <w:rPr>
                <w:rFonts w:hint="eastAsia" w:ascii="Times New Roman" w:hAnsi="Times New Roman" w:eastAsia="方正仿宋_GBK" w:cs="宋体"/>
                <w:color w:val="000000"/>
                <w:kern w:val="0"/>
                <w:sz w:val="20"/>
                <w:szCs w:val="20"/>
                <w:lang w:bidi="ar"/>
              </w:rPr>
              <w:t>说明</w:t>
            </w:r>
          </w:p>
        </w:tc>
        <w:tc>
          <w:tcPr>
            <w:tcW w:w="7554" w:type="dxa"/>
            <w:gridSpan w:val="10"/>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Times New Roman" w:hAnsi="Times New Roman" w:eastAsia="方正仿宋_GBK" w:cs="宋体"/>
                <w:color w:val="000000"/>
                <w:kern w:val="0"/>
                <w:sz w:val="20"/>
                <w:szCs w:val="20"/>
                <w:lang w:bidi="ar"/>
              </w:rPr>
            </w:pPr>
          </w:p>
        </w:tc>
      </w:tr>
    </w:tbl>
    <w:p>
      <w:pPr>
        <w:keepNext w:val="0"/>
        <w:keepLines w:val="0"/>
        <w:pageBreakBefore w:val="0"/>
        <w:tabs>
          <w:tab w:val="center" w:pos="4153"/>
          <w:tab w:val="left" w:pos="7275"/>
        </w:tabs>
        <w:kinsoku/>
        <w:wordWrap/>
        <w:overflowPunct/>
        <w:topLinePunct w:val="0"/>
        <w:autoSpaceDE/>
        <w:autoSpaceDN/>
        <w:bidi w:val="0"/>
        <w:adjustRightInd/>
        <w:snapToGrid/>
        <w:spacing w:line="600" w:lineRule="exact"/>
        <w:ind w:firstLine="412" w:firstLineChars="200"/>
        <w:jc w:val="center"/>
        <w:textAlignment w:val="auto"/>
        <w:rPr>
          <w:rFonts w:hint="eastAsia" w:ascii="Times New Roman" w:hAnsi="Times New Roman" w:eastAsia="方正小标宋_GBK" w:cs="宋体"/>
          <w:color w:val="000000"/>
          <w:kern w:val="0"/>
          <w:sz w:val="36"/>
          <w:szCs w:val="36"/>
          <w:lang w:val="en-US" w:eastAsia="zh-CN" w:bidi="ar"/>
        </w:rPr>
      </w:pPr>
      <w:r>
        <w:rPr>
          <w:rFonts w:hint="eastAsia" w:ascii="方正仿宋_GBK" w:hAnsi="方正仿宋_GBK" w:eastAsia="方正仿宋_GBK" w:cs="方正仿宋_GBK"/>
          <w:b/>
          <w:kern w:val="0"/>
          <w:sz w:val="21"/>
          <w:szCs w:val="21"/>
          <w:shd w:val="clear" w:fill="FFFF00"/>
          <w:lang w:val="en-US" w:eastAsia="zh-CN" w:bidi="ar"/>
        </w:rPr>
        <w:br w:type="page"/>
      </w:r>
      <w:r>
        <w:rPr>
          <w:rFonts w:hint="eastAsia" w:ascii="Times New Roman" w:hAnsi="Times New Roman" w:eastAsia="方正小标宋_GBK" w:cs="宋体"/>
          <w:color w:val="000000"/>
          <w:kern w:val="0"/>
          <w:sz w:val="36"/>
          <w:szCs w:val="36"/>
          <w:lang w:val="en-US" w:eastAsia="zh-CN" w:bidi="ar"/>
        </w:rPr>
        <w:t>一级项目绩效自评表</w:t>
      </w:r>
    </w:p>
    <w:tbl>
      <w:tblPr>
        <w:tblStyle w:val="7"/>
        <w:tblW w:w="10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152"/>
        <w:gridCol w:w="541"/>
        <w:gridCol w:w="167"/>
        <w:gridCol w:w="251"/>
        <w:gridCol w:w="458"/>
        <w:gridCol w:w="366"/>
        <w:gridCol w:w="342"/>
        <w:gridCol w:w="919"/>
        <w:gridCol w:w="1303"/>
        <w:gridCol w:w="744"/>
        <w:gridCol w:w="1365"/>
        <w:gridCol w:w="942"/>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项目</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名称</w:t>
            </w:r>
          </w:p>
        </w:tc>
        <w:tc>
          <w:tcPr>
            <w:tcW w:w="2111"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color w:val="000000"/>
                <w:kern w:val="0"/>
                <w:sz w:val="22"/>
                <w:szCs w:val="22"/>
                <w:u w:val="none"/>
                <w:lang w:val="en-US" w:eastAsia="zh-CN" w:bidi="ar"/>
              </w:rPr>
              <w:t>城财发</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2022</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211号-2022年一般农户贷款贴息项目</w:t>
            </w:r>
          </w:p>
        </w:tc>
        <w:tc>
          <w:tcPr>
            <w:tcW w:w="824"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项目</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编码</w:t>
            </w:r>
          </w:p>
        </w:tc>
        <w:tc>
          <w:tcPr>
            <w:tcW w:w="1261"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50022922T000002717416</w:t>
            </w:r>
          </w:p>
        </w:tc>
        <w:tc>
          <w:tcPr>
            <w:tcW w:w="13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自评总分</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（分）</w:t>
            </w:r>
          </w:p>
        </w:tc>
        <w:tc>
          <w:tcPr>
            <w:tcW w:w="4285"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主管</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部门</w:t>
            </w:r>
          </w:p>
        </w:tc>
        <w:tc>
          <w:tcPr>
            <w:tcW w:w="2111"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highlight w:val="none"/>
                <w:lang w:eastAsia="zh-CN" w:bidi="ar"/>
              </w:rPr>
              <w:t>城口县农业农村委员会</w:t>
            </w:r>
          </w:p>
        </w:tc>
        <w:tc>
          <w:tcPr>
            <w:tcW w:w="824"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财政</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处室</w:t>
            </w:r>
          </w:p>
        </w:tc>
        <w:tc>
          <w:tcPr>
            <w:tcW w:w="1261"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highlight w:val="none"/>
                <w:lang w:eastAsia="zh-CN" w:bidi="ar"/>
              </w:rPr>
              <w:t>农业农村和产业发展科</w:t>
            </w:r>
          </w:p>
        </w:tc>
        <w:tc>
          <w:tcPr>
            <w:tcW w:w="130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项目</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联系人</w:t>
            </w:r>
          </w:p>
        </w:tc>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联系电话</w:t>
            </w:r>
          </w:p>
        </w:tc>
        <w:tc>
          <w:tcPr>
            <w:tcW w:w="2176"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_GBK"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35" w:type="dxa"/>
            <w:vMerge w:val="restart"/>
            <w:noWrap w:val="0"/>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ind w:left="113" w:right="113"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项目资金（万元）</w:t>
            </w:r>
          </w:p>
        </w:tc>
        <w:tc>
          <w:tcPr>
            <w:tcW w:w="1693"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年度</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总金额</w:t>
            </w:r>
          </w:p>
        </w:tc>
        <w:tc>
          <w:tcPr>
            <w:tcW w:w="1242"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年初</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预算数</w:t>
            </w:r>
          </w:p>
        </w:tc>
        <w:tc>
          <w:tcPr>
            <w:tcW w:w="1261"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全年（调整）预算数</w:t>
            </w:r>
          </w:p>
        </w:tc>
        <w:tc>
          <w:tcPr>
            <w:tcW w:w="20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全年执行数</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执行率</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w:t>
            </w:r>
          </w:p>
        </w:tc>
        <w:tc>
          <w:tcPr>
            <w:tcW w:w="94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执行率</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权重</w:t>
            </w:r>
          </w:p>
        </w:tc>
        <w:tc>
          <w:tcPr>
            <w:tcW w:w="12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执行率</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_GBK" w:cs="Times New Roman"/>
                <w:color w:val="000000"/>
                <w:kern w:val="0"/>
                <w:sz w:val="21"/>
                <w:szCs w:val="21"/>
                <w:lang w:bidi="ar"/>
              </w:rPr>
            </w:pPr>
          </w:p>
        </w:tc>
        <w:tc>
          <w:tcPr>
            <w:tcW w:w="1693"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p>
        </w:tc>
        <w:tc>
          <w:tcPr>
            <w:tcW w:w="1242"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p>
        </w:tc>
        <w:tc>
          <w:tcPr>
            <w:tcW w:w="1261"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19.542306</w:t>
            </w:r>
          </w:p>
        </w:tc>
        <w:tc>
          <w:tcPr>
            <w:tcW w:w="20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19.542306</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100</w:t>
            </w:r>
          </w:p>
        </w:tc>
        <w:tc>
          <w:tcPr>
            <w:tcW w:w="94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10</w:t>
            </w:r>
          </w:p>
        </w:tc>
        <w:tc>
          <w:tcPr>
            <w:tcW w:w="12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_GBK" w:cs="Times New Roman"/>
                <w:color w:val="000000"/>
                <w:kern w:val="0"/>
                <w:sz w:val="21"/>
                <w:szCs w:val="21"/>
                <w:lang w:bidi="ar"/>
              </w:rPr>
            </w:pPr>
          </w:p>
        </w:tc>
        <w:tc>
          <w:tcPr>
            <w:tcW w:w="1693"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其中：</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eastAsia="zh-CN" w:bidi="ar"/>
              </w:rPr>
              <w:t>县</w:t>
            </w:r>
            <w:r>
              <w:rPr>
                <w:rFonts w:hint="default" w:ascii="Times New Roman" w:hAnsi="Times New Roman" w:eastAsia="方正仿宋_GBK" w:cs="Times New Roman"/>
                <w:color w:val="000000"/>
                <w:kern w:val="0"/>
                <w:sz w:val="21"/>
                <w:szCs w:val="21"/>
                <w:lang w:bidi="ar"/>
              </w:rPr>
              <w:t>级支出</w:t>
            </w:r>
          </w:p>
        </w:tc>
        <w:tc>
          <w:tcPr>
            <w:tcW w:w="1242"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p>
        </w:tc>
        <w:tc>
          <w:tcPr>
            <w:tcW w:w="1261"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19.542306</w:t>
            </w:r>
          </w:p>
        </w:tc>
        <w:tc>
          <w:tcPr>
            <w:tcW w:w="20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19.542306</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100</w:t>
            </w:r>
          </w:p>
        </w:tc>
        <w:tc>
          <w:tcPr>
            <w:tcW w:w="94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p>
        </w:tc>
        <w:tc>
          <w:tcPr>
            <w:tcW w:w="12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_GBK" w:cs="Times New Roman"/>
                <w:color w:val="000000"/>
                <w:kern w:val="0"/>
                <w:sz w:val="21"/>
                <w:szCs w:val="21"/>
                <w:lang w:bidi="ar"/>
              </w:rPr>
            </w:pPr>
          </w:p>
        </w:tc>
        <w:tc>
          <w:tcPr>
            <w:tcW w:w="1693"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补助区县</w:t>
            </w:r>
          </w:p>
        </w:tc>
        <w:tc>
          <w:tcPr>
            <w:tcW w:w="1242"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p>
        </w:tc>
        <w:tc>
          <w:tcPr>
            <w:tcW w:w="1261"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p>
        </w:tc>
        <w:tc>
          <w:tcPr>
            <w:tcW w:w="20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p>
        </w:tc>
        <w:tc>
          <w:tcPr>
            <w:tcW w:w="94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p>
        </w:tc>
        <w:tc>
          <w:tcPr>
            <w:tcW w:w="12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当年绩效目标</w:t>
            </w:r>
          </w:p>
        </w:tc>
        <w:tc>
          <w:tcPr>
            <w:tcW w:w="2935" w:type="dxa"/>
            <w:gridSpan w:val="6"/>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年初绩效目标</w:t>
            </w:r>
          </w:p>
        </w:tc>
        <w:tc>
          <w:tcPr>
            <w:tcW w:w="330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全年（调整）绩效目标</w:t>
            </w:r>
          </w:p>
        </w:tc>
        <w:tc>
          <w:tcPr>
            <w:tcW w:w="3541"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_GBK" w:cs="Times New Roman"/>
                <w:color w:val="000000"/>
                <w:kern w:val="0"/>
                <w:sz w:val="21"/>
                <w:szCs w:val="21"/>
                <w:lang w:bidi="ar"/>
              </w:rPr>
            </w:pPr>
          </w:p>
        </w:tc>
        <w:tc>
          <w:tcPr>
            <w:tcW w:w="2935" w:type="dxa"/>
            <w:gridSpan w:val="6"/>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_GBK" w:cs="Times New Roman"/>
                <w:color w:val="000000"/>
                <w:kern w:val="0"/>
                <w:sz w:val="21"/>
                <w:szCs w:val="21"/>
                <w:lang w:bidi="ar"/>
              </w:rPr>
            </w:pPr>
          </w:p>
        </w:tc>
        <w:tc>
          <w:tcPr>
            <w:tcW w:w="330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对一般农户贷款予以贴息，降低农户融资成本，提高农户生产积极性</w:t>
            </w:r>
          </w:p>
        </w:tc>
        <w:tc>
          <w:tcPr>
            <w:tcW w:w="3541"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对一般农户贷款予以贴息，降低农户融资成本，提高农户生产积极性。经过乡镇及部门共同审核，审定102户19.542306万元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35" w:type="dxa"/>
            <w:vMerge w:val="restart"/>
            <w:noWrap w:val="0"/>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绩效指标</w:t>
            </w:r>
          </w:p>
        </w:tc>
        <w:tc>
          <w:tcPr>
            <w:tcW w:w="115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指标</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名称</w:t>
            </w:r>
          </w:p>
        </w:tc>
        <w:tc>
          <w:tcPr>
            <w:tcW w:w="708"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计量</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单位</w:t>
            </w:r>
          </w:p>
        </w:tc>
        <w:tc>
          <w:tcPr>
            <w:tcW w:w="70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指标</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性质</w:t>
            </w:r>
          </w:p>
        </w:tc>
        <w:tc>
          <w:tcPr>
            <w:tcW w:w="708"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年初</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指标</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值</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调整</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指标</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值</w:t>
            </w:r>
          </w:p>
        </w:tc>
        <w:tc>
          <w:tcPr>
            <w:tcW w:w="130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全年</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完成值</w:t>
            </w:r>
          </w:p>
        </w:tc>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得分</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系数</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指标</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权重</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（分）</w:t>
            </w:r>
          </w:p>
        </w:tc>
        <w:tc>
          <w:tcPr>
            <w:tcW w:w="94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指标得分</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（分）</w:t>
            </w:r>
          </w:p>
        </w:tc>
        <w:tc>
          <w:tcPr>
            <w:tcW w:w="12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是否核心</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p>
        </w:tc>
        <w:tc>
          <w:tcPr>
            <w:tcW w:w="11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color w:val="000000"/>
                <w:kern w:val="0"/>
                <w:sz w:val="22"/>
                <w:szCs w:val="22"/>
                <w:u w:val="none"/>
                <w:lang w:val="en-US" w:eastAsia="zh-CN" w:bidi="ar"/>
              </w:rPr>
              <w:t>贴息户数</w:t>
            </w:r>
          </w:p>
        </w:tc>
        <w:tc>
          <w:tcPr>
            <w:tcW w:w="70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户</w:t>
            </w:r>
          </w:p>
        </w:tc>
        <w:tc>
          <w:tcPr>
            <w:tcW w:w="70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w:t>
            </w:r>
          </w:p>
        </w:tc>
        <w:tc>
          <w:tcPr>
            <w:tcW w:w="70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06" w:firstLineChars="100"/>
              <w:jc w:val="center"/>
              <w:textAlignment w:val="auto"/>
              <w:rPr>
                <w:rFonts w:hint="default" w:ascii="Times New Roman" w:hAnsi="Times New Roman" w:eastAsia="方正仿宋_GBK" w:cs="Times New Roman"/>
                <w:color w:val="000000"/>
                <w:kern w:val="0"/>
                <w:sz w:val="21"/>
                <w:szCs w:val="21"/>
                <w:lang w:val="en-US" w:eastAsia="zh-CN" w:bidi="ar"/>
              </w:rPr>
            </w:pPr>
          </w:p>
        </w:tc>
        <w:tc>
          <w:tcPr>
            <w:tcW w:w="9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80</w:t>
            </w:r>
          </w:p>
        </w:tc>
        <w:tc>
          <w:tcPr>
            <w:tcW w:w="13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102</w:t>
            </w:r>
          </w:p>
        </w:tc>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100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w:t>
            </w:r>
          </w:p>
        </w:tc>
        <w:tc>
          <w:tcPr>
            <w:tcW w:w="9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w:t>
            </w:r>
          </w:p>
        </w:tc>
        <w:tc>
          <w:tcPr>
            <w:tcW w:w="12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p>
        </w:tc>
        <w:tc>
          <w:tcPr>
            <w:tcW w:w="11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财政资金到位率</w:t>
            </w:r>
          </w:p>
        </w:tc>
        <w:tc>
          <w:tcPr>
            <w:tcW w:w="70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color w:val="000000"/>
                <w:kern w:val="0"/>
                <w:sz w:val="22"/>
                <w:szCs w:val="22"/>
                <w:u w:val="none"/>
                <w:lang w:val="en-US" w:eastAsia="zh-CN" w:bidi="ar"/>
              </w:rPr>
              <w:t>%</w:t>
            </w:r>
          </w:p>
        </w:tc>
        <w:tc>
          <w:tcPr>
            <w:tcW w:w="70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both"/>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w:t>
            </w:r>
          </w:p>
        </w:tc>
        <w:tc>
          <w:tcPr>
            <w:tcW w:w="70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06" w:firstLineChars="100"/>
              <w:jc w:val="center"/>
              <w:textAlignment w:val="auto"/>
              <w:rPr>
                <w:rFonts w:hint="default" w:ascii="Times New Roman" w:hAnsi="Times New Roman" w:eastAsia="方正仿宋_GBK" w:cs="Times New Roman"/>
                <w:color w:val="000000"/>
                <w:kern w:val="0"/>
                <w:sz w:val="21"/>
                <w:szCs w:val="21"/>
                <w:lang w:bidi="ar"/>
              </w:rPr>
            </w:pPr>
          </w:p>
        </w:tc>
        <w:tc>
          <w:tcPr>
            <w:tcW w:w="9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100</w:t>
            </w:r>
          </w:p>
        </w:tc>
        <w:tc>
          <w:tcPr>
            <w:tcW w:w="13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100</w:t>
            </w:r>
          </w:p>
        </w:tc>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100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10</w:t>
            </w:r>
          </w:p>
        </w:tc>
        <w:tc>
          <w:tcPr>
            <w:tcW w:w="9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10</w:t>
            </w:r>
          </w:p>
        </w:tc>
        <w:tc>
          <w:tcPr>
            <w:tcW w:w="12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p>
        </w:tc>
        <w:tc>
          <w:tcPr>
            <w:tcW w:w="11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i w:val="0"/>
                <w:color w:val="000000"/>
                <w:kern w:val="2"/>
                <w:sz w:val="21"/>
                <w:szCs w:val="21"/>
                <w:u w:val="no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贴息资金兑现率</w:t>
            </w:r>
          </w:p>
        </w:tc>
        <w:tc>
          <w:tcPr>
            <w:tcW w:w="70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color w:val="000000"/>
                <w:kern w:val="0"/>
                <w:sz w:val="22"/>
                <w:szCs w:val="22"/>
                <w:u w:val="none"/>
                <w:lang w:val="en-US" w:eastAsia="zh-CN" w:bidi="ar"/>
              </w:rPr>
              <w:t>%</w:t>
            </w:r>
          </w:p>
        </w:tc>
        <w:tc>
          <w:tcPr>
            <w:tcW w:w="70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i w:val="0"/>
                <w:color w:val="000000"/>
                <w:kern w:val="0"/>
                <w:sz w:val="22"/>
                <w:szCs w:val="22"/>
                <w:u w:val="none"/>
                <w:lang w:val="en-US" w:eastAsia="zh-CN" w:bidi="ar"/>
              </w:rPr>
              <w:t>≥</w:t>
            </w:r>
          </w:p>
        </w:tc>
        <w:tc>
          <w:tcPr>
            <w:tcW w:w="70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06" w:firstLineChars="100"/>
              <w:jc w:val="center"/>
              <w:textAlignment w:val="auto"/>
              <w:rPr>
                <w:rFonts w:hint="default" w:ascii="Times New Roman" w:hAnsi="Times New Roman" w:eastAsia="方正仿宋_GBK" w:cs="Times New Roman"/>
                <w:color w:val="000000"/>
                <w:kern w:val="0"/>
                <w:sz w:val="21"/>
                <w:szCs w:val="21"/>
                <w:lang w:bidi="ar"/>
              </w:rPr>
            </w:pPr>
          </w:p>
        </w:tc>
        <w:tc>
          <w:tcPr>
            <w:tcW w:w="9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color w:val="000000"/>
                <w:kern w:val="0"/>
                <w:sz w:val="22"/>
                <w:szCs w:val="22"/>
                <w:u w:val="none"/>
                <w:lang w:val="en-US" w:eastAsia="zh-CN" w:bidi="ar"/>
              </w:rPr>
              <w:t>98</w:t>
            </w:r>
          </w:p>
        </w:tc>
        <w:tc>
          <w:tcPr>
            <w:tcW w:w="13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98</w:t>
            </w:r>
          </w:p>
        </w:tc>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val="en-US" w:eastAsia="zh-CN" w:bidi="ar"/>
              </w:rPr>
              <w:t>100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color w:val="000000"/>
                <w:kern w:val="0"/>
                <w:sz w:val="22"/>
                <w:szCs w:val="22"/>
                <w:u w:val="none"/>
                <w:lang w:val="en-US" w:eastAsia="zh-CN" w:bidi="ar"/>
              </w:rPr>
              <w:t>20</w:t>
            </w:r>
          </w:p>
        </w:tc>
        <w:tc>
          <w:tcPr>
            <w:tcW w:w="9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color w:val="000000"/>
                <w:kern w:val="0"/>
                <w:sz w:val="22"/>
                <w:szCs w:val="22"/>
                <w:u w:val="none"/>
                <w:lang w:val="en-US" w:eastAsia="zh-CN" w:bidi="ar"/>
              </w:rPr>
              <w:t>20</w:t>
            </w:r>
          </w:p>
        </w:tc>
        <w:tc>
          <w:tcPr>
            <w:tcW w:w="12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p>
        </w:tc>
        <w:tc>
          <w:tcPr>
            <w:tcW w:w="11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i w:val="0"/>
                <w:color w:val="000000"/>
                <w:kern w:val="2"/>
                <w:sz w:val="21"/>
                <w:szCs w:val="21"/>
                <w:u w:val="no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降低农户融资成本</w:t>
            </w:r>
          </w:p>
        </w:tc>
        <w:tc>
          <w:tcPr>
            <w:tcW w:w="708"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p>
        </w:tc>
        <w:tc>
          <w:tcPr>
            <w:tcW w:w="70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i w:val="0"/>
                <w:color w:val="000000"/>
                <w:kern w:val="0"/>
                <w:sz w:val="22"/>
                <w:szCs w:val="22"/>
                <w:u w:val="none"/>
                <w:lang w:val="en-US" w:eastAsia="zh-CN" w:bidi="ar"/>
              </w:rPr>
              <w:t>定性</w:t>
            </w:r>
          </w:p>
        </w:tc>
        <w:tc>
          <w:tcPr>
            <w:tcW w:w="70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06" w:firstLineChars="100"/>
              <w:jc w:val="center"/>
              <w:textAlignment w:val="auto"/>
              <w:rPr>
                <w:rFonts w:hint="default" w:ascii="Times New Roman" w:hAnsi="Times New Roman" w:eastAsia="方正仿宋_GBK" w:cs="Times New Roman"/>
                <w:color w:val="000000"/>
                <w:kern w:val="0"/>
                <w:sz w:val="21"/>
                <w:szCs w:val="21"/>
                <w:lang w:bidi="ar"/>
              </w:rPr>
            </w:pPr>
          </w:p>
        </w:tc>
        <w:tc>
          <w:tcPr>
            <w:tcW w:w="9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color w:val="000000"/>
                <w:kern w:val="0"/>
                <w:sz w:val="22"/>
                <w:szCs w:val="22"/>
                <w:u w:val="none"/>
                <w:lang w:val="en-US" w:eastAsia="zh-CN" w:bidi="ar"/>
              </w:rPr>
              <w:t>有效改善</w:t>
            </w:r>
          </w:p>
        </w:tc>
        <w:tc>
          <w:tcPr>
            <w:tcW w:w="13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color w:val="000000"/>
                <w:kern w:val="0"/>
                <w:sz w:val="22"/>
                <w:szCs w:val="22"/>
                <w:u w:val="none"/>
                <w:lang w:val="en-US" w:eastAsia="zh-CN" w:bidi="ar"/>
              </w:rPr>
              <w:t>1</w:t>
            </w:r>
          </w:p>
        </w:tc>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val="en-US" w:eastAsia="zh-CN" w:bidi="ar"/>
              </w:rPr>
              <w:t>100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12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p>
        </w:tc>
        <w:tc>
          <w:tcPr>
            <w:tcW w:w="11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i w:val="0"/>
                <w:color w:val="000000"/>
                <w:kern w:val="2"/>
                <w:sz w:val="21"/>
                <w:szCs w:val="21"/>
                <w:u w:val="no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受益农户满意度</w:t>
            </w:r>
          </w:p>
        </w:tc>
        <w:tc>
          <w:tcPr>
            <w:tcW w:w="70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w:t>
            </w:r>
          </w:p>
        </w:tc>
        <w:tc>
          <w:tcPr>
            <w:tcW w:w="70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i w:val="0"/>
                <w:color w:val="000000"/>
                <w:kern w:val="0"/>
                <w:sz w:val="22"/>
                <w:szCs w:val="22"/>
                <w:u w:val="none"/>
                <w:lang w:val="en-US" w:eastAsia="zh-CN" w:bidi="ar"/>
              </w:rPr>
              <w:t>≥</w:t>
            </w:r>
          </w:p>
        </w:tc>
        <w:tc>
          <w:tcPr>
            <w:tcW w:w="70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06" w:firstLineChars="100"/>
              <w:jc w:val="center"/>
              <w:textAlignment w:val="auto"/>
              <w:rPr>
                <w:rFonts w:hint="default" w:ascii="Times New Roman" w:hAnsi="Times New Roman" w:eastAsia="方正仿宋_GBK" w:cs="Times New Roman"/>
                <w:color w:val="000000"/>
                <w:kern w:val="0"/>
                <w:sz w:val="21"/>
                <w:szCs w:val="21"/>
                <w:lang w:bidi="ar"/>
              </w:rPr>
            </w:pPr>
          </w:p>
        </w:tc>
        <w:tc>
          <w:tcPr>
            <w:tcW w:w="9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color w:val="000000"/>
                <w:kern w:val="0"/>
                <w:sz w:val="21"/>
                <w:szCs w:val="21"/>
                <w:lang w:val="en-US" w:bidi="ar"/>
              </w:rPr>
            </w:pPr>
            <w:r>
              <w:rPr>
                <w:rFonts w:hint="default" w:ascii="Times New Roman" w:hAnsi="Times New Roman" w:eastAsia="方正仿宋_GBK" w:cs="Times New Roman"/>
                <w:i w:val="0"/>
                <w:color w:val="000000"/>
                <w:kern w:val="0"/>
                <w:sz w:val="22"/>
                <w:szCs w:val="22"/>
                <w:u w:val="none"/>
                <w:lang w:val="en-US" w:eastAsia="zh-CN" w:bidi="ar"/>
              </w:rPr>
              <w:t>98</w:t>
            </w:r>
          </w:p>
        </w:tc>
        <w:tc>
          <w:tcPr>
            <w:tcW w:w="13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color w:val="000000"/>
                <w:kern w:val="0"/>
                <w:sz w:val="21"/>
                <w:szCs w:val="21"/>
                <w:lang w:val="en-US" w:bidi="ar"/>
              </w:rPr>
            </w:pPr>
            <w:r>
              <w:rPr>
                <w:rFonts w:hint="default" w:ascii="Times New Roman" w:hAnsi="Times New Roman" w:eastAsia="方正仿宋_GBK" w:cs="Times New Roman"/>
                <w:i w:val="0"/>
                <w:color w:val="000000"/>
                <w:kern w:val="0"/>
                <w:sz w:val="22"/>
                <w:szCs w:val="22"/>
                <w:u w:val="none"/>
                <w:lang w:val="en-US" w:eastAsia="zh-CN" w:bidi="ar"/>
              </w:rPr>
              <w:t>98</w:t>
            </w:r>
          </w:p>
        </w:tc>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val="en-US" w:eastAsia="zh-CN" w:bidi="ar"/>
              </w:rPr>
              <w:t>100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color w:val="000000"/>
                <w:kern w:val="0"/>
                <w:sz w:val="22"/>
                <w:szCs w:val="22"/>
                <w:u w:val="none"/>
                <w:lang w:val="en-US" w:eastAsia="zh-CN" w:bidi="ar"/>
              </w:rPr>
              <w:t>10</w:t>
            </w:r>
          </w:p>
        </w:tc>
        <w:tc>
          <w:tcPr>
            <w:tcW w:w="9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6" w:firstLineChars="10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i w:val="0"/>
                <w:color w:val="000000"/>
                <w:kern w:val="0"/>
                <w:sz w:val="22"/>
                <w:szCs w:val="22"/>
                <w:u w:val="none"/>
                <w:lang w:val="en-US" w:eastAsia="zh-CN" w:bidi="ar"/>
              </w:rPr>
              <w:t>10</w:t>
            </w:r>
          </w:p>
        </w:tc>
        <w:tc>
          <w:tcPr>
            <w:tcW w:w="12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说明</w:t>
            </w:r>
          </w:p>
        </w:tc>
        <w:tc>
          <w:tcPr>
            <w:tcW w:w="9784" w:type="dxa"/>
            <w:gridSpan w:val="13"/>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方正仿宋_GBK" w:cs="Times New Roman"/>
                <w:color w:val="000000"/>
                <w:kern w:val="0"/>
                <w:sz w:val="21"/>
                <w:szCs w:val="21"/>
                <w:lang w:bidi="ar"/>
              </w:rPr>
            </w:pPr>
          </w:p>
        </w:tc>
      </w:tr>
    </w:tbl>
    <w:p>
      <w:pPr>
        <w:pStyle w:val="2"/>
        <w:ind w:left="0" w:leftChars="0" w:firstLine="0" w:firstLineChars="0"/>
        <w:rPr>
          <w:rFonts w:hint="eastAsia"/>
        </w:rPr>
        <w:sectPr>
          <w:pgSz w:w="11906" w:h="16838"/>
          <w:pgMar w:top="2098" w:right="1474" w:bottom="1984" w:left="1587" w:header="851" w:footer="1361" w:gutter="0"/>
          <w:pgNumType w:fmt="decimal"/>
          <w:cols w:space="0" w:num="1"/>
          <w:rtlGutter w:val="0"/>
          <w:docGrid w:type="linesAndChars" w:linePitch="579" w:charSpace="-842"/>
        </w:sectPr>
      </w:pPr>
    </w:p>
    <w:p>
      <w:pPr>
        <w:pStyle w:val="14"/>
        <w:bidi w:val="0"/>
        <w:rPr>
          <w:rFonts w:hint="eastAsia"/>
        </w:rPr>
      </w:pPr>
      <w:r>
        <w:rPr>
          <w:rFonts w:hint="eastAsia"/>
        </w:rPr>
        <w:t>（三）重点绩效评价结果。</w:t>
      </w:r>
    </w:p>
    <w:p>
      <w:pPr>
        <w:pStyle w:val="11"/>
        <w:bidi w:val="0"/>
        <w:rPr>
          <w:rFonts w:hint="eastAsia"/>
        </w:rPr>
      </w:pPr>
      <w:r>
        <w:rPr>
          <w:rFonts w:hint="eastAsia"/>
        </w:rPr>
        <w:t>县财政局委托第三方对部门开展重点绩效评价，目前尚未出具绩效评价报告，县财政局适时对重点评价结果再进行集中公开。</w:t>
      </w:r>
    </w:p>
    <w:p>
      <w:pPr>
        <w:pStyle w:val="13"/>
        <w:bidi w:val="0"/>
        <w:rPr>
          <w:rFonts w:hint="eastAsia"/>
        </w:rPr>
      </w:pPr>
      <w:r>
        <w:rPr>
          <w:rFonts w:hint="eastAsia"/>
        </w:rPr>
        <w:t>六、专业名词解释</w:t>
      </w:r>
    </w:p>
    <w:p>
      <w:pPr>
        <w:pStyle w:val="11"/>
        <w:bidi w:val="0"/>
        <w:rPr>
          <w:rFonts w:hint="eastAsia"/>
        </w:rPr>
      </w:pPr>
      <w:r>
        <w:rPr>
          <w:rStyle w:val="19"/>
          <w:rFonts w:hint="eastAsia"/>
        </w:rPr>
        <w:t>（一）财政拨款收入</w:t>
      </w:r>
      <w:r>
        <w:rPr>
          <w:rFonts w:hint="eastAsia"/>
        </w:rPr>
        <w:t>：指本年度从本级财政部门取得的财政拨款，包括一般公共预算财政拨款和政府性基金预算财政拨款。</w:t>
      </w:r>
    </w:p>
    <w:p>
      <w:pPr>
        <w:pStyle w:val="11"/>
        <w:bidi w:val="0"/>
        <w:rPr>
          <w:rFonts w:hint="eastAsia"/>
        </w:rPr>
      </w:pPr>
      <w:r>
        <w:rPr>
          <w:rStyle w:val="19"/>
          <w:rFonts w:hint="eastAsia"/>
        </w:rPr>
        <w:t>（二）事业收入</w:t>
      </w:r>
      <w:r>
        <w:rPr>
          <w:rFonts w:hint="eastAsia"/>
        </w:rPr>
        <w:t>：指事业单位开展专业业务活动及其辅助活动取得的现金流入；事业单位收到的财政专户实际核拨的教育收费等资金在此反映。</w:t>
      </w:r>
    </w:p>
    <w:p>
      <w:pPr>
        <w:pStyle w:val="11"/>
        <w:bidi w:val="0"/>
        <w:rPr>
          <w:rFonts w:hint="eastAsia"/>
        </w:rPr>
      </w:pPr>
      <w:r>
        <w:rPr>
          <w:rStyle w:val="19"/>
          <w:rFonts w:hint="eastAsia"/>
        </w:rPr>
        <w:t>（三）经营收入</w:t>
      </w:r>
      <w:r>
        <w:rPr>
          <w:rFonts w:hint="eastAsia"/>
        </w:rPr>
        <w:t>：指事业单位在专业业务活动及其辅助活动之外开展非独立核算经营活动取得的现金流入。</w:t>
      </w:r>
    </w:p>
    <w:p>
      <w:pPr>
        <w:pStyle w:val="11"/>
        <w:bidi w:val="0"/>
        <w:rPr>
          <w:rFonts w:hint="eastAsia"/>
        </w:rPr>
      </w:pPr>
      <w:r>
        <w:rPr>
          <w:rStyle w:val="19"/>
          <w:rFonts w:hint="eastAsia"/>
        </w:rPr>
        <w:t>（四）其他收入</w:t>
      </w:r>
      <w:r>
        <w:rPr>
          <w:rFonts w:hint="eastAsia"/>
        </w:rPr>
        <w:t>：指单位取得的除“财政拨款收入</w:t>
      </w:r>
      <w:r>
        <w:rPr>
          <w:rFonts w:hint="eastAsia"/>
          <w:lang w:eastAsia="zh-CN"/>
        </w:rPr>
        <w:t>”“</w:t>
      </w:r>
      <w:r>
        <w:rPr>
          <w:rFonts w:hint="eastAsia"/>
        </w:rPr>
        <w:t>事业收入</w:t>
      </w:r>
      <w:r>
        <w:rPr>
          <w:rFonts w:hint="eastAsia"/>
          <w:lang w:eastAsia="zh-CN"/>
        </w:rPr>
        <w:t>”“</w:t>
      </w:r>
      <w:r>
        <w:rPr>
          <w:rFonts w:hint="eastAsia"/>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bidi w:val="0"/>
        <w:rPr>
          <w:rFonts w:hint="eastAsia"/>
        </w:rPr>
      </w:pPr>
      <w:r>
        <w:rPr>
          <w:rStyle w:val="19"/>
          <w:rFonts w:hint="eastAsia"/>
        </w:rPr>
        <w:t>（五）使用非财政拨款结余</w:t>
      </w:r>
      <w:r>
        <w:rPr>
          <w:rFonts w:hint="eastAsia"/>
        </w:rPr>
        <w:t>：指单位在当年的“财政拨款收入</w:t>
      </w:r>
      <w:r>
        <w:rPr>
          <w:rFonts w:hint="eastAsia"/>
          <w:lang w:eastAsia="zh-CN"/>
        </w:rPr>
        <w:t>”“</w:t>
      </w:r>
      <w:r>
        <w:rPr>
          <w:rFonts w:hint="eastAsia"/>
        </w:rPr>
        <w:t>事业收入</w:t>
      </w:r>
      <w:r>
        <w:rPr>
          <w:rFonts w:hint="eastAsia"/>
          <w:lang w:eastAsia="zh-CN"/>
        </w:rPr>
        <w:t>”“</w:t>
      </w:r>
      <w:r>
        <w:rPr>
          <w:rFonts w:hint="eastAsia"/>
        </w:rPr>
        <w:t>经营收入</w:t>
      </w:r>
      <w:r>
        <w:rPr>
          <w:rFonts w:hint="eastAsia"/>
          <w:lang w:eastAsia="zh-CN"/>
        </w:rPr>
        <w:t>”“</w:t>
      </w:r>
      <w:r>
        <w:rPr>
          <w:rFonts w:hint="eastAsia"/>
        </w:rPr>
        <w:t>其他收入”等不足以安排当年支出的情况下，使用以前年度积累的非财政拨款结余弥补本年度收支缺口的资金。</w:t>
      </w:r>
    </w:p>
    <w:p>
      <w:pPr>
        <w:pStyle w:val="11"/>
        <w:bidi w:val="0"/>
        <w:rPr>
          <w:rFonts w:hint="eastAsia"/>
        </w:rPr>
      </w:pPr>
      <w:r>
        <w:rPr>
          <w:rStyle w:val="19"/>
          <w:rFonts w:hint="eastAsia"/>
        </w:rPr>
        <w:t>（六）年初结转和结余</w:t>
      </w:r>
      <w:r>
        <w:rPr>
          <w:rFonts w:hint="eastAsia"/>
        </w:rPr>
        <w:t>：指单位上年结转本年使用的基本支出结转、项目支出结转和结余、经营结余。</w:t>
      </w:r>
    </w:p>
    <w:p>
      <w:pPr>
        <w:pStyle w:val="11"/>
        <w:bidi w:val="0"/>
        <w:rPr>
          <w:rFonts w:hint="eastAsia"/>
        </w:rPr>
      </w:pPr>
      <w:r>
        <w:rPr>
          <w:rStyle w:val="19"/>
          <w:rFonts w:hint="eastAsia"/>
        </w:rPr>
        <w:t>（七）结余分配</w:t>
      </w:r>
      <w:r>
        <w:rPr>
          <w:rFonts w:hint="eastAsia"/>
        </w:rPr>
        <w:t>：指单位按照国家有关规定，缴纳所得税、提取专用基金、转入非财政拨款结余等当年结余的分配情况。</w:t>
      </w:r>
    </w:p>
    <w:p>
      <w:pPr>
        <w:pStyle w:val="11"/>
        <w:bidi w:val="0"/>
        <w:rPr>
          <w:rFonts w:hint="eastAsia"/>
        </w:rPr>
      </w:pPr>
      <w:r>
        <w:rPr>
          <w:rStyle w:val="19"/>
          <w:rFonts w:hint="eastAsia"/>
        </w:rPr>
        <w:t>（八）年末结转和结余</w:t>
      </w:r>
      <w:r>
        <w:rPr>
          <w:rFonts w:hint="eastAsia"/>
        </w:rPr>
        <w:t>：指单位结转下年的基本支出结转、项目支出结转和结余、经营结余。</w:t>
      </w:r>
    </w:p>
    <w:p>
      <w:pPr>
        <w:pStyle w:val="11"/>
        <w:bidi w:val="0"/>
        <w:rPr>
          <w:rFonts w:hint="eastAsia"/>
        </w:rPr>
      </w:pPr>
      <w:r>
        <w:rPr>
          <w:rStyle w:val="19"/>
          <w:rFonts w:hint="eastAsia"/>
        </w:rPr>
        <w:t>（九）基本支出</w:t>
      </w:r>
      <w:r>
        <w:rPr>
          <w:rFonts w:hint="eastAsi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bidi w:val="0"/>
        <w:rPr>
          <w:rFonts w:hint="eastAsia"/>
        </w:rPr>
      </w:pPr>
      <w:r>
        <w:rPr>
          <w:rStyle w:val="19"/>
          <w:rFonts w:hint="eastAsia"/>
        </w:rPr>
        <w:t>（十）项目支出</w:t>
      </w:r>
      <w:r>
        <w:rPr>
          <w:rFonts w:hint="eastAsia"/>
        </w:rPr>
        <w:t>：指在基本支出之外为完成特定行政任务和事业发展目标所发生的支出。</w:t>
      </w:r>
    </w:p>
    <w:p>
      <w:pPr>
        <w:pStyle w:val="11"/>
        <w:bidi w:val="0"/>
        <w:rPr>
          <w:rFonts w:hint="eastAsia"/>
        </w:rPr>
      </w:pPr>
      <w:r>
        <w:rPr>
          <w:rStyle w:val="19"/>
          <w:rFonts w:hint="eastAsia"/>
        </w:rPr>
        <w:t>（十一）经营支出</w:t>
      </w:r>
      <w:r>
        <w:rPr>
          <w:rFonts w:hint="eastAsia"/>
        </w:rPr>
        <w:t>：指事业单位在专业业务活动及其辅助活动之外开展非独立核算经营活动发生的支出。</w:t>
      </w:r>
    </w:p>
    <w:p>
      <w:pPr>
        <w:pStyle w:val="11"/>
        <w:bidi w:val="0"/>
        <w:rPr>
          <w:rFonts w:hint="eastAsia"/>
        </w:rPr>
      </w:pPr>
      <w:r>
        <w:rPr>
          <w:rStyle w:val="19"/>
          <w:rFonts w:hint="eastAsia"/>
        </w:rPr>
        <w:t>（十二）“三公”经费</w:t>
      </w:r>
      <w:r>
        <w:rPr>
          <w:rFonts w:hint="eastAsi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bidi w:val="0"/>
        <w:rPr>
          <w:rFonts w:hint="eastAsia"/>
        </w:rPr>
      </w:pPr>
      <w:r>
        <w:rPr>
          <w:rStyle w:val="19"/>
          <w:rFonts w:hint="eastAsia"/>
        </w:rPr>
        <w:t>（十三）机关运行经费</w:t>
      </w:r>
      <w:r>
        <w:rPr>
          <w:rFonts w:hint="eastAsi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bidi w:val="0"/>
        <w:rPr>
          <w:rFonts w:hint="eastAsia"/>
        </w:rPr>
      </w:pPr>
      <w:r>
        <w:rPr>
          <w:rStyle w:val="19"/>
          <w:rFonts w:hint="eastAsia"/>
        </w:rPr>
        <w:t>（十四）工资福利支出（支出经济分类科目类级）</w:t>
      </w:r>
      <w:r>
        <w:rPr>
          <w:rFonts w:hint="eastAsia"/>
        </w:rPr>
        <w:t>：反映单位开支的在职职工和编制外长期聘用人员的各类劳动报酬，以及为上述人员缴纳的各项社会保险费等。</w:t>
      </w:r>
    </w:p>
    <w:p>
      <w:pPr>
        <w:pStyle w:val="11"/>
        <w:bidi w:val="0"/>
        <w:rPr>
          <w:rFonts w:hint="eastAsia"/>
        </w:rPr>
      </w:pPr>
      <w:r>
        <w:rPr>
          <w:rStyle w:val="19"/>
          <w:rFonts w:hint="eastAsia"/>
        </w:rPr>
        <w:t>（十五）商品和服务支出（支出经济分类科目类级）</w:t>
      </w:r>
      <w:r>
        <w:rPr>
          <w:rFonts w:hint="eastAsia"/>
        </w:rPr>
        <w:t>：反映单位购买商品和服务的支出（不包括用于购置固定资产的支出、战略性和应急储备支出）。</w:t>
      </w:r>
    </w:p>
    <w:p>
      <w:pPr>
        <w:pStyle w:val="11"/>
        <w:bidi w:val="0"/>
        <w:rPr>
          <w:rFonts w:hint="eastAsia"/>
        </w:rPr>
      </w:pPr>
      <w:r>
        <w:rPr>
          <w:rStyle w:val="19"/>
          <w:rFonts w:hint="eastAsia"/>
        </w:rPr>
        <w:t>（十六）对个人和家庭的补助（支出经济分类科目类级）</w:t>
      </w:r>
      <w:r>
        <w:rPr>
          <w:rFonts w:hint="eastAsia"/>
        </w:rPr>
        <w:t>：反映用于对个人和家庭的补助支出。</w:t>
      </w:r>
    </w:p>
    <w:p>
      <w:pPr>
        <w:pStyle w:val="11"/>
        <w:bidi w:val="0"/>
        <w:rPr>
          <w:rFonts w:hint="eastAsia"/>
        </w:rPr>
      </w:pPr>
      <w:r>
        <w:rPr>
          <w:rStyle w:val="19"/>
          <w:rFonts w:hint="eastAsia"/>
        </w:rPr>
        <w:t>（十七）其他资本性支出（支出经济分类科目类级）</w:t>
      </w:r>
      <w:r>
        <w:rPr>
          <w:rFonts w:hint="eastAsia"/>
        </w:rPr>
        <w:t>：反映非各级发展与改革部门集中安排的用于购置固定资产、战略性和应急性储备、土地和无形资产，以及构建基础设施、大型修缮和财政支持企业更新改造所发生的支出。</w:t>
      </w:r>
    </w:p>
    <w:p>
      <w:pPr>
        <w:pStyle w:val="13"/>
        <w:bidi w:val="0"/>
        <w:rPr>
          <w:rFonts w:hint="eastAsia"/>
        </w:rPr>
      </w:pPr>
      <w:r>
        <w:rPr>
          <w:rFonts w:hint="eastAsia"/>
        </w:rPr>
        <w:t>七、决算公开联系方式及信息反馈渠道</w:t>
      </w:r>
    </w:p>
    <w:p>
      <w:pPr>
        <w:pStyle w:val="11"/>
        <w:bidi w:val="0"/>
        <w:rPr>
          <w:rFonts w:hint="eastAsia"/>
        </w:rPr>
      </w:pPr>
      <w:r>
        <w:rPr>
          <w:rFonts w:hint="eastAsia"/>
        </w:rPr>
        <w:t>本单位决算公开信息反馈和联系方式：</w:t>
      </w:r>
    </w:p>
    <w:p>
      <w:pPr>
        <w:pStyle w:val="11"/>
        <w:bidi w:val="0"/>
        <w:rPr>
          <w:rFonts w:hint="eastAsia"/>
        </w:rPr>
      </w:pPr>
      <w:r>
        <w:rPr>
          <w:rFonts w:hint="eastAsia"/>
        </w:rPr>
        <w:t>袁琎</w:t>
      </w:r>
      <w:r>
        <w:rPr>
          <w:rFonts w:hint="eastAsia"/>
          <w:lang w:val="en-US" w:eastAsia="zh-CN"/>
        </w:rPr>
        <w:t xml:space="preserve">  </w:t>
      </w:r>
      <w:r>
        <w:rPr>
          <w:rFonts w:hint="eastAsia"/>
        </w:rPr>
        <w:t>023-59221788</w:t>
      </w:r>
    </w:p>
    <w:sectPr>
      <w:pgSz w:w="11906" w:h="16838"/>
      <w:pgMar w:top="2098" w:right="1474" w:bottom="1984" w:left="1587" w:header="851" w:footer="1361"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GE4ZDc0YzUxYzhiZDM4ZTdkZmE4MWRlOGJjNWUifQ=="/>
  </w:docVars>
  <w:rsids>
    <w:rsidRoot w:val="650879B4"/>
    <w:rsid w:val="007C403E"/>
    <w:rsid w:val="03AC051B"/>
    <w:rsid w:val="04456FC9"/>
    <w:rsid w:val="08EB026E"/>
    <w:rsid w:val="0A391F8F"/>
    <w:rsid w:val="0B945A55"/>
    <w:rsid w:val="0C874708"/>
    <w:rsid w:val="104C51CD"/>
    <w:rsid w:val="14967868"/>
    <w:rsid w:val="158953AB"/>
    <w:rsid w:val="15A47644"/>
    <w:rsid w:val="1709270C"/>
    <w:rsid w:val="189D56A3"/>
    <w:rsid w:val="198A5985"/>
    <w:rsid w:val="1A3372DE"/>
    <w:rsid w:val="1A760935"/>
    <w:rsid w:val="1B303147"/>
    <w:rsid w:val="1EB71B6E"/>
    <w:rsid w:val="1EC12977"/>
    <w:rsid w:val="1EE9565E"/>
    <w:rsid w:val="21CE6BFA"/>
    <w:rsid w:val="2A3C26FA"/>
    <w:rsid w:val="2AAB487D"/>
    <w:rsid w:val="2D777631"/>
    <w:rsid w:val="308F5E84"/>
    <w:rsid w:val="31B92761"/>
    <w:rsid w:val="31E11C11"/>
    <w:rsid w:val="322C0575"/>
    <w:rsid w:val="32380B50"/>
    <w:rsid w:val="324127AF"/>
    <w:rsid w:val="335F21B9"/>
    <w:rsid w:val="351E098B"/>
    <w:rsid w:val="35831E6E"/>
    <w:rsid w:val="37F94A10"/>
    <w:rsid w:val="39960D47"/>
    <w:rsid w:val="3A021941"/>
    <w:rsid w:val="3BDC3818"/>
    <w:rsid w:val="3CC26FCF"/>
    <w:rsid w:val="3CE01CCA"/>
    <w:rsid w:val="414A5EE4"/>
    <w:rsid w:val="43A0343B"/>
    <w:rsid w:val="43E65C18"/>
    <w:rsid w:val="44413E86"/>
    <w:rsid w:val="45996DA3"/>
    <w:rsid w:val="46E34063"/>
    <w:rsid w:val="4B093949"/>
    <w:rsid w:val="4B1A04D1"/>
    <w:rsid w:val="4F45052E"/>
    <w:rsid w:val="502E74EE"/>
    <w:rsid w:val="517270B7"/>
    <w:rsid w:val="5559525C"/>
    <w:rsid w:val="5A953307"/>
    <w:rsid w:val="5B284129"/>
    <w:rsid w:val="5B5531EB"/>
    <w:rsid w:val="5D3E2B6B"/>
    <w:rsid w:val="5E050339"/>
    <w:rsid w:val="61825751"/>
    <w:rsid w:val="62F04C73"/>
    <w:rsid w:val="635E5901"/>
    <w:rsid w:val="648C7C5B"/>
    <w:rsid w:val="650879B4"/>
    <w:rsid w:val="65956D31"/>
    <w:rsid w:val="6869718B"/>
    <w:rsid w:val="68D16C3C"/>
    <w:rsid w:val="6BB2443E"/>
    <w:rsid w:val="6C7D1EB2"/>
    <w:rsid w:val="6CF01415"/>
    <w:rsid w:val="6CF413E2"/>
    <w:rsid w:val="6D31488D"/>
    <w:rsid w:val="6D836242"/>
    <w:rsid w:val="6F4B22C7"/>
    <w:rsid w:val="701B242D"/>
    <w:rsid w:val="70BB4870"/>
    <w:rsid w:val="70EC09C2"/>
    <w:rsid w:val="71247F29"/>
    <w:rsid w:val="72265528"/>
    <w:rsid w:val="72D439DC"/>
    <w:rsid w:val="73CF3701"/>
    <w:rsid w:val="73E265A6"/>
    <w:rsid w:val="76B274DC"/>
    <w:rsid w:val="76B85D14"/>
    <w:rsid w:val="795D6D23"/>
    <w:rsid w:val="7A4E176C"/>
    <w:rsid w:val="7B377ABB"/>
    <w:rsid w:val="7DC7277A"/>
    <w:rsid w:val="7FAB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872" w:firstLineChars="200"/>
      <w:jc w:val="both"/>
    </w:pPr>
    <w:rPr>
      <w:rFonts w:ascii="Times New Roman" w:hAnsi="Times New Roman" w:eastAsia="方正仿宋_GBK" w:cstheme="minorBidi"/>
      <w:kern w:val="2"/>
      <w:sz w:val="32"/>
      <w:szCs w:val="32"/>
      <w:lang w:val="en-US" w:eastAsia="zh-CN" w:bidi="ar-SA"/>
    </w:rPr>
  </w:style>
  <w:style w:type="paragraph" w:styleId="3">
    <w:name w:val="heading 1"/>
    <w:basedOn w:val="1"/>
    <w:next w:val="1"/>
    <w:qFormat/>
    <w:uiPriority w:val="0"/>
    <w:pPr>
      <w:keepNext/>
      <w:keepLines/>
      <w:spacing w:beforeLines="0" w:beforeAutospacing="0" w:afterAutospacing="0" w:line="560" w:lineRule="exact"/>
      <w:ind w:firstLine="872" w:firstLineChars="200"/>
      <w:jc w:val="left"/>
      <w:outlineLvl w:val="0"/>
    </w:pPr>
    <w:rPr>
      <w:rFonts w:ascii="Times New Roman" w:hAnsi="Times New Roman" w:eastAsia="方正黑体_GBK"/>
      <w:kern w:val="44"/>
      <w:sz w:val="32"/>
    </w:rPr>
  </w:style>
  <w:style w:type="paragraph" w:styleId="4">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方正楷体_GBK"/>
    </w:rPr>
  </w:style>
  <w:style w:type="paragraph" w:styleId="5">
    <w:name w:val="heading 3"/>
    <w:basedOn w:val="1"/>
    <w:next w:val="1"/>
    <w:semiHidden/>
    <w:unhideWhenUsed/>
    <w:qFormat/>
    <w:uiPriority w:val="0"/>
    <w:pPr>
      <w:keepNext/>
      <w:keepLines/>
      <w:spacing w:beforeLines="0" w:beforeAutospacing="0" w:afterLines="0" w:afterAutospacing="0" w:line="560" w:lineRule="exact"/>
      <w:ind w:firstLine="872" w:firstLineChars="200"/>
      <w:jc w:val="left"/>
      <w:outlineLvl w:val="2"/>
    </w:pPr>
    <w:rPr>
      <w:rFonts w:ascii="Times New Roman" w:hAnsi="Times New Roman" w:eastAsia="方正仿宋_GBK"/>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jc w:val="both"/>
    </w:pPr>
    <w:rPr>
      <w:rFonts w:ascii="Times New Roman" w:hAnsi="Times New Roman"/>
    </w:rPr>
  </w:style>
  <w:style w:type="paragraph" w:styleId="6">
    <w:name w:val="footer"/>
    <w:basedOn w:val="1"/>
    <w:qFormat/>
    <w:uiPriority w:val="0"/>
    <w:pPr>
      <w:tabs>
        <w:tab w:val="center" w:pos="4153"/>
        <w:tab w:val="right" w:pos="8306"/>
      </w:tabs>
      <w:snapToGrid w:val="0"/>
      <w:ind w:left="316" w:leftChars="100" w:right="316" w:rightChars="100" w:firstLine="0" w:firstLineChars="0"/>
      <w:jc w:val="right"/>
    </w:pPr>
    <w:rPr>
      <w:rFonts w:ascii="宋体" w:hAnsi="宋体" w:eastAsia="宋体"/>
      <w:sz w:val="28"/>
    </w:rPr>
  </w:style>
  <w:style w:type="paragraph" w:customStyle="1" w:styleId="9">
    <w:name w:val="左页脚"/>
    <w:basedOn w:val="6"/>
    <w:qFormat/>
    <w:uiPriority w:val="0"/>
    <w:pPr>
      <w:ind w:left="316" w:leftChars="100" w:right="316" w:rightChars="100"/>
      <w:jc w:val="left"/>
    </w:pPr>
  </w:style>
  <w:style w:type="paragraph" w:customStyle="1" w:styleId="10">
    <w:name w:val="右页脚"/>
    <w:basedOn w:val="9"/>
    <w:qFormat/>
    <w:uiPriority w:val="0"/>
    <w:pPr>
      <w:ind w:left="316" w:leftChars="100" w:right="316" w:rightChars="100"/>
    </w:pPr>
  </w:style>
  <w:style w:type="paragraph" w:customStyle="1" w:styleId="11">
    <w:name w:val="公文正文"/>
    <w:basedOn w:val="1"/>
    <w:qFormat/>
    <w:uiPriority w:val="0"/>
    <w:pPr>
      <w:spacing w:line="579" w:lineRule="exact"/>
      <w:ind w:firstLine="632" w:firstLineChars="200"/>
      <w:jc w:val="both"/>
    </w:pPr>
    <w:rPr>
      <w:rFonts w:ascii="Times New Roman" w:hAnsi="Times New Roman"/>
    </w:rPr>
  </w:style>
  <w:style w:type="paragraph" w:customStyle="1" w:styleId="12">
    <w:name w:val="公文标题"/>
    <w:basedOn w:val="11"/>
    <w:next w:val="11"/>
    <w:qFormat/>
    <w:uiPriority w:val="0"/>
    <w:pPr>
      <w:ind w:firstLine="0" w:firstLineChars="0"/>
      <w:jc w:val="center"/>
    </w:pPr>
    <w:rPr>
      <w:rFonts w:ascii="Times New Roman" w:hAnsi="Times New Roman" w:eastAsia="方正小标宋_GBK"/>
      <w:sz w:val="44"/>
      <w:szCs w:val="44"/>
    </w:rPr>
  </w:style>
  <w:style w:type="paragraph" w:customStyle="1" w:styleId="13">
    <w:name w:val="公文一级标题"/>
    <w:basedOn w:val="11"/>
    <w:next w:val="11"/>
    <w:link w:val="16"/>
    <w:qFormat/>
    <w:uiPriority w:val="0"/>
    <w:pPr>
      <w:jc w:val="both"/>
      <w:outlineLvl w:val="9"/>
    </w:pPr>
    <w:rPr>
      <w:rFonts w:ascii="Times New Roman" w:hAnsi="Times New Roman" w:eastAsia="方正黑体_GBK"/>
    </w:rPr>
  </w:style>
  <w:style w:type="paragraph" w:customStyle="1" w:styleId="14">
    <w:name w:val="公文二级标题"/>
    <w:basedOn w:val="11"/>
    <w:next w:val="11"/>
    <w:link w:val="19"/>
    <w:qFormat/>
    <w:uiPriority w:val="0"/>
    <w:pPr>
      <w:outlineLvl w:val="9"/>
    </w:pPr>
    <w:rPr>
      <w:rFonts w:ascii="Times New Roman" w:hAnsi="Times New Roman" w:eastAsia="方正楷体_GBK"/>
    </w:rPr>
  </w:style>
  <w:style w:type="paragraph" w:customStyle="1" w:styleId="15">
    <w:name w:val="公文三级标题"/>
    <w:basedOn w:val="11"/>
    <w:next w:val="11"/>
    <w:link w:val="17"/>
    <w:qFormat/>
    <w:uiPriority w:val="0"/>
    <w:pPr>
      <w:ind w:left="0"/>
      <w:outlineLvl w:val="9"/>
    </w:pPr>
    <w:rPr>
      <w:rFonts w:ascii="Times New Roman" w:hAnsi="Times New Roman"/>
      <w:b/>
      <w:bCs/>
    </w:rPr>
  </w:style>
  <w:style w:type="character" w:customStyle="1" w:styleId="16">
    <w:name w:val="公文一级标题 Char"/>
    <w:link w:val="13"/>
    <w:qFormat/>
    <w:uiPriority w:val="0"/>
    <w:rPr>
      <w:rFonts w:ascii="Times New Roman" w:hAnsi="Times New Roman" w:eastAsia="方正黑体_GBK"/>
    </w:rPr>
  </w:style>
  <w:style w:type="character" w:customStyle="1" w:styleId="17">
    <w:name w:val="公文三级标题 Char"/>
    <w:link w:val="15"/>
    <w:qFormat/>
    <w:uiPriority w:val="0"/>
    <w:rPr>
      <w:rFonts w:ascii="Times New Roman" w:hAnsi="Times New Roman" w:eastAsia="方正仿宋_GBK" w:cs="Times New Roman"/>
      <w:b/>
      <w:bCs/>
    </w:rPr>
  </w:style>
  <w:style w:type="paragraph" w:customStyle="1" w:styleId="18">
    <w:name w:val="公文副标题"/>
    <w:basedOn w:val="1"/>
    <w:qFormat/>
    <w:uiPriority w:val="0"/>
    <w:pPr>
      <w:ind w:firstLine="0" w:firstLineChars="0"/>
      <w:jc w:val="center"/>
    </w:pPr>
    <w:rPr>
      <w:rFonts w:ascii="Times New Roman" w:hAnsi="Times New Roman" w:eastAsia="方正楷体_GBK" w:cs="Times New Roman"/>
    </w:rPr>
  </w:style>
  <w:style w:type="character" w:customStyle="1" w:styleId="19">
    <w:name w:val="公文二级标题 Char"/>
    <w:link w:val="14"/>
    <w:qFormat/>
    <w:uiPriority w:val="0"/>
    <w:rPr>
      <w:rFonts w:ascii="Times New Roman" w:hAnsi="Times New Roman" w:eastAsia="方正楷体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2023-10-27T07:46:00Z</dcterms:created>
  <dc:creator>zauspher</dc:creator>
  <cp:lastModifiedBy>Administrator</cp:lastModifiedBy>
  <dcterms:modified xsi:type="dcterms:W3CDTF">2023-10-27T08:14:43Z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F5A53190CC7546A79602F215764D1A9A_11</vt:lpwstr>
  </property>
</Properties>
</file>