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color w:val="000000"/>
        </w:rPr>
      </w:pPr>
    </w:p>
    <w:p>
      <w:pPr>
        <w:spacing w:line="579" w:lineRule="exact"/>
        <w:jc w:val="center"/>
        <w:rPr>
          <w:rFonts w:hint="eastAsia"/>
          <w:color w:val="000000"/>
        </w:rPr>
      </w:pPr>
    </w:p>
    <w:p>
      <w:pPr>
        <w:spacing w:line="579" w:lineRule="exact"/>
        <w:jc w:val="center"/>
        <w:rPr>
          <w:rFonts w:hint="eastAsia"/>
          <w:color w:val="000000"/>
        </w:rPr>
      </w:pPr>
      <w:r>
        <w:rPr>
          <w:rFonts w:hint="eastAsia"/>
          <w:color w:val="000000"/>
        </w:rPr>
        <w:t>城委农组〔2021〕10号</w:t>
      </w:r>
    </w:p>
    <w:p>
      <w:pPr>
        <w:pStyle w:val="2"/>
      </w:pPr>
    </w:p>
    <w:p>
      <w:pPr>
        <w:adjustRightInd w:val="0"/>
        <w:snapToGrid w:val="0"/>
        <w:spacing w:line="579" w:lineRule="exact"/>
        <w:rPr>
          <w:rFonts w:hint="eastAsia" w:ascii="方正楷体_GBK" w:hAnsi="方正楷体_GBK" w:eastAsia="方正楷体_GBK" w:cs="方正楷体_GBK"/>
        </w:rPr>
      </w:pPr>
      <w:r>
        <w:rPr>
          <w:rFonts w:hint="eastAsia" w:ascii="方正楷体_GBK" w:hAnsi="方正楷体_GBK" w:eastAsia="方正楷体_GBK" w:cs="方正楷体_GBK"/>
        </w:rPr>
        <w:t>各乡镇党委、街道党工委和乡镇人民政府、街道办事处，县委各部委，县级国家机关各部门，县属国有企业，各驻县单位：</w:t>
      </w:r>
    </w:p>
    <w:p>
      <w:pPr>
        <w:spacing w:line="540" w:lineRule="exact"/>
        <w:ind w:firstLine="632" w:firstLineChars="200"/>
        <w:rPr>
          <w:rFonts w:hint="eastAsia" w:ascii="方正楷体_GBK" w:hAnsi="方正楷体_GBK" w:eastAsia="方正楷体_GBK" w:cs="方正楷体_GBK"/>
          <w:color w:val="000000"/>
          <w:kern w:val="2"/>
        </w:rPr>
      </w:pPr>
      <w:r>
        <w:rPr>
          <w:rFonts w:hint="eastAsia" w:ascii="方正楷体_GBK" w:hAnsi="方正楷体_GBK" w:eastAsia="方正楷体_GBK" w:cs="方正楷体_GBK"/>
          <w:color w:val="000000"/>
          <w:kern w:val="2"/>
        </w:rPr>
        <w:t>经县委农村工作暨实施乡村振兴战略领导小组研究同意，现将《城口县中蜂、羊肚菌、老茶园改造产业扶</w:t>
      </w:r>
      <w:bookmarkStart w:id="0" w:name="_GoBack"/>
      <w:bookmarkEnd w:id="0"/>
      <w:r>
        <w:rPr>
          <w:rFonts w:hint="eastAsia" w:ascii="方正楷体_GBK" w:hAnsi="方正楷体_GBK" w:eastAsia="方正楷体_GBK" w:cs="方正楷体_GBK"/>
          <w:color w:val="000000"/>
          <w:kern w:val="2"/>
        </w:rPr>
        <w:t>持政策》印发你们，请认真抓好落实。</w:t>
      </w:r>
    </w:p>
    <w:p>
      <w:pPr>
        <w:spacing w:line="540" w:lineRule="exact"/>
        <w:rPr>
          <w:rFonts w:hint="eastAsia" w:ascii="方正楷体_GBK" w:hAnsi="方正楷体_GBK" w:eastAsia="方正楷体_GBK" w:cs="方正楷体_GBK"/>
          <w:color w:val="000000"/>
          <w:kern w:val="2"/>
        </w:rPr>
      </w:pPr>
    </w:p>
    <w:p>
      <w:pPr>
        <w:spacing w:line="540" w:lineRule="exact"/>
        <w:ind w:firstLine="496" w:firstLineChars="200"/>
        <w:jc w:val="center"/>
        <w:rPr>
          <w:rFonts w:hint="eastAsia" w:ascii="方正楷体_GBK" w:hAnsi="方正楷体_GBK" w:eastAsia="方正楷体_GBK" w:cs="方正楷体_GBK"/>
          <w:color w:val="000000"/>
          <w:kern w:val="2"/>
        </w:rPr>
      </w:pPr>
      <w:r>
        <w:rPr>
          <w:rFonts w:hint="eastAsia" w:ascii="方正楷体_GBK" w:hAnsi="方正楷体_GBK" w:eastAsia="方正楷体_GBK" w:cs="方正楷体_GBK"/>
          <w:color w:val="000000"/>
          <w:spacing w:val="-34"/>
          <w:kern w:val="2"/>
        </w:rPr>
        <w:t>中共城口县委农村工作暨实施乡村振兴战略领导小组</w:t>
      </w:r>
    </w:p>
    <w:p>
      <w:pPr>
        <w:spacing w:line="540" w:lineRule="exact"/>
        <w:ind w:firstLine="632" w:firstLineChars="200"/>
        <w:rPr>
          <w:rFonts w:hint="eastAsia" w:ascii="方正楷体_GBK" w:hAnsi="方正楷体_GBK" w:eastAsia="方正楷体_GBK" w:cs="方正楷体_GBK"/>
          <w:color w:val="000000"/>
          <w:kern w:val="2"/>
        </w:rPr>
      </w:pPr>
      <w:r>
        <w:rPr>
          <w:rFonts w:hint="eastAsia" w:ascii="方正楷体_GBK" w:hAnsi="方正楷体_GBK" w:eastAsia="方正楷体_GBK" w:cs="方正楷体_GBK"/>
          <w:color w:val="000000"/>
          <w:kern w:val="2"/>
        </w:rPr>
        <w:t xml:space="preserve">                 2021年8月23日</w:t>
      </w:r>
    </w:p>
    <w:p>
      <w:pPr>
        <w:rPr>
          <w:color w:val="000000"/>
          <w:kern w:val="2"/>
        </w:rPr>
      </w:pPr>
      <w:r>
        <w:rPr>
          <w:color w:val="000000"/>
          <w:kern w:val="2"/>
        </w:rPr>
        <w:br w:type="page"/>
      </w:r>
    </w:p>
    <w:p>
      <w:pPr>
        <w:pStyle w:val="2"/>
      </w:pPr>
    </w:p>
    <w:p>
      <w:pPr>
        <w:pStyle w:val="2"/>
      </w:pPr>
    </w:p>
    <w:p>
      <w:pPr>
        <w:widowControl/>
        <w:spacing w:line="560" w:lineRule="exact"/>
        <w:jc w:val="center"/>
        <w:rPr>
          <w:rFonts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spacing w:val="-20"/>
          <w:kern w:val="2"/>
          <w:sz w:val="44"/>
          <w:szCs w:val="44"/>
        </w:rPr>
        <w:t>城口县中蜂、羊肚菌、老茶园改造产业扶持政策</w:t>
      </w:r>
    </w:p>
    <w:p>
      <w:pPr>
        <w:widowControl/>
        <w:spacing w:line="560" w:lineRule="exact"/>
        <w:jc w:val="center"/>
        <w:rPr>
          <w:rFonts w:ascii="方正小标宋_GBK" w:hAnsi="方正小标宋_GBK" w:eastAsia="方正小标宋_GBK" w:cs="方正小标宋_GBK"/>
          <w:color w:val="000000"/>
          <w:kern w:val="2"/>
          <w:sz w:val="44"/>
          <w:szCs w:val="44"/>
        </w:rPr>
      </w:pPr>
      <w:r>
        <w:rPr>
          <w:rFonts w:hint="eastAsia" w:ascii="方正小标宋_GBK" w:eastAsia="方正小标宋_GBK"/>
          <w:color w:val="000000"/>
          <w:sz w:val="44"/>
        </w:rPr>
        <w:t>（2021年）</w:t>
      </w:r>
    </w:p>
    <w:p>
      <w:pPr>
        <w:widowControl/>
        <w:spacing w:line="560" w:lineRule="exact"/>
        <w:ind w:firstLine="632" w:firstLineChars="200"/>
        <w:rPr>
          <w:rFonts w:eastAsia="方正黑体_GBK"/>
          <w:color w:val="000000"/>
        </w:rPr>
      </w:pPr>
    </w:p>
    <w:p>
      <w:pPr>
        <w:widowControl/>
        <w:spacing w:line="560" w:lineRule="exact"/>
        <w:ind w:firstLine="632" w:firstLineChars="200"/>
        <w:rPr>
          <w:rFonts w:eastAsia="方正黑体_GBK"/>
          <w:color w:val="000000"/>
        </w:rPr>
      </w:pPr>
      <w:r>
        <w:rPr>
          <w:rFonts w:hint="eastAsia" w:eastAsia="方正黑体_GBK"/>
          <w:color w:val="000000"/>
        </w:rPr>
        <w:t>一、扶持对象</w:t>
      </w:r>
    </w:p>
    <w:p>
      <w:pPr>
        <w:widowControl/>
        <w:spacing w:line="560" w:lineRule="exact"/>
        <w:ind w:firstLine="632" w:firstLineChars="200"/>
        <w:rPr>
          <w:color w:val="000000"/>
        </w:rPr>
      </w:pPr>
      <w:r>
        <w:rPr>
          <w:rFonts w:hint="eastAsia"/>
          <w:color w:val="000000"/>
        </w:rPr>
        <w:t>围绕我县“十四五”乡村产业发展规划，</w:t>
      </w:r>
      <w:r>
        <w:rPr>
          <w:rFonts w:hint="eastAsia"/>
        </w:rPr>
        <w:t>发展中蜂、羊肚菌产业及实施老茶园改造的农业</w:t>
      </w:r>
      <w:r>
        <w:rPr>
          <w:rFonts w:hint="eastAsia"/>
          <w:color w:val="000000"/>
        </w:rPr>
        <w:t>企业、农民合作社和家庭农场等新型农业经营主体。</w:t>
      </w:r>
    </w:p>
    <w:p>
      <w:pPr>
        <w:ind w:firstLine="632" w:firstLineChars="200"/>
        <w:rPr>
          <w:rFonts w:eastAsia="方正黑体_GBK"/>
          <w:color w:val="000000"/>
          <w:kern w:val="2"/>
        </w:rPr>
      </w:pPr>
      <w:r>
        <w:rPr>
          <w:rFonts w:hint="eastAsia" w:eastAsia="方正黑体_GBK"/>
          <w:color w:val="000000"/>
          <w:kern w:val="2"/>
        </w:rPr>
        <w:t>二、扶持标准</w:t>
      </w:r>
    </w:p>
    <w:tbl>
      <w:tblPr>
        <w:tblStyle w:val="11"/>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8"/>
        <w:gridCol w:w="617"/>
        <w:gridCol w:w="600"/>
        <w:gridCol w:w="1676"/>
        <w:gridCol w:w="1189"/>
        <w:gridCol w:w="1190"/>
        <w:gridCol w:w="764"/>
        <w:gridCol w:w="756"/>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blHeader/>
        </w:trPr>
        <w:tc>
          <w:tcPr>
            <w:tcW w:w="358" w:type="dxa"/>
            <w:tcMar>
              <w:top w:w="15" w:type="dxa"/>
              <w:left w:w="15" w:type="dxa"/>
              <w:right w:w="15" w:type="dxa"/>
            </w:tcMar>
            <w:vAlign w:val="center"/>
          </w:tcPr>
          <w:p>
            <w:pPr>
              <w:widowControl/>
              <w:spacing w:line="360" w:lineRule="exact"/>
              <w:jc w:val="center"/>
              <w:textAlignment w:val="center"/>
              <w:rPr>
                <w:rFonts w:eastAsia="方正黑体_GBK"/>
                <w:color w:val="000000"/>
                <w:sz w:val="21"/>
                <w:szCs w:val="21"/>
              </w:rPr>
            </w:pPr>
            <w:r>
              <w:rPr>
                <w:rFonts w:eastAsia="方正黑体_GBK"/>
                <w:color w:val="000000"/>
                <w:sz w:val="21"/>
                <w:szCs w:val="21"/>
              </w:rPr>
              <w:t>序号</w:t>
            </w:r>
          </w:p>
        </w:tc>
        <w:tc>
          <w:tcPr>
            <w:tcW w:w="617" w:type="dxa"/>
            <w:tcMar>
              <w:top w:w="15" w:type="dxa"/>
              <w:left w:w="15" w:type="dxa"/>
              <w:right w:w="15" w:type="dxa"/>
            </w:tcMar>
            <w:vAlign w:val="center"/>
          </w:tcPr>
          <w:p>
            <w:pPr>
              <w:widowControl/>
              <w:spacing w:line="360" w:lineRule="exact"/>
              <w:jc w:val="center"/>
              <w:textAlignment w:val="center"/>
              <w:rPr>
                <w:rFonts w:eastAsia="方正黑体_GBK"/>
                <w:color w:val="000000"/>
                <w:sz w:val="21"/>
                <w:szCs w:val="21"/>
              </w:rPr>
            </w:pPr>
            <w:r>
              <w:rPr>
                <w:rFonts w:eastAsia="方正黑体_GBK"/>
                <w:color w:val="000000"/>
                <w:sz w:val="21"/>
                <w:szCs w:val="21"/>
              </w:rPr>
              <w:t>产业</w:t>
            </w:r>
          </w:p>
          <w:p>
            <w:pPr>
              <w:widowControl/>
              <w:spacing w:line="360" w:lineRule="exact"/>
              <w:jc w:val="center"/>
              <w:textAlignment w:val="center"/>
              <w:rPr>
                <w:rFonts w:eastAsia="方正黑体_GBK"/>
                <w:color w:val="000000"/>
                <w:sz w:val="21"/>
                <w:szCs w:val="21"/>
              </w:rPr>
            </w:pPr>
            <w:r>
              <w:rPr>
                <w:rFonts w:eastAsia="方正黑体_GBK"/>
                <w:color w:val="000000"/>
                <w:sz w:val="21"/>
                <w:szCs w:val="21"/>
              </w:rPr>
              <w:t>类别</w:t>
            </w:r>
          </w:p>
        </w:tc>
        <w:tc>
          <w:tcPr>
            <w:tcW w:w="600" w:type="dxa"/>
            <w:tcMar>
              <w:top w:w="15" w:type="dxa"/>
              <w:left w:w="15" w:type="dxa"/>
              <w:right w:w="15" w:type="dxa"/>
            </w:tcMar>
            <w:vAlign w:val="center"/>
          </w:tcPr>
          <w:p>
            <w:pPr>
              <w:widowControl/>
              <w:spacing w:line="360" w:lineRule="exact"/>
              <w:jc w:val="center"/>
              <w:textAlignment w:val="center"/>
              <w:rPr>
                <w:rFonts w:eastAsia="方正黑体_GBK"/>
                <w:color w:val="000000"/>
                <w:sz w:val="21"/>
                <w:szCs w:val="21"/>
              </w:rPr>
            </w:pPr>
            <w:r>
              <w:rPr>
                <w:rFonts w:hint="eastAsia" w:eastAsia="方正黑体_GBK"/>
                <w:color w:val="000000"/>
                <w:sz w:val="21"/>
                <w:szCs w:val="21"/>
              </w:rPr>
              <w:t>扶持环节</w:t>
            </w:r>
          </w:p>
        </w:tc>
        <w:tc>
          <w:tcPr>
            <w:tcW w:w="1676" w:type="dxa"/>
            <w:tcMar>
              <w:top w:w="15" w:type="dxa"/>
              <w:left w:w="15" w:type="dxa"/>
              <w:right w:w="15" w:type="dxa"/>
            </w:tcMar>
            <w:vAlign w:val="center"/>
          </w:tcPr>
          <w:p>
            <w:pPr>
              <w:widowControl/>
              <w:spacing w:line="360" w:lineRule="exact"/>
              <w:jc w:val="center"/>
              <w:textAlignment w:val="center"/>
              <w:rPr>
                <w:rFonts w:eastAsia="方正黑体_GBK"/>
                <w:color w:val="000000"/>
                <w:sz w:val="21"/>
                <w:szCs w:val="21"/>
              </w:rPr>
            </w:pPr>
            <w:r>
              <w:rPr>
                <w:rFonts w:eastAsia="方正黑体_GBK"/>
                <w:color w:val="000000"/>
                <w:sz w:val="21"/>
                <w:szCs w:val="21"/>
              </w:rPr>
              <w:t>扶持规模</w:t>
            </w:r>
          </w:p>
        </w:tc>
        <w:tc>
          <w:tcPr>
            <w:tcW w:w="1189" w:type="dxa"/>
            <w:tcMar>
              <w:top w:w="15" w:type="dxa"/>
              <w:left w:w="15" w:type="dxa"/>
              <w:right w:w="15" w:type="dxa"/>
            </w:tcMar>
            <w:vAlign w:val="center"/>
          </w:tcPr>
          <w:p>
            <w:pPr>
              <w:widowControl/>
              <w:spacing w:line="360" w:lineRule="exact"/>
              <w:jc w:val="center"/>
              <w:textAlignment w:val="center"/>
              <w:rPr>
                <w:rFonts w:eastAsia="方正黑体_GBK"/>
                <w:color w:val="000000"/>
                <w:sz w:val="21"/>
                <w:szCs w:val="21"/>
              </w:rPr>
            </w:pPr>
            <w:r>
              <w:rPr>
                <w:rFonts w:hint="eastAsia" w:eastAsia="方正黑体_GBK"/>
                <w:color w:val="000000"/>
                <w:sz w:val="21"/>
                <w:szCs w:val="21"/>
              </w:rPr>
              <w:t>扶持内容</w:t>
            </w:r>
          </w:p>
        </w:tc>
        <w:tc>
          <w:tcPr>
            <w:tcW w:w="1190" w:type="dxa"/>
            <w:tcMar>
              <w:top w:w="15" w:type="dxa"/>
              <w:left w:w="15" w:type="dxa"/>
              <w:right w:w="15" w:type="dxa"/>
            </w:tcMar>
            <w:vAlign w:val="center"/>
          </w:tcPr>
          <w:p>
            <w:pPr>
              <w:widowControl/>
              <w:spacing w:line="360" w:lineRule="exact"/>
              <w:jc w:val="center"/>
              <w:textAlignment w:val="center"/>
              <w:rPr>
                <w:rFonts w:eastAsia="方正黑体_GBK"/>
                <w:color w:val="000000"/>
                <w:sz w:val="21"/>
                <w:szCs w:val="21"/>
              </w:rPr>
            </w:pPr>
            <w:r>
              <w:rPr>
                <w:rFonts w:eastAsia="方正黑体_GBK"/>
                <w:color w:val="000000"/>
                <w:sz w:val="21"/>
                <w:szCs w:val="21"/>
              </w:rPr>
              <w:t>扶持标准</w:t>
            </w:r>
          </w:p>
        </w:tc>
        <w:tc>
          <w:tcPr>
            <w:tcW w:w="764" w:type="dxa"/>
            <w:tcMar>
              <w:top w:w="15" w:type="dxa"/>
              <w:left w:w="15" w:type="dxa"/>
              <w:right w:w="15" w:type="dxa"/>
            </w:tcMar>
            <w:vAlign w:val="center"/>
          </w:tcPr>
          <w:p>
            <w:pPr>
              <w:widowControl/>
              <w:spacing w:line="360" w:lineRule="exact"/>
              <w:jc w:val="center"/>
              <w:textAlignment w:val="center"/>
              <w:rPr>
                <w:rFonts w:eastAsia="方正黑体_GBK"/>
                <w:color w:val="000000"/>
                <w:sz w:val="21"/>
                <w:szCs w:val="21"/>
              </w:rPr>
            </w:pPr>
            <w:r>
              <w:rPr>
                <w:rFonts w:eastAsia="方正黑体_GBK"/>
                <w:color w:val="000000"/>
                <w:sz w:val="21"/>
                <w:szCs w:val="21"/>
              </w:rPr>
              <w:t>扶持数量</w:t>
            </w:r>
          </w:p>
        </w:tc>
        <w:tc>
          <w:tcPr>
            <w:tcW w:w="756" w:type="dxa"/>
            <w:tcMar>
              <w:top w:w="15" w:type="dxa"/>
              <w:left w:w="15" w:type="dxa"/>
              <w:right w:w="15" w:type="dxa"/>
            </w:tcMar>
            <w:vAlign w:val="center"/>
          </w:tcPr>
          <w:p>
            <w:pPr>
              <w:widowControl/>
              <w:spacing w:line="360" w:lineRule="exact"/>
              <w:jc w:val="center"/>
              <w:textAlignment w:val="center"/>
              <w:rPr>
                <w:rFonts w:eastAsia="方正黑体_GBK"/>
                <w:color w:val="000000"/>
                <w:sz w:val="21"/>
                <w:szCs w:val="21"/>
              </w:rPr>
            </w:pPr>
            <w:r>
              <w:rPr>
                <w:rFonts w:hint="eastAsia" w:eastAsia="方正黑体_GBK"/>
                <w:color w:val="000000"/>
                <w:sz w:val="21"/>
                <w:szCs w:val="21"/>
              </w:rPr>
              <w:t>预计</w:t>
            </w:r>
            <w:r>
              <w:rPr>
                <w:rFonts w:eastAsia="方正黑体_GBK"/>
                <w:color w:val="000000"/>
                <w:sz w:val="21"/>
                <w:szCs w:val="21"/>
              </w:rPr>
              <w:t>资金（万元）</w:t>
            </w:r>
          </w:p>
        </w:tc>
        <w:tc>
          <w:tcPr>
            <w:tcW w:w="1725" w:type="dxa"/>
            <w:tcMar>
              <w:top w:w="15" w:type="dxa"/>
              <w:left w:w="15" w:type="dxa"/>
              <w:right w:w="15" w:type="dxa"/>
            </w:tcMar>
            <w:vAlign w:val="center"/>
          </w:tcPr>
          <w:p>
            <w:pPr>
              <w:widowControl/>
              <w:spacing w:line="360" w:lineRule="exact"/>
              <w:jc w:val="center"/>
              <w:textAlignment w:val="center"/>
              <w:rPr>
                <w:rFonts w:eastAsia="方正黑体_GBK"/>
                <w:color w:val="000000"/>
                <w:sz w:val="21"/>
                <w:szCs w:val="21"/>
              </w:rPr>
            </w:pPr>
            <w:r>
              <w:rPr>
                <w:rFonts w:eastAsia="方正黑体_GBK"/>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trPr>
        <w:tc>
          <w:tcPr>
            <w:tcW w:w="358" w:type="dxa"/>
            <w:vMerge w:val="restart"/>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sz w:val="24"/>
                <w:szCs w:val="24"/>
              </w:rPr>
              <w:t>1</w:t>
            </w:r>
          </w:p>
        </w:tc>
        <w:tc>
          <w:tcPr>
            <w:tcW w:w="617" w:type="dxa"/>
            <w:vMerge w:val="restart"/>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中蜂</w:t>
            </w:r>
          </w:p>
        </w:tc>
        <w:tc>
          <w:tcPr>
            <w:tcW w:w="600" w:type="dxa"/>
            <w:vMerge w:val="restart"/>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提升示范基地</w:t>
            </w:r>
          </w:p>
        </w:tc>
        <w:tc>
          <w:tcPr>
            <w:tcW w:w="1676" w:type="dxa"/>
            <w:vMerge w:val="restart"/>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农民合作社常年蜂群保有量达到300群以上；家庭农场常年蜂群保有量达到30群以上。</w:t>
            </w:r>
          </w:p>
        </w:tc>
        <w:tc>
          <w:tcPr>
            <w:tcW w:w="1189"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购买种蜂</w:t>
            </w:r>
          </w:p>
        </w:tc>
        <w:tc>
          <w:tcPr>
            <w:tcW w:w="1190"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200元/群</w:t>
            </w:r>
          </w:p>
        </w:tc>
        <w:tc>
          <w:tcPr>
            <w:tcW w:w="764" w:type="dxa"/>
            <w:vMerge w:val="restart"/>
            <w:tcMar>
              <w:top w:w="15" w:type="dxa"/>
              <w:left w:w="15" w:type="dxa"/>
              <w:right w:w="15" w:type="dxa"/>
            </w:tcMar>
            <w:vAlign w:val="center"/>
          </w:tcPr>
          <w:p>
            <w:pPr>
              <w:widowControl/>
              <w:spacing w:line="360" w:lineRule="exact"/>
              <w:jc w:val="center"/>
              <w:textAlignment w:val="center"/>
              <w:rPr>
                <w:color w:val="000000"/>
                <w:sz w:val="24"/>
                <w:szCs w:val="24"/>
              </w:rPr>
            </w:pPr>
          </w:p>
        </w:tc>
        <w:tc>
          <w:tcPr>
            <w:tcW w:w="756" w:type="dxa"/>
            <w:vMerge w:val="restart"/>
            <w:tcMar>
              <w:top w:w="15" w:type="dxa"/>
              <w:left w:w="15" w:type="dxa"/>
              <w:right w:w="15" w:type="dxa"/>
            </w:tcMar>
            <w:vAlign w:val="center"/>
          </w:tcPr>
          <w:p>
            <w:pPr>
              <w:widowControl/>
              <w:spacing w:line="360" w:lineRule="exact"/>
              <w:jc w:val="center"/>
              <w:textAlignment w:val="center"/>
              <w:rPr>
                <w:color w:val="000000"/>
                <w:sz w:val="24"/>
                <w:szCs w:val="24"/>
              </w:rPr>
            </w:pPr>
          </w:p>
        </w:tc>
        <w:tc>
          <w:tcPr>
            <w:tcW w:w="1725" w:type="dxa"/>
            <w:vMerge w:val="restart"/>
            <w:tcMar>
              <w:top w:w="15" w:type="dxa"/>
              <w:left w:w="15" w:type="dxa"/>
              <w:right w:w="15" w:type="dxa"/>
            </w:tcMar>
            <w:vAlign w:val="center"/>
          </w:tcPr>
          <w:p>
            <w:pPr>
              <w:widowControl/>
              <w:spacing w:line="360" w:lineRule="exact"/>
              <w:jc w:val="center"/>
              <w:textAlignment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trPr>
        <w:tc>
          <w:tcPr>
            <w:tcW w:w="358" w:type="dxa"/>
            <w:vMerge w:val="continue"/>
            <w:tcMar>
              <w:top w:w="15" w:type="dxa"/>
              <w:left w:w="15" w:type="dxa"/>
              <w:right w:w="15" w:type="dxa"/>
            </w:tcMar>
            <w:vAlign w:val="center"/>
          </w:tcPr>
          <w:p>
            <w:pPr>
              <w:widowControl/>
              <w:spacing w:line="360" w:lineRule="exact"/>
              <w:jc w:val="center"/>
              <w:textAlignment w:val="center"/>
            </w:pPr>
          </w:p>
        </w:tc>
        <w:tc>
          <w:tcPr>
            <w:tcW w:w="617" w:type="dxa"/>
            <w:vMerge w:val="continue"/>
            <w:tcMar>
              <w:top w:w="15" w:type="dxa"/>
              <w:left w:w="15" w:type="dxa"/>
              <w:right w:w="15" w:type="dxa"/>
            </w:tcMar>
            <w:vAlign w:val="center"/>
          </w:tcPr>
          <w:p>
            <w:pPr>
              <w:widowControl/>
              <w:spacing w:line="360" w:lineRule="exact"/>
              <w:jc w:val="center"/>
              <w:textAlignment w:val="center"/>
            </w:pPr>
          </w:p>
        </w:tc>
        <w:tc>
          <w:tcPr>
            <w:tcW w:w="600" w:type="dxa"/>
            <w:vMerge w:val="continue"/>
            <w:tcMar>
              <w:top w:w="15" w:type="dxa"/>
              <w:left w:w="15" w:type="dxa"/>
              <w:right w:w="15" w:type="dxa"/>
            </w:tcMar>
            <w:vAlign w:val="center"/>
          </w:tcPr>
          <w:p>
            <w:pPr>
              <w:widowControl/>
              <w:spacing w:line="360" w:lineRule="exact"/>
              <w:jc w:val="center"/>
              <w:textAlignment w:val="center"/>
            </w:pPr>
          </w:p>
        </w:tc>
        <w:tc>
          <w:tcPr>
            <w:tcW w:w="1676" w:type="dxa"/>
            <w:vMerge w:val="continue"/>
            <w:tcMar>
              <w:top w:w="15" w:type="dxa"/>
              <w:left w:w="15" w:type="dxa"/>
              <w:right w:w="15" w:type="dxa"/>
            </w:tcMar>
            <w:vAlign w:val="center"/>
          </w:tcPr>
          <w:p>
            <w:pPr>
              <w:widowControl/>
              <w:spacing w:line="360" w:lineRule="exact"/>
              <w:jc w:val="center"/>
              <w:textAlignment w:val="center"/>
            </w:pPr>
          </w:p>
        </w:tc>
        <w:tc>
          <w:tcPr>
            <w:tcW w:w="1189" w:type="dxa"/>
            <w:tcMar>
              <w:top w:w="15" w:type="dxa"/>
              <w:left w:w="15" w:type="dxa"/>
              <w:right w:w="15" w:type="dxa"/>
            </w:tcMar>
            <w:vAlign w:val="center"/>
          </w:tcPr>
          <w:p>
            <w:pPr>
              <w:widowControl/>
              <w:spacing w:line="360" w:lineRule="exact"/>
              <w:jc w:val="center"/>
              <w:textAlignment w:val="center"/>
            </w:pPr>
            <w:r>
              <w:rPr>
                <w:rFonts w:hint="eastAsia"/>
                <w:color w:val="000000"/>
                <w:sz w:val="24"/>
                <w:szCs w:val="24"/>
              </w:rPr>
              <w:t>购置蜂箱</w:t>
            </w:r>
          </w:p>
        </w:tc>
        <w:tc>
          <w:tcPr>
            <w:tcW w:w="1190" w:type="dxa"/>
            <w:tcMar>
              <w:top w:w="15" w:type="dxa"/>
              <w:left w:w="15" w:type="dxa"/>
              <w:right w:w="15" w:type="dxa"/>
            </w:tcMar>
            <w:vAlign w:val="center"/>
          </w:tcPr>
          <w:p>
            <w:pPr>
              <w:widowControl/>
              <w:spacing w:line="360" w:lineRule="exact"/>
              <w:jc w:val="center"/>
              <w:textAlignment w:val="center"/>
            </w:pPr>
            <w:r>
              <w:rPr>
                <w:rFonts w:hint="eastAsia"/>
                <w:color w:val="000000"/>
                <w:sz w:val="24"/>
                <w:szCs w:val="24"/>
              </w:rPr>
              <w:t>100元/套</w:t>
            </w:r>
          </w:p>
        </w:tc>
        <w:tc>
          <w:tcPr>
            <w:tcW w:w="764" w:type="dxa"/>
            <w:vMerge w:val="continue"/>
            <w:tcMar>
              <w:top w:w="15" w:type="dxa"/>
              <w:left w:w="15" w:type="dxa"/>
              <w:right w:w="15" w:type="dxa"/>
            </w:tcMar>
            <w:vAlign w:val="center"/>
          </w:tcPr>
          <w:p>
            <w:pPr>
              <w:widowControl/>
              <w:spacing w:line="360" w:lineRule="exact"/>
              <w:jc w:val="center"/>
              <w:textAlignment w:val="center"/>
            </w:pPr>
          </w:p>
        </w:tc>
        <w:tc>
          <w:tcPr>
            <w:tcW w:w="756" w:type="dxa"/>
            <w:vMerge w:val="continue"/>
            <w:tcMar>
              <w:top w:w="15" w:type="dxa"/>
              <w:left w:w="15" w:type="dxa"/>
              <w:right w:w="15" w:type="dxa"/>
            </w:tcMar>
            <w:vAlign w:val="center"/>
          </w:tcPr>
          <w:p>
            <w:pPr>
              <w:widowControl/>
              <w:spacing w:line="360" w:lineRule="exact"/>
              <w:jc w:val="center"/>
              <w:textAlignment w:val="center"/>
            </w:pPr>
          </w:p>
        </w:tc>
        <w:tc>
          <w:tcPr>
            <w:tcW w:w="1725" w:type="dxa"/>
            <w:vMerge w:val="continue"/>
            <w:tcMar>
              <w:top w:w="15" w:type="dxa"/>
              <w:left w:w="15" w:type="dxa"/>
              <w:right w:w="15" w:type="dxa"/>
            </w:tcMar>
            <w:vAlign w:val="center"/>
          </w:tcPr>
          <w:p>
            <w:pPr>
              <w:widowControl/>
              <w:spacing w:line="3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trPr>
        <w:tc>
          <w:tcPr>
            <w:tcW w:w="358" w:type="dxa"/>
            <w:vMerge w:val="continue"/>
            <w:tcMar>
              <w:top w:w="15" w:type="dxa"/>
              <w:left w:w="15" w:type="dxa"/>
              <w:right w:w="15" w:type="dxa"/>
            </w:tcMar>
            <w:vAlign w:val="center"/>
          </w:tcPr>
          <w:p>
            <w:pPr>
              <w:widowControl/>
              <w:spacing w:line="360" w:lineRule="exact"/>
              <w:jc w:val="center"/>
              <w:textAlignment w:val="center"/>
            </w:pPr>
          </w:p>
        </w:tc>
        <w:tc>
          <w:tcPr>
            <w:tcW w:w="617" w:type="dxa"/>
            <w:vMerge w:val="continue"/>
            <w:tcMar>
              <w:top w:w="15" w:type="dxa"/>
              <w:left w:w="15" w:type="dxa"/>
              <w:right w:w="15" w:type="dxa"/>
            </w:tcMar>
            <w:vAlign w:val="center"/>
          </w:tcPr>
          <w:p>
            <w:pPr>
              <w:widowControl/>
              <w:spacing w:line="360" w:lineRule="exact"/>
              <w:jc w:val="center"/>
              <w:textAlignment w:val="center"/>
            </w:pPr>
          </w:p>
        </w:tc>
        <w:tc>
          <w:tcPr>
            <w:tcW w:w="600" w:type="dxa"/>
            <w:tcMar>
              <w:top w:w="15" w:type="dxa"/>
              <w:left w:w="15" w:type="dxa"/>
              <w:right w:w="15" w:type="dxa"/>
            </w:tcMar>
            <w:vAlign w:val="center"/>
          </w:tcPr>
          <w:p>
            <w:pPr>
              <w:widowControl/>
              <w:spacing w:line="360" w:lineRule="exact"/>
              <w:jc w:val="center"/>
              <w:textAlignment w:val="center"/>
            </w:pPr>
            <w:r>
              <w:rPr>
                <w:rFonts w:hint="eastAsia"/>
                <w:color w:val="000000"/>
                <w:sz w:val="24"/>
                <w:szCs w:val="24"/>
              </w:rPr>
              <w:t>蜂蜜加工基地</w:t>
            </w:r>
          </w:p>
        </w:tc>
        <w:tc>
          <w:tcPr>
            <w:tcW w:w="1676" w:type="dxa"/>
            <w:tcMar>
              <w:top w:w="15" w:type="dxa"/>
              <w:left w:w="15" w:type="dxa"/>
              <w:right w:w="15" w:type="dxa"/>
            </w:tcMar>
            <w:vAlign w:val="center"/>
          </w:tcPr>
          <w:p>
            <w:pPr>
              <w:widowControl/>
              <w:spacing w:line="360" w:lineRule="exact"/>
              <w:jc w:val="center"/>
              <w:textAlignment w:val="center"/>
            </w:pPr>
            <w:r>
              <w:rPr>
                <w:rFonts w:hint="eastAsia"/>
                <w:color w:val="000000"/>
                <w:sz w:val="24"/>
                <w:szCs w:val="24"/>
              </w:rPr>
              <w:t>取得中蜂产品《食品生产许可证》，开发中蜂产品，正式投产运行，有产品上市。</w:t>
            </w:r>
          </w:p>
        </w:tc>
        <w:tc>
          <w:tcPr>
            <w:tcW w:w="1189"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购置中蜂蜜加工设施设备</w:t>
            </w:r>
          </w:p>
        </w:tc>
        <w:tc>
          <w:tcPr>
            <w:tcW w:w="1190"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投入的50%</w:t>
            </w:r>
          </w:p>
        </w:tc>
        <w:tc>
          <w:tcPr>
            <w:tcW w:w="764" w:type="dxa"/>
            <w:tcMar>
              <w:top w:w="15" w:type="dxa"/>
              <w:left w:w="15" w:type="dxa"/>
              <w:right w:w="15" w:type="dxa"/>
            </w:tcMar>
            <w:vAlign w:val="center"/>
          </w:tcPr>
          <w:p>
            <w:pPr>
              <w:widowControl/>
              <w:spacing w:line="360" w:lineRule="exact"/>
              <w:jc w:val="center"/>
              <w:textAlignment w:val="center"/>
            </w:pPr>
          </w:p>
        </w:tc>
        <w:tc>
          <w:tcPr>
            <w:tcW w:w="756" w:type="dxa"/>
            <w:tcMar>
              <w:top w:w="15" w:type="dxa"/>
              <w:left w:w="15" w:type="dxa"/>
              <w:right w:w="15" w:type="dxa"/>
            </w:tcMar>
            <w:vAlign w:val="center"/>
          </w:tcPr>
          <w:p>
            <w:pPr>
              <w:widowControl/>
              <w:spacing w:line="360" w:lineRule="exact"/>
              <w:jc w:val="center"/>
              <w:textAlignment w:val="center"/>
            </w:pPr>
          </w:p>
        </w:tc>
        <w:tc>
          <w:tcPr>
            <w:tcW w:w="1725" w:type="dxa"/>
            <w:tcMar>
              <w:top w:w="15" w:type="dxa"/>
              <w:left w:w="15" w:type="dxa"/>
              <w:right w:w="15" w:type="dxa"/>
            </w:tcMar>
            <w:vAlign w:val="center"/>
          </w:tcPr>
          <w:p>
            <w:pPr>
              <w:widowControl/>
              <w:spacing w:line="3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trPr>
        <w:tc>
          <w:tcPr>
            <w:tcW w:w="358" w:type="dxa"/>
            <w:vMerge w:val="continue"/>
            <w:tcMar>
              <w:top w:w="15" w:type="dxa"/>
              <w:left w:w="15" w:type="dxa"/>
              <w:right w:w="15" w:type="dxa"/>
            </w:tcMar>
            <w:vAlign w:val="center"/>
          </w:tcPr>
          <w:p>
            <w:pPr>
              <w:widowControl/>
              <w:spacing w:line="360" w:lineRule="exact"/>
              <w:jc w:val="center"/>
              <w:textAlignment w:val="center"/>
            </w:pPr>
          </w:p>
        </w:tc>
        <w:tc>
          <w:tcPr>
            <w:tcW w:w="617" w:type="dxa"/>
            <w:vMerge w:val="continue"/>
            <w:tcMar>
              <w:top w:w="15" w:type="dxa"/>
              <w:left w:w="15" w:type="dxa"/>
              <w:right w:w="15" w:type="dxa"/>
            </w:tcMar>
            <w:vAlign w:val="center"/>
          </w:tcPr>
          <w:p>
            <w:pPr>
              <w:widowControl/>
              <w:spacing w:line="360" w:lineRule="exact"/>
              <w:jc w:val="center"/>
              <w:textAlignment w:val="center"/>
            </w:pPr>
          </w:p>
        </w:tc>
        <w:tc>
          <w:tcPr>
            <w:tcW w:w="600"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蜂蜜加工销售</w:t>
            </w:r>
          </w:p>
        </w:tc>
        <w:tc>
          <w:tcPr>
            <w:tcW w:w="1676"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中蜂蜜加工销售企业通过收购蜂蜜的方式带动农民合作社、家庭农场，收购金额达到10万元以上。</w:t>
            </w:r>
          </w:p>
        </w:tc>
        <w:tc>
          <w:tcPr>
            <w:tcW w:w="1189"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对市场主体进行奖补</w:t>
            </w:r>
          </w:p>
        </w:tc>
        <w:tc>
          <w:tcPr>
            <w:tcW w:w="1190"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收购金额的5%</w:t>
            </w:r>
          </w:p>
        </w:tc>
        <w:tc>
          <w:tcPr>
            <w:tcW w:w="764" w:type="dxa"/>
            <w:tcMar>
              <w:top w:w="15" w:type="dxa"/>
              <w:left w:w="15" w:type="dxa"/>
              <w:right w:w="15" w:type="dxa"/>
            </w:tcMar>
            <w:vAlign w:val="center"/>
          </w:tcPr>
          <w:p>
            <w:pPr>
              <w:widowControl/>
              <w:spacing w:line="360" w:lineRule="exact"/>
              <w:jc w:val="center"/>
              <w:textAlignment w:val="center"/>
            </w:pPr>
          </w:p>
        </w:tc>
        <w:tc>
          <w:tcPr>
            <w:tcW w:w="756" w:type="dxa"/>
            <w:tcMar>
              <w:top w:w="15" w:type="dxa"/>
              <w:left w:w="15" w:type="dxa"/>
              <w:right w:w="15" w:type="dxa"/>
            </w:tcMar>
            <w:vAlign w:val="center"/>
          </w:tcPr>
          <w:p>
            <w:pPr>
              <w:widowControl/>
              <w:spacing w:line="360" w:lineRule="exact"/>
              <w:jc w:val="center"/>
              <w:textAlignment w:val="center"/>
            </w:pPr>
          </w:p>
        </w:tc>
        <w:tc>
          <w:tcPr>
            <w:tcW w:w="1725" w:type="dxa"/>
            <w:tcMar>
              <w:top w:w="15" w:type="dxa"/>
              <w:left w:w="15" w:type="dxa"/>
              <w:right w:w="15" w:type="dxa"/>
            </w:tcMar>
            <w:vAlign w:val="center"/>
          </w:tcPr>
          <w:p>
            <w:pPr>
              <w:widowControl/>
              <w:spacing w:line="36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358" w:type="dxa"/>
            <w:vMerge w:val="restart"/>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2</w:t>
            </w:r>
          </w:p>
        </w:tc>
        <w:tc>
          <w:tcPr>
            <w:tcW w:w="617" w:type="dxa"/>
            <w:vMerge w:val="restart"/>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羊肚菌</w:t>
            </w:r>
          </w:p>
        </w:tc>
        <w:tc>
          <w:tcPr>
            <w:tcW w:w="600" w:type="dxa"/>
            <w:vMerge w:val="restart"/>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新建大棚</w:t>
            </w:r>
          </w:p>
        </w:tc>
        <w:tc>
          <w:tcPr>
            <w:tcW w:w="1676" w:type="dxa"/>
            <w:vMerge w:val="restart"/>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达到0.5亩以上，合作社不低于30亩</w:t>
            </w:r>
          </w:p>
        </w:tc>
        <w:tc>
          <w:tcPr>
            <w:tcW w:w="1189"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标准钢架大棚</w:t>
            </w:r>
          </w:p>
        </w:tc>
        <w:tc>
          <w:tcPr>
            <w:tcW w:w="1190"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18000元/亩</w:t>
            </w:r>
          </w:p>
        </w:tc>
        <w:tc>
          <w:tcPr>
            <w:tcW w:w="764" w:type="dxa"/>
            <w:tcMar>
              <w:top w:w="15" w:type="dxa"/>
              <w:left w:w="15" w:type="dxa"/>
              <w:right w:w="15" w:type="dxa"/>
            </w:tcMar>
            <w:vAlign w:val="center"/>
          </w:tcPr>
          <w:p>
            <w:pPr>
              <w:widowControl/>
              <w:spacing w:line="360" w:lineRule="exact"/>
              <w:jc w:val="center"/>
              <w:textAlignment w:val="center"/>
              <w:rPr>
                <w:color w:val="000000"/>
                <w:sz w:val="24"/>
                <w:szCs w:val="24"/>
              </w:rPr>
            </w:pPr>
          </w:p>
        </w:tc>
        <w:tc>
          <w:tcPr>
            <w:tcW w:w="756" w:type="dxa"/>
            <w:tcMar>
              <w:top w:w="15" w:type="dxa"/>
              <w:left w:w="15" w:type="dxa"/>
              <w:right w:w="15" w:type="dxa"/>
            </w:tcMar>
            <w:vAlign w:val="center"/>
          </w:tcPr>
          <w:p>
            <w:pPr>
              <w:widowControl/>
              <w:spacing w:line="360" w:lineRule="exact"/>
              <w:jc w:val="center"/>
              <w:textAlignment w:val="center"/>
              <w:rPr>
                <w:color w:val="000000"/>
                <w:sz w:val="24"/>
                <w:szCs w:val="24"/>
              </w:rPr>
            </w:pPr>
          </w:p>
        </w:tc>
        <w:tc>
          <w:tcPr>
            <w:tcW w:w="1725" w:type="dxa"/>
            <w:vMerge w:val="restart"/>
            <w:tcMar>
              <w:top w:w="15" w:type="dxa"/>
              <w:left w:w="15" w:type="dxa"/>
              <w:right w:w="15" w:type="dxa"/>
            </w:tcMar>
            <w:vAlign w:val="center"/>
          </w:tcPr>
          <w:p>
            <w:pPr>
              <w:widowControl/>
              <w:spacing w:line="360" w:lineRule="exact"/>
              <w:jc w:val="center"/>
              <w:textAlignment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58" w:type="dxa"/>
            <w:vMerge w:val="continue"/>
            <w:tcMar>
              <w:top w:w="15" w:type="dxa"/>
              <w:left w:w="15" w:type="dxa"/>
              <w:right w:w="15" w:type="dxa"/>
            </w:tcMar>
            <w:vAlign w:val="center"/>
          </w:tcPr>
          <w:p>
            <w:pPr>
              <w:widowControl/>
              <w:spacing w:line="360" w:lineRule="exact"/>
              <w:jc w:val="center"/>
              <w:textAlignment w:val="center"/>
              <w:rPr>
                <w:color w:val="000000"/>
                <w:sz w:val="24"/>
                <w:szCs w:val="24"/>
              </w:rPr>
            </w:pPr>
          </w:p>
        </w:tc>
        <w:tc>
          <w:tcPr>
            <w:tcW w:w="617" w:type="dxa"/>
            <w:vMerge w:val="continue"/>
            <w:tcMar>
              <w:top w:w="15" w:type="dxa"/>
              <w:left w:w="15" w:type="dxa"/>
              <w:right w:w="15" w:type="dxa"/>
            </w:tcMar>
            <w:vAlign w:val="center"/>
          </w:tcPr>
          <w:p>
            <w:pPr>
              <w:widowControl/>
              <w:spacing w:line="360" w:lineRule="exact"/>
              <w:jc w:val="center"/>
              <w:textAlignment w:val="center"/>
              <w:rPr>
                <w:color w:val="000000"/>
                <w:sz w:val="24"/>
                <w:szCs w:val="24"/>
              </w:rPr>
            </w:pPr>
          </w:p>
        </w:tc>
        <w:tc>
          <w:tcPr>
            <w:tcW w:w="600" w:type="dxa"/>
            <w:vMerge w:val="continue"/>
            <w:tcMar>
              <w:top w:w="15" w:type="dxa"/>
              <w:left w:w="15" w:type="dxa"/>
              <w:right w:w="15" w:type="dxa"/>
            </w:tcMar>
            <w:vAlign w:val="center"/>
          </w:tcPr>
          <w:p>
            <w:pPr>
              <w:widowControl/>
              <w:spacing w:line="360" w:lineRule="exact"/>
              <w:jc w:val="center"/>
              <w:textAlignment w:val="center"/>
              <w:rPr>
                <w:color w:val="000000"/>
                <w:sz w:val="24"/>
                <w:szCs w:val="24"/>
              </w:rPr>
            </w:pPr>
          </w:p>
        </w:tc>
        <w:tc>
          <w:tcPr>
            <w:tcW w:w="1676" w:type="dxa"/>
            <w:vMerge w:val="continue"/>
            <w:tcMar>
              <w:top w:w="15" w:type="dxa"/>
              <w:left w:w="15" w:type="dxa"/>
              <w:right w:w="15" w:type="dxa"/>
            </w:tcMar>
            <w:vAlign w:val="center"/>
          </w:tcPr>
          <w:p>
            <w:pPr>
              <w:widowControl/>
              <w:spacing w:line="360" w:lineRule="exact"/>
              <w:jc w:val="center"/>
              <w:textAlignment w:val="center"/>
              <w:rPr>
                <w:color w:val="000000"/>
                <w:sz w:val="24"/>
                <w:szCs w:val="24"/>
              </w:rPr>
            </w:pPr>
          </w:p>
        </w:tc>
        <w:tc>
          <w:tcPr>
            <w:tcW w:w="1189"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简易生产棚</w:t>
            </w:r>
          </w:p>
        </w:tc>
        <w:tc>
          <w:tcPr>
            <w:tcW w:w="1190"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1800元/亩</w:t>
            </w:r>
          </w:p>
        </w:tc>
        <w:tc>
          <w:tcPr>
            <w:tcW w:w="764" w:type="dxa"/>
            <w:tcMar>
              <w:top w:w="15" w:type="dxa"/>
              <w:left w:w="15" w:type="dxa"/>
              <w:right w:w="15" w:type="dxa"/>
            </w:tcMar>
            <w:vAlign w:val="center"/>
          </w:tcPr>
          <w:p>
            <w:pPr>
              <w:widowControl/>
              <w:spacing w:line="360" w:lineRule="exact"/>
              <w:jc w:val="center"/>
              <w:textAlignment w:val="center"/>
              <w:rPr>
                <w:color w:val="000000"/>
                <w:sz w:val="24"/>
                <w:szCs w:val="24"/>
              </w:rPr>
            </w:pPr>
          </w:p>
        </w:tc>
        <w:tc>
          <w:tcPr>
            <w:tcW w:w="756" w:type="dxa"/>
            <w:tcMar>
              <w:top w:w="15" w:type="dxa"/>
              <w:left w:w="15" w:type="dxa"/>
              <w:right w:w="15" w:type="dxa"/>
            </w:tcMar>
            <w:vAlign w:val="center"/>
          </w:tcPr>
          <w:p>
            <w:pPr>
              <w:widowControl/>
              <w:spacing w:line="360" w:lineRule="exact"/>
              <w:jc w:val="center"/>
              <w:textAlignment w:val="center"/>
              <w:rPr>
                <w:color w:val="000000"/>
                <w:sz w:val="24"/>
                <w:szCs w:val="24"/>
              </w:rPr>
            </w:pPr>
          </w:p>
        </w:tc>
        <w:tc>
          <w:tcPr>
            <w:tcW w:w="1725" w:type="dxa"/>
            <w:vMerge w:val="continue"/>
            <w:tcMar>
              <w:top w:w="15" w:type="dxa"/>
              <w:left w:w="15" w:type="dxa"/>
              <w:right w:w="15" w:type="dxa"/>
            </w:tcMar>
            <w:vAlign w:val="center"/>
          </w:tcPr>
          <w:p>
            <w:pPr>
              <w:widowControl/>
              <w:spacing w:line="360" w:lineRule="exact"/>
              <w:ind w:firstLine="472" w:firstLineChars="200"/>
              <w:jc w:val="center"/>
              <w:textAlignment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58" w:type="dxa"/>
            <w:vMerge w:val="continue"/>
            <w:tcMar>
              <w:top w:w="15" w:type="dxa"/>
              <w:left w:w="15" w:type="dxa"/>
              <w:right w:w="15" w:type="dxa"/>
            </w:tcMar>
            <w:vAlign w:val="center"/>
          </w:tcPr>
          <w:p>
            <w:pPr>
              <w:widowControl/>
              <w:spacing w:line="360" w:lineRule="exact"/>
              <w:jc w:val="center"/>
              <w:textAlignment w:val="center"/>
              <w:rPr>
                <w:color w:val="000000"/>
                <w:sz w:val="24"/>
                <w:szCs w:val="24"/>
              </w:rPr>
            </w:pPr>
          </w:p>
        </w:tc>
        <w:tc>
          <w:tcPr>
            <w:tcW w:w="617" w:type="dxa"/>
            <w:vMerge w:val="continue"/>
            <w:tcMar>
              <w:top w:w="15" w:type="dxa"/>
              <w:left w:w="15" w:type="dxa"/>
              <w:right w:w="15" w:type="dxa"/>
            </w:tcMar>
            <w:vAlign w:val="center"/>
          </w:tcPr>
          <w:p>
            <w:pPr>
              <w:widowControl/>
              <w:spacing w:line="360" w:lineRule="exact"/>
              <w:jc w:val="center"/>
              <w:textAlignment w:val="center"/>
              <w:rPr>
                <w:color w:val="000000"/>
                <w:sz w:val="24"/>
                <w:szCs w:val="24"/>
              </w:rPr>
            </w:pPr>
          </w:p>
        </w:tc>
        <w:tc>
          <w:tcPr>
            <w:tcW w:w="600"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生产资料</w:t>
            </w:r>
          </w:p>
        </w:tc>
        <w:tc>
          <w:tcPr>
            <w:tcW w:w="1676" w:type="dxa"/>
            <w:vMerge w:val="continue"/>
            <w:tcMar>
              <w:top w:w="15" w:type="dxa"/>
              <w:left w:w="15" w:type="dxa"/>
              <w:right w:w="15" w:type="dxa"/>
            </w:tcMar>
            <w:vAlign w:val="center"/>
          </w:tcPr>
          <w:p>
            <w:pPr>
              <w:widowControl/>
              <w:spacing w:line="360" w:lineRule="exact"/>
              <w:jc w:val="center"/>
              <w:textAlignment w:val="center"/>
              <w:rPr>
                <w:color w:val="000000"/>
                <w:sz w:val="24"/>
                <w:szCs w:val="24"/>
              </w:rPr>
            </w:pPr>
          </w:p>
        </w:tc>
        <w:tc>
          <w:tcPr>
            <w:tcW w:w="1189"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菌种、营养袋补助</w:t>
            </w:r>
          </w:p>
        </w:tc>
        <w:tc>
          <w:tcPr>
            <w:tcW w:w="1190"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1800元/亩</w:t>
            </w:r>
          </w:p>
        </w:tc>
        <w:tc>
          <w:tcPr>
            <w:tcW w:w="764" w:type="dxa"/>
            <w:tcMar>
              <w:top w:w="15" w:type="dxa"/>
              <w:left w:w="15" w:type="dxa"/>
              <w:right w:w="15" w:type="dxa"/>
            </w:tcMar>
            <w:vAlign w:val="center"/>
          </w:tcPr>
          <w:p>
            <w:pPr>
              <w:widowControl/>
              <w:spacing w:line="360" w:lineRule="exact"/>
              <w:jc w:val="center"/>
              <w:textAlignment w:val="center"/>
              <w:rPr>
                <w:color w:val="000000"/>
                <w:sz w:val="24"/>
                <w:szCs w:val="24"/>
              </w:rPr>
            </w:pPr>
          </w:p>
        </w:tc>
        <w:tc>
          <w:tcPr>
            <w:tcW w:w="756" w:type="dxa"/>
            <w:tcMar>
              <w:top w:w="15" w:type="dxa"/>
              <w:left w:w="15" w:type="dxa"/>
              <w:right w:w="15" w:type="dxa"/>
            </w:tcMar>
            <w:vAlign w:val="center"/>
          </w:tcPr>
          <w:p>
            <w:pPr>
              <w:widowControl/>
              <w:spacing w:line="360" w:lineRule="exact"/>
              <w:jc w:val="center"/>
              <w:textAlignment w:val="center"/>
              <w:rPr>
                <w:color w:val="000000"/>
                <w:sz w:val="24"/>
                <w:szCs w:val="24"/>
              </w:rPr>
            </w:pPr>
          </w:p>
        </w:tc>
        <w:tc>
          <w:tcPr>
            <w:tcW w:w="1725" w:type="dxa"/>
            <w:vMerge w:val="continue"/>
            <w:tcMar>
              <w:top w:w="15" w:type="dxa"/>
              <w:left w:w="15" w:type="dxa"/>
              <w:right w:w="15" w:type="dxa"/>
            </w:tcMar>
            <w:vAlign w:val="center"/>
          </w:tcPr>
          <w:p>
            <w:pPr>
              <w:widowControl/>
              <w:spacing w:line="360" w:lineRule="exact"/>
              <w:ind w:firstLine="472" w:firstLineChars="200"/>
              <w:jc w:val="center"/>
              <w:textAlignment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58"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3</w:t>
            </w:r>
          </w:p>
        </w:tc>
        <w:tc>
          <w:tcPr>
            <w:tcW w:w="617"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茶叶</w:t>
            </w:r>
          </w:p>
        </w:tc>
        <w:tc>
          <w:tcPr>
            <w:tcW w:w="600"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老茶园改造</w:t>
            </w:r>
          </w:p>
        </w:tc>
        <w:tc>
          <w:tcPr>
            <w:tcW w:w="1676" w:type="dxa"/>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sz w:val="24"/>
                <w:szCs w:val="24"/>
              </w:rPr>
              <w:t>连片面积在</w:t>
            </w:r>
            <w:r>
              <w:rPr>
                <w:rFonts w:hint="eastAsia"/>
                <w:color w:val="000000"/>
                <w:sz w:val="24"/>
                <w:szCs w:val="24"/>
              </w:rPr>
              <w:t>3</w:t>
            </w:r>
            <w:r>
              <w:rPr>
                <w:color w:val="000000"/>
                <w:sz w:val="24"/>
                <w:szCs w:val="24"/>
              </w:rPr>
              <w:t>亩以上，老茶树在</w:t>
            </w:r>
            <w:r>
              <w:rPr>
                <w:rFonts w:hint="eastAsia"/>
                <w:color w:val="000000"/>
                <w:sz w:val="24"/>
                <w:szCs w:val="24"/>
              </w:rPr>
              <w:t>5</w:t>
            </w:r>
            <w:r>
              <w:rPr>
                <w:color w:val="000000"/>
                <w:sz w:val="24"/>
                <w:szCs w:val="24"/>
              </w:rPr>
              <w:t>00株</w:t>
            </w:r>
            <w:r>
              <w:rPr>
                <w:rFonts w:hint="eastAsia"/>
                <w:color w:val="000000"/>
                <w:sz w:val="24"/>
                <w:szCs w:val="24"/>
              </w:rPr>
              <w:t>/亩</w:t>
            </w:r>
            <w:r>
              <w:rPr>
                <w:color w:val="000000"/>
                <w:sz w:val="24"/>
                <w:szCs w:val="24"/>
              </w:rPr>
              <w:t>以上的茶园</w:t>
            </w:r>
          </w:p>
        </w:tc>
        <w:tc>
          <w:tcPr>
            <w:tcW w:w="1189"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清理茶园、树冠塑造、肥水管理补助。</w:t>
            </w:r>
          </w:p>
        </w:tc>
        <w:tc>
          <w:tcPr>
            <w:tcW w:w="1190"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700元/亩</w:t>
            </w:r>
          </w:p>
        </w:tc>
        <w:tc>
          <w:tcPr>
            <w:tcW w:w="764"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1万亩</w:t>
            </w:r>
          </w:p>
        </w:tc>
        <w:tc>
          <w:tcPr>
            <w:tcW w:w="756" w:type="dxa"/>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700</w:t>
            </w:r>
          </w:p>
        </w:tc>
        <w:tc>
          <w:tcPr>
            <w:tcW w:w="1725" w:type="dxa"/>
            <w:tcMar>
              <w:top w:w="15" w:type="dxa"/>
              <w:left w:w="15" w:type="dxa"/>
              <w:right w:w="15" w:type="dxa"/>
            </w:tcMar>
            <w:vAlign w:val="center"/>
          </w:tcPr>
          <w:p>
            <w:pPr>
              <w:widowControl/>
              <w:spacing w:line="360" w:lineRule="exact"/>
              <w:textAlignment w:val="center"/>
              <w:rPr>
                <w:color w:val="000000"/>
                <w:sz w:val="24"/>
                <w:szCs w:val="24"/>
              </w:rPr>
            </w:pPr>
            <w:r>
              <w:rPr>
                <w:color w:val="000000"/>
                <w:sz w:val="24"/>
                <w:szCs w:val="24"/>
              </w:rPr>
              <w:t>清理茶园补助</w:t>
            </w:r>
            <w:r>
              <w:rPr>
                <w:rFonts w:hint="eastAsia"/>
                <w:color w:val="000000"/>
                <w:sz w:val="24"/>
                <w:szCs w:val="24"/>
              </w:rPr>
              <w:t>200</w:t>
            </w:r>
            <w:r>
              <w:rPr>
                <w:color w:val="000000"/>
                <w:sz w:val="24"/>
                <w:szCs w:val="24"/>
              </w:rPr>
              <w:t>元/亩；树冠塑造补助</w:t>
            </w:r>
            <w:r>
              <w:rPr>
                <w:rFonts w:hint="eastAsia"/>
                <w:color w:val="000000"/>
                <w:sz w:val="24"/>
                <w:szCs w:val="24"/>
              </w:rPr>
              <w:t>200</w:t>
            </w:r>
            <w:r>
              <w:rPr>
                <w:color w:val="000000"/>
                <w:sz w:val="24"/>
                <w:szCs w:val="24"/>
              </w:rPr>
              <w:t>元/亩；</w:t>
            </w:r>
            <w:r>
              <w:rPr>
                <w:rFonts w:hint="eastAsia"/>
                <w:color w:val="000000"/>
                <w:sz w:val="24"/>
                <w:szCs w:val="24"/>
              </w:rPr>
              <w:t>肥水管理</w:t>
            </w:r>
            <w:r>
              <w:rPr>
                <w:color w:val="000000"/>
                <w:sz w:val="24"/>
                <w:szCs w:val="24"/>
              </w:rPr>
              <w:t>补助</w:t>
            </w:r>
            <w:r>
              <w:rPr>
                <w:rFonts w:hint="eastAsia"/>
                <w:color w:val="000000"/>
                <w:sz w:val="24"/>
                <w:szCs w:val="24"/>
              </w:rPr>
              <w:t>300</w:t>
            </w:r>
            <w:r>
              <w:rPr>
                <w:color w:val="000000"/>
                <w:sz w:val="24"/>
                <w:szCs w:val="24"/>
              </w:rPr>
              <w:t>元/亩</w:t>
            </w: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6394" w:type="dxa"/>
            <w:gridSpan w:val="7"/>
            <w:tcMar>
              <w:top w:w="15" w:type="dxa"/>
              <w:left w:w="15" w:type="dxa"/>
              <w:right w:w="15" w:type="dxa"/>
            </w:tcMar>
            <w:vAlign w:val="center"/>
          </w:tcPr>
          <w:p>
            <w:pPr>
              <w:widowControl/>
              <w:spacing w:line="360" w:lineRule="exact"/>
              <w:jc w:val="center"/>
              <w:textAlignment w:val="center"/>
              <w:rPr>
                <w:color w:val="000000"/>
                <w:sz w:val="24"/>
                <w:szCs w:val="24"/>
              </w:rPr>
            </w:pPr>
            <w:r>
              <w:rPr>
                <w:rFonts w:hint="eastAsia"/>
                <w:color w:val="000000"/>
                <w:sz w:val="24"/>
                <w:szCs w:val="24"/>
              </w:rPr>
              <w:t>合计</w:t>
            </w:r>
          </w:p>
        </w:tc>
        <w:tc>
          <w:tcPr>
            <w:tcW w:w="756" w:type="dxa"/>
            <w:tcMar>
              <w:top w:w="15" w:type="dxa"/>
              <w:left w:w="15" w:type="dxa"/>
              <w:right w:w="15" w:type="dxa"/>
            </w:tcMar>
            <w:vAlign w:val="center"/>
          </w:tcPr>
          <w:p>
            <w:pPr>
              <w:widowControl/>
              <w:spacing w:line="360" w:lineRule="exact"/>
              <w:jc w:val="center"/>
              <w:textAlignment w:val="center"/>
              <w:rPr>
                <w:color w:val="000000"/>
                <w:sz w:val="24"/>
                <w:szCs w:val="24"/>
              </w:rPr>
            </w:pPr>
          </w:p>
        </w:tc>
        <w:tc>
          <w:tcPr>
            <w:tcW w:w="1725" w:type="dxa"/>
            <w:tcMar>
              <w:top w:w="15" w:type="dxa"/>
              <w:left w:w="15" w:type="dxa"/>
              <w:right w:w="15" w:type="dxa"/>
            </w:tcMar>
            <w:vAlign w:val="center"/>
          </w:tcPr>
          <w:p>
            <w:pPr>
              <w:widowControl/>
              <w:spacing w:line="360" w:lineRule="exact"/>
              <w:jc w:val="center"/>
              <w:textAlignment w:val="center"/>
              <w:rPr>
                <w:color w:val="000000"/>
                <w:sz w:val="24"/>
                <w:szCs w:val="24"/>
              </w:rPr>
            </w:pPr>
          </w:p>
        </w:tc>
      </w:tr>
    </w:tbl>
    <w:p>
      <w:pPr>
        <w:widowControl/>
        <w:spacing w:line="560" w:lineRule="exact"/>
        <w:ind w:firstLine="632" w:firstLineChars="200"/>
        <w:rPr>
          <w:rFonts w:ascii="方正黑体_GBK" w:eastAsia="方正黑体_GBK"/>
          <w:color w:val="000000"/>
          <w:kern w:val="2"/>
        </w:rPr>
      </w:pPr>
      <w:r>
        <w:rPr>
          <w:rFonts w:hint="eastAsia" w:ascii="方正黑体_GBK" w:eastAsia="方正黑体_GBK"/>
          <w:color w:val="000000"/>
          <w:kern w:val="2"/>
        </w:rPr>
        <w:t>三、兑现方式</w:t>
      </w:r>
    </w:p>
    <w:p>
      <w:pPr>
        <w:pStyle w:val="8"/>
        <w:spacing w:line="560" w:lineRule="exact"/>
        <w:ind w:firstLine="632" w:firstLineChars="200"/>
      </w:pPr>
      <w:r>
        <w:rPr>
          <w:rFonts w:hint="eastAsia"/>
          <w:sz w:val="32"/>
          <w:szCs w:val="32"/>
        </w:rPr>
        <w:t>中蜂、羊肚菌、老茶园改造提升示范基地建设以乡镇（街道）为申报主体，报行业主管部门入库备案，按项目库管理办法进行兑现。中蜂蜂蜜加工基地建设和中蜂蜂蜜加工销售由行业主管部门分批次下达项目，由扶持对象申报实施方案经评审通过后，予以先建后补。</w:t>
      </w:r>
    </w:p>
    <w:sectPr>
      <w:footerReference r:id="rId3" w:type="default"/>
      <w:footerReference r:id="rId4" w:type="even"/>
      <w:pgSz w:w="11906" w:h="16838"/>
      <w:pgMar w:top="2098" w:right="1474" w:bottom="1985" w:left="1588" w:header="851" w:footer="1587"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20" w:rightChars="100"/>
      <w:jc w:val="right"/>
      <w:rPr>
        <w:rFonts w:ascii="宋体" w:hAnsi="宋体" w:eastAsia="宋体"/>
        <w:sz w:val="28"/>
        <w:szCs w:val="28"/>
      </w:rPr>
    </w:pPr>
    <w:r>
      <w:rPr>
        <w:rFonts w:hint="eastAsia" w:ascii="宋体" w:hAnsi="宋体" w:eastAsia="宋体"/>
        <w:sz w:val="28"/>
        <w:szCs w:val="21"/>
      </w:rPr>
      <w:t>—</w:t>
    </w:r>
    <w:r>
      <w:rPr>
        <w:rFonts w:ascii="宋体" w:hAnsi="宋体" w:eastAsia="宋体"/>
        <w:sz w:val="28"/>
        <w:szCs w:val="21"/>
      </w:rPr>
      <w:fldChar w:fldCharType="begin"/>
    </w:r>
    <w:r>
      <w:rPr>
        <w:rFonts w:ascii="宋体" w:hAnsi="宋体" w:eastAsia="宋体"/>
        <w:sz w:val="28"/>
        <w:szCs w:val="21"/>
      </w:rPr>
      <w:instrText xml:space="preserve"> PAGE </w:instrText>
    </w:r>
    <w:r>
      <w:rPr>
        <w:rFonts w:ascii="宋体" w:hAnsi="宋体" w:eastAsia="宋体"/>
        <w:sz w:val="28"/>
        <w:szCs w:val="21"/>
      </w:rPr>
      <w:fldChar w:fldCharType="separate"/>
    </w:r>
    <w:r>
      <w:rPr>
        <w:rFonts w:ascii="宋体" w:hAnsi="宋体" w:eastAsia="宋体"/>
        <w:sz w:val="28"/>
        <w:szCs w:val="21"/>
      </w:rPr>
      <w:t>3</w:t>
    </w:r>
    <w:r>
      <w:rPr>
        <w:rFonts w:ascii="宋体" w:hAnsi="宋体" w:eastAsia="宋体"/>
        <w:sz w:val="28"/>
        <w:szCs w:val="21"/>
      </w:rPr>
      <w:fldChar w:fldCharType="end"/>
    </w:r>
    <w:r>
      <w:rPr>
        <w:rFonts w:hint="eastAsia" w:ascii="宋体" w:hAnsi="宋体" w:eastAsia="宋体"/>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Pr>
        <w:rFonts w:ascii="宋体" w:hAnsi="宋体" w:eastAsia="宋体"/>
        <w:sz w:val="28"/>
        <w:szCs w:val="28"/>
      </w:rPr>
    </w:pPr>
    <w:r>
      <w:rPr>
        <w:rFonts w:hint="eastAsia" w:ascii="宋体" w:hAnsi="宋体" w:eastAsia="宋体"/>
        <w:sz w:val="28"/>
        <w:szCs w:val="21"/>
      </w:rPr>
      <w:t>—</w:t>
    </w:r>
    <w:r>
      <w:rPr>
        <w:rFonts w:ascii="宋体" w:hAnsi="宋体" w:eastAsia="宋体"/>
        <w:sz w:val="28"/>
        <w:szCs w:val="21"/>
      </w:rPr>
      <w:fldChar w:fldCharType="begin"/>
    </w:r>
    <w:r>
      <w:rPr>
        <w:rFonts w:ascii="宋体" w:hAnsi="宋体" w:eastAsia="宋体"/>
        <w:sz w:val="28"/>
        <w:szCs w:val="21"/>
      </w:rPr>
      <w:instrText xml:space="preserve"> PAGE </w:instrText>
    </w:r>
    <w:r>
      <w:rPr>
        <w:rFonts w:ascii="宋体" w:hAnsi="宋体" w:eastAsia="宋体"/>
        <w:sz w:val="28"/>
        <w:szCs w:val="21"/>
      </w:rPr>
      <w:fldChar w:fldCharType="separate"/>
    </w:r>
    <w:r>
      <w:rPr>
        <w:rFonts w:ascii="宋体" w:hAnsi="宋体" w:eastAsia="宋体"/>
        <w:sz w:val="28"/>
        <w:szCs w:val="21"/>
      </w:rPr>
      <w:t>2</w:t>
    </w:r>
    <w:r>
      <w:rPr>
        <w:rFonts w:ascii="宋体" w:hAnsi="宋体" w:eastAsia="宋体"/>
        <w:sz w:val="28"/>
        <w:szCs w:val="21"/>
      </w:rPr>
      <w:fldChar w:fldCharType="end"/>
    </w:r>
    <w:r>
      <w:rPr>
        <w:rFonts w:hint="eastAsia" w:ascii="宋体" w:hAnsi="宋体" w:eastAsia="宋体"/>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hjMDkxZjZhOWUwYTQxNzFjNzA1MzdmMGI0N2M0MGMifQ=="/>
  </w:docVars>
  <w:rsids>
    <w:rsidRoot w:val="00172A27"/>
    <w:rsid w:val="00021D51"/>
    <w:rsid w:val="00035DE1"/>
    <w:rsid w:val="000841B0"/>
    <w:rsid w:val="000D4644"/>
    <w:rsid w:val="00133BC1"/>
    <w:rsid w:val="001413D6"/>
    <w:rsid w:val="00172A27"/>
    <w:rsid w:val="001D03A8"/>
    <w:rsid w:val="00216513"/>
    <w:rsid w:val="00326130"/>
    <w:rsid w:val="00382614"/>
    <w:rsid w:val="003A1611"/>
    <w:rsid w:val="003B59E3"/>
    <w:rsid w:val="003D1566"/>
    <w:rsid w:val="003F2C71"/>
    <w:rsid w:val="003F5FEC"/>
    <w:rsid w:val="00443A33"/>
    <w:rsid w:val="004C21F1"/>
    <w:rsid w:val="004E3144"/>
    <w:rsid w:val="00502895"/>
    <w:rsid w:val="00526D88"/>
    <w:rsid w:val="005832CE"/>
    <w:rsid w:val="005A475A"/>
    <w:rsid w:val="005B5F95"/>
    <w:rsid w:val="005B7F68"/>
    <w:rsid w:val="005C1FA3"/>
    <w:rsid w:val="00655352"/>
    <w:rsid w:val="00721E35"/>
    <w:rsid w:val="00734597"/>
    <w:rsid w:val="0075481F"/>
    <w:rsid w:val="00764963"/>
    <w:rsid w:val="007F586E"/>
    <w:rsid w:val="00887595"/>
    <w:rsid w:val="008B42EF"/>
    <w:rsid w:val="008D18F4"/>
    <w:rsid w:val="00914B79"/>
    <w:rsid w:val="00934AC6"/>
    <w:rsid w:val="0096252A"/>
    <w:rsid w:val="009C714E"/>
    <w:rsid w:val="00A74CBA"/>
    <w:rsid w:val="00A878DF"/>
    <w:rsid w:val="00AA5693"/>
    <w:rsid w:val="00B50D57"/>
    <w:rsid w:val="00B97391"/>
    <w:rsid w:val="00C0239E"/>
    <w:rsid w:val="00C0366D"/>
    <w:rsid w:val="00CA41DE"/>
    <w:rsid w:val="00CD4182"/>
    <w:rsid w:val="00CF3E83"/>
    <w:rsid w:val="00D67CC2"/>
    <w:rsid w:val="00DC1EAB"/>
    <w:rsid w:val="00DC56C0"/>
    <w:rsid w:val="00E25DD3"/>
    <w:rsid w:val="00E80954"/>
    <w:rsid w:val="00E90B21"/>
    <w:rsid w:val="00E944F6"/>
    <w:rsid w:val="00FF3EE0"/>
    <w:rsid w:val="01304AA9"/>
    <w:rsid w:val="01DA2388"/>
    <w:rsid w:val="044275DC"/>
    <w:rsid w:val="04FF1033"/>
    <w:rsid w:val="06224373"/>
    <w:rsid w:val="069E16A2"/>
    <w:rsid w:val="07984F18"/>
    <w:rsid w:val="07D25A35"/>
    <w:rsid w:val="088D2344"/>
    <w:rsid w:val="097711C8"/>
    <w:rsid w:val="0B0422D2"/>
    <w:rsid w:val="0BD92356"/>
    <w:rsid w:val="0C41003D"/>
    <w:rsid w:val="0CDC23DF"/>
    <w:rsid w:val="0E3D14DD"/>
    <w:rsid w:val="0FAB1BEB"/>
    <w:rsid w:val="0FEE10E1"/>
    <w:rsid w:val="10427BBB"/>
    <w:rsid w:val="11220D29"/>
    <w:rsid w:val="12BF08F3"/>
    <w:rsid w:val="14204FEE"/>
    <w:rsid w:val="154B0C37"/>
    <w:rsid w:val="17F151F1"/>
    <w:rsid w:val="18AF324F"/>
    <w:rsid w:val="198F1C09"/>
    <w:rsid w:val="1C165FCD"/>
    <w:rsid w:val="1CB66D7C"/>
    <w:rsid w:val="1F1C74E5"/>
    <w:rsid w:val="20651F42"/>
    <w:rsid w:val="20A04A1A"/>
    <w:rsid w:val="258016B4"/>
    <w:rsid w:val="25C559E0"/>
    <w:rsid w:val="264548B4"/>
    <w:rsid w:val="29411B0E"/>
    <w:rsid w:val="2A8148AD"/>
    <w:rsid w:val="2CAE02A8"/>
    <w:rsid w:val="2E2F40D6"/>
    <w:rsid w:val="2EF81EB2"/>
    <w:rsid w:val="2F535713"/>
    <w:rsid w:val="2F5D4312"/>
    <w:rsid w:val="2FD01707"/>
    <w:rsid w:val="303971D8"/>
    <w:rsid w:val="30B45AFB"/>
    <w:rsid w:val="315A63E9"/>
    <w:rsid w:val="32644365"/>
    <w:rsid w:val="331C02D5"/>
    <w:rsid w:val="33396F70"/>
    <w:rsid w:val="334D2ED8"/>
    <w:rsid w:val="34484B12"/>
    <w:rsid w:val="349A4867"/>
    <w:rsid w:val="35595A52"/>
    <w:rsid w:val="35AB4BC4"/>
    <w:rsid w:val="36AE62EB"/>
    <w:rsid w:val="36CD4AE9"/>
    <w:rsid w:val="379C7C65"/>
    <w:rsid w:val="37AC0EC0"/>
    <w:rsid w:val="37C7645B"/>
    <w:rsid w:val="38C47495"/>
    <w:rsid w:val="39515DF4"/>
    <w:rsid w:val="39DE1D07"/>
    <w:rsid w:val="39E77722"/>
    <w:rsid w:val="3A411426"/>
    <w:rsid w:val="3A6D2960"/>
    <w:rsid w:val="3B4A46BC"/>
    <w:rsid w:val="3B6B0985"/>
    <w:rsid w:val="3F37705D"/>
    <w:rsid w:val="415F4342"/>
    <w:rsid w:val="41BA0896"/>
    <w:rsid w:val="45392431"/>
    <w:rsid w:val="461C45D4"/>
    <w:rsid w:val="471773EE"/>
    <w:rsid w:val="47360647"/>
    <w:rsid w:val="47806DA8"/>
    <w:rsid w:val="495F59D8"/>
    <w:rsid w:val="49CA35BD"/>
    <w:rsid w:val="4A027779"/>
    <w:rsid w:val="4B630045"/>
    <w:rsid w:val="4D1478EF"/>
    <w:rsid w:val="509D566A"/>
    <w:rsid w:val="50C3363D"/>
    <w:rsid w:val="510B43E4"/>
    <w:rsid w:val="51802746"/>
    <w:rsid w:val="54D90412"/>
    <w:rsid w:val="55577B87"/>
    <w:rsid w:val="58A70588"/>
    <w:rsid w:val="58ED53AD"/>
    <w:rsid w:val="58F65D9D"/>
    <w:rsid w:val="590A5A0C"/>
    <w:rsid w:val="5B0F342E"/>
    <w:rsid w:val="5B2A44E0"/>
    <w:rsid w:val="5B395099"/>
    <w:rsid w:val="5BA62702"/>
    <w:rsid w:val="5C787034"/>
    <w:rsid w:val="5CEF21FC"/>
    <w:rsid w:val="5CFD6F66"/>
    <w:rsid w:val="5D437CE8"/>
    <w:rsid w:val="5E9C5168"/>
    <w:rsid w:val="60C00655"/>
    <w:rsid w:val="61B876A7"/>
    <w:rsid w:val="63C9586C"/>
    <w:rsid w:val="6408055A"/>
    <w:rsid w:val="6514640B"/>
    <w:rsid w:val="658178BC"/>
    <w:rsid w:val="687D6F0B"/>
    <w:rsid w:val="690F15D2"/>
    <w:rsid w:val="6A3D5EE2"/>
    <w:rsid w:val="6AD53110"/>
    <w:rsid w:val="71182BA8"/>
    <w:rsid w:val="712902A9"/>
    <w:rsid w:val="74E51B0A"/>
    <w:rsid w:val="759C5E89"/>
    <w:rsid w:val="75E51503"/>
    <w:rsid w:val="78176B93"/>
    <w:rsid w:val="78303BAA"/>
    <w:rsid w:val="78A97911"/>
    <w:rsid w:val="7BB2221F"/>
    <w:rsid w:val="7CCD09E9"/>
    <w:rsid w:val="7F400C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32"/>
      <w:szCs w:val="32"/>
      <w:lang w:val="en-US" w:eastAsia="zh-CN" w:bidi="ar-SA"/>
    </w:rPr>
  </w:style>
  <w:style w:type="paragraph" w:styleId="4">
    <w:name w:val="heading 3"/>
    <w:basedOn w:val="1"/>
    <w:next w:val="1"/>
    <w:qFormat/>
    <w:uiPriority w:val="0"/>
    <w:pPr>
      <w:keepNext/>
      <w:keepLines/>
      <w:spacing w:line="413" w:lineRule="auto"/>
      <w:outlineLvl w:val="2"/>
    </w:pPr>
    <w:rPr>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39"/>
    <w:pPr>
      <w:spacing w:afterLines="10" w:line="440" w:lineRule="exact"/>
      <w:ind w:left="426" w:hanging="426" w:hangingChars="133"/>
    </w:pPr>
  </w:style>
  <w:style w:type="paragraph" w:styleId="5">
    <w:name w:val="Body Text Indent"/>
    <w:basedOn w:val="1"/>
    <w:qFormat/>
    <w:uiPriority w:val="0"/>
    <w:pPr>
      <w:ind w:firstLine="720" w:firstLineChars="225"/>
    </w:pPr>
    <w:rPr>
      <w:rFonts w:hint="eastAsia" w:ascii="仿宋_GB2312" w:hAnsi="Calibri" w:eastAsia="仿宋_GB2312"/>
    </w:rPr>
  </w:style>
  <w:style w:type="paragraph" w:styleId="6">
    <w:name w:val="Date"/>
    <w:basedOn w:val="1"/>
    <w:next w:val="1"/>
    <w:qFormat/>
    <w:uiPriority w:val="0"/>
    <w:pPr>
      <w:ind w:left="100" w:leftChars="2500"/>
    </w:pPr>
  </w:style>
  <w:style w:type="paragraph" w:styleId="7">
    <w:name w:val="Balloon Text"/>
    <w:basedOn w:val="1"/>
    <w:qFormat/>
    <w:uiPriority w:val="0"/>
    <w:rPr>
      <w:sz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Char1"/>
    <w:basedOn w:val="1"/>
    <w:qFormat/>
    <w:uiPriority w:val="0"/>
    <w:pPr>
      <w:widowControl/>
      <w:spacing w:line="240" w:lineRule="exact"/>
      <w:jc w:val="left"/>
    </w:pPr>
    <w:rPr>
      <w:szCs w:val="20"/>
    </w:rPr>
  </w:style>
  <w:style w:type="paragraph" w:customStyle="1" w:styleId="18">
    <w:name w:val="Char"/>
    <w:basedOn w:val="1"/>
    <w:qFormat/>
    <w:uiPriority w:val="0"/>
    <w:pPr>
      <w:widowControl/>
      <w:spacing w:line="240" w:lineRule="exact"/>
      <w:jc w:val="left"/>
    </w:pPr>
  </w:style>
  <w:style w:type="character" w:customStyle="1" w:styleId="19">
    <w:name w:val="font41"/>
    <w:basedOn w:val="13"/>
    <w:qFormat/>
    <w:uiPriority w:val="0"/>
    <w:rPr>
      <w:rFonts w:hint="eastAsia" w:ascii="方正楷体_GBK" w:hAnsi="方正楷体_GBK" w:eastAsia="方正楷体_GBK" w:cs="方正楷体_GBK"/>
      <w:color w:val="000000"/>
      <w:sz w:val="22"/>
      <w:szCs w:val="22"/>
      <w:u w:val="none"/>
    </w:rPr>
  </w:style>
  <w:style w:type="character" w:customStyle="1" w:styleId="20">
    <w:name w:val="font11"/>
    <w:basedOn w:val="13"/>
    <w:qFormat/>
    <w:uiPriority w:val="0"/>
    <w:rPr>
      <w:rFonts w:hint="eastAsia" w:ascii="方正楷体_GBK" w:hAnsi="方正楷体_GBK" w:eastAsia="方正楷体_GBK" w:cs="方正楷体_GBK"/>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745</Words>
  <Characters>792</Characters>
  <Lines>7</Lines>
  <Paragraphs>2</Paragraphs>
  <TotalTime>47</TotalTime>
  <ScaleCrop>false</ScaleCrop>
  <LinksUpToDate>false</LinksUpToDate>
  <CharactersWithSpaces>809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2014-12-25T08:18:00Z</dcterms:created>
  <dc:creator>微软用户</dc:creator>
  <cp:lastModifiedBy>林后宇</cp:lastModifiedBy>
  <cp:lastPrinted>2021-03-02T09:22:00Z</cp:lastPrinted>
  <dcterms:modified xsi:type="dcterms:W3CDTF">2022-10-15T09:04:34Z</dcterms:modified>
  <dc:title>城口县旅游局</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25598503_cloud</vt:lpwstr>
  </property>
  <property fmtid="{D5CDD505-2E9C-101B-9397-08002B2CF9AE}" pid="4" name="ICV">
    <vt:lpwstr>2BC415C7A87F417CB75F8AF9BD3BEAFB</vt:lpwstr>
  </property>
</Properties>
</file>