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eastAsia="方正小标宋_GBK"/>
          <w:color w:val="FF9900"/>
          <w:kern w:val="0"/>
          <w:szCs w:val="32"/>
        </w:rPr>
      </w:pPr>
    </w:p>
    <w:p>
      <w:pPr>
        <w:pStyle w:val="2"/>
        <w:rPr>
          <w:rFonts w:eastAsia="方正小标宋_GBK"/>
          <w:color w:val="FF9900"/>
          <w:kern w:val="0"/>
          <w:szCs w:val="32"/>
        </w:rPr>
      </w:pPr>
    </w:p>
    <w:p>
      <w:pPr>
        <w:spacing w:line="560" w:lineRule="exact"/>
        <w:jc w:val="center"/>
        <w:rPr>
          <w:rFonts w:ascii="Times New Roman" w:eastAsia="方正小标宋_GBK"/>
          <w:color w:val="FF9900"/>
          <w:kern w:val="0"/>
          <w:szCs w:val="32"/>
        </w:rPr>
      </w:pPr>
      <w:r>
        <w:rPr>
          <w:rFonts w:ascii="Times New Roman"/>
          <w:kern w:val="0"/>
          <w:szCs w:val="32"/>
        </w:rPr>
        <w:pict>
          <v:shape id="_x0000_s2051" o:spid="_x0000_s2051" o:spt="136" type="#_x0000_t136" style="position:absolute;left:0pt;margin-left:85.4pt;margin-top:105.5pt;height:49.8pt;width:325.35pt;mso-position-horizontal-relative:page;mso-position-vertical-relative:margin;z-index:251662336;mso-width-relative:page;mso-height-relative:page;" fillcolor="#FF0000" filled="t" stroked="f" coordsize="21600,21600">
            <v:path/>
            <v:fill on="t" focussize="0,0"/>
            <v:stroke on="f"/>
            <v:imagedata o:title=""/>
            <o:lock v:ext="edit"/>
            <v:textpath on="t" fitshape="t" fitpath="t" trim="t" xscale="f" string="中共城口县委农村工作暨实施乡村振兴战略领导小组办公室" style="font-family:方正小标宋_GBK;font-size:36pt;font-weight:bold;v-text-align:center;"/>
          </v:shape>
        </w:pict>
      </w:r>
    </w:p>
    <w:p>
      <w:pPr>
        <w:spacing w:line="560" w:lineRule="exact"/>
        <w:jc w:val="center"/>
        <w:rPr>
          <w:rFonts w:ascii="Times New Roman" w:eastAsia="方正小标宋_GBK"/>
          <w:color w:val="FF9900"/>
          <w:kern w:val="0"/>
          <w:szCs w:val="32"/>
        </w:rPr>
      </w:pPr>
      <w:r>
        <w:rPr>
          <w:rFonts w:ascii="Times New Roman"/>
          <w:kern w:val="0"/>
          <w:sz w:val="33"/>
        </w:rPr>
        <w:pict>
          <v:shape id="艺术字 7" o:spid="_x0000_s2050" o:spt="136" type="#_x0000_t136" style="position:absolute;left:0pt;margin-left:422.9pt;margin-top:125.55pt;height:103.6pt;width:85.5pt;mso-position-horizontal-relative:page;mso-position-vertical-relative:margin;z-index:251663360;mso-width-relative:page;mso-height-relative:page;" fillcolor="#FF0000" filled="t" stroked="f" coordsize="21600,21600">
            <v:path/>
            <v:fill on="t" focussize="0,0"/>
            <v:stroke on="f"/>
            <v:imagedata o:title=""/>
            <o:lock v:ext="edit"/>
            <v:textpath on="t" fitshape="t" fitpath="t" trim="t" xscale="f" string="文件" style="font-family:方正小标宋_GBK;font-size:36pt;font-weight:bold;v-text-align:center;"/>
          </v:shape>
        </w:pict>
      </w:r>
    </w:p>
    <w:p>
      <w:pPr>
        <w:tabs>
          <w:tab w:val="left" w:pos="5026"/>
        </w:tabs>
        <w:spacing w:line="600" w:lineRule="exact"/>
        <w:rPr>
          <w:rFonts w:ascii="Times New Roman" w:eastAsia="方正仿宋_GBK"/>
          <w:kern w:val="0"/>
        </w:rPr>
      </w:pPr>
      <w:r>
        <w:rPr>
          <w:rFonts w:ascii="Times New Roman"/>
          <w:kern w:val="0"/>
          <w:sz w:val="34"/>
        </w:rPr>
        <w:pict>
          <v:shape id="艺术字 6" o:spid="_x0000_s2058" o:spt="136" type="#_x0000_t136" style="position:absolute;left:0pt;margin-left:89.05pt;margin-top:154.45pt;height:44.55pt;width:320.2pt;mso-position-horizontal-relative:page;mso-position-vertical-relative:margin;z-index:251666432;mso-width-relative:page;mso-height-relative:page;" fillcolor="#FF0000" filled="t" stroked="f" coordsize="21600,21600">
            <v:path/>
            <v:fill on="t" focussize="0,0"/>
            <v:stroke on="f"/>
            <v:imagedata o:title=""/>
            <o:lock v:ext="edit"/>
            <v:textpath on="t" fitshape="t" fitpath="t" trim="t" xscale="f" string="城口县乡村振兴局" style="font-family:方正小标宋_GBK;font-size:36pt;font-weight:bold;v-text-align:center;"/>
          </v:shape>
        </w:pict>
      </w:r>
    </w:p>
    <w:p>
      <w:pPr>
        <w:tabs>
          <w:tab w:val="left" w:pos="5026"/>
        </w:tabs>
        <w:spacing w:line="600" w:lineRule="exact"/>
        <w:rPr>
          <w:rFonts w:ascii="Times New Roman" w:eastAsia="方正仿宋_GBK"/>
          <w:kern w:val="0"/>
        </w:rPr>
      </w:pPr>
      <w:r>
        <w:rPr>
          <w:rFonts w:ascii="Times New Roman"/>
          <w:kern w:val="0"/>
          <w:sz w:val="34"/>
        </w:rPr>
        <w:pict>
          <v:shape id="_x0000_s2056" o:spid="_x0000_s2056" o:spt="136" type="#_x0000_t136" style="position:absolute;left:0pt;margin-left:88.3pt;margin-top:200.5pt;height:44.55pt;width:320.2pt;mso-position-horizontal-relative:page;mso-position-vertical-relative:margin;z-index:251665408;mso-width-relative:page;mso-height-relative:page;" fillcolor="#FF0000" filled="t" stroked="f" coordsize="21600,21600">
            <v:path/>
            <v:fill on="t" focussize="0,0"/>
            <v:stroke on="f"/>
            <v:imagedata o:title=""/>
            <o:lock v:ext="edit"/>
            <v:textpath on="t" fitshape="t" fitpath="t" trim="t" xscale="f" string="城口县财政局" style="font-family:方正小标宋_GBK;font-size:36pt;font-weight:bold;v-text-align:center;"/>
          </v:shape>
        </w:pict>
      </w:r>
    </w:p>
    <w:p>
      <w:pPr>
        <w:tabs>
          <w:tab w:val="left" w:pos="3110"/>
        </w:tabs>
        <w:spacing w:line="600" w:lineRule="exact"/>
        <w:rPr>
          <w:rFonts w:ascii="Times New Roman" w:eastAsia="方正仿宋_GBK"/>
          <w:kern w:val="0"/>
        </w:rPr>
      </w:pPr>
      <w:r>
        <w:rPr>
          <w:rFonts w:ascii="Times New Roman" w:eastAsia="方正仿宋_GBK"/>
          <w:kern w:val="0"/>
        </w:rPr>
        <w:tab/>
      </w:r>
    </w:p>
    <w:p>
      <w:pPr>
        <w:tabs>
          <w:tab w:val="left" w:pos="5026"/>
        </w:tabs>
        <w:spacing w:line="600" w:lineRule="exact"/>
        <w:jc w:val="center"/>
        <w:rPr>
          <w:rFonts w:ascii="Times New Roman" w:eastAsia="方正仿宋_GBK"/>
          <w:kern w:val="0"/>
          <w:szCs w:val="32"/>
        </w:rPr>
      </w:pPr>
    </w:p>
    <w:p>
      <w:pPr>
        <w:tabs>
          <w:tab w:val="left" w:pos="5026"/>
        </w:tabs>
        <w:spacing w:line="600" w:lineRule="exact"/>
        <w:jc w:val="center"/>
        <w:rPr>
          <w:rFonts w:ascii="Times New Roman" w:eastAsia="方正仿宋_GBK"/>
          <w:kern w:val="0"/>
          <w:szCs w:val="32"/>
        </w:rPr>
      </w:pPr>
    </w:p>
    <w:p>
      <w:pPr>
        <w:tabs>
          <w:tab w:val="left" w:pos="5026"/>
        </w:tabs>
        <w:spacing w:line="600" w:lineRule="exact"/>
        <w:jc w:val="center"/>
        <w:rPr>
          <w:rFonts w:ascii="Times New Roman" w:eastAsia="方正楷体_GBK"/>
          <w:kern w:val="0"/>
        </w:rPr>
      </w:pPr>
      <w:r>
        <w:rPr>
          <w:rFonts w:ascii="Times New Roman" w:eastAsia="方正仿宋_GBK"/>
          <w:kern w:val="0"/>
          <w:szCs w:val="32"/>
        </w:rPr>
        <w:t>城委农办</w:t>
      </w:r>
      <w:r>
        <w:rPr>
          <w:rFonts w:ascii="Times New Roman" w:eastAsia="方正仿宋_GBK"/>
          <w:color w:val="000000"/>
          <w:kern w:val="0"/>
          <w:szCs w:val="32"/>
        </w:rPr>
        <w:t>〔2021〕</w:t>
      </w:r>
      <w:r>
        <w:rPr>
          <w:rFonts w:hint="eastAsia" w:ascii="Times New Roman" w:eastAsia="方正仿宋_GBK"/>
          <w:color w:val="000000"/>
          <w:kern w:val="0"/>
          <w:szCs w:val="32"/>
          <w:lang w:val="en-US" w:eastAsia="zh-CN"/>
        </w:rPr>
        <w:t>38</w:t>
      </w:r>
      <w:r>
        <w:rPr>
          <w:rFonts w:ascii="Times New Roman" w:eastAsia="方正仿宋_GBK"/>
          <w:color w:val="000000"/>
          <w:kern w:val="0"/>
          <w:szCs w:val="32"/>
        </w:rPr>
        <w:t>号</w:t>
      </w:r>
    </w:p>
    <w:p>
      <w:pPr>
        <w:spacing w:line="600" w:lineRule="exact"/>
        <w:jc w:val="center"/>
        <w:rPr>
          <w:rFonts w:ascii="Times New Roman"/>
          <w:b/>
          <w:kern w:val="0"/>
          <w:sz w:val="36"/>
        </w:rPr>
      </w:pPr>
      <w:r>
        <w:rPr>
          <w:rFonts w:ascii="Times New Roman"/>
          <w:kern w:val="0"/>
        </w:rPr>
        <w:pict>
          <v:line id="_x0000_s1026" o:spid="_x0000_s1026" o:spt="20" style="position:absolute;left:0pt;margin-left:-6.75pt;margin-top:4.2pt;height:0pt;width:441pt;z-index:251659264;mso-width-relative:page;mso-height-relative:page;" stroked="t" coordsize="21600,21600" o:gfxdata="UEsDBAoAAAAAAIdO4kAAAAAAAAAAAAAAAAAEAAAAZHJzL1BLAwQUAAAACACHTuJAM2bFLdMAAAAE&#10;AQAADwAAAGRycy9kb3ducmV2LnhtbE2PMU/DMBCFdyT+g3WV2KiTCoUoxOkQCZUBqWroAJsbH0lU&#10;+xzFbhP+PQcLjJ/e6b3vyu3irLjiFAZPCtJ1AgKp9WagTsHx7fk+BxGiJqOtJ1TwhQG21e1NqQvj&#10;ZzrgtYmd4BIKhVbQxzgWUoa2R6fD2o9InH36yenIOHXSTHrmcmflJkky6fRAvNDrEese23NzcQre&#10;97v9+FrXmX/52M1Ll6XN4dEqdbdKkycQEZf4dww/+qwOFTud/IVMEFYBPxIV5A8gOMzzDfPpl2VV&#10;yv/y1TdQSwMEFAAAAAgAh07iQF53Huj7AQAA8wMAAA4AAABkcnMvZTJvRG9jLnhtbK1TzY7TMBC+&#10;I/EOlu806Uq7QNR0D1vKBUEl4AGmtpNY8p88btO+BC+AxA1OHLnzNuw+BuMkW5bl0gM5OGPPzDfz&#10;fR4vrg/WsL2KqL2r+XxWcqac8FK7tuYfP6yfveAMEzgJxjtV86NCfr18+mTRh0pd+M4bqSIjEIdV&#10;H2repRSqokDRKQs480E5cjY+Wki0jW0hI/SEbk1xUZZXRe+jDNELhUinq9HJJ8R4DqBvGi3Uyoud&#10;VS6NqFEZSEQJOx2QL4dum0aJ9K5pUCVmak5M07BSEbK3eS2WC6jaCKHTYmoBzmnhEScL2lHRE9QK&#10;ErBd1P9AWS2iR9+kmfC2GIkMihCLeflIm/cdBDVwIakxnETH/wcr3u43kWlJk8CZA0sXfvv5x69P&#10;X+9+fqH19vs3Ns8i9QErir1xmzjtMGxiZnxoos1/4sIOg7DHk7DqkJigw8ursnxekubi3lf8SQwR&#10;02vlLctGzY12mTNUsH+DiYpR6H1IPjaO9dTty/Iy4wFNYEM3T6YNxAJdOySjN1qutTE5BWO7vTGR&#10;7YGmYL0u6cucCPivsFxlBdiNcYNrnI9OgXzlJEvHQPo4ehY892CV5MwoekXZIkCoEmhzTiSVNi4n&#10;qGFGJ6JZ5FHWbG29PNLd7ELUbUfCDPdQZA/NwtD9NLd52B7uyX74V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NmxS3TAAAABAEAAA8AAAAAAAAAAQAgAAAAIgAAAGRycy9kb3ducmV2LnhtbFBL&#10;AQIUABQAAAAIAIdO4kBedx7o+wEAAPMDAAAOAAAAAAAAAAEAIAAAACIBAABkcnMvZTJvRG9jLnht&#10;bFBLBQYAAAAABgAGAFkBAACPBQAAAAA=&#10;">
            <v:path arrowok="t"/>
            <v:fill focussize="0,0"/>
            <v:stroke weight="1.5pt" color="#FF0000"/>
            <v:imagedata o:title=""/>
            <o:lock v:ext="edit"/>
          </v:line>
        </w:pict>
      </w:r>
    </w:p>
    <w:p>
      <w:pPr>
        <w:spacing w:line="560" w:lineRule="exact"/>
        <w:jc w:val="center"/>
        <w:rPr>
          <w:rFonts w:ascii="Times New Roman" w:eastAsia="方正小标宋_GBK"/>
          <w:w w:val="87"/>
          <w:kern w:val="0"/>
          <w:sz w:val="44"/>
          <w:szCs w:val="44"/>
        </w:rPr>
      </w:pPr>
      <w:r>
        <w:rPr>
          <w:rFonts w:ascii="Times New Roman" w:eastAsia="方正小标宋_GBK"/>
          <w:spacing w:val="1"/>
          <w:w w:val="79"/>
          <w:kern w:val="0"/>
          <w:sz w:val="44"/>
          <w:szCs w:val="44"/>
          <w:fitText w:val="9139" w:id="-1714115072"/>
        </w:rPr>
        <w:t>中共城口县委农村工作暨实施乡村振兴战略领导小组办公</w:t>
      </w:r>
      <w:r>
        <w:rPr>
          <w:rFonts w:ascii="Times New Roman" w:eastAsia="方正小标宋_GBK"/>
          <w:spacing w:val="31"/>
          <w:w w:val="79"/>
          <w:kern w:val="0"/>
          <w:sz w:val="44"/>
          <w:szCs w:val="44"/>
          <w:fitText w:val="9139" w:id="-1714115072"/>
        </w:rPr>
        <w:t>室</w:t>
      </w:r>
    </w:p>
    <w:p>
      <w:pPr>
        <w:pStyle w:val="2"/>
        <w:spacing w:line="560" w:lineRule="exact"/>
        <w:jc w:val="center"/>
        <w:rPr>
          <w:rFonts w:eastAsia="方正小标宋_GBK"/>
          <w:w w:val="98"/>
          <w:sz w:val="44"/>
          <w:szCs w:val="44"/>
        </w:rPr>
      </w:pPr>
      <w:r>
        <w:rPr>
          <w:rFonts w:eastAsia="方正小标宋_GBK"/>
          <w:w w:val="98"/>
          <w:sz w:val="44"/>
          <w:szCs w:val="44"/>
        </w:rPr>
        <w:t>城口县乡村振兴局</w:t>
      </w:r>
      <w:r>
        <w:rPr>
          <w:rFonts w:hint="eastAsia" w:eastAsia="方正小标宋_GBK"/>
          <w:w w:val="98"/>
          <w:sz w:val="44"/>
          <w:szCs w:val="44"/>
          <w:lang w:val="en-US" w:eastAsia="zh-CN"/>
        </w:rPr>
        <w:t xml:space="preserve">   </w:t>
      </w:r>
      <w:r>
        <w:rPr>
          <w:rFonts w:eastAsia="方正小标宋_GBK"/>
          <w:w w:val="98"/>
          <w:sz w:val="44"/>
          <w:szCs w:val="44"/>
        </w:rPr>
        <w:t>城口县财政局</w:t>
      </w:r>
    </w:p>
    <w:p>
      <w:pPr>
        <w:spacing w:line="560" w:lineRule="exact"/>
        <w:jc w:val="center"/>
        <w:rPr>
          <w:rFonts w:ascii="Times New Roman" w:eastAsia="方正小标宋_GBK"/>
          <w:w w:val="98"/>
          <w:sz w:val="44"/>
          <w:szCs w:val="44"/>
        </w:rPr>
      </w:pPr>
      <w:r>
        <w:rPr>
          <w:rFonts w:hint="eastAsia" w:ascii="Times New Roman" w:eastAsia="方正小标宋_GBK"/>
          <w:w w:val="98"/>
          <w:sz w:val="44"/>
          <w:szCs w:val="44"/>
        </w:rPr>
        <w:t>关于提前下达2022年财政衔接推进乡村振兴补助资金项目计划的通知</w:t>
      </w:r>
    </w:p>
    <w:p>
      <w:pPr>
        <w:spacing w:line="560" w:lineRule="exact"/>
        <w:rPr>
          <w:rFonts w:ascii="Times New Roman" w:eastAsia="方正仿宋_GBK"/>
          <w:kern w:val="0"/>
          <w:szCs w:val="32"/>
        </w:rPr>
      </w:pPr>
    </w:p>
    <w:p>
      <w:pPr>
        <w:spacing w:line="560" w:lineRule="exact"/>
        <w:jc w:val="left"/>
        <w:rPr>
          <w:rFonts w:hint="eastAsia" w:ascii="Times New Roman" w:eastAsia="方正仿宋_GBK"/>
          <w:szCs w:val="32"/>
        </w:rPr>
      </w:pPr>
      <w:r>
        <w:rPr>
          <w:rFonts w:hint="eastAsia" w:ascii="Times New Roman" w:eastAsia="方正仿宋_GBK"/>
          <w:color w:val="000000"/>
          <w:szCs w:val="32"/>
          <w:lang w:eastAsia="zh-CN"/>
        </w:rPr>
        <w:t>各乡镇人民政府、街道办事处</w:t>
      </w:r>
      <w:r>
        <w:rPr>
          <w:rFonts w:ascii="Times New Roman" w:eastAsia="方正仿宋_GBK"/>
          <w:color w:val="000000"/>
          <w:szCs w:val="32"/>
        </w:rPr>
        <w:t>，</w:t>
      </w:r>
      <w:r>
        <w:rPr>
          <w:rFonts w:hint="eastAsia" w:ascii="Times New Roman" w:eastAsia="方正仿宋_GBK"/>
          <w:color w:val="000000"/>
          <w:szCs w:val="32"/>
          <w:lang w:eastAsia="zh-CN"/>
        </w:rPr>
        <w:t>县财政局、县人力社保局、县住房城乡建委、县农业农村委、县商务委、县乡村振兴局、县林业局、县供销合作</w:t>
      </w:r>
      <w:r>
        <w:rPr>
          <w:rFonts w:hint="eastAsia" w:ascii="Times New Roman" w:eastAsia="方正仿宋_GBK"/>
          <w:szCs w:val="32"/>
          <w:lang w:eastAsia="zh-CN"/>
        </w:rPr>
        <w:t>社、</w:t>
      </w:r>
      <w:r>
        <w:rPr>
          <w:rFonts w:hint="eastAsia" w:ascii="Times New Roman" w:eastAsia="方正仿宋_GBK"/>
          <w:szCs w:val="32"/>
        </w:rPr>
        <w:t>大巴山路桥公司：</w:t>
      </w:r>
    </w:p>
    <w:p>
      <w:pPr>
        <w:spacing w:line="560" w:lineRule="exact"/>
        <w:ind w:firstLine="624" w:firstLineChars="200"/>
        <w:jc w:val="left"/>
        <w:rPr>
          <w:rFonts w:hint="eastAsia" w:ascii="Times New Roman" w:eastAsia="方正仿宋_GBK"/>
          <w:szCs w:val="32"/>
        </w:rPr>
      </w:pPr>
      <w:r>
        <w:rPr>
          <w:rFonts w:hint="eastAsia" w:ascii="Times New Roman" w:eastAsia="方正仿宋_GBK"/>
          <w:szCs w:val="32"/>
        </w:rPr>
        <w:t>根据</w:t>
      </w:r>
      <w:r>
        <w:rPr>
          <w:rFonts w:hint="eastAsia" w:ascii="Times New Roman" w:eastAsia="方正仿宋_GBK"/>
          <w:szCs w:val="32"/>
          <w:lang w:eastAsia="zh-CN"/>
        </w:rPr>
        <w:t>重庆市乡村振兴局《</w:t>
      </w:r>
      <w:r>
        <w:rPr>
          <w:rFonts w:hint="eastAsia" w:ascii="Times New Roman" w:eastAsia="方正仿宋_GBK"/>
          <w:szCs w:val="32"/>
        </w:rPr>
        <w:t>关于</w:t>
      </w:r>
      <w:r>
        <w:rPr>
          <w:rFonts w:hint="eastAsia" w:ascii="Times New Roman" w:eastAsia="方正仿宋_GBK"/>
          <w:szCs w:val="32"/>
          <w:lang w:eastAsia="zh-CN"/>
        </w:rPr>
        <w:t>做好</w:t>
      </w:r>
      <w:r>
        <w:rPr>
          <w:rFonts w:hint="eastAsia" w:ascii="Times New Roman" w:eastAsia="方正仿宋_GBK"/>
          <w:szCs w:val="32"/>
        </w:rPr>
        <w:t>202</w:t>
      </w:r>
      <w:r>
        <w:rPr>
          <w:rFonts w:hint="eastAsia" w:ascii="Times New Roman" w:eastAsia="方正仿宋_GBK"/>
          <w:szCs w:val="32"/>
          <w:lang w:val="en-US" w:eastAsia="zh-CN"/>
        </w:rPr>
        <w:t>2</w:t>
      </w:r>
      <w:r>
        <w:rPr>
          <w:rFonts w:hint="eastAsia" w:ascii="Times New Roman" w:eastAsia="方正仿宋_GBK"/>
          <w:szCs w:val="32"/>
        </w:rPr>
        <w:t>年</w:t>
      </w:r>
      <w:r>
        <w:rPr>
          <w:rFonts w:hint="eastAsia" w:ascii="Times New Roman" w:eastAsia="方正仿宋_GBK"/>
          <w:szCs w:val="32"/>
          <w:lang w:eastAsia="zh-CN"/>
        </w:rPr>
        <w:t>度</w:t>
      </w:r>
      <w:r>
        <w:rPr>
          <w:rFonts w:hint="eastAsia" w:ascii="Times New Roman" w:eastAsia="方正仿宋_GBK"/>
          <w:szCs w:val="32"/>
        </w:rPr>
        <w:t>财政衔接推进乡村振兴补助资金</w:t>
      </w:r>
      <w:r>
        <w:rPr>
          <w:rFonts w:hint="eastAsia" w:ascii="Times New Roman" w:eastAsia="方正仿宋_GBK"/>
          <w:szCs w:val="32"/>
          <w:lang w:eastAsia="zh-CN"/>
        </w:rPr>
        <w:t>和项目安排</w:t>
      </w:r>
      <w:r>
        <w:rPr>
          <w:rFonts w:hint="eastAsia" w:ascii="Times New Roman" w:eastAsia="方正仿宋_GBK"/>
          <w:szCs w:val="32"/>
        </w:rPr>
        <w:t>的通知》（渝</w:t>
      </w:r>
      <w:r>
        <w:rPr>
          <w:rFonts w:hint="eastAsia" w:ascii="Times New Roman" w:eastAsia="方正仿宋_GBK"/>
          <w:szCs w:val="32"/>
          <w:lang w:eastAsia="zh-CN"/>
        </w:rPr>
        <w:t>乡振发</w:t>
      </w:r>
      <w:r>
        <w:rPr>
          <w:rFonts w:hint="eastAsia" w:ascii="Times New Roman" w:eastAsia="方正仿宋_GBK"/>
          <w:szCs w:val="32"/>
        </w:rPr>
        <w:t>〔2021﹞</w:t>
      </w:r>
      <w:r>
        <w:rPr>
          <w:rFonts w:hint="eastAsia" w:ascii="Times New Roman" w:eastAsia="方正仿宋_GBK"/>
          <w:szCs w:val="32"/>
          <w:lang w:val="en-US" w:eastAsia="zh-CN"/>
        </w:rPr>
        <w:t>54</w:t>
      </w:r>
      <w:r>
        <w:rPr>
          <w:rFonts w:hint="eastAsia" w:ascii="Times New Roman" w:eastAsia="方正仿宋_GBK"/>
          <w:szCs w:val="32"/>
        </w:rPr>
        <w:t>号</w:t>
      </w:r>
      <w:r>
        <w:rPr>
          <w:rFonts w:hint="eastAsia" w:ascii="Times New Roman" w:eastAsia="方正仿宋_GBK"/>
          <w:szCs w:val="32"/>
          <w:lang w:eastAsia="zh-CN"/>
        </w:rPr>
        <w:t>》和</w:t>
      </w:r>
      <w:r>
        <w:rPr>
          <w:rFonts w:hint="eastAsia" w:ascii="Times New Roman" w:eastAsia="方正仿宋_GBK"/>
          <w:szCs w:val="32"/>
        </w:rPr>
        <w:t>重庆市财政局《关于</w:t>
      </w:r>
      <w:r>
        <w:rPr>
          <w:rFonts w:hint="eastAsia" w:ascii="Times New Roman" w:eastAsia="方正仿宋_GBK"/>
          <w:szCs w:val="32"/>
          <w:lang w:eastAsia="zh-CN"/>
        </w:rPr>
        <w:t>提前</w:t>
      </w:r>
      <w:r>
        <w:rPr>
          <w:rFonts w:hint="eastAsia" w:ascii="Times New Roman" w:eastAsia="方正仿宋_GBK"/>
          <w:szCs w:val="32"/>
        </w:rPr>
        <w:t>下达202</w:t>
      </w:r>
      <w:r>
        <w:rPr>
          <w:rFonts w:hint="eastAsia" w:ascii="Times New Roman" w:eastAsia="方正仿宋_GBK"/>
          <w:szCs w:val="32"/>
          <w:lang w:val="en-US" w:eastAsia="zh-CN"/>
        </w:rPr>
        <w:t>2</w:t>
      </w:r>
      <w:r>
        <w:rPr>
          <w:rFonts w:hint="eastAsia" w:ascii="Times New Roman" w:eastAsia="方正仿宋_GBK"/>
          <w:szCs w:val="32"/>
        </w:rPr>
        <w:t>年财政衔接推进乡村振兴补助资金预算的通知》（渝财农〔2021﹞1</w:t>
      </w:r>
      <w:r>
        <w:rPr>
          <w:rFonts w:hint="eastAsia" w:ascii="Times New Roman" w:eastAsia="方正仿宋_GBK"/>
          <w:szCs w:val="32"/>
          <w:lang w:val="en-US" w:eastAsia="zh-CN"/>
        </w:rPr>
        <w:t>35</w:t>
      </w:r>
      <w:r>
        <w:rPr>
          <w:rFonts w:hint="eastAsia" w:ascii="Times New Roman" w:eastAsia="方正仿宋_GBK"/>
          <w:szCs w:val="32"/>
        </w:rPr>
        <w:t>号）</w:t>
      </w:r>
      <w:r>
        <w:rPr>
          <w:rFonts w:hint="eastAsia" w:ascii="Times New Roman" w:eastAsia="方正仿宋_GBK"/>
          <w:szCs w:val="32"/>
          <w:lang w:eastAsia="zh-CN"/>
        </w:rPr>
        <w:t>要求，我县到位</w:t>
      </w:r>
      <w:r>
        <w:rPr>
          <w:rFonts w:hint="eastAsia" w:ascii="Times New Roman" w:eastAsia="方正仿宋_GBK"/>
          <w:szCs w:val="32"/>
          <w:lang w:val="en-US" w:eastAsia="zh-CN"/>
        </w:rPr>
        <w:t>2022年衔接资金28019万元</w:t>
      </w:r>
      <w:r>
        <w:rPr>
          <w:rFonts w:hint="eastAsia" w:ascii="Times New Roman" w:eastAsia="方正仿宋_GBK"/>
          <w:szCs w:val="32"/>
        </w:rPr>
        <w:t>。按照巩固拓展脱贫攻坚成果和乡村振兴项目库建设管理、衔接资金使用管理、统筹整合使用财政涉农资金、财政预算管理有关规定，以及防范洪涝等灾害切实防止返贫致贫工作要求，经县人民政府审定，现将项目计划（见附件）下达给你们。</w:t>
      </w:r>
    </w:p>
    <w:p>
      <w:pPr>
        <w:numPr>
          <w:ilvl w:val="0"/>
          <w:numId w:val="1"/>
        </w:numPr>
        <w:spacing w:line="560" w:lineRule="exact"/>
        <w:ind w:firstLine="624" w:firstLineChars="200"/>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下达衔接资金项目计划</w:t>
      </w:r>
    </w:p>
    <w:p>
      <w:pPr>
        <w:numPr>
          <w:ilvl w:val="0"/>
          <w:numId w:val="0"/>
        </w:numPr>
        <w:spacing w:line="560" w:lineRule="exact"/>
        <w:ind w:firstLine="624" w:firstLineChars="200"/>
        <w:jc w:val="left"/>
        <w:rPr>
          <w:rFonts w:hint="eastAsia" w:ascii="Times New Roman" w:eastAsia="方正仿宋_GBK"/>
          <w:szCs w:val="32"/>
        </w:rPr>
      </w:pPr>
      <w:r>
        <w:rPr>
          <w:rFonts w:hint="eastAsia" w:ascii="方正楷体_GBK" w:hAnsi="方正楷体_GBK" w:eastAsia="方正楷体_GBK" w:cs="方正楷体_GBK"/>
          <w:kern w:val="2"/>
          <w:sz w:val="32"/>
          <w:szCs w:val="32"/>
          <w:lang w:val="en-US" w:eastAsia="zh-CN" w:bidi="ar-SA"/>
        </w:rPr>
        <w:t>（一）安排公益性岗位项目3196万元。</w:t>
      </w:r>
      <w:r>
        <w:rPr>
          <w:rFonts w:hint="eastAsia" w:ascii="Times New Roman" w:eastAsia="方正仿宋_GBK"/>
          <w:szCs w:val="32"/>
          <w:lang w:eastAsia="zh-CN"/>
        </w:rPr>
        <w:t>其中安排</w:t>
      </w:r>
      <w:r>
        <w:rPr>
          <w:rFonts w:hint="eastAsia" w:ascii="Times New Roman" w:eastAsia="方正仿宋_GBK"/>
          <w:szCs w:val="32"/>
          <w:lang w:val="en-US" w:eastAsia="zh-CN"/>
        </w:rPr>
        <w:t>25个乡镇街道2022年乡村非全日制公益性岗位1685万元，由各乡镇、街道牵头实施，县人力社保局</w:t>
      </w:r>
      <w:r>
        <w:rPr>
          <w:rFonts w:hint="eastAsia" w:ascii="Times New Roman" w:eastAsia="方正仿宋_GBK"/>
          <w:szCs w:val="32"/>
        </w:rPr>
        <w:t>履行行业监管责任</w:t>
      </w:r>
      <w:r>
        <w:rPr>
          <w:rFonts w:hint="eastAsia" w:ascii="Times New Roman" w:eastAsia="方正仿宋_GBK"/>
          <w:szCs w:val="32"/>
          <w:lang w:eastAsia="zh-CN"/>
        </w:rPr>
        <w:t>；安排</w:t>
      </w:r>
      <w:r>
        <w:rPr>
          <w:rFonts w:hint="eastAsia" w:ascii="Times New Roman" w:eastAsia="方正仿宋_GBK"/>
          <w:szCs w:val="32"/>
          <w:lang w:val="en-US" w:eastAsia="zh-CN"/>
        </w:rPr>
        <w:t>2022年</w:t>
      </w:r>
      <w:r>
        <w:rPr>
          <w:rFonts w:hint="eastAsia" w:ascii="Times New Roman" w:eastAsia="方正仿宋_GBK"/>
          <w:szCs w:val="32"/>
          <w:lang w:eastAsia="zh-CN"/>
        </w:rPr>
        <w:t>乡村非全日制公益性岗位资助参保资金</w:t>
      </w:r>
      <w:r>
        <w:rPr>
          <w:rFonts w:hint="eastAsia" w:ascii="Times New Roman" w:eastAsia="方正仿宋_GBK"/>
          <w:szCs w:val="32"/>
          <w:lang w:val="en-US" w:eastAsia="zh-CN"/>
        </w:rPr>
        <w:t>101.1万元，用于按照300元/人*年的标准统一资助开发的非全日制公益性岗位人员参加意外伤害保险，由县人力社保局牵头实施并</w:t>
      </w:r>
      <w:r>
        <w:rPr>
          <w:rFonts w:hint="eastAsia" w:ascii="Times New Roman" w:eastAsia="方正仿宋_GBK"/>
          <w:szCs w:val="32"/>
        </w:rPr>
        <w:t>履行行业监管责任</w:t>
      </w:r>
      <w:r>
        <w:rPr>
          <w:rFonts w:hint="eastAsia" w:ascii="Times New Roman" w:eastAsia="方正仿宋_GBK"/>
          <w:szCs w:val="32"/>
          <w:lang w:eastAsia="zh-CN"/>
        </w:rPr>
        <w:t>；安排2022年生态护林员公益性岗位</w:t>
      </w:r>
      <w:r>
        <w:rPr>
          <w:rFonts w:hint="eastAsia" w:ascii="Times New Roman" w:eastAsia="方正仿宋_GBK"/>
          <w:szCs w:val="32"/>
          <w:lang w:val="en-US" w:eastAsia="zh-CN"/>
        </w:rPr>
        <w:t>1409.9万元（含300元/人*年的</w:t>
      </w:r>
      <w:r>
        <w:rPr>
          <w:rFonts w:hint="eastAsia" w:ascii="Times New Roman" w:eastAsia="方正仿宋_GBK"/>
          <w:szCs w:val="32"/>
          <w:lang w:eastAsia="zh-CN"/>
        </w:rPr>
        <w:t>资助</w:t>
      </w:r>
      <w:r>
        <w:rPr>
          <w:rFonts w:hint="eastAsia" w:ascii="Times New Roman" w:eastAsia="方正仿宋_GBK"/>
          <w:szCs w:val="32"/>
          <w:lang w:val="en-US" w:eastAsia="zh-CN"/>
        </w:rPr>
        <w:t>参加意外伤害保险</w:t>
      </w:r>
      <w:r>
        <w:rPr>
          <w:rFonts w:hint="eastAsia" w:ascii="Times New Roman" w:eastAsia="方正仿宋_GBK"/>
          <w:szCs w:val="32"/>
          <w:lang w:eastAsia="zh-CN"/>
        </w:rPr>
        <w:t>资金）</w:t>
      </w:r>
      <w:r>
        <w:rPr>
          <w:rFonts w:hint="eastAsia" w:ascii="Times New Roman" w:eastAsia="方正仿宋_GBK"/>
          <w:szCs w:val="32"/>
          <w:lang w:val="en-US" w:eastAsia="zh-CN"/>
        </w:rPr>
        <w:t>，由县林业局牵头实施并</w:t>
      </w:r>
      <w:r>
        <w:rPr>
          <w:rFonts w:hint="eastAsia" w:ascii="Times New Roman" w:eastAsia="方正仿宋_GBK"/>
          <w:szCs w:val="32"/>
        </w:rPr>
        <w:t>履行行业监管责任</w:t>
      </w:r>
      <w:r>
        <w:rPr>
          <w:rFonts w:hint="eastAsia" w:ascii="Times New Roman" w:eastAsia="方正仿宋_GBK"/>
          <w:szCs w:val="32"/>
          <w:lang w:eastAsia="zh-CN"/>
        </w:rPr>
        <w:t>（详见附件</w:t>
      </w:r>
      <w:r>
        <w:rPr>
          <w:rFonts w:hint="eastAsia" w:ascii="Times New Roman" w:eastAsia="方正仿宋_GBK"/>
          <w:szCs w:val="32"/>
          <w:lang w:val="en-US" w:eastAsia="zh-CN"/>
        </w:rPr>
        <w:t>1</w:t>
      </w:r>
      <w:r>
        <w:rPr>
          <w:rFonts w:hint="eastAsia" w:ascii="Times New Roman" w:eastAsia="方正仿宋_GBK"/>
          <w:szCs w:val="32"/>
          <w:lang w:eastAsia="zh-CN"/>
        </w:rPr>
        <w:t>）</w:t>
      </w:r>
      <w:r>
        <w:rPr>
          <w:rFonts w:hint="eastAsia" w:ascii="Times New Roman" w:eastAsia="方正仿宋_GBK"/>
          <w:szCs w:val="32"/>
        </w:rPr>
        <w:t>。</w:t>
      </w:r>
    </w:p>
    <w:p>
      <w:pPr>
        <w:pStyle w:val="6"/>
        <w:keepNext w:val="0"/>
        <w:keepLines w:val="0"/>
        <w:widowControl/>
        <w:suppressLineNumbers w:val="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eastAsia" w:ascii="方正楷体_GBK" w:hAnsi="方正楷体_GBK" w:eastAsia="方正楷体_GBK" w:cs="方正楷体_GBK"/>
          <w:kern w:val="2"/>
          <w:sz w:val="32"/>
          <w:szCs w:val="32"/>
          <w:lang w:val="en-US" w:eastAsia="zh-CN" w:bidi="ar-SA"/>
        </w:rPr>
        <w:t>（二）安排产业项目16440.68万元。</w:t>
      </w:r>
      <w:r>
        <w:rPr>
          <w:rFonts w:hint="eastAsia" w:ascii="Times New Roman" w:hAnsi="Times New Roman" w:eastAsia="方正仿宋_GBK" w:cs="Times New Roman"/>
          <w:kern w:val="2"/>
          <w:sz w:val="32"/>
          <w:szCs w:val="32"/>
          <w:lang w:val="en-US" w:eastAsia="zh-CN" w:bidi="ar-SA"/>
        </w:rPr>
        <w:t>主要安排用于支持2022年农林特色产业发展、小额信贷贴息、消费帮扶、农村商贸流通服务网络体系建设推动产销对接项目、产业路等必要的产业配套基础设施建设项目等，由相关部门、乡镇街道牵头实施，相关行业部门履行行业监管责任（详见附件2.1-2.3）。</w:t>
      </w:r>
    </w:p>
    <w:p>
      <w:pPr>
        <w:pStyle w:val="2"/>
        <w:spacing w:line="560" w:lineRule="exact"/>
        <w:ind w:firstLine="600"/>
        <w:rPr>
          <w:rFonts w:hint="eastAsia" w:ascii="Times New Roman" w:eastAsia="方正仿宋_GBK"/>
          <w:szCs w:val="32"/>
          <w:lang w:val="en-US" w:eastAsia="zh-CN"/>
        </w:rPr>
      </w:pPr>
      <w:r>
        <w:rPr>
          <w:rFonts w:hint="eastAsia" w:ascii="方正楷体_GBK" w:hAnsi="方正楷体_GBK" w:eastAsia="方正楷体_GBK" w:cs="方正楷体_GBK"/>
          <w:kern w:val="2"/>
          <w:sz w:val="32"/>
          <w:szCs w:val="32"/>
          <w:lang w:val="en-US" w:eastAsia="zh-CN" w:bidi="ar-SA"/>
        </w:rPr>
        <w:t>（三）安排村基础设施项目7722.32万元。</w:t>
      </w:r>
      <w:r>
        <w:rPr>
          <w:rFonts w:hint="eastAsia" w:eastAsia="方正仿宋_GBK"/>
          <w:szCs w:val="32"/>
          <w:lang w:val="en-US" w:eastAsia="zh-CN"/>
        </w:rPr>
        <w:t>主要用于支持2022年农村户厕改造、村级道路桥涵建设、灾后基础设施恢复、农村环境综合整治、农村饮水安全巩固提升、小型水利设施及部分分年度实施续建项目等，</w:t>
      </w:r>
      <w:r>
        <w:rPr>
          <w:rFonts w:hint="eastAsia" w:ascii="Times New Roman" w:hAnsi="Times New Roman" w:eastAsia="方正仿宋_GBK" w:cs="Times New Roman"/>
          <w:kern w:val="2"/>
          <w:sz w:val="32"/>
          <w:szCs w:val="32"/>
          <w:lang w:val="en-US" w:eastAsia="zh-CN" w:bidi="ar-SA"/>
        </w:rPr>
        <w:t>由相关部门、乡镇街道牵头实施，相关行业部门履行行业监管责任</w:t>
      </w:r>
      <w:r>
        <w:rPr>
          <w:rFonts w:hint="eastAsia" w:ascii="Times New Roman" w:eastAsia="方正仿宋_GBK"/>
          <w:szCs w:val="32"/>
          <w:lang w:eastAsia="zh-CN"/>
        </w:rPr>
        <w:t>（详见附件</w:t>
      </w:r>
      <w:r>
        <w:rPr>
          <w:rFonts w:hint="eastAsia" w:eastAsia="方正仿宋_GBK"/>
          <w:szCs w:val="32"/>
          <w:lang w:val="en-US" w:eastAsia="zh-CN"/>
        </w:rPr>
        <w:t>3</w:t>
      </w:r>
      <w:r>
        <w:rPr>
          <w:rFonts w:hint="eastAsia" w:ascii="Times New Roman" w:eastAsia="方正仿宋_GBK"/>
          <w:szCs w:val="32"/>
          <w:lang w:eastAsia="zh-CN"/>
        </w:rPr>
        <w:t>）</w:t>
      </w:r>
      <w:r>
        <w:rPr>
          <w:rFonts w:hint="eastAsia" w:ascii="Times New Roman" w:hAnsi="Times New Roman" w:eastAsia="方正仿宋_GBK" w:cs="Times New Roman"/>
          <w:kern w:val="2"/>
          <w:sz w:val="32"/>
          <w:szCs w:val="32"/>
          <w:lang w:val="en-US" w:eastAsia="zh-CN" w:bidi="ar-SA"/>
        </w:rPr>
        <w:t>。</w:t>
      </w:r>
    </w:p>
    <w:p>
      <w:pPr>
        <w:pStyle w:val="2"/>
        <w:spacing w:line="560" w:lineRule="exact"/>
        <w:ind w:firstLine="600"/>
        <w:rPr>
          <w:rFonts w:hint="eastAsia" w:ascii="Times New Roman" w:eastAsia="方正仿宋_GBK"/>
          <w:szCs w:val="32"/>
        </w:rPr>
      </w:pPr>
      <w:r>
        <w:rPr>
          <w:rFonts w:hint="eastAsia" w:ascii="方正楷体_GBK" w:hAnsi="方正楷体_GBK" w:eastAsia="方正楷体_GBK" w:cs="方正楷体_GBK"/>
          <w:kern w:val="2"/>
          <w:sz w:val="32"/>
          <w:szCs w:val="32"/>
          <w:lang w:val="en-US" w:eastAsia="zh-CN" w:bidi="ar-SA"/>
        </w:rPr>
        <w:t>（四）安排技能培训项目100万元。</w:t>
      </w:r>
      <w:r>
        <w:rPr>
          <w:rFonts w:hint="eastAsia" w:eastAsia="方正仿宋_GBK"/>
          <w:szCs w:val="32"/>
          <w:lang w:val="en-US" w:eastAsia="zh-CN"/>
        </w:rPr>
        <w:t>主要用于实施创业和致富带头人培训、实用技术培训、创业技能培训、公益培训、培训人员务工补贴等。由县乡村振兴局牵头实施并履行</w:t>
      </w:r>
      <w:r>
        <w:rPr>
          <w:rFonts w:hint="eastAsia" w:ascii="Times New Roman" w:eastAsia="方正仿宋_GBK"/>
          <w:szCs w:val="32"/>
        </w:rPr>
        <w:t>行业监管责任</w:t>
      </w:r>
      <w:r>
        <w:rPr>
          <w:rFonts w:hint="eastAsia" w:ascii="Times New Roman" w:eastAsia="方正仿宋_GBK"/>
          <w:szCs w:val="32"/>
          <w:lang w:eastAsia="zh-CN"/>
        </w:rPr>
        <w:t>（详见附件</w:t>
      </w:r>
      <w:r>
        <w:rPr>
          <w:rFonts w:hint="eastAsia" w:eastAsia="方正仿宋_GBK"/>
          <w:szCs w:val="32"/>
          <w:lang w:val="en-US" w:eastAsia="zh-CN"/>
        </w:rPr>
        <w:t>4）</w:t>
      </w:r>
      <w:r>
        <w:rPr>
          <w:rFonts w:hint="eastAsia" w:ascii="Times New Roman" w:eastAsia="方正仿宋_GBK"/>
          <w:szCs w:val="32"/>
        </w:rPr>
        <w:t>。</w:t>
      </w:r>
    </w:p>
    <w:p>
      <w:pPr>
        <w:pStyle w:val="2"/>
        <w:spacing w:line="560" w:lineRule="exact"/>
        <w:ind w:firstLine="600"/>
        <w:rPr>
          <w:rFonts w:hint="eastAsia" w:ascii="Times New Roman" w:eastAsia="方正仿宋_GBK"/>
          <w:szCs w:val="32"/>
        </w:rPr>
      </w:pPr>
      <w:r>
        <w:rPr>
          <w:rFonts w:hint="eastAsia" w:ascii="方正楷体_GBK" w:hAnsi="方正楷体_GBK" w:eastAsia="方正楷体_GBK" w:cs="方正楷体_GBK"/>
          <w:kern w:val="2"/>
          <w:sz w:val="32"/>
          <w:szCs w:val="32"/>
          <w:lang w:val="en-US" w:eastAsia="zh-CN" w:bidi="ar-SA"/>
        </w:rPr>
        <w:t>（五）安排“雨露计划”项目280万元。</w:t>
      </w:r>
      <w:r>
        <w:rPr>
          <w:rFonts w:hint="eastAsia" w:eastAsia="方正仿宋_GBK"/>
          <w:szCs w:val="32"/>
          <w:lang w:val="en-US" w:eastAsia="zh-CN"/>
        </w:rPr>
        <w:t>主要用于对有子女接受中、高等职业教育的脱贫户或监测户家庭进行教育补助等。由县乡村振兴局牵头实施并履行</w:t>
      </w:r>
      <w:r>
        <w:rPr>
          <w:rFonts w:hint="eastAsia" w:ascii="Times New Roman" w:eastAsia="方正仿宋_GBK"/>
          <w:szCs w:val="32"/>
        </w:rPr>
        <w:t>行业监管责任</w:t>
      </w:r>
      <w:r>
        <w:rPr>
          <w:rFonts w:hint="eastAsia" w:ascii="Times New Roman" w:eastAsia="方正仿宋_GBK"/>
          <w:szCs w:val="32"/>
          <w:lang w:eastAsia="zh-CN"/>
        </w:rPr>
        <w:t>（详见附件</w:t>
      </w:r>
      <w:r>
        <w:rPr>
          <w:rFonts w:hint="eastAsia" w:eastAsia="方正仿宋_GBK"/>
          <w:szCs w:val="32"/>
          <w:lang w:val="en-US" w:eastAsia="zh-CN"/>
        </w:rPr>
        <w:t>4）</w:t>
      </w:r>
      <w:r>
        <w:rPr>
          <w:rFonts w:hint="eastAsia" w:ascii="Times New Roman" w:eastAsia="方正仿宋_GBK"/>
          <w:szCs w:val="32"/>
        </w:rPr>
        <w:t>。</w:t>
      </w:r>
    </w:p>
    <w:p>
      <w:pPr>
        <w:keepNext w:val="0"/>
        <w:keepLines w:val="0"/>
        <w:widowControl/>
        <w:suppressLineNumbers w:val="0"/>
        <w:jc w:val="both"/>
        <w:rPr>
          <w:rFonts w:hint="eastAsia" w:ascii="Times New Roman" w:eastAsia="方正仿宋_GBK"/>
          <w:szCs w:val="32"/>
        </w:rPr>
      </w:pPr>
      <w:r>
        <w:rPr>
          <w:rFonts w:hint="eastAsia" w:ascii="Times New Roman" w:eastAsia="方正仿宋_GBK" w:cs="Times New Roman"/>
          <w:kern w:val="2"/>
          <w:sz w:val="32"/>
          <w:szCs w:val="32"/>
          <w:lang w:val="en-US" w:eastAsia="zh-CN" w:bidi="ar-SA"/>
        </w:rPr>
        <w:t xml:space="preserve">    </w:t>
      </w:r>
      <w:r>
        <w:rPr>
          <w:rFonts w:hint="eastAsia" w:ascii="方正楷体_GBK" w:hAnsi="方正楷体_GBK" w:eastAsia="方正楷体_GBK" w:cs="方正楷体_GBK"/>
          <w:kern w:val="2"/>
          <w:sz w:val="32"/>
          <w:szCs w:val="32"/>
          <w:lang w:val="en-US" w:eastAsia="zh-CN" w:bidi="ar-SA"/>
        </w:rPr>
        <w:t>（六）安排项目管理费280万元。</w:t>
      </w:r>
      <w:r>
        <w:rPr>
          <w:rFonts w:hint="eastAsia" w:ascii="Times New Roman" w:hAnsi="Times New Roman" w:eastAsia="方正仿宋_GBK" w:cs="Times New Roman"/>
          <w:kern w:val="2"/>
          <w:sz w:val="32"/>
          <w:szCs w:val="32"/>
          <w:lang w:val="en-US" w:eastAsia="zh-CN" w:bidi="ar-SA"/>
        </w:rPr>
        <w:t>按照重庆财政局等6个部门《关于印发〈重庆市财政衔接推进乡村振兴补助资金管理实施办法〉的通知》（渝财农〔2021〕31号）要求，从市级以上衔接资金中按不超过1%的比例提取项目管理费。本次安排下达的衔接资金，各乡镇（街道）、业主单位不再另行提取项目管理费。</w:t>
      </w:r>
      <w:r>
        <w:rPr>
          <w:rFonts w:ascii="Times New Roman" w:hAnsi="Times New Roman" w:eastAsia="方正仿宋_GBK" w:cs="Times New Roman"/>
          <w:kern w:val="0"/>
          <w:sz w:val="32"/>
          <w:szCs w:val="32"/>
        </w:rPr>
        <w:t>项目管理费主要用于项目前期设计、评审、招标、监理以及验收等与项目管理相关的支出。</w:t>
      </w:r>
      <w:r>
        <w:rPr>
          <w:rFonts w:hint="eastAsia" w:ascii="Times New Roman" w:hAnsi="Times New Roman" w:eastAsia="方正仿宋_GBK" w:cs="Times New Roman"/>
          <w:kern w:val="2"/>
          <w:sz w:val="32"/>
          <w:szCs w:val="32"/>
          <w:lang w:val="en-US" w:eastAsia="zh-CN" w:bidi="ar-SA"/>
        </w:rPr>
        <w:t>由相关部门、乡镇（街道）组织实施。（详见附件5）。</w:t>
      </w:r>
    </w:p>
    <w:p>
      <w:pPr>
        <w:pStyle w:val="2"/>
        <w:spacing w:line="560" w:lineRule="exact"/>
        <w:ind w:firstLine="600"/>
        <w:rPr>
          <w:rFonts w:eastAsia="方正黑体_GBK"/>
          <w:color w:val="000000"/>
          <w:szCs w:val="32"/>
        </w:rPr>
      </w:pPr>
      <w:r>
        <w:rPr>
          <w:rFonts w:hint="eastAsia" w:eastAsia="方正黑体_GBK"/>
          <w:color w:val="000000"/>
          <w:szCs w:val="32"/>
          <w:lang w:eastAsia="zh-CN"/>
        </w:rPr>
        <w:t>二</w:t>
      </w:r>
      <w:r>
        <w:rPr>
          <w:rFonts w:eastAsia="方正黑体_GBK"/>
          <w:color w:val="000000"/>
          <w:szCs w:val="32"/>
        </w:rPr>
        <w:t>、项目资金监管要求</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ascii="Times New Roman" w:eastAsia="方正仿宋_GBK"/>
          <w:bCs/>
          <w:szCs w:val="32"/>
        </w:rPr>
      </w:pPr>
      <w:r>
        <w:rPr>
          <w:rFonts w:ascii="Times New Roman" w:eastAsia="方正楷体_GBK"/>
          <w:bCs/>
          <w:color w:val="000000"/>
          <w:szCs w:val="32"/>
        </w:rPr>
        <w:t>（一）落实好项目实施主体责任。</w:t>
      </w:r>
      <w:r>
        <w:rPr>
          <w:rFonts w:ascii="Times New Roman" w:eastAsia="方正仿宋_GBK"/>
          <w:color w:val="000000"/>
          <w:szCs w:val="32"/>
        </w:rPr>
        <w:t>按照“谁实施、谁负责”原则，业主单位是实施主体，负责对衔接资金及统筹整合资金使用管理和项目实施全过程监管</w:t>
      </w:r>
      <w:r>
        <w:rPr>
          <w:rFonts w:hint="eastAsia" w:ascii="Times New Roman" w:eastAsia="方正仿宋_GBK"/>
          <w:color w:val="000000"/>
          <w:szCs w:val="32"/>
          <w:lang w:eastAsia="zh-CN"/>
        </w:rPr>
        <w:t>，要</w:t>
      </w:r>
      <w:r>
        <w:rPr>
          <w:rFonts w:ascii="Times New Roman" w:eastAsia="方正仿宋_GBK"/>
          <w:color w:val="000000"/>
          <w:szCs w:val="32"/>
        </w:rPr>
        <w:t>及时编制项目实施方案报行业主管部门审查备案，切实加强</w:t>
      </w:r>
      <w:r>
        <w:rPr>
          <w:rFonts w:ascii="Times New Roman" w:eastAsia="方正仿宋_GBK"/>
          <w:bCs/>
          <w:szCs w:val="32"/>
        </w:rPr>
        <w:t>常态化监管，引导群众参与项目决策、实施、</w:t>
      </w:r>
      <w:r>
        <w:rPr>
          <w:rFonts w:hint="eastAsia" w:ascii="Times New Roman" w:eastAsia="方正仿宋_GBK"/>
          <w:bCs/>
          <w:szCs w:val="32"/>
          <w:lang w:eastAsia="zh-CN"/>
        </w:rPr>
        <w:t>监管</w:t>
      </w:r>
      <w:r>
        <w:rPr>
          <w:rFonts w:ascii="Times New Roman" w:eastAsia="方正仿宋_GBK"/>
          <w:bCs/>
          <w:szCs w:val="32"/>
        </w:rPr>
        <w:t>，切实履行资金项目监管主体责任。</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方正仿宋_GBK" w:cs="Times New Roman"/>
          <w:color w:val="000000"/>
          <w:szCs w:val="32"/>
        </w:rPr>
      </w:pPr>
      <w:r>
        <w:rPr>
          <w:rFonts w:ascii="Times New Roman" w:eastAsia="方正楷体_GBK"/>
          <w:bCs/>
          <w:color w:val="000000"/>
          <w:szCs w:val="32"/>
        </w:rPr>
        <w:t>（二）履行好行业监管责任。</w:t>
      </w:r>
      <w:r>
        <w:rPr>
          <w:rFonts w:ascii="Times New Roman" w:eastAsia="方正仿宋_GBK"/>
          <w:color w:val="000000"/>
          <w:szCs w:val="32"/>
        </w:rPr>
        <w:t>按照“谁主管、谁监管”原则，</w:t>
      </w:r>
      <w:r>
        <w:rPr>
          <w:rFonts w:hint="default" w:ascii="Times New Roman" w:hAnsi="Times New Roman" w:eastAsia="方正仿宋_GBK" w:cs="Times New Roman"/>
          <w:color w:val="000000"/>
          <w:szCs w:val="32"/>
        </w:rPr>
        <w:t>行业主管部门严格执行项目归口管理责任，切实</w:t>
      </w:r>
      <w:r>
        <w:rPr>
          <w:rFonts w:hint="default" w:ascii="Times New Roman" w:hAnsi="Times New Roman" w:eastAsia="方正仿宋_GBK" w:cs="Times New Roman"/>
          <w:color w:val="000000"/>
          <w:szCs w:val="32"/>
          <w:lang w:eastAsia="zh-CN"/>
        </w:rPr>
        <w:t>履行</w:t>
      </w:r>
      <w:r>
        <w:rPr>
          <w:rFonts w:hint="default" w:ascii="Times New Roman" w:hAnsi="Times New Roman" w:eastAsia="方正仿宋_GBK" w:cs="Times New Roman"/>
          <w:color w:val="000000"/>
          <w:szCs w:val="32"/>
        </w:rPr>
        <w:t>项目申报审查、</w:t>
      </w:r>
      <w:r>
        <w:rPr>
          <w:rFonts w:hint="eastAsia" w:ascii="Times New Roman" w:eastAsia="方正仿宋_GBK" w:cs="Times New Roman"/>
          <w:color w:val="000000"/>
          <w:szCs w:val="32"/>
          <w:lang w:eastAsia="zh-CN"/>
        </w:rPr>
        <w:t>项目实施、</w:t>
      </w:r>
      <w:r>
        <w:rPr>
          <w:rFonts w:hint="default" w:ascii="Times New Roman" w:hAnsi="Times New Roman" w:eastAsia="方正仿宋_GBK" w:cs="Times New Roman"/>
          <w:color w:val="000000"/>
          <w:szCs w:val="32"/>
        </w:rPr>
        <w:t>公示公告、验收、档案管理和项目绩效评价等</w:t>
      </w:r>
      <w:r>
        <w:rPr>
          <w:rFonts w:hint="default" w:ascii="Times New Roman" w:hAnsi="Times New Roman" w:eastAsia="方正仿宋_GBK" w:cs="Times New Roman"/>
          <w:color w:val="000000"/>
          <w:szCs w:val="32"/>
          <w:lang w:eastAsia="zh-CN"/>
        </w:rPr>
        <w:t>监管指导责任</w:t>
      </w:r>
      <w:r>
        <w:rPr>
          <w:rFonts w:hint="default" w:ascii="Times New Roman" w:hAnsi="Times New Roman" w:eastAsia="方正仿宋_GBK" w:cs="Times New Roman"/>
          <w:color w:val="000000"/>
          <w:szCs w:val="32"/>
        </w:rPr>
        <w:t>。</w:t>
      </w:r>
    </w:p>
    <w:p>
      <w:pPr>
        <w:keepNext w:val="0"/>
        <w:keepLines w:val="0"/>
        <w:pageBreakBefore w:val="0"/>
        <w:widowControl w:val="0"/>
        <w:kinsoku/>
        <w:wordWrap/>
        <w:topLinePunct w:val="0"/>
        <w:autoSpaceDE/>
        <w:autoSpaceDN/>
        <w:bidi w:val="0"/>
        <w:adjustRightInd/>
        <w:snapToGrid/>
        <w:spacing w:line="560" w:lineRule="exact"/>
        <w:ind w:firstLine="630"/>
        <w:textAlignment w:val="auto"/>
        <w:rPr>
          <w:rFonts w:ascii="Times New Roman" w:eastAsia="方正仿宋_GBK"/>
          <w:color w:val="000000"/>
          <w:szCs w:val="32"/>
        </w:rPr>
      </w:pPr>
      <w:r>
        <w:rPr>
          <w:rFonts w:ascii="Times New Roman" w:eastAsia="方正楷体_GBK"/>
          <w:bCs/>
          <w:color w:val="000000"/>
          <w:szCs w:val="32"/>
        </w:rPr>
        <w:t>（三）严格执行规章制度。</w:t>
      </w:r>
      <w:r>
        <w:rPr>
          <w:rFonts w:ascii="Times New Roman" w:eastAsia="方正仿宋_GBK"/>
          <w:color w:val="000000"/>
          <w:szCs w:val="32"/>
        </w:rPr>
        <w:t>严格执行《城口县财政衔接推进乡村振兴补助资金管理实施细则》（城财发〔2021〕467 号）等衔接资金管理有关制度规定，确保项目资金使用精准。</w:t>
      </w:r>
      <w:r>
        <w:rPr>
          <w:rFonts w:ascii="Times New Roman" w:eastAsia="方正仿宋_GBK"/>
          <w:szCs w:val="32"/>
        </w:rPr>
        <w:t>规范项目调项程序，原则上调整项目和结余项目资金一律收回国库重新安排使用。</w:t>
      </w:r>
    </w:p>
    <w:p>
      <w:pPr>
        <w:spacing w:line="560" w:lineRule="exact"/>
        <w:ind w:firstLine="630"/>
        <w:rPr>
          <w:rFonts w:ascii="Times New Roman" w:eastAsia="方正仿宋_GBK"/>
          <w:bCs/>
          <w:color w:val="000000"/>
          <w:szCs w:val="32"/>
        </w:rPr>
      </w:pPr>
      <w:r>
        <w:rPr>
          <w:rFonts w:ascii="Times New Roman" w:eastAsia="方正楷体_GBK"/>
          <w:bCs/>
          <w:color w:val="000000"/>
          <w:szCs w:val="32"/>
        </w:rPr>
        <w:t>（四）加强项目库建设管理。</w:t>
      </w:r>
      <w:r>
        <w:rPr>
          <w:rFonts w:ascii="Times New Roman" w:eastAsia="方正仿宋_GBK"/>
          <w:bCs/>
          <w:color w:val="000000"/>
          <w:szCs w:val="32"/>
        </w:rPr>
        <w:t>坚持“项目跟着规划走、资金跟着项目走”的原则，按照巩固拓展脱贫攻坚成果和乡村振兴项目库建设管理要求，严格“村申报、乡审核、县审定”基本程序，精准谋划、科学论证，做好项目前期准备，切实扣好扣紧资金分配“第一颗扣子”。</w:t>
      </w:r>
    </w:p>
    <w:p>
      <w:pPr>
        <w:spacing w:line="560" w:lineRule="exact"/>
        <w:ind w:firstLine="630"/>
        <w:rPr>
          <w:rFonts w:ascii="Times New Roman" w:eastAsia="方正仿宋_GBK"/>
          <w:color w:val="000000"/>
          <w:szCs w:val="32"/>
        </w:rPr>
      </w:pPr>
      <w:r>
        <w:rPr>
          <w:rFonts w:ascii="Times New Roman" w:eastAsia="方正楷体_GBK"/>
          <w:szCs w:val="32"/>
        </w:rPr>
        <w:t>（五）全面实施绩效管理。</w:t>
      </w:r>
      <w:r>
        <w:rPr>
          <w:rFonts w:ascii="Times New Roman" w:eastAsia="方正仿宋_GBK"/>
          <w:szCs w:val="32"/>
        </w:rPr>
        <w:t>严格落实衔接资金绩效管理相关规定，牢固树立绩效意识，全面实施绩效管理，提前设定绩效目标，加强绩效运行监控</w:t>
      </w:r>
      <w:r>
        <w:rPr>
          <w:rFonts w:hint="eastAsia" w:ascii="Times New Roman" w:eastAsia="方正仿宋_GBK"/>
          <w:szCs w:val="32"/>
          <w:lang w:eastAsia="zh-CN"/>
        </w:rPr>
        <w:t>，</w:t>
      </w:r>
      <w:r>
        <w:rPr>
          <w:rFonts w:ascii="Times New Roman" w:eastAsia="方正仿宋_GBK"/>
          <w:szCs w:val="32"/>
        </w:rPr>
        <w:t>开展绩效评价。</w:t>
      </w:r>
      <w:r>
        <w:rPr>
          <w:rFonts w:ascii="Times New Roman" w:eastAsia="方正仿宋_GBK"/>
          <w:color w:val="000000"/>
          <w:szCs w:val="32"/>
        </w:rPr>
        <w:t>严格落实项目绩效与</w:t>
      </w:r>
      <w:r>
        <w:rPr>
          <w:rFonts w:hint="eastAsia" w:ascii="Times New Roman" w:eastAsia="方正仿宋_GBK"/>
          <w:color w:val="000000"/>
          <w:szCs w:val="32"/>
          <w:lang w:eastAsia="zh-CN"/>
        </w:rPr>
        <w:t>预算安排</w:t>
      </w:r>
      <w:r>
        <w:rPr>
          <w:rFonts w:ascii="Times New Roman" w:eastAsia="方正仿宋_GBK"/>
          <w:color w:val="000000"/>
          <w:szCs w:val="32"/>
        </w:rPr>
        <w:t>挂钩制度，对管理好的实行奖补，对管理差的扣减预算安排，切实提高项目质量和资金使用绩效。</w:t>
      </w:r>
    </w:p>
    <w:p>
      <w:pPr>
        <w:spacing w:line="560" w:lineRule="exact"/>
        <w:ind w:firstLine="630"/>
      </w:pPr>
      <w:r>
        <w:rPr>
          <w:rFonts w:ascii="Times New Roman" w:eastAsia="方正楷体_GBK"/>
          <w:szCs w:val="32"/>
        </w:rPr>
        <w:t>（六）</w:t>
      </w:r>
      <w:r>
        <w:rPr>
          <w:rFonts w:ascii="Times New Roman" w:eastAsia="方正楷体_GBK"/>
          <w:color w:val="000000"/>
          <w:szCs w:val="32"/>
        </w:rPr>
        <w:t>限时完成项目建设任务。</w:t>
      </w:r>
      <w:r>
        <w:rPr>
          <w:rFonts w:ascii="方正仿宋_GBK" w:hAnsi="方正仿宋_GBK" w:eastAsia="方正仿宋_GBK" w:cs="方正仿宋_GBK"/>
          <w:color w:val="000000"/>
          <w:kern w:val="0"/>
          <w:sz w:val="31"/>
          <w:szCs w:val="31"/>
          <w:lang w:val="en-US" w:eastAsia="zh-CN" w:bidi="ar"/>
        </w:rPr>
        <w:t>项目计划下达后</w:t>
      </w:r>
      <w:r>
        <w:rPr>
          <w:rFonts w:hint="default" w:ascii="Times New Roman" w:hAnsi="Times New Roman" w:eastAsia="宋体" w:cs="Times New Roman"/>
          <w:color w:val="000000"/>
          <w:kern w:val="0"/>
          <w:sz w:val="31"/>
          <w:szCs w:val="31"/>
          <w:lang w:val="en-US" w:eastAsia="zh-CN" w:bidi="ar"/>
        </w:rPr>
        <w:t>30</w:t>
      </w:r>
      <w:r>
        <w:rPr>
          <w:rFonts w:hint="eastAsia" w:ascii="方正仿宋_GBK" w:hAnsi="方正仿宋_GBK" w:eastAsia="方正仿宋_GBK" w:cs="方正仿宋_GBK"/>
          <w:color w:val="000000"/>
          <w:kern w:val="0"/>
          <w:sz w:val="31"/>
          <w:szCs w:val="31"/>
          <w:lang w:val="en-US" w:eastAsia="zh-CN" w:bidi="ar"/>
        </w:rPr>
        <w:t>日内启</w:t>
      </w:r>
    </w:p>
    <w:p>
      <w:pPr>
        <w:pStyle w:val="6"/>
        <w:keepNext w:val="0"/>
        <w:keepLines w:val="0"/>
        <w:widowControl/>
        <w:suppressLineNumbers w:val="0"/>
      </w:pPr>
      <w:r>
        <w:rPr>
          <w:rFonts w:hint="eastAsia" w:ascii="方正仿宋_GBK" w:hAnsi="方正仿宋_GBK" w:eastAsia="方正仿宋_GBK" w:cs="方正仿宋_GBK"/>
          <w:color w:val="000000"/>
          <w:sz w:val="31"/>
          <w:szCs w:val="31"/>
        </w:rPr>
        <w:t>动实施，单个项目原则上必须在当年度实施完毕，确需跨年度的</w:t>
      </w:r>
    </w:p>
    <w:p>
      <w:pPr>
        <w:pStyle w:val="6"/>
        <w:keepNext w:val="0"/>
        <w:keepLines w:val="0"/>
        <w:widowControl/>
        <w:suppressLineNumbers w:val="0"/>
        <w:rPr>
          <w:rFonts w:ascii="Times New Roman" w:eastAsia="方正仿宋_GBK"/>
          <w:color w:val="000000"/>
          <w:szCs w:val="32"/>
        </w:rPr>
      </w:pPr>
      <w:r>
        <w:rPr>
          <w:rFonts w:hint="eastAsia" w:ascii="方正仿宋_GBK" w:hAnsi="方正仿宋_GBK" w:eastAsia="方正仿宋_GBK" w:cs="方正仿宋_GBK"/>
          <w:color w:val="000000"/>
          <w:sz w:val="31"/>
          <w:szCs w:val="31"/>
        </w:rPr>
        <w:t>应在</w:t>
      </w:r>
      <w:r>
        <w:rPr>
          <w:rFonts w:hint="default" w:ascii="Times New Roman" w:hAnsi="Times New Roman" w:cs="Times New Roman"/>
          <w:color w:val="000000"/>
          <w:sz w:val="31"/>
          <w:szCs w:val="31"/>
        </w:rPr>
        <w:t>12</w:t>
      </w:r>
      <w:r>
        <w:rPr>
          <w:rFonts w:hint="eastAsia" w:ascii="方正仿宋_GBK" w:hAnsi="方正仿宋_GBK" w:eastAsia="方正仿宋_GBK" w:cs="方正仿宋_GBK"/>
          <w:color w:val="000000"/>
          <w:sz w:val="31"/>
          <w:szCs w:val="31"/>
        </w:rPr>
        <w:t>个月内实施完毕，收到验收申请后</w:t>
      </w:r>
      <w:r>
        <w:rPr>
          <w:rFonts w:hint="default" w:ascii="Times New Roman" w:hAnsi="Times New Roman" w:cs="Times New Roman"/>
          <w:color w:val="000000"/>
          <w:sz w:val="31"/>
          <w:szCs w:val="31"/>
        </w:rPr>
        <w:t>1</w:t>
      </w:r>
      <w:r>
        <w:rPr>
          <w:rFonts w:hint="eastAsia" w:ascii="方正仿宋_GBK" w:hAnsi="方正仿宋_GBK" w:eastAsia="方正仿宋_GBK" w:cs="方正仿宋_GBK"/>
          <w:color w:val="000000"/>
          <w:sz w:val="31"/>
          <w:szCs w:val="31"/>
        </w:rPr>
        <w:t>个月内完成检查验收，竣工结算在</w:t>
      </w:r>
      <w:r>
        <w:rPr>
          <w:rFonts w:hint="default" w:ascii="Times New Roman" w:hAnsi="Times New Roman" w:cs="Times New Roman"/>
          <w:color w:val="000000"/>
          <w:sz w:val="31"/>
          <w:szCs w:val="31"/>
        </w:rPr>
        <w:t>15</w:t>
      </w:r>
      <w:r>
        <w:rPr>
          <w:rFonts w:hint="eastAsia" w:ascii="方正仿宋_GBK" w:hAnsi="方正仿宋_GBK" w:eastAsia="方正仿宋_GBK" w:cs="方正仿宋_GBK"/>
          <w:color w:val="000000"/>
          <w:sz w:val="31"/>
          <w:szCs w:val="31"/>
        </w:rPr>
        <w:t>个工作日内完成，确保</w:t>
      </w:r>
      <w:r>
        <w:rPr>
          <w:rFonts w:hint="eastAsia" w:ascii="方正仿宋_GBK" w:hAnsi="方正仿宋_GBK" w:eastAsia="方正仿宋_GBK" w:cs="方正仿宋_GBK"/>
          <w:color w:val="000000"/>
          <w:sz w:val="31"/>
          <w:szCs w:val="31"/>
          <w:lang w:eastAsia="zh-CN"/>
        </w:rPr>
        <w:t>当</w:t>
      </w:r>
      <w:r>
        <w:rPr>
          <w:rFonts w:hint="eastAsia" w:ascii="方正仿宋_GBK" w:hAnsi="方正仿宋_GBK" w:eastAsia="方正仿宋_GBK" w:cs="方正仿宋_GBK"/>
          <w:color w:val="000000"/>
          <w:sz w:val="31"/>
          <w:szCs w:val="31"/>
        </w:rPr>
        <w:t>年</w:t>
      </w:r>
      <w:r>
        <w:rPr>
          <w:rFonts w:hint="eastAsia" w:ascii="Times New Roman" w:hAnsi="Times New Roman" w:eastAsia="方正仿宋_GBK" w:cs="Times New Roman"/>
          <w:color w:val="000000"/>
          <w:sz w:val="31"/>
          <w:szCs w:val="31"/>
          <w:lang w:eastAsia="zh-CN"/>
        </w:rPr>
        <w:t>预算执行进度达到</w:t>
      </w:r>
      <w:r>
        <w:rPr>
          <w:rFonts w:hint="eastAsia" w:ascii="Times New Roman" w:hAnsi="Times New Roman" w:eastAsia="方正仿宋_GBK" w:cs="Times New Roman"/>
          <w:color w:val="000000"/>
          <w:sz w:val="31"/>
          <w:szCs w:val="31"/>
          <w:lang w:val="en-US" w:eastAsia="zh-CN"/>
        </w:rPr>
        <w:t>100%</w:t>
      </w:r>
      <w:r>
        <w:rPr>
          <w:rFonts w:hint="eastAsia" w:ascii="方正仿宋_GBK" w:hAnsi="方正仿宋_GBK" w:eastAsia="方正仿宋_GBK" w:cs="方正仿宋_GBK"/>
          <w:color w:val="000000"/>
          <w:sz w:val="31"/>
          <w:szCs w:val="31"/>
        </w:rPr>
        <w:t>。</w:t>
      </w:r>
    </w:p>
    <w:p>
      <w:pPr>
        <w:spacing w:line="560" w:lineRule="exact"/>
        <w:ind w:firstLine="630"/>
        <w:rPr>
          <w:rFonts w:ascii="Times New Roman" w:eastAsia="方正仿宋_GBK"/>
          <w:szCs w:val="32"/>
        </w:rPr>
      </w:pPr>
      <w:r>
        <w:rPr>
          <w:rFonts w:ascii="Times New Roman" w:eastAsia="方正楷体_GBK"/>
          <w:szCs w:val="32"/>
        </w:rPr>
        <w:t>（七）建立完善补助资金直达制度。</w:t>
      </w:r>
      <w:r>
        <w:rPr>
          <w:rFonts w:ascii="Times New Roman" w:eastAsia="方正仿宋_GBK"/>
          <w:szCs w:val="32"/>
        </w:rPr>
        <w:t>严格执行国库集中支付制度，综合运用信息化手段，统筹推进惠民惠农财政补贴资金“一卡通”管理与财政资金直达机制有效衔接，所有直接兑付到户到人的惠民惠农财政补贴资金原则上均通过“一卡通”方式发放，严禁资金层层转拨，实现资金绩效明显提高。</w:t>
      </w:r>
    </w:p>
    <w:p>
      <w:pPr>
        <w:spacing w:line="560" w:lineRule="exact"/>
        <w:ind w:firstLine="630"/>
        <w:rPr>
          <w:rFonts w:ascii="Times New Roman" w:eastAsia="方正仿宋_GBK"/>
          <w:color w:val="000000"/>
          <w:szCs w:val="32"/>
        </w:rPr>
      </w:pPr>
      <w:r>
        <w:rPr>
          <w:rFonts w:ascii="Times New Roman" w:eastAsia="方正楷体_GBK"/>
          <w:szCs w:val="32"/>
        </w:rPr>
        <w:t>（八）严格落实公告公示制度。</w:t>
      </w:r>
      <w:r>
        <w:rPr>
          <w:rFonts w:ascii="Times New Roman" w:eastAsia="方正仿宋_GBK"/>
          <w:color w:val="000000"/>
          <w:szCs w:val="32"/>
        </w:rPr>
        <w:t>按照习近平总书记“两个一律”要求，严格执行城口县乡村振兴局《关于转发&lt;中共重庆市委农村工作暨实施乡村振兴战略领导小组办公室关于加强财政衔接推进乡村振兴补助资金项目公告公示的通知&gt;的通知》（城乡振发〔2021〕25号）要求，县衔接资金分配结果一律公开，乡村两级项目安排和资金使用情况一律公告公示，</w:t>
      </w:r>
      <w:r>
        <w:rPr>
          <w:rFonts w:ascii="Times New Roman" w:eastAsia="方正仿宋_GBK"/>
          <w:bCs/>
          <w:szCs w:val="32"/>
        </w:rPr>
        <w:t>对年度资金项目计划安排情况、完成情况予以公告，主动接受群众和社会监督。</w:t>
      </w:r>
    </w:p>
    <w:p>
      <w:pPr>
        <w:spacing w:line="560" w:lineRule="exact"/>
        <w:ind w:firstLine="630"/>
        <w:rPr>
          <w:rFonts w:ascii="Times New Roman" w:eastAsia="方正仿宋_GBK"/>
          <w:szCs w:val="32"/>
        </w:rPr>
      </w:pPr>
      <w:r>
        <w:rPr>
          <w:rFonts w:ascii="Times New Roman" w:eastAsia="方正楷体_GBK"/>
          <w:szCs w:val="32"/>
        </w:rPr>
        <w:t>（九）加强资金项目资产管理。</w:t>
      </w:r>
      <w:r>
        <w:rPr>
          <w:rFonts w:ascii="Times New Roman" w:eastAsia="方正仿宋_GBK"/>
          <w:szCs w:val="32"/>
        </w:rPr>
        <w:t>按照</w:t>
      </w:r>
      <w:r>
        <w:rPr>
          <w:rFonts w:hint="eastAsia" w:ascii="Times New Roman" w:eastAsia="方正仿宋_GBK"/>
          <w:szCs w:val="32"/>
          <w:lang w:eastAsia="zh-CN"/>
        </w:rPr>
        <w:t>城口县乡村振兴局《关于转发〈重庆市加强扶贫项目资产后续管理实施意见〉的通知》（城乡振发〔2021〕43号）要求</w:t>
      </w:r>
      <w:r>
        <w:rPr>
          <w:rFonts w:ascii="Times New Roman" w:eastAsia="方正仿宋_GBK"/>
          <w:szCs w:val="32"/>
        </w:rPr>
        <w:t>，以资金为主线，以项目为载体，及时做好确权登记，建立项目台账，分类处理，</w:t>
      </w:r>
      <w:r>
        <w:rPr>
          <w:rFonts w:hint="eastAsia" w:ascii="Times New Roman" w:eastAsia="方正仿宋_GBK"/>
          <w:szCs w:val="32"/>
          <w:lang w:eastAsia="zh-CN"/>
        </w:rPr>
        <w:t>明确并落实</w:t>
      </w:r>
      <w:r>
        <w:rPr>
          <w:rFonts w:ascii="Times New Roman" w:eastAsia="方正仿宋_GBK"/>
          <w:szCs w:val="32"/>
        </w:rPr>
        <w:t>管护责任，确保持续发挥效益。</w:t>
      </w:r>
    </w:p>
    <w:p>
      <w:pPr>
        <w:spacing w:line="560" w:lineRule="exact"/>
        <w:ind w:firstLine="630"/>
        <w:rPr>
          <w:rFonts w:ascii="Times New Roman" w:eastAsia="方正仿宋_GBK"/>
          <w:bCs/>
          <w:szCs w:val="32"/>
        </w:rPr>
      </w:pPr>
      <w:r>
        <w:rPr>
          <w:rFonts w:ascii="Times New Roman" w:eastAsia="方正楷体_GBK"/>
          <w:szCs w:val="32"/>
        </w:rPr>
        <w:t>（十）</w:t>
      </w:r>
      <w:r>
        <w:rPr>
          <w:rFonts w:ascii="Times New Roman" w:eastAsia="方正楷体_GBK"/>
          <w:bCs/>
          <w:szCs w:val="32"/>
        </w:rPr>
        <w:t>及时规范</w:t>
      </w:r>
      <w:r>
        <w:rPr>
          <w:rFonts w:hint="eastAsia" w:ascii="Times New Roman" w:eastAsia="方正楷体_GBK"/>
          <w:bCs/>
          <w:szCs w:val="32"/>
          <w:lang w:eastAsia="zh-CN"/>
        </w:rPr>
        <w:t>完善</w:t>
      </w:r>
      <w:r>
        <w:rPr>
          <w:rFonts w:ascii="Times New Roman" w:eastAsia="方正楷体_GBK"/>
          <w:bCs/>
          <w:szCs w:val="32"/>
        </w:rPr>
        <w:t>项目档案</w:t>
      </w:r>
      <w:r>
        <w:rPr>
          <w:rFonts w:hint="eastAsia" w:ascii="Times New Roman" w:eastAsia="方正楷体_GBK"/>
          <w:bCs/>
          <w:szCs w:val="32"/>
          <w:lang w:eastAsia="zh-CN"/>
        </w:rPr>
        <w:t>资料</w:t>
      </w:r>
      <w:r>
        <w:rPr>
          <w:rFonts w:ascii="Times New Roman" w:eastAsia="方正楷体_GBK"/>
          <w:bCs/>
          <w:szCs w:val="32"/>
        </w:rPr>
        <w:t>。</w:t>
      </w:r>
      <w:r>
        <w:rPr>
          <w:rFonts w:hint="eastAsia" w:ascii="Times New Roman" w:eastAsia="方正仿宋_GBK"/>
          <w:bCs/>
          <w:szCs w:val="32"/>
          <w:lang w:eastAsia="zh-CN"/>
        </w:rPr>
        <w:t>按照《</w:t>
      </w:r>
      <w:r>
        <w:rPr>
          <w:rFonts w:hint="eastAsia" w:ascii="Times New Roman" w:eastAsia="方正仿宋_GBK"/>
          <w:bCs/>
          <w:szCs w:val="32"/>
        </w:rPr>
        <w:t>关于进一步加强衔接资金项目规范化管理的通知</w:t>
      </w:r>
      <w:r>
        <w:rPr>
          <w:rFonts w:hint="eastAsia" w:ascii="Times New Roman" w:eastAsia="方正仿宋_GBK"/>
          <w:bCs/>
          <w:szCs w:val="32"/>
          <w:lang w:eastAsia="zh-CN"/>
        </w:rPr>
        <w:t>》</w:t>
      </w:r>
      <w:r>
        <w:rPr>
          <w:rFonts w:hint="eastAsia" w:ascii="Times New Roman" w:eastAsia="方正仿宋_GBK"/>
          <w:bCs/>
          <w:szCs w:val="32"/>
          <w:lang w:val="en-US" w:eastAsia="zh-CN"/>
        </w:rPr>
        <w:t>（</w:t>
      </w:r>
      <w:r>
        <w:rPr>
          <w:rFonts w:hint="eastAsia" w:ascii="Times New Roman" w:eastAsia="方正仿宋_GBK"/>
          <w:bCs/>
          <w:szCs w:val="32"/>
        </w:rPr>
        <w:t>城乡振发〔2021〕28号</w:t>
      </w:r>
      <w:r>
        <w:rPr>
          <w:rFonts w:hint="eastAsia" w:ascii="Times New Roman" w:eastAsia="方正仿宋_GBK"/>
          <w:bCs/>
          <w:szCs w:val="32"/>
          <w:lang w:eastAsia="zh-CN"/>
        </w:rPr>
        <w:t>）要求，围绕</w:t>
      </w:r>
      <w:r>
        <w:rPr>
          <w:rFonts w:ascii="Times New Roman" w:eastAsia="方正仿宋_GBK"/>
          <w:bCs/>
          <w:szCs w:val="32"/>
        </w:rPr>
        <w:t>项目</w:t>
      </w:r>
      <w:r>
        <w:rPr>
          <w:rFonts w:hint="eastAsia" w:ascii="Times New Roman" w:eastAsia="方正仿宋_GBK"/>
          <w:bCs/>
          <w:szCs w:val="32"/>
          <w:lang w:eastAsia="zh-CN"/>
        </w:rPr>
        <w:t>申报</w:t>
      </w:r>
      <w:r>
        <w:rPr>
          <w:rFonts w:ascii="Times New Roman" w:eastAsia="方正仿宋_GBK"/>
          <w:bCs/>
          <w:szCs w:val="32"/>
        </w:rPr>
        <w:t>入库、项目实施、资金支付、公示公告、绩效</w:t>
      </w:r>
      <w:r>
        <w:rPr>
          <w:rFonts w:hint="eastAsia" w:ascii="Times New Roman" w:eastAsia="方正仿宋_GBK"/>
          <w:bCs/>
          <w:szCs w:val="32"/>
          <w:lang w:eastAsia="zh-CN"/>
        </w:rPr>
        <w:t>管理</w:t>
      </w:r>
      <w:r>
        <w:rPr>
          <w:rFonts w:ascii="Times New Roman" w:eastAsia="方正仿宋_GBK"/>
          <w:bCs/>
          <w:szCs w:val="32"/>
        </w:rPr>
        <w:t>、</w:t>
      </w:r>
      <w:r>
        <w:rPr>
          <w:rFonts w:hint="eastAsia" w:ascii="Times New Roman" w:eastAsia="方正仿宋_GBK"/>
          <w:bCs/>
          <w:szCs w:val="32"/>
        </w:rPr>
        <w:t>项目后续运营管护及资产</w:t>
      </w:r>
      <w:r>
        <w:rPr>
          <w:rFonts w:hint="eastAsia" w:ascii="Times New Roman" w:eastAsia="方正仿宋_GBK"/>
          <w:bCs/>
          <w:szCs w:val="32"/>
          <w:lang w:eastAsia="zh-CN"/>
        </w:rPr>
        <w:t>管理</w:t>
      </w:r>
      <w:r>
        <w:rPr>
          <w:rFonts w:ascii="Times New Roman" w:eastAsia="方正仿宋_GBK"/>
          <w:bCs/>
          <w:szCs w:val="32"/>
        </w:rPr>
        <w:t>等方面，完善项目前期程序、实施方案、</w:t>
      </w:r>
      <w:r>
        <w:rPr>
          <w:rFonts w:hint="eastAsia" w:ascii="Times New Roman" w:eastAsia="方正仿宋_GBK"/>
          <w:bCs/>
          <w:szCs w:val="32"/>
          <w:lang w:eastAsia="zh-CN"/>
        </w:rPr>
        <w:t>项目招采</w:t>
      </w:r>
      <w:r>
        <w:rPr>
          <w:rFonts w:ascii="Times New Roman" w:eastAsia="方正仿宋_GBK"/>
          <w:bCs/>
          <w:szCs w:val="32"/>
        </w:rPr>
        <w:t>、合同订立、承包单位、公示公告、监督管理、验收、结（决）算、资金支付、绩效目标</w:t>
      </w:r>
      <w:r>
        <w:rPr>
          <w:rFonts w:hint="eastAsia" w:ascii="Times New Roman" w:eastAsia="方正仿宋_GBK"/>
          <w:bCs/>
          <w:szCs w:val="32"/>
          <w:lang w:eastAsia="zh-CN"/>
        </w:rPr>
        <w:t>、资产管护</w:t>
      </w:r>
      <w:r>
        <w:rPr>
          <w:rFonts w:ascii="Times New Roman" w:eastAsia="方正仿宋_GBK"/>
          <w:bCs/>
          <w:szCs w:val="32"/>
        </w:rPr>
        <w:t>等基本要素，形成“专人负责、全程收集、县乡一致，一项一档、分类存放、长期保存”的档案管理模式，使项目实施前、实施中和实施后的各个环节都有据可查。</w:t>
      </w:r>
    </w:p>
    <w:p>
      <w:pPr>
        <w:spacing w:line="560" w:lineRule="exact"/>
        <w:ind w:firstLine="630"/>
        <w:rPr>
          <w:rFonts w:ascii="Times New Roman" w:eastAsia="方正仿宋_GBK"/>
          <w:bCs/>
          <w:szCs w:val="32"/>
        </w:rPr>
      </w:pPr>
      <w:r>
        <w:rPr>
          <w:rFonts w:ascii="Times New Roman" w:eastAsia="方正楷体_GBK"/>
          <w:bCs/>
          <w:szCs w:val="32"/>
        </w:rPr>
        <w:t>（十一）扎实做好全国防返贫监测</w:t>
      </w:r>
      <w:r>
        <w:rPr>
          <w:rFonts w:hint="eastAsia" w:ascii="Times New Roman" w:eastAsia="方正楷体_GBK"/>
          <w:bCs/>
          <w:szCs w:val="32"/>
          <w:lang w:eastAsia="zh-CN"/>
        </w:rPr>
        <w:t>信息</w:t>
      </w:r>
      <w:r>
        <w:rPr>
          <w:rFonts w:ascii="Times New Roman" w:eastAsia="方正楷体_GBK"/>
          <w:bCs/>
          <w:szCs w:val="32"/>
        </w:rPr>
        <w:t>系统（业务管理子系统）录入工作。</w:t>
      </w:r>
      <w:r>
        <w:rPr>
          <w:rFonts w:ascii="Times New Roman" w:eastAsia="方正仿宋_GBK"/>
          <w:bCs/>
          <w:szCs w:val="32"/>
        </w:rPr>
        <w:t>落实专人负责，及时准确将项目库维护、立项、实施等有关信息录入全国防返贫监测</w:t>
      </w:r>
      <w:r>
        <w:rPr>
          <w:rFonts w:hint="eastAsia" w:ascii="Times New Roman" w:eastAsia="方正仿宋_GBK"/>
          <w:bCs/>
          <w:szCs w:val="32"/>
          <w:lang w:eastAsia="zh-CN"/>
        </w:rPr>
        <w:t>信息</w:t>
      </w:r>
      <w:r>
        <w:rPr>
          <w:rFonts w:ascii="Times New Roman" w:eastAsia="方正仿宋_GBK"/>
          <w:bCs/>
          <w:szCs w:val="32"/>
        </w:rPr>
        <w:t>系统，做到资金安排与项目实施匹配，确保信息录入及时、数据真实准确、逻辑关系严密，做到“账账相符”“账实相符”。</w:t>
      </w:r>
    </w:p>
    <w:p>
      <w:pPr>
        <w:pStyle w:val="2"/>
        <w:spacing w:line="560" w:lineRule="exact"/>
        <w:rPr>
          <w:rFonts w:eastAsia="方正仿宋_GBK"/>
          <w:bCs/>
          <w:szCs w:val="32"/>
        </w:rPr>
      </w:pPr>
    </w:p>
    <w:p>
      <w:pPr>
        <w:pStyle w:val="2"/>
        <w:spacing w:line="560" w:lineRule="exact"/>
        <w:ind w:left="1404" w:leftChars="200" w:hanging="780" w:hangingChars="250"/>
        <w:rPr>
          <w:rFonts w:eastAsia="方正仿宋_GBK"/>
          <w:bCs/>
          <w:szCs w:val="32"/>
        </w:rPr>
      </w:pPr>
      <w:r>
        <w:rPr>
          <w:rFonts w:eastAsia="方正仿宋_GBK"/>
          <w:bCs/>
          <w:szCs w:val="32"/>
        </w:rPr>
        <w:t>附件：1.</w:t>
      </w:r>
      <w:r>
        <w:rPr>
          <w:rFonts w:hint="eastAsia" w:eastAsia="方正仿宋_GBK"/>
          <w:bCs/>
          <w:szCs w:val="32"/>
          <w:lang w:eastAsia="zh-CN"/>
        </w:rPr>
        <w:t>城口县2022年第一批财政衔接推进乡村振兴补助资金项目计划明细表</w:t>
      </w:r>
      <w:r>
        <w:rPr>
          <w:rFonts w:hint="eastAsia" w:eastAsia="方正仿宋_GBK"/>
          <w:bCs/>
          <w:szCs w:val="32"/>
        </w:rPr>
        <w:t>（公益性岗位）</w:t>
      </w:r>
    </w:p>
    <w:p>
      <w:pPr>
        <w:pStyle w:val="2"/>
        <w:spacing w:line="560" w:lineRule="exact"/>
        <w:ind w:left="1404" w:leftChars="450"/>
        <w:rPr>
          <w:rFonts w:hint="eastAsia" w:eastAsia="方正仿宋_GBK"/>
          <w:bCs/>
          <w:szCs w:val="32"/>
        </w:rPr>
      </w:pPr>
      <w:r>
        <w:rPr>
          <w:rFonts w:eastAsia="方正仿宋_GBK"/>
          <w:bCs/>
          <w:szCs w:val="32"/>
        </w:rPr>
        <w:t>2</w:t>
      </w:r>
      <w:r>
        <w:rPr>
          <w:rFonts w:hint="eastAsia" w:eastAsia="方正仿宋_GBK"/>
          <w:bCs/>
          <w:szCs w:val="32"/>
          <w:lang w:val="en-US" w:eastAsia="zh-CN"/>
        </w:rPr>
        <w:t>.1</w:t>
      </w:r>
      <w:r>
        <w:rPr>
          <w:rFonts w:hint="eastAsia" w:eastAsia="方正仿宋_GBK"/>
          <w:bCs/>
          <w:szCs w:val="32"/>
          <w:lang w:eastAsia="zh-CN"/>
        </w:rPr>
        <w:t>城口县2022年第一批财政衔接推进乡村振兴补助资金项目计划明细表</w:t>
      </w:r>
      <w:r>
        <w:rPr>
          <w:rFonts w:hint="eastAsia" w:eastAsia="方正仿宋_GBK"/>
          <w:bCs/>
          <w:szCs w:val="32"/>
        </w:rPr>
        <w:t>（农业产业项目）</w:t>
      </w:r>
    </w:p>
    <w:p>
      <w:pPr>
        <w:pStyle w:val="2"/>
        <w:spacing w:line="560" w:lineRule="exact"/>
        <w:ind w:left="1404" w:leftChars="450"/>
        <w:rPr>
          <w:rFonts w:hint="eastAsia" w:eastAsia="方正仿宋_GBK"/>
          <w:bCs/>
          <w:szCs w:val="32"/>
        </w:rPr>
      </w:pPr>
      <w:r>
        <w:rPr>
          <w:rFonts w:eastAsia="方正仿宋_GBK"/>
          <w:bCs/>
          <w:szCs w:val="32"/>
        </w:rPr>
        <w:t>2</w:t>
      </w:r>
      <w:r>
        <w:rPr>
          <w:rFonts w:hint="eastAsia" w:eastAsia="方正仿宋_GBK"/>
          <w:bCs/>
          <w:szCs w:val="32"/>
          <w:lang w:val="en-US" w:eastAsia="zh-CN"/>
        </w:rPr>
        <w:t>.2</w:t>
      </w:r>
      <w:r>
        <w:rPr>
          <w:rFonts w:hint="eastAsia" w:eastAsia="方正仿宋_GBK"/>
          <w:bCs/>
          <w:szCs w:val="32"/>
          <w:lang w:eastAsia="zh-CN"/>
        </w:rPr>
        <w:t>城口县2022年第一批财政衔接推进乡村振兴补助资金项目计划明细表</w:t>
      </w:r>
      <w:r>
        <w:rPr>
          <w:rFonts w:hint="eastAsia" w:eastAsia="方正仿宋_GBK"/>
          <w:bCs/>
          <w:szCs w:val="32"/>
        </w:rPr>
        <w:t>（林业产业项目）</w:t>
      </w:r>
    </w:p>
    <w:p>
      <w:pPr>
        <w:pStyle w:val="2"/>
        <w:spacing w:line="560" w:lineRule="exact"/>
        <w:ind w:left="1404" w:leftChars="450"/>
        <w:rPr>
          <w:rFonts w:eastAsia="方正仿宋_GBK"/>
          <w:bCs/>
          <w:szCs w:val="32"/>
        </w:rPr>
      </w:pPr>
      <w:r>
        <w:rPr>
          <w:rFonts w:hint="eastAsia" w:eastAsia="方正仿宋_GBK"/>
          <w:bCs/>
          <w:szCs w:val="32"/>
          <w:lang w:val="en-US" w:eastAsia="zh-CN"/>
        </w:rPr>
        <w:t>2.3</w:t>
      </w:r>
      <w:r>
        <w:rPr>
          <w:rFonts w:eastAsia="方正仿宋_GBK"/>
          <w:bCs/>
          <w:szCs w:val="32"/>
        </w:rPr>
        <w:t>.</w:t>
      </w:r>
      <w:r>
        <w:rPr>
          <w:rFonts w:hint="eastAsia" w:eastAsia="方正仿宋_GBK"/>
          <w:bCs/>
          <w:szCs w:val="32"/>
          <w:lang w:eastAsia="zh-CN"/>
        </w:rPr>
        <w:t>城口县2022年第一批财政衔接推进乡村振兴补助资金项目计划明细表</w:t>
      </w:r>
      <w:r>
        <w:rPr>
          <w:rFonts w:hint="eastAsia" w:eastAsia="方正仿宋_GBK"/>
          <w:bCs/>
          <w:szCs w:val="32"/>
        </w:rPr>
        <w:t>（产业项目类）</w:t>
      </w:r>
      <w:bookmarkStart w:id="0" w:name="_GoBack"/>
      <w:bookmarkEnd w:id="0"/>
    </w:p>
    <w:p>
      <w:pPr>
        <w:pStyle w:val="2"/>
        <w:spacing w:line="560" w:lineRule="exact"/>
        <w:ind w:left="1404" w:leftChars="450"/>
        <w:rPr>
          <w:rFonts w:hint="eastAsia" w:eastAsia="方正仿宋_GBK"/>
          <w:bCs/>
          <w:szCs w:val="32"/>
        </w:rPr>
      </w:pPr>
      <w:r>
        <w:rPr>
          <w:rFonts w:eastAsia="方正仿宋_GBK"/>
          <w:bCs/>
          <w:szCs w:val="32"/>
        </w:rPr>
        <w:t>3.</w:t>
      </w:r>
      <w:r>
        <w:rPr>
          <w:rFonts w:hint="eastAsia" w:eastAsia="方正仿宋_GBK"/>
          <w:bCs/>
          <w:szCs w:val="32"/>
          <w:lang w:eastAsia="zh-CN"/>
        </w:rPr>
        <w:t>城口县2022年第一批财政衔接推进乡村振兴补助资金项目计划明细表</w:t>
      </w:r>
      <w:r>
        <w:rPr>
          <w:rFonts w:hint="eastAsia" w:eastAsia="方正仿宋_GBK"/>
          <w:bCs/>
          <w:szCs w:val="32"/>
        </w:rPr>
        <w:t>（村基础设施类）</w:t>
      </w:r>
    </w:p>
    <w:p>
      <w:pPr>
        <w:pStyle w:val="2"/>
        <w:spacing w:line="560" w:lineRule="exact"/>
        <w:ind w:left="1404" w:leftChars="450"/>
        <w:rPr>
          <w:rFonts w:hint="eastAsia" w:eastAsia="方正仿宋_GBK"/>
          <w:bCs/>
          <w:szCs w:val="32"/>
          <w:lang w:val="en-US" w:eastAsia="zh-CN"/>
        </w:rPr>
      </w:pPr>
      <w:r>
        <w:rPr>
          <w:rFonts w:hint="eastAsia" w:eastAsia="方正仿宋_GBK"/>
          <w:bCs/>
          <w:szCs w:val="32"/>
          <w:lang w:val="en-US" w:eastAsia="zh-CN"/>
        </w:rPr>
        <w:t>4.</w:t>
      </w:r>
      <w:r>
        <w:rPr>
          <w:rFonts w:hint="eastAsia" w:eastAsia="方正仿宋_GBK"/>
          <w:bCs/>
          <w:szCs w:val="32"/>
          <w:lang w:eastAsia="zh-CN"/>
        </w:rPr>
        <w:t>城口县2022年第一批财政衔接推进乡村振兴补助资金项目计划明细表</w:t>
      </w:r>
      <w:r>
        <w:rPr>
          <w:rFonts w:hint="eastAsia" w:eastAsia="方正仿宋_GBK"/>
          <w:bCs/>
          <w:szCs w:val="32"/>
          <w:lang w:val="en-US" w:eastAsia="zh-CN"/>
        </w:rPr>
        <w:t>（其他类）</w:t>
      </w:r>
    </w:p>
    <w:p>
      <w:pPr>
        <w:pStyle w:val="2"/>
        <w:spacing w:line="560" w:lineRule="exact"/>
        <w:ind w:left="1404" w:leftChars="450"/>
        <w:rPr>
          <w:rFonts w:hint="default" w:eastAsia="方正仿宋_GBK"/>
          <w:bCs/>
          <w:szCs w:val="32"/>
          <w:lang w:val="en-US" w:eastAsia="zh-CN"/>
        </w:rPr>
      </w:pPr>
      <w:r>
        <w:rPr>
          <w:rFonts w:hint="eastAsia" w:eastAsia="方正仿宋_GBK"/>
          <w:bCs/>
          <w:szCs w:val="32"/>
          <w:lang w:val="en-US" w:eastAsia="zh-CN"/>
        </w:rPr>
        <w:t>5.</w:t>
      </w:r>
      <w:r>
        <w:rPr>
          <w:rFonts w:hint="eastAsia" w:eastAsia="方正仿宋_GBK"/>
          <w:bCs/>
          <w:szCs w:val="32"/>
          <w:lang w:eastAsia="zh-CN"/>
        </w:rPr>
        <w:t>城口县2022年第一批财政衔接推进乡村振兴补助资金项目计划明细表</w:t>
      </w:r>
      <w:r>
        <w:rPr>
          <w:rFonts w:hint="eastAsia" w:eastAsia="方正仿宋_GBK"/>
          <w:bCs/>
          <w:szCs w:val="32"/>
          <w:lang w:val="en-US" w:eastAsia="zh-CN"/>
        </w:rPr>
        <w:t>（项目管理费）</w:t>
      </w:r>
    </w:p>
    <w:p>
      <w:pPr>
        <w:spacing w:line="560" w:lineRule="exact"/>
        <w:ind w:firstLine="630"/>
        <w:jc w:val="left"/>
        <w:rPr>
          <w:rFonts w:ascii="Times New Roman" w:eastAsia="方正仿宋_GBK"/>
          <w:kern w:val="0"/>
          <w:szCs w:val="32"/>
        </w:rPr>
      </w:pPr>
    </w:p>
    <w:p>
      <w:pPr>
        <w:spacing w:line="560" w:lineRule="exact"/>
        <w:ind w:firstLine="630"/>
        <w:jc w:val="center"/>
        <w:rPr>
          <w:rFonts w:ascii="Times New Roman" w:eastAsia="方正仿宋_GBK"/>
          <w:kern w:val="0"/>
          <w:szCs w:val="32"/>
        </w:rPr>
      </w:pPr>
      <w:r>
        <w:rPr>
          <w:rFonts w:ascii="Times New Roman" w:eastAsia="方正仿宋_GBK"/>
          <w:kern w:val="0"/>
          <w:szCs w:val="32"/>
        </w:rPr>
        <w:t xml:space="preserve">         </w:t>
      </w:r>
    </w:p>
    <w:p>
      <w:pPr>
        <w:spacing w:line="560" w:lineRule="exact"/>
        <w:ind w:firstLine="609" w:firstLineChars="195"/>
        <w:rPr>
          <w:rFonts w:ascii="Times New Roman" w:eastAsia="方正仿宋_GBK"/>
          <w:kern w:val="0"/>
          <w:szCs w:val="32"/>
        </w:rPr>
      </w:pPr>
      <w:r>
        <w:rPr>
          <w:rFonts w:ascii="Times New Roman" w:eastAsia="方正仿宋_GBK"/>
          <w:kern w:val="0"/>
          <w:szCs w:val="32"/>
        </w:rPr>
        <w:t>中共城口县委农村工作暨实施乡村振兴战略领导小组办公室</w:t>
      </w:r>
    </w:p>
    <w:p>
      <w:pPr>
        <w:spacing w:line="560" w:lineRule="exact"/>
        <w:rPr>
          <w:rFonts w:ascii="Times New Roman" w:eastAsia="方正仿宋_GBK"/>
          <w:kern w:val="0"/>
          <w:szCs w:val="32"/>
        </w:rPr>
      </w:pPr>
    </w:p>
    <w:p>
      <w:pPr>
        <w:spacing w:line="560" w:lineRule="exact"/>
        <w:ind w:firstLine="1560" w:firstLineChars="500"/>
        <w:rPr>
          <w:rFonts w:ascii="Times New Roman" w:eastAsia="方正仿宋_GBK"/>
          <w:kern w:val="0"/>
          <w:szCs w:val="32"/>
        </w:rPr>
      </w:pPr>
    </w:p>
    <w:p>
      <w:pPr>
        <w:spacing w:line="560" w:lineRule="exact"/>
        <w:ind w:firstLine="1560" w:firstLineChars="500"/>
        <w:rPr>
          <w:rFonts w:ascii="Times New Roman" w:eastAsia="方正仿宋_GBK"/>
          <w:kern w:val="0"/>
          <w:szCs w:val="32"/>
        </w:rPr>
      </w:pPr>
      <w:r>
        <w:rPr>
          <w:rFonts w:ascii="Times New Roman" w:eastAsia="方正仿宋_GBK"/>
          <w:kern w:val="0"/>
          <w:szCs w:val="32"/>
        </w:rPr>
        <w:t>城口县乡村振兴局         城口县财政局</w:t>
      </w:r>
    </w:p>
    <w:p>
      <w:pPr>
        <w:spacing w:line="560" w:lineRule="exact"/>
        <w:ind w:firstLine="630"/>
        <w:jc w:val="center"/>
        <w:rPr>
          <w:rFonts w:ascii="Times New Roman" w:eastAsia="方正仿宋_GBK"/>
          <w:szCs w:val="32"/>
        </w:rPr>
      </w:pPr>
      <w:r>
        <w:rPr>
          <w:rFonts w:ascii="Times New Roman" w:eastAsia="方正仿宋_GBK"/>
          <w:kern w:val="0"/>
          <w:szCs w:val="32"/>
        </w:rPr>
        <w:t xml:space="preserve">        </w:t>
      </w:r>
      <w:r>
        <w:rPr>
          <w:rFonts w:ascii="Times New Roman" w:eastAsia="方正仿宋_GBK"/>
          <w:szCs w:val="32"/>
        </w:rPr>
        <w:t xml:space="preserve">         2021年1</w:t>
      </w:r>
      <w:r>
        <w:rPr>
          <w:rFonts w:hint="eastAsia" w:ascii="Times New Roman" w:eastAsia="方正仿宋_GBK"/>
          <w:szCs w:val="32"/>
          <w:lang w:val="en-US" w:eastAsia="zh-CN"/>
        </w:rPr>
        <w:t>2</w:t>
      </w:r>
      <w:r>
        <w:rPr>
          <w:rFonts w:ascii="Times New Roman" w:eastAsia="方正仿宋_GBK"/>
          <w:szCs w:val="32"/>
        </w:rPr>
        <w:t>月</w:t>
      </w:r>
      <w:r>
        <w:rPr>
          <w:rFonts w:hint="eastAsia" w:ascii="Times New Roman" w:eastAsia="方正仿宋_GBK"/>
          <w:szCs w:val="32"/>
        </w:rPr>
        <w:t>2</w:t>
      </w:r>
      <w:r>
        <w:rPr>
          <w:rFonts w:hint="eastAsia" w:ascii="Times New Roman" w:eastAsia="方正仿宋_GBK"/>
          <w:szCs w:val="32"/>
          <w:lang w:val="en-US" w:eastAsia="zh-CN"/>
        </w:rPr>
        <w:t>8</w:t>
      </w:r>
      <w:r>
        <w:rPr>
          <w:rFonts w:ascii="Times New Roman" w:eastAsia="方正仿宋_GBK"/>
          <w:szCs w:val="32"/>
        </w:rPr>
        <w:t>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560" w:lineRule="exact"/>
      </w:pPr>
    </w:p>
    <w:p>
      <w:pPr>
        <w:pStyle w:val="2"/>
        <w:spacing w:line="560" w:lineRule="exact"/>
      </w:pPr>
    </w:p>
    <w:p>
      <w:pPr>
        <w:pStyle w:val="2"/>
        <w:spacing w:line="560" w:lineRule="exact"/>
      </w:pPr>
    </w:p>
    <w:p>
      <w:pPr>
        <w:pStyle w:val="2"/>
        <w:spacing w:line="560" w:lineRule="exact"/>
      </w:pPr>
    </w:p>
    <w:p>
      <w:pPr>
        <w:spacing w:line="480" w:lineRule="exact"/>
        <w:ind w:left="1248" w:leftChars="100" w:right="290" w:rightChars="93" w:hanging="936" w:hangingChars="300"/>
        <w:rPr>
          <w:rFonts w:ascii="Times New Roman" w:eastAsia="方正仿宋_GBK"/>
          <w:sz w:val="28"/>
          <w:szCs w:val="28"/>
        </w:rPr>
      </w:pPr>
      <w:r>
        <w:rPr>
          <w:rFonts w:ascii="Times New Roman"/>
        </w:rPr>
        <w:pict>
          <v:shape id="_x0000_s2055" o:spid="_x0000_s2055" o:spt="32" type="#_x0000_t32" style="position:absolute;left:0pt;margin-left:-1.4pt;margin-top:1.3pt;height:0pt;width:443.25pt;z-index:251664384;mso-width-relative:page;mso-height-relative:page;" filled="f" coordsize="21600,21600" o:gfxdata="UEsDBAoAAAAAAIdO4kAAAAAAAAAAAAAAAAAEAAAAZHJzL1BLAwQUAAAACACHTuJApnBGntIAAAAG&#10;AQAADwAAAGRycy9kb3ducmV2LnhtbE3OMU/DMBAF4B2J/2AdElvrNNA0SuNUAom5ImVhu8TXOGp8&#10;jmK3Cf8ewwLj0zu9+8rDYgdxo8n3jhVs1gkI4tbpnjsFH6e3VQ7CB2SNg2NS8EUeDtX9XYmFdjO/&#10;060OnYgj7AtUYEIYCyl9a8iiX7uROHZnN1kMMU6d1BPOcdwOMk2STFrsOX4wONKrofZSX62C3bP+&#10;dJi9bJvtfDwFOps6Py5KPT5skj2IQEv4O4YffqRDFU2Nu7L2YlCwSqM8KEgzELHO86cdiOY3y6qU&#10;//nVN1BLAwQUAAAACACHTuJAJjgKNwMCAAD7AwAADgAAAGRycy9lMm9Eb2MueG1srVPNbhMxEL4j&#10;8Q6W72STldrCKpseEsoFQSTgASZe764l/8njZpOX4AWQOAEn4NR7nwbKYzD2pqGUSw/swTv+mW/m&#10;+/x5fr4zmm1lQOVszWeTKWfSCtco29X83duLJ085wwi2Ae2srPleIj9fPH40H3wlS9c73cjACMRi&#10;Nfia9zH6qihQ9NIATpyXljZbFwxEmoauaAIMhG50UU6np8XgQuODExKRVlfjJj8ghocAurZVQq6c&#10;uDTSxhE1SA2RKGGvPPJF7rZtpYiv2xZlZLrmxDTmkYpQvEljsZhD1QXwvRKHFuAhLdzjZEBZKnqE&#10;WkEEdhnUP1BGieDQtXEinClGIlkRYjGb3tPmTQ9eZi4kNfqj6Pj/YMWr7Tow1dS85MyCoQu/+XD1&#10;8/3nm+/ffny6+nX9McVfv7AySTV4rChjadfhMEO/Don3rg0m/YkR22V590d55S4yQYsnp+Wz8uyE&#10;M3G7V/xJ9AHjC+kMS0HNMQZQXR+Xzlq6RBdmWV7YvsRIpSnxNiFV1ZYN5OXybEr3KoBc2ZIbKDSe&#10;mKHtcjI6rZoLpXVKwdBtljqwLSRn5C8xJOC/jqUqK8B+PJe3Rs/0EprntmFx70kzS0+Fpx6MbDjT&#10;kl5WiggQqghKP+QkldY2Jcjs2wPRJPkocoo2rtln7Ys0I0/kjg/+Taa7O6f47pt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cEae0gAAAAYBAAAPAAAAAAAAAAEAIAAAACIAAABkcnMvZG93bnJl&#10;di54bWxQSwECFAAUAAAACACHTuJAJjgKNwMCAAD7AwAADgAAAAAAAAABACAAAAAhAQAAZHJzL2Uy&#10;b0RvYy54bWxQSwUGAAAAAAYABgBZAQAAlgUAAAAA&#10;">
            <v:path arrowok="t"/>
            <v:fill on="f" focussize="0,0"/>
            <v:stroke weight="1pt"/>
            <v:imagedata o:title=""/>
            <o:lock v:ext="edit"/>
          </v:shape>
        </w:pict>
      </w:r>
      <w:r>
        <w:rPr>
          <w:rFonts w:ascii="Times New Roman" w:eastAsia="方正仿宋_GBK"/>
          <w:color w:val="000000"/>
          <w:sz w:val="28"/>
          <w:szCs w:val="28"/>
        </w:rPr>
        <w:t>抄送：市乡村振兴局、市财政局，</w:t>
      </w:r>
      <w:r>
        <w:rPr>
          <w:rFonts w:ascii="Times New Roman" w:eastAsia="方正仿宋_GBK"/>
          <w:sz w:val="28"/>
          <w:szCs w:val="28"/>
        </w:rPr>
        <w:t>县纪委监委机关，县委办公室，县人大常委会办公室，县政府办公室，县政协办公室，县检察院</w:t>
      </w:r>
      <w:r>
        <w:rPr>
          <w:rFonts w:hint="eastAsia" w:ascii="Times New Roman" w:eastAsia="方正仿宋_GBK"/>
          <w:sz w:val="28"/>
          <w:szCs w:val="28"/>
          <w:lang w:eastAsia="zh-CN"/>
        </w:rPr>
        <w:t>、</w:t>
      </w:r>
      <w:r>
        <w:rPr>
          <w:rFonts w:ascii="Times New Roman" w:eastAsia="方正仿宋_GBK"/>
          <w:sz w:val="28"/>
          <w:szCs w:val="28"/>
        </w:rPr>
        <w:t>县审计局，</w:t>
      </w:r>
      <w:r>
        <w:rPr>
          <w:rFonts w:hint="eastAsia" w:ascii="Times New Roman" w:eastAsia="方正仿宋_GBK"/>
          <w:sz w:val="28"/>
          <w:szCs w:val="28"/>
          <w:lang w:eastAsia="zh-CN"/>
        </w:rPr>
        <w:t>县委组织部、</w:t>
      </w:r>
      <w:r>
        <w:rPr>
          <w:rFonts w:ascii="Times New Roman" w:eastAsia="方正仿宋_GBK"/>
          <w:sz w:val="28"/>
          <w:szCs w:val="28"/>
        </w:rPr>
        <w:t>县发展改革委、</w:t>
      </w:r>
      <w:r>
        <w:rPr>
          <w:rFonts w:hint="eastAsia" w:ascii="Times New Roman" w:eastAsia="方正仿宋_GBK"/>
          <w:sz w:val="28"/>
          <w:szCs w:val="28"/>
          <w:lang w:eastAsia="zh-CN"/>
        </w:rPr>
        <w:t>县规划自然资源局、</w:t>
      </w:r>
      <w:r>
        <w:rPr>
          <w:rFonts w:ascii="Times New Roman" w:eastAsia="方正仿宋_GBK"/>
          <w:sz w:val="28"/>
          <w:szCs w:val="28"/>
        </w:rPr>
        <w:t>县交通局、</w:t>
      </w:r>
      <w:r>
        <w:rPr>
          <w:rFonts w:hint="eastAsia" w:ascii="Times New Roman" w:eastAsia="方正仿宋_GBK"/>
          <w:sz w:val="28"/>
          <w:szCs w:val="28"/>
          <w:lang w:eastAsia="zh-CN"/>
        </w:rPr>
        <w:t>县水利局</w:t>
      </w:r>
      <w:r>
        <w:rPr>
          <w:rFonts w:ascii="Times New Roman" w:eastAsia="方正仿宋_GBK"/>
          <w:sz w:val="28"/>
          <w:szCs w:val="28"/>
        </w:rPr>
        <w:t>。</w:t>
      </w:r>
    </w:p>
    <w:p>
      <w:pPr>
        <w:spacing w:line="560" w:lineRule="exact"/>
        <w:rPr>
          <w:rFonts w:ascii="Times New Roman" w:eastAsia="方正仿宋_GBK"/>
          <w:kern w:val="0"/>
          <w:sz w:val="24"/>
          <w:szCs w:val="24"/>
        </w:rPr>
      </w:pPr>
      <w:r>
        <w:rPr>
          <w:rFonts w:ascii="Times New Roman"/>
          <w:sz w:val="24"/>
          <w:szCs w:val="24"/>
        </w:rPr>
        <w:pict>
          <v:shape id="_x0000_s2054" o:spid="_x0000_s2054" o:spt="32" type="#_x0000_t32" style="position:absolute;left:0pt;flip:y;margin-left:78.35pt;margin-top:741pt;height:0pt;width:442.2pt;mso-position-horizontal-relative:page;mso-position-vertical-relative:page;z-index:251660288;mso-width-relative:page;mso-height-relative:page;" filled="f" coordsize="21600,21600" o:gfxdata="UEsDBAoAAAAAAIdO4kAAAAAAAAAAAAAAAAAEAAAAZHJzL1BLAwQUAAAACACHTuJApLAt1dcAAAAO&#10;AQAADwAAAGRycy9kb3ducmV2LnhtbE2PwU7DMBBE70j8g7VI3KidAFUV4lSiogIuqJR+gBNv44h4&#10;HcVum/492wOC28zuaPZtuZx8L444xi6QhmymQCA1wXbUath9re8WIGIyZE0fCDWcMcKyur4qTWHD&#10;iT7xuE2t4BKKhdHgUhoKKWPj0Js4CwMS7/Zh9CaxHVtpR3Pict/LXKm59KYjvuDMgCuHzff24DXE&#10;vVPvJvugtTy/PbvVZldPry9a395k6glEwin9heGCz+hQMVMdDmSj6Nk/LnKOsnjI5/cgLhHFEkT9&#10;O5NVKf+/Uf0AUEsDBBQAAAAIAIdO4kDWb+chCQIAAAUEAAAOAAAAZHJzL2Uyb0RvYy54bWytU0uO&#10;EzEQ3SNxB8t70kmGGaCVziwShg2CSHz2jj/dlvyTy5NOLsEFkFgBq4HV7DkNDMeg7M5Ew7DJgl60&#10;yi7Xc71Xz7PzrTVkIyNo7xo6GY0pkY57oV3b0HdvLx49pQQSc4IZ72RDdxLo+fzhg1kfajn1nTdC&#10;RoIgDuo+NLRLKdRVBbyTlsHIB+kwqXy0LOEytpWIrEd0a6rpeHxW9T6KED2XALi7HJJ0jxiPAfRK&#10;aS6Xnl9a6dKAGqVhCSlBpwPQeelWKcnTa6VAJmIaikxT+eMlGK/zv5rPWN1GFjrN9y2wY1q4x8ky&#10;7fDSA9SSJUYuo/4HymoePXiVRtzbaiBSFEEWk/E9bd50LMjCBaWGcBAd/h8sf7VZRaJFQ08occzi&#10;wG8+Xv/68OXm+7efn69///iU46uv5CRL1QeosWLhVnG/grCKmfdWRUuU0eE9eqoogdzItgi9Owgt&#10;t4lw3Dw9m5w+e4wz4Le5aoDIUCFCeiG9JTloKKTIdNulhXcOx+njAM82LyFhE1h4W5CLjSM9djB9&#10;Ms7oDP2p0BcY2oAcwbWlN/BGiwttTC6B2K4XJpINyx4pX+aKwH8dy7csGXTDuZIa3NNJJp47QdIu&#10;oHoOHw3NPVgpKDES31iOEJDViWlzzEm82rhcIIuD90Sz+IPcOVp7sStTqPIK3VE63js52+/uGuO7&#10;r3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SwLdXXAAAADgEAAA8AAAAAAAAAAQAgAAAAIgAA&#10;AGRycy9kb3ducmV2LnhtbFBLAQIUABQAAAAIAIdO4kDWb+chCQIAAAUEAAAOAAAAAAAAAAEAIAAA&#10;ACYBAABkcnMvZTJvRG9jLnhtbFBLBQYAAAAABgAGAFkBAAChBQAAAAA=&#10;">
            <v:path arrowok="t"/>
            <v:fill on="f" focussize="0,0"/>
            <v:stroke weight="1pt"/>
            <v:imagedata o:title=""/>
            <o:lock v:ext="edit"/>
          </v:shape>
        </w:pict>
      </w:r>
      <w:r>
        <w:rPr>
          <w:rFonts w:ascii="Times New Roman"/>
          <w:sz w:val="24"/>
          <w:szCs w:val="24"/>
        </w:rPr>
        <w:pict>
          <v:shape id="_x0000_s2053" o:spid="_x0000_s2053" o:spt="32" type="#_x0000_t32" style="position:absolute;left:0pt;margin-left:-1.05pt;margin-top:5.6pt;height:0pt;width:443.25pt;z-index:251661312;mso-width-relative:page;mso-height-relative:page;" filled="f" coordsize="21600,21600" o:gfxdata="UEsDBAoAAAAAAIdO4kAAAAAAAAAAAAAAAAAEAAAAZHJzL1BLAwQUAAAACACHTuJAqtCRcdUAAAAI&#10;AQAADwAAAGRycy9kb3ducmV2LnhtbE2PwU7DMBBE70j8g7VIXFBrOyoopHEqhMSBI20lrm68TQLx&#10;OoqdpvTrWcQBjjszmn1Tbs6+FyccYxfIgF4qEEh1cB01Bva7l0UOIiZLzvaB0MAXRthU11elLVyY&#10;6Q1P29QILqFYWANtSkMhZaxb9DYuw4DE3jGM3iY+x0a60c5c7nuZKfUgve2IP7R2wOcW68/t5A1g&#10;nO61enr0zf71Mt+9Z5ePedgZc3uj1RpEwnP6C8MPPqNDxUyHMJGLojewyDQnWdcZCPbzfLUCcfgV&#10;ZFXK/wOqb1BLAwQUAAAACACHTuJAnchilAICAAD6AwAADgAAAGRycy9lMm9Eb2MueG1srVPNbhMx&#10;EL4j8Q6W72STqCl0lU0PCeWCoBLwABOvd9eS/+Rxs8lL8AJInIAT9NQ7TwPlMRh701DKJQf24J3x&#10;eL6Z7/N4fr41mm1kQOVsxSejMWfSClcr21b83duLJ884wwi2Bu2srPhOIj9fPH40730pp65zupaB&#10;EYjFsvcV72L0ZVGg6KQBHDkvLQUbFwxEckNb1AF6Qje6mI7Hp0XvQu2DExKRdldDkO8RwzGArmmU&#10;kCsnroy0cUANUkMkStgpj3yRu20aKeLrpkEZma44MY15pSJkr9NaLOZQtgF8p8S+BTimhQecDChL&#10;RQ9QK4jAroL6B8ooERy6Jo6EM8VAJCtCLCbjB9q86cDLzIWkRn8QHf8frHi1uQxM1RU/4cyCoQu/&#10;/XDz8/3n2+tvPz7d/Pr+Mdlfv7CTJFXvsaSMpb0Mew/9ZUi8t00w6U+M2DbLuzvIK7eRCdqcnU7P&#10;pk9nnIm7WPEn0QeML6QzLBkVxxhAtV1cOmvpEl2YZHlh8xIjlabEu4RUVVvWV/xsNk3gQEPZ0DCQ&#10;aTwRQ9vmXHRa1RdK65SBoV0vdWAbSIORv0SQcP86loqsALvhXA4NI9NJqJ/bmsWdJ8ksvRSeWjCy&#10;5kxLeljJIkAoIyh9zEkqrW1KkHls9zyT4oPGyVq7epelL5JHI5E73o9vmrn7Ptn3n+z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rQkXHVAAAACAEAAA8AAAAAAAAAAQAgAAAAIgAAAGRycy9kb3du&#10;cmV2LnhtbFBLAQIUABQAAAAIAIdO4kCdyGKUAgIAAPoDAAAOAAAAAAAAAAEAIAAAACQBAABkcnMv&#10;ZTJvRG9jLnhtbFBLBQYAAAAABgAGAFkBAACYBQAAAAA=&#10;">
            <v:path arrowok="t"/>
            <v:fill on="f" focussize="0,0"/>
            <v:stroke/>
            <v:imagedata o:title=""/>
            <o:lock v:ext="edit"/>
          </v:shape>
        </w:pict>
      </w:r>
      <w:r>
        <w:rPr>
          <w:rFonts w:ascii="Times New Roman" w:eastAsia="方正仿宋_GBK"/>
          <w:kern w:val="0"/>
          <w:sz w:val="24"/>
          <w:szCs w:val="24"/>
        </w:rPr>
        <w:t>中共城口县委农村工作暨实施乡村振兴战略领导小组办公室</w:t>
      </w:r>
      <w:r>
        <w:rPr>
          <w:rFonts w:hint="eastAsia" w:ascii="Times New Roman" w:eastAsia="方正仿宋_GBK"/>
          <w:kern w:val="0"/>
          <w:sz w:val="24"/>
          <w:szCs w:val="24"/>
          <w:lang w:val="en-US" w:eastAsia="zh-CN"/>
        </w:rPr>
        <w:t xml:space="preserve">   </w:t>
      </w:r>
      <w:r>
        <w:rPr>
          <w:rFonts w:ascii="Times New Roman" w:eastAsia="方正仿宋_GBK"/>
          <w:sz w:val="24"/>
          <w:szCs w:val="24"/>
        </w:rPr>
        <w:t>2021年1</w:t>
      </w:r>
      <w:r>
        <w:rPr>
          <w:rFonts w:hint="eastAsia" w:ascii="Times New Roman" w:eastAsia="方正仿宋_GBK"/>
          <w:sz w:val="24"/>
          <w:szCs w:val="24"/>
          <w:lang w:val="en-US" w:eastAsia="zh-CN"/>
        </w:rPr>
        <w:t>2</w:t>
      </w:r>
      <w:r>
        <w:rPr>
          <w:rFonts w:ascii="Times New Roman" w:eastAsia="方正仿宋_GBK"/>
          <w:sz w:val="24"/>
          <w:szCs w:val="24"/>
        </w:rPr>
        <w:t>月</w:t>
      </w:r>
      <w:r>
        <w:rPr>
          <w:rFonts w:hint="eastAsia" w:ascii="Times New Roman" w:eastAsia="方正仿宋_GBK"/>
          <w:sz w:val="24"/>
          <w:szCs w:val="24"/>
        </w:rPr>
        <w:t>2</w:t>
      </w:r>
      <w:r>
        <w:rPr>
          <w:rFonts w:hint="eastAsia" w:ascii="Times New Roman" w:eastAsia="方正仿宋_GBK"/>
          <w:sz w:val="24"/>
          <w:szCs w:val="24"/>
          <w:lang w:val="en-US" w:eastAsia="zh-CN"/>
        </w:rPr>
        <w:t>8</w:t>
      </w:r>
      <w:r>
        <w:rPr>
          <w:rFonts w:ascii="Times New Roman" w:eastAsia="方正仿宋_GBK"/>
          <w:sz w:val="24"/>
          <w:szCs w:val="24"/>
        </w:rPr>
        <w:t>日印发</w:t>
      </w:r>
    </w:p>
    <w:sectPr>
      <w:headerReference r:id="rId3" w:type="default"/>
      <w:footerReference r:id="rId5" w:type="default"/>
      <w:headerReference r:id="rId4" w:type="even"/>
      <w:footerReference r:id="rId6" w:type="even"/>
      <w:pgSz w:w="11906" w:h="16838"/>
      <w:pgMar w:top="2098" w:right="1474" w:bottom="1985" w:left="1588" w:header="851" w:footer="1417" w:gutter="0"/>
      <w:cols w:space="0" w:num="1"/>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0CCA6"/>
    <w:multiLevelType w:val="singleLevel"/>
    <w:tmpl w:val="ED80CC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HorizontalSpacing w:val="31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79D5B87"/>
    <w:rsid w:val="0001293B"/>
    <w:rsid w:val="0001302F"/>
    <w:rsid w:val="000337A5"/>
    <w:rsid w:val="00037A74"/>
    <w:rsid w:val="000425AA"/>
    <w:rsid w:val="00046074"/>
    <w:rsid w:val="000519A7"/>
    <w:rsid w:val="00052536"/>
    <w:rsid w:val="000567AC"/>
    <w:rsid w:val="00061D83"/>
    <w:rsid w:val="00066AEE"/>
    <w:rsid w:val="00074940"/>
    <w:rsid w:val="00080149"/>
    <w:rsid w:val="00080951"/>
    <w:rsid w:val="000829B0"/>
    <w:rsid w:val="00086172"/>
    <w:rsid w:val="00094427"/>
    <w:rsid w:val="000950CF"/>
    <w:rsid w:val="00096FB6"/>
    <w:rsid w:val="000A6AE3"/>
    <w:rsid w:val="000A6C35"/>
    <w:rsid w:val="000C00ED"/>
    <w:rsid w:val="000C0C3C"/>
    <w:rsid w:val="000D4DC4"/>
    <w:rsid w:val="000E073E"/>
    <w:rsid w:val="000F3F1A"/>
    <w:rsid w:val="000F69A3"/>
    <w:rsid w:val="000F7622"/>
    <w:rsid w:val="00100D09"/>
    <w:rsid w:val="00110E9D"/>
    <w:rsid w:val="001111C7"/>
    <w:rsid w:val="001170ED"/>
    <w:rsid w:val="00122F0B"/>
    <w:rsid w:val="00124AD2"/>
    <w:rsid w:val="00126051"/>
    <w:rsid w:val="00127572"/>
    <w:rsid w:val="00131FF4"/>
    <w:rsid w:val="00136270"/>
    <w:rsid w:val="001366F8"/>
    <w:rsid w:val="001378DC"/>
    <w:rsid w:val="0014300C"/>
    <w:rsid w:val="001458AA"/>
    <w:rsid w:val="00145C1E"/>
    <w:rsid w:val="00150A50"/>
    <w:rsid w:val="001514C1"/>
    <w:rsid w:val="00154528"/>
    <w:rsid w:val="00157D20"/>
    <w:rsid w:val="00161C9B"/>
    <w:rsid w:val="00163AA3"/>
    <w:rsid w:val="00164EF8"/>
    <w:rsid w:val="001673EB"/>
    <w:rsid w:val="001707A3"/>
    <w:rsid w:val="0017424A"/>
    <w:rsid w:val="00191CF4"/>
    <w:rsid w:val="001B00CC"/>
    <w:rsid w:val="001B3B3C"/>
    <w:rsid w:val="001C1EF9"/>
    <w:rsid w:val="001D150A"/>
    <w:rsid w:val="001D2D35"/>
    <w:rsid w:val="001D7085"/>
    <w:rsid w:val="001E6C19"/>
    <w:rsid w:val="001F29F2"/>
    <w:rsid w:val="00203035"/>
    <w:rsid w:val="00203D10"/>
    <w:rsid w:val="00206F2C"/>
    <w:rsid w:val="00207777"/>
    <w:rsid w:val="00213665"/>
    <w:rsid w:val="00213E07"/>
    <w:rsid w:val="002143CD"/>
    <w:rsid w:val="00216C82"/>
    <w:rsid w:val="00216CF0"/>
    <w:rsid w:val="00225F50"/>
    <w:rsid w:val="00226846"/>
    <w:rsid w:val="00233784"/>
    <w:rsid w:val="00233CED"/>
    <w:rsid w:val="002349CA"/>
    <w:rsid w:val="00236F1F"/>
    <w:rsid w:val="00240F5D"/>
    <w:rsid w:val="00243DD2"/>
    <w:rsid w:val="00245C52"/>
    <w:rsid w:val="0026686A"/>
    <w:rsid w:val="0026746F"/>
    <w:rsid w:val="002722EF"/>
    <w:rsid w:val="00276B50"/>
    <w:rsid w:val="00281927"/>
    <w:rsid w:val="00284B41"/>
    <w:rsid w:val="00286A2D"/>
    <w:rsid w:val="00286FF3"/>
    <w:rsid w:val="0029727F"/>
    <w:rsid w:val="002A0016"/>
    <w:rsid w:val="002A40C1"/>
    <w:rsid w:val="002A6B3C"/>
    <w:rsid w:val="002B566F"/>
    <w:rsid w:val="002C16D9"/>
    <w:rsid w:val="002C404B"/>
    <w:rsid w:val="002C6244"/>
    <w:rsid w:val="002D3866"/>
    <w:rsid w:val="002E03DD"/>
    <w:rsid w:val="002E49CB"/>
    <w:rsid w:val="002E5AE3"/>
    <w:rsid w:val="00300D71"/>
    <w:rsid w:val="0031249B"/>
    <w:rsid w:val="003134FE"/>
    <w:rsid w:val="0031366F"/>
    <w:rsid w:val="003136AF"/>
    <w:rsid w:val="00313813"/>
    <w:rsid w:val="0031400A"/>
    <w:rsid w:val="00320A5F"/>
    <w:rsid w:val="003247EC"/>
    <w:rsid w:val="003266CB"/>
    <w:rsid w:val="00326BE1"/>
    <w:rsid w:val="00340839"/>
    <w:rsid w:val="003532D5"/>
    <w:rsid w:val="00356B0A"/>
    <w:rsid w:val="00361F67"/>
    <w:rsid w:val="00362931"/>
    <w:rsid w:val="0036407D"/>
    <w:rsid w:val="00394565"/>
    <w:rsid w:val="003A0849"/>
    <w:rsid w:val="003A20E2"/>
    <w:rsid w:val="003B04A9"/>
    <w:rsid w:val="003C1343"/>
    <w:rsid w:val="003C2B7E"/>
    <w:rsid w:val="003D4D76"/>
    <w:rsid w:val="003E04B1"/>
    <w:rsid w:val="003E17CE"/>
    <w:rsid w:val="003F0ABF"/>
    <w:rsid w:val="003F1B70"/>
    <w:rsid w:val="003F49E7"/>
    <w:rsid w:val="003F510F"/>
    <w:rsid w:val="00400D38"/>
    <w:rsid w:val="00401587"/>
    <w:rsid w:val="004015D8"/>
    <w:rsid w:val="0040297A"/>
    <w:rsid w:val="00406E65"/>
    <w:rsid w:val="00410265"/>
    <w:rsid w:val="00420855"/>
    <w:rsid w:val="00420B85"/>
    <w:rsid w:val="00424494"/>
    <w:rsid w:val="00434186"/>
    <w:rsid w:val="0043537D"/>
    <w:rsid w:val="00435DB0"/>
    <w:rsid w:val="004364D7"/>
    <w:rsid w:val="00440C59"/>
    <w:rsid w:val="00446779"/>
    <w:rsid w:val="004526B8"/>
    <w:rsid w:val="004748ED"/>
    <w:rsid w:val="0047497C"/>
    <w:rsid w:val="0048358D"/>
    <w:rsid w:val="00494A6A"/>
    <w:rsid w:val="004950ED"/>
    <w:rsid w:val="004B2356"/>
    <w:rsid w:val="004B57DD"/>
    <w:rsid w:val="004B7C12"/>
    <w:rsid w:val="004D2EA2"/>
    <w:rsid w:val="004D37AF"/>
    <w:rsid w:val="004D674C"/>
    <w:rsid w:val="004F0BB5"/>
    <w:rsid w:val="004F77BC"/>
    <w:rsid w:val="00503139"/>
    <w:rsid w:val="00503CE4"/>
    <w:rsid w:val="00522572"/>
    <w:rsid w:val="00527B97"/>
    <w:rsid w:val="00530CA8"/>
    <w:rsid w:val="00532CE2"/>
    <w:rsid w:val="00540434"/>
    <w:rsid w:val="00546BFE"/>
    <w:rsid w:val="00546C4F"/>
    <w:rsid w:val="00547654"/>
    <w:rsid w:val="00553521"/>
    <w:rsid w:val="005540A1"/>
    <w:rsid w:val="00556A6F"/>
    <w:rsid w:val="0056164D"/>
    <w:rsid w:val="00571EFE"/>
    <w:rsid w:val="00571FA0"/>
    <w:rsid w:val="00572980"/>
    <w:rsid w:val="00581C16"/>
    <w:rsid w:val="0059068A"/>
    <w:rsid w:val="00591CD1"/>
    <w:rsid w:val="005A362E"/>
    <w:rsid w:val="005A5B85"/>
    <w:rsid w:val="005B7E2A"/>
    <w:rsid w:val="005C10E9"/>
    <w:rsid w:val="005C5084"/>
    <w:rsid w:val="005C511E"/>
    <w:rsid w:val="005E0C0C"/>
    <w:rsid w:val="005E1E76"/>
    <w:rsid w:val="005E42A7"/>
    <w:rsid w:val="005E5402"/>
    <w:rsid w:val="005F1026"/>
    <w:rsid w:val="0060249F"/>
    <w:rsid w:val="00603A25"/>
    <w:rsid w:val="00605323"/>
    <w:rsid w:val="0060699C"/>
    <w:rsid w:val="00613532"/>
    <w:rsid w:val="006149B9"/>
    <w:rsid w:val="00616FB3"/>
    <w:rsid w:val="0062262B"/>
    <w:rsid w:val="006317E6"/>
    <w:rsid w:val="0063197E"/>
    <w:rsid w:val="006379A9"/>
    <w:rsid w:val="00637B5F"/>
    <w:rsid w:val="0064461D"/>
    <w:rsid w:val="0065466A"/>
    <w:rsid w:val="006621D8"/>
    <w:rsid w:val="0067070E"/>
    <w:rsid w:val="00683193"/>
    <w:rsid w:val="00686E49"/>
    <w:rsid w:val="00690B07"/>
    <w:rsid w:val="0069606F"/>
    <w:rsid w:val="006A2382"/>
    <w:rsid w:val="006A2EE2"/>
    <w:rsid w:val="006B511C"/>
    <w:rsid w:val="006B5752"/>
    <w:rsid w:val="006C558F"/>
    <w:rsid w:val="006C714A"/>
    <w:rsid w:val="006D1C7D"/>
    <w:rsid w:val="006D3C95"/>
    <w:rsid w:val="006E0F0B"/>
    <w:rsid w:val="006E5CE7"/>
    <w:rsid w:val="006E6A01"/>
    <w:rsid w:val="006F0257"/>
    <w:rsid w:val="006F2CA8"/>
    <w:rsid w:val="006F5D3E"/>
    <w:rsid w:val="006F7267"/>
    <w:rsid w:val="00700120"/>
    <w:rsid w:val="007110CA"/>
    <w:rsid w:val="00711E4B"/>
    <w:rsid w:val="0071265A"/>
    <w:rsid w:val="00714802"/>
    <w:rsid w:val="0072452F"/>
    <w:rsid w:val="00735CC5"/>
    <w:rsid w:val="00737C01"/>
    <w:rsid w:val="00742CBD"/>
    <w:rsid w:val="007430E6"/>
    <w:rsid w:val="0074670E"/>
    <w:rsid w:val="007709C1"/>
    <w:rsid w:val="00771170"/>
    <w:rsid w:val="00774587"/>
    <w:rsid w:val="00776C7B"/>
    <w:rsid w:val="00777374"/>
    <w:rsid w:val="0078106B"/>
    <w:rsid w:val="00782132"/>
    <w:rsid w:val="00786582"/>
    <w:rsid w:val="00786D55"/>
    <w:rsid w:val="0078740E"/>
    <w:rsid w:val="007915F4"/>
    <w:rsid w:val="00794DA8"/>
    <w:rsid w:val="0079638A"/>
    <w:rsid w:val="007B55F6"/>
    <w:rsid w:val="007C2153"/>
    <w:rsid w:val="007C3D5B"/>
    <w:rsid w:val="007D58AF"/>
    <w:rsid w:val="007D6E5E"/>
    <w:rsid w:val="007F27CB"/>
    <w:rsid w:val="007F5B5C"/>
    <w:rsid w:val="007F611A"/>
    <w:rsid w:val="0080048A"/>
    <w:rsid w:val="0080360B"/>
    <w:rsid w:val="0080367E"/>
    <w:rsid w:val="0081122E"/>
    <w:rsid w:val="0081225B"/>
    <w:rsid w:val="008141D4"/>
    <w:rsid w:val="00822236"/>
    <w:rsid w:val="00824697"/>
    <w:rsid w:val="00826C0E"/>
    <w:rsid w:val="00827111"/>
    <w:rsid w:val="0084539E"/>
    <w:rsid w:val="008479D3"/>
    <w:rsid w:val="00850BB3"/>
    <w:rsid w:val="0086060E"/>
    <w:rsid w:val="00862196"/>
    <w:rsid w:val="0086480B"/>
    <w:rsid w:val="00865B2E"/>
    <w:rsid w:val="00880B7B"/>
    <w:rsid w:val="00884542"/>
    <w:rsid w:val="00884C78"/>
    <w:rsid w:val="00890E9C"/>
    <w:rsid w:val="00890EE6"/>
    <w:rsid w:val="0089250A"/>
    <w:rsid w:val="00893472"/>
    <w:rsid w:val="008A67E1"/>
    <w:rsid w:val="008B29DA"/>
    <w:rsid w:val="008C25ED"/>
    <w:rsid w:val="008D6D34"/>
    <w:rsid w:val="008E1025"/>
    <w:rsid w:val="008E2477"/>
    <w:rsid w:val="008F5B44"/>
    <w:rsid w:val="00910873"/>
    <w:rsid w:val="0091488A"/>
    <w:rsid w:val="00917E9F"/>
    <w:rsid w:val="00923DF2"/>
    <w:rsid w:val="00930EA7"/>
    <w:rsid w:val="00931082"/>
    <w:rsid w:val="00932DDC"/>
    <w:rsid w:val="00934AE4"/>
    <w:rsid w:val="009362FF"/>
    <w:rsid w:val="009370E3"/>
    <w:rsid w:val="0094439B"/>
    <w:rsid w:val="00950715"/>
    <w:rsid w:val="00951EEF"/>
    <w:rsid w:val="009610E5"/>
    <w:rsid w:val="00970DBC"/>
    <w:rsid w:val="00974FA7"/>
    <w:rsid w:val="00975E34"/>
    <w:rsid w:val="00977A98"/>
    <w:rsid w:val="00985D32"/>
    <w:rsid w:val="00986998"/>
    <w:rsid w:val="00990D36"/>
    <w:rsid w:val="00991480"/>
    <w:rsid w:val="009949C2"/>
    <w:rsid w:val="009950F7"/>
    <w:rsid w:val="00995FC5"/>
    <w:rsid w:val="009A2854"/>
    <w:rsid w:val="009A46C7"/>
    <w:rsid w:val="009A5FDA"/>
    <w:rsid w:val="009A6B76"/>
    <w:rsid w:val="009B0CB2"/>
    <w:rsid w:val="009B1437"/>
    <w:rsid w:val="009B3545"/>
    <w:rsid w:val="009B40D2"/>
    <w:rsid w:val="009B4E40"/>
    <w:rsid w:val="009B650E"/>
    <w:rsid w:val="009C054F"/>
    <w:rsid w:val="009C3C28"/>
    <w:rsid w:val="009E2461"/>
    <w:rsid w:val="009E2B32"/>
    <w:rsid w:val="009E55FC"/>
    <w:rsid w:val="009E57F3"/>
    <w:rsid w:val="009E6C20"/>
    <w:rsid w:val="009F7D50"/>
    <w:rsid w:val="00A04F8B"/>
    <w:rsid w:val="00A07E77"/>
    <w:rsid w:val="00A118CE"/>
    <w:rsid w:val="00A16CEC"/>
    <w:rsid w:val="00A2007F"/>
    <w:rsid w:val="00A23EF8"/>
    <w:rsid w:val="00A24D45"/>
    <w:rsid w:val="00A368C9"/>
    <w:rsid w:val="00A371E1"/>
    <w:rsid w:val="00A42253"/>
    <w:rsid w:val="00A447A9"/>
    <w:rsid w:val="00A47D5E"/>
    <w:rsid w:val="00A615F7"/>
    <w:rsid w:val="00A65B96"/>
    <w:rsid w:val="00A7186D"/>
    <w:rsid w:val="00A75FF5"/>
    <w:rsid w:val="00A87259"/>
    <w:rsid w:val="00A93498"/>
    <w:rsid w:val="00AA29F1"/>
    <w:rsid w:val="00AB7979"/>
    <w:rsid w:val="00AC32D5"/>
    <w:rsid w:val="00AC50BA"/>
    <w:rsid w:val="00AC5E71"/>
    <w:rsid w:val="00AD2DCE"/>
    <w:rsid w:val="00AF1192"/>
    <w:rsid w:val="00AF437F"/>
    <w:rsid w:val="00B05797"/>
    <w:rsid w:val="00B108D5"/>
    <w:rsid w:val="00B127D4"/>
    <w:rsid w:val="00B2642A"/>
    <w:rsid w:val="00B34984"/>
    <w:rsid w:val="00B34A41"/>
    <w:rsid w:val="00B43F63"/>
    <w:rsid w:val="00B54549"/>
    <w:rsid w:val="00B57CDD"/>
    <w:rsid w:val="00B624FD"/>
    <w:rsid w:val="00B62AF6"/>
    <w:rsid w:val="00B64F64"/>
    <w:rsid w:val="00B66A87"/>
    <w:rsid w:val="00B7302E"/>
    <w:rsid w:val="00B755F9"/>
    <w:rsid w:val="00B84592"/>
    <w:rsid w:val="00B87924"/>
    <w:rsid w:val="00B87B10"/>
    <w:rsid w:val="00B87B19"/>
    <w:rsid w:val="00B92009"/>
    <w:rsid w:val="00BA050C"/>
    <w:rsid w:val="00BA38D3"/>
    <w:rsid w:val="00BA7836"/>
    <w:rsid w:val="00BB18FF"/>
    <w:rsid w:val="00BB48B4"/>
    <w:rsid w:val="00BC5DA0"/>
    <w:rsid w:val="00BD0117"/>
    <w:rsid w:val="00BD5006"/>
    <w:rsid w:val="00BE3595"/>
    <w:rsid w:val="00C059F2"/>
    <w:rsid w:val="00C1610F"/>
    <w:rsid w:val="00C16415"/>
    <w:rsid w:val="00C167B4"/>
    <w:rsid w:val="00C27AA8"/>
    <w:rsid w:val="00C341C0"/>
    <w:rsid w:val="00C40185"/>
    <w:rsid w:val="00C435DE"/>
    <w:rsid w:val="00C536FA"/>
    <w:rsid w:val="00C66E8C"/>
    <w:rsid w:val="00C713C8"/>
    <w:rsid w:val="00C71B38"/>
    <w:rsid w:val="00C772C5"/>
    <w:rsid w:val="00C7765E"/>
    <w:rsid w:val="00C90FAC"/>
    <w:rsid w:val="00CB16DA"/>
    <w:rsid w:val="00CB798D"/>
    <w:rsid w:val="00CC03C6"/>
    <w:rsid w:val="00CC66C4"/>
    <w:rsid w:val="00CD4B9E"/>
    <w:rsid w:val="00CD7AAC"/>
    <w:rsid w:val="00CE04B3"/>
    <w:rsid w:val="00CE5345"/>
    <w:rsid w:val="00CE6004"/>
    <w:rsid w:val="00CE6143"/>
    <w:rsid w:val="00CF56BB"/>
    <w:rsid w:val="00D039B6"/>
    <w:rsid w:val="00D0447F"/>
    <w:rsid w:val="00D05F88"/>
    <w:rsid w:val="00D0752C"/>
    <w:rsid w:val="00D172BE"/>
    <w:rsid w:val="00D20E7A"/>
    <w:rsid w:val="00D212FF"/>
    <w:rsid w:val="00D30D91"/>
    <w:rsid w:val="00D479B1"/>
    <w:rsid w:val="00D526B8"/>
    <w:rsid w:val="00D54EA0"/>
    <w:rsid w:val="00D567B8"/>
    <w:rsid w:val="00D61CDC"/>
    <w:rsid w:val="00D73ADB"/>
    <w:rsid w:val="00D80632"/>
    <w:rsid w:val="00D80D2E"/>
    <w:rsid w:val="00D846CB"/>
    <w:rsid w:val="00D86C77"/>
    <w:rsid w:val="00D86D58"/>
    <w:rsid w:val="00DA08BC"/>
    <w:rsid w:val="00DB39EF"/>
    <w:rsid w:val="00DC20DC"/>
    <w:rsid w:val="00DC5CC7"/>
    <w:rsid w:val="00DD346D"/>
    <w:rsid w:val="00DD5552"/>
    <w:rsid w:val="00DE0621"/>
    <w:rsid w:val="00DE0D29"/>
    <w:rsid w:val="00DE2C7F"/>
    <w:rsid w:val="00DF5F0A"/>
    <w:rsid w:val="00E00989"/>
    <w:rsid w:val="00E03D88"/>
    <w:rsid w:val="00E051A9"/>
    <w:rsid w:val="00E1064B"/>
    <w:rsid w:val="00E16AFB"/>
    <w:rsid w:val="00E27A50"/>
    <w:rsid w:val="00E302DC"/>
    <w:rsid w:val="00E31D3F"/>
    <w:rsid w:val="00E477F5"/>
    <w:rsid w:val="00E51410"/>
    <w:rsid w:val="00E52FF3"/>
    <w:rsid w:val="00E5419E"/>
    <w:rsid w:val="00E5435E"/>
    <w:rsid w:val="00E623CF"/>
    <w:rsid w:val="00E62F44"/>
    <w:rsid w:val="00E667FC"/>
    <w:rsid w:val="00E74A3C"/>
    <w:rsid w:val="00E802DC"/>
    <w:rsid w:val="00E92AC6"/>
    <w:rsid w:val="00E93B1C"/>
    <w:rsid w:val="00E9492A"/>
    <w:rsid w:val="00EA2542"/>
    <w:rsid w:val="00EA591F"/>
    <w:rsid w:val="00EA7232"/>
    <w:rsid w:val="00EB0C62"/>
    <w:rsid w:val="00EB617A"/>
    <w:rsid w:val="00EC3AFE"/>
    <w:rsid w:val="00EC4BE5"/>
    <w:rsid w:val="00EC65DA"/>
    <w:rsid w:val="00ED1BF0"/>
    <w:rsid w:val="00EE130A"/>
    <w:rsid w:val="00EF0205"/>
    <w:rsid w:val="00EF283B"/>
    <w:rsid w:val="00EF4978"/>
    <w:rsid w:val="00F02DF3"/>
    <w:rsid w:val="00F061BA"/>
    <w:rsid w:val="00F15BB9"/>
    <w:rsid w:val="00F16DB1"/>
    <w:rsid w:val="00F20251"/>
    <w:rsid w:val="00F21279"/>
    <w:rsid w:val="00F21590"/>
    <w:rsid w:val="00F26593"/>
    <w:rsid w:val="00F330A7"/>
    <w:rsid w:val="00F335E7"/>
    <w:rsid w:val="00F33DB9"/>
    <w:rsid w:val="00F356CD"/>
    <w:rsid w:val="00F37A8A"/>
    <w:rsid w:val="00F53C06"/>
    <w:rsid w:val="00F562F3"/>
    <w:rsid w:val="00F602C5"/>
    <w:rsid w:val="00F6551B"/>
    <w:rsid w:val="00F74BDA"/>
    <w:rsid w:val="00F772AA"/>
    <w:rsid w:val="00F85396"/>
    <w:rsid w:val="00F86EF9"/>
    <w:rsid w:val="00F96D6D"/>
    <w:rsid w:val="00F9760C"/>
    <w:rsid w:val="00F97B86"/>
    <w:rsid w:val="00FA31C0"/>
    <w:rsid w:val="00FB1508"/>
    <w:rsid w:val="00FB3617"/>
    <w:rsid w:val="00FB61C9"/>
    <w:rsid w:val="00FB6F32"/>
    <w:rsid w:val="00FC1F3F"/>
    <w:rsid w:val="00FD3678"/>
    <w:rsid w:val="00FE1584"/>
    <w:rsid w:val="00FE18E1"/>
    <w:rsid w:val="00FE3484"/>
    <w:rsid w:val="00FF0558"/>
    <w:rsid w:val="00FF5CE2"/>
    <w:rsid w:val="011129A9"/>
    <w:rsid w:val="013326AB"/>
    <w:rsid w:val="01993D60"/>
    <w:rsid w:val="01D628BE"/>
    <w:rsid w:val="01F10E97"/>
    <w:rsid w:val="03041CB6"/>
    <w:rsid w:val="038A3960"/>
    <w:rsid w:val="03F4702C"/>
    <w:rsid w:val="045F4DED"/>
    <w:rsid w:val="05094D59"/>
    <w:rsid w:val="053E0EA6"/>
    <w:rsid w:val="057F6DC9"/>
    <w:rsid w:val="05AF1DBA"/>
    <w:rsid w:val="06460052"/>
    <w:rsid w:val="06581AF4"/>
    <w:rsid w:val="06FE15EA"/>
    <w:rsid w:val="075C3866"/>
    <w:rsid w:val="079D5B87"/>
    <w:rsid w:val="085F37AC"/>
    <w:rsid w:val="08964B56"/>
    <w:rsid w:val="08CE2541"/>
    <w:rsid w:val="09520BCE"/>
    <w:rsid w:val="0A2C5FB6"/>
    <w:rsid w:val="0A336F1C"/>
    <w:rsid w:val="0AC459AA"/>
    <w:rsid w:val="0BA92DF2"/>
    <w:rsid w:val="0DBF51FF"/>
    <w:rsid w:val="0E470868"/>
    <w:rsid w:val="0EA16580"/>
    <w:rsid w:val="106E19D8"/>
    <w:rsid w:val="113F2BD9"/>
    <w:rsid w:val="11940BCA"/>
    <w:rsid w:val="11A83320"/>
    <w:rsid w:val="122F69C4"/>
    <w:rsid w:val="123A4592"/>
    <w:rsid w:val="132931D3"/>
    <w:rsid w:val="14356121"/>
    <w:rsid w:val="14AD3953"/>
    <w:rsid w:val="14D75BCF"/>
    <w:rsid w:val="1571220D"/>
    <w:rsid w:val="15EE7D7F"/>
    <w:rsid w:val="170A0BE8"/>
    <w:rsid w:val="17B533F7"/>
    <w:rsid w:val="18143EA1"/>
    <w:rsid w:val="18F33D63"/>
    <w:rsid w:val="195919B3"/>
    <w:rsid w:val="1ABD2FF1"/>
    <w:rsid w:val="1ACC4407"/>
    <w:rsid w:val="1B0E67CD"/>
    <w:rsid w:val="1CAC7CD8"/>
    <w:rsid w:val="1D104A7F"/>
    <w:rsid w:val="1D590F57"/>
    <w:rsid w:val="1DE018E6"/>
    <w:rsid w:val="1E5B7F7C"/>
    <w:rsid w:val="1EBA4627"/>
    <w:rsid w:val="1F120F82"/>
    <w:rsid w:val="209D5460"/>
    <w:rsid w:val="20A04C9E"/>
    <w:rsid w:val="22762623"/>
    <w:rsid w:val="22C92E93"/>
    <w:rsid w:val="23931F66"/>
    <w:rsid w:val="24857B00"/>
    <w:rsid w:val="24C33F06"/>
    <w:rsid w:val="24C66D19"/>
    <w:rsid w:val="257E6250"/>
    <w:rsid w:val="25E733A5"/>
    <w:rsid w:val="273E4420"/>
    <w:rsid w:val="27462BA9"/>
    <w:rsid w:val="2767173F"/>
    <w:rsid w:val="28940AFA"/>
    <w:rsid w:val="28B9421C"/>
    <w:rsid w:val="28D24BDF"/>
    <w:rsid w:val="293F2AFD"/>
    <w:rsid w:val="29D62BAC"/>
    <w:rsid w:val="29FF65A7"/>
    <w:rsid w:val="2A1060BE"/>
    <w:rsid w:val="2AAA4765"/>
    <w:rsid w:val="2B0B7CAB"/>
    <w:rsid w:val="2B520D9B"/>
    <w:rsid w:val="2B7B1C5D"/>
    <w:rsid w:val="2CD50AAD"/>
    <w:rsid w:val="2D1660E1"/>
    <w:rsid w:val="2D4C4D6A"/>
    <w:rsid w:val="2E530C6F"/>
    <w:rsid w:val="2E646BAB"/>
    <w:rsid w:val="2F2F5A42"/>
    <w:rsid w:val="2FC17E5A"/>
    <w:rsid w:val="303348B4"/>
    <w:rsid w:val="31332B6F"/>
    <w:rsid w:val="314F2D13"/>
    <w:rsid w:val="31652E08"/>
    <w:rsid w:val="31E21AC1"/>
    <w:rsid w:val="33294694"/>
    <w:rsid w:val="33C45CC0"/>
    <w:rsid w:val="363475EC"/>
    <w:rsid w:val="36662731"/>
    <w:rsid w:val="36760E4D"/>
    <w:rsid w:val="378B3228"/>
    <w:rsid w:val="38B22A36"/>
    <w:rsid w:val="392E1ACB"/>
    <w:rsid w:val="3AAD6A02"/>
    <w:rsid w:val="3BE860F2"/>
    <w:rsid w:val="3C4859F9"/>
    <w:rsid w:val="3C7C4466"/>
    <w:rsid w:val="3D294FD4"/>
    <w:rsid w:val="3D5F13DF"/>
    <w:rsid w:val="3DBF76BE"/>
    <w:rsid w:val="3DC65BC5"/>
    <w:rsid w:val="3E5E4604"/>
    <w:rsid w:val="3E6C3FB1"/>
    <w:rsid w:val="3ECC2AA4"/>
    <w:rsid w:val="3F1D4438"/>
    <w:rsid w:val="3F8E7076"/>
    <w:rsid w:val="413A5D94"/>
    <w:rsid w:val="41F00E71"/>
    <w:rsid w:val="43341AB4"/>
    <w:rsid w:val="433E3844"/>
    <w:rsid w:val="4352405D"/>
    <w:rsid w:val="43CF0D9B"/>
    <w:rsid w:val="4498091E"/>
    <w:rsid w:val="450E5533"/>
    <w:rsid w:val="451E278C"/>
    <w:rsid w:val="45C142B9"/>
    <w:rsid w:val="46127FBA"/>
    <w:rsid w:val="46421E37"/>
    <w:rsid w:val="46A63BDA"/>
    <w:rsid w:val="46CB3641"/>
    <w:rsid w:val="470E1780"/>
    <w:rsid w:val="4721061D"/>
    <w:rsid w:val="4722090C"/>
    <w:rsid w:val="47EA5D49"/>
    <w:rsid w:val="47F03878"/>
    <w:rsid w:val="480336F6"/>
    <w:rsid w:val="4A0758DA"/>
    <w:rsid w:val="4A673A5D"/>
    <w:rsid w:val="4AE051E1"/>
    <w:rsid w:val="4B1A06F3"/>
    <w:rsid w:val="4B6C0A28"/>
    <w:rsid w:val="4C215AB1"/>
    <w:rsid w:val="4C344489"/>
    <w:rsid w:val="4C8F2122"/>
    <w:rsid w:val="4C96786F"/>
    <w:rsid w:val="4DC25072"/>
    <w:rsid w:val="4E3221F7"/>
    <w:rsid w:val="4F264AD4"/>
    <w:rsid w:val="522B598C"/>
    <w:rsid w:val="528943B0"/>
    <w:rsid w:val="52A152D5"/>
    <w:rsid w:val="536703F2"/>
    <w:rsid w:val="544B2A98"/>
    <w:rsid w:val="54B75511"/>
    <w:rsid w:val="54F67D29"/>
    <w:rsid w:val="551E28AA"/>
    <w:rsid w:val="556F788D"/>
    <w:rsid w:val="562468CA"/>
    <w:rsid w:val="57FE1F0F"/>
    <w:rsid w:val="58137584"/>
    <w:rsid w:val="586D125F"/>
    <w:rsid w:val="58735A93"/>
    <w:rsid w:val="592A1234"/>
    <w:rsid w:val="592F7A5F"/>
    <w:rsid w:val="59456C43"/>
    <w:rsid w:val="5BA25E1F"/>
    <w:rsid w:val="5BE634B9"/>
    <w:rsid w:val="5C725CFB"/>
    <w:rsid w:val="5CCE7959"/>
    <w:rsid w:val="5CEB04E8"/>
    <w:rsid w:val="5D19564C"/>
    <w:rsid w:val="5D2C42B6"/>
    <w:rsid w:val="5D6D2B20"/>
    <w:rsid w:val="5DB10A11"/>
    <w:rsid w:val="5E0019CA"/>
    <w:rsid w:val="5E912F6A"/>
    <w:rsid w:val="5EC23124"/>
    <w:rsid w:val="5F5B68BE"/>
    <w:rsid w:val="5F8272FA"/>
    <w:rsid w:val="5FA50FD3"/>
    <w:rsid w:val="5FD40E8D"/>
    <w:rsid w:val="5FD650D9"/>
    <w:rsid w:val="604E4160"/>
    <w:rsid w:val="622774CB"/>
    <w:rsid w:val="627209BD"/>
    <w:rsid w:val="634020DB"/>
    <w:rsid w:val="6438752B"/>
    <w:rsid w:val="644F13B2"/>
    <w:rsid w:val="64DF4A1D"/>
    <w:rsid w:val="664C0AC3"/>
    <w:rsid w:val="66613222"/>
    <w:rsid w:val="66D439F4"/>
    <w:rsid w:val="6784541A"/>
    <w:rsid w:val="678A1E86"/>
    <w:rsid w:val="67D479BE"/>
    <w:rsid w:val="693A3B23"/>
    <w:rsid w:val="69AD50D5"/>
    <w:rsid w:val="6A372C18"/>
    <w:rsid w:val="6A6652AB"/>
    <w:rsid w:val="6A99742E"/>
    <w:rsid w:val="6B4D79DA"/>
    <w:rsid w:val="6B523467"/>
    <w:rsid w:val="6B785296"/>
    <w:rsid w:val="6BB34520"/>
    <w:rsid w:val="6BDB7908"/>
    <w:rsid w:val="6CF46B9E"/>
    <w:rsid w:val="6DE05374"/>
    <w:rsid w:val="6DEC1F6B"/>
    <w:rsid w:val="6EBC36EB"/>
    <w:rsid w:val="6FA463C3"/>
    <w:rsid w:val="701E2184"/>
    <w:rsid w:val="733C3F9F"/>
    <w:rsid w:val="73795770"/>
    <w:rsid w:val="73BB0416"/>
    <w:rsid w:val="73CA52EF"/>
    <w:rsid w:val="74257F85"/>
    <w:rsid w:val="75360701"/>
    <w:rsid w:val="75425612"/>
    <w:rsid w:val="755503F6"/>
    <w:rsid w:val="75706A77"/>
    <w:rsid w:val="75D83597"/>
    <w:rsid w:val="77573E85"/>
    <w:rsid w:val="777360CB"/>
    <w:rsid w:val="77E7091C"/>
    <w:rsid w:val="79292B6E"/>
    <w:rsid w:val="799D3C6B"/>
    <w:rsid w:val="7A502F0F"/>
    <w:rsid w:val="7A5F2964"/>
    <w:rsid w:val="7AC65418"/>
    <w:rsid w:val="7BB37C24"/>
    <w:rsid w:val="7C372603"/>
    <w:rsid w:val="7CD12A58"/>
    <w:rsid w:val="7CF2743A"/>
    <w:rsid w:val="7DB724E7"/>
    <w:rsid w:val="7DC47A34"/>
    <w:rsid w:val="7E323800"/>
    <w:rsid w:val="7F107438"/>
    <w:rsid w:val="7F250E39"/>
    <w:rsid w:val="7F25708B"/>
    <w:rsid w:val="7F5434CC"/>
    <w:rsid w:val="7F9130F7"/>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3"/>
        <o:r id="V:Rule2" type="connector" idref="#_x0000_s2054"/>
        <o:r id="V:Rule3" type="connector" idref="#_x0000_s20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rFonts w:ascii="Times New Roman" w:eastAsia="宋体"/>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Emphasis"/>
    <w:basedOn w:val="8"/>
    <w:qFormat/>
    <w:uiPriority w:val="20"/>
    <w:rPr>
      <w:i/>
      <w:iCs/>
    </w:rPr>
  </w:style>
  <w:style w:type="paragraph" w:customStyle="1" w:styleId="10">
    <w:name w:val="trs_edit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日期 Char"/>
    <w:basedOn w:val="8"/>
    <w:link w:val="3"/>
    <w:qFormat/>
    <w:uiPriority w:val="0"/>
    <w:rPr>
      <w:rFonts w:ascii="仿宋_GB2312" w:hAnsi="Times New Roman" w:eastAsia="仿宋_GB2312" w:cs="Times New Roman"/>
      <w:kern w:val="2"/>
      <w:sz w:val="32"/>
      <w:szCs w:val="24"/>
    </w:rPr>
  </w:style>
  <w:style w:type="paragraph" w:customStyle="1" w:styleId="12">
    <w:name w:val="p0"/>
    <w:basedOn w:val="1"/>
    <w:qFormat/>
    <w:uiPriority w:val="0"/>
    <w:pPr>
      <w:widowControl/>
    </w:pPr>
    <w:rPr>
      <w:rFonts w:ascii="Times New Roman"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8"/>
    <customShpInfo spid="_x0000_s2056"/>
    <customShpInfo spid="_x0000_s1026"/>
    <customShpInfo spid="_x0000_s2055"/>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3D6D8-3BB4-48C1-BA7E-8D27F6AD8ED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572</Words>
  <Characters>3264</Characters>
  <Lines>27</Lines>
  <Paragraphs>7</Paragraphs>
  <TotalTime>12</TotalTime>
  <ScaleCrop>false</ScaleCrop>
  <LinksUpToDate>false</LinksUpToDate>
  <CharactersWithSpaces>3829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2021-05-19T00:35:00Z</dcterms:created>
  <dc:creator>灰太狼（＾ν＾）</dc:creator>
  <cp:lastModifiedBy>I ' 蜜</cp:lastModifiedBy>
  <cp:lastPrinted>2022-01-27T01:49:00Z</cp:lastPrinted>
  <dcterms:modified xsi:type="dcterms:W3CDTF">2022-01-27T11:34:59Z</dcterms:modified>
  <cp:revision>599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863D84099642427AA61F2252AE6D76AD</vt:lpwstr>
  </property>
  <property fmtid="{D5CDD505-2E9C-101B-9397-08002B2CF9AE}" pid="4" name="KSOSaveFontToCloudKey">
    <vt:lpwstr>247342823_cloud</vt:lpwstr>
  </property>
</Properties>
</file>