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560" w:lineRule="exact"/>
        <w:jc w:val="both"/>
        <w:rPr>
          <w:rFonts w:eastAsia="方正小标宋_GBK"/>
          <w:kern w:val="0"/>
          <w:sz w:val="44"/>
          <w:szCs w:val="44"/>
        </w:rPr>
      </w:pPr>
      <w:bookmarkStart w:id="0" w:name="_GoBack"/>
      <w:bookmarkEnd w:id="0"/>
    </w:p>
    <w:p>
      <w:pPr>
        <w:autoSpaceDE w:val="0"/>
        <w:autoSpaceDN w:val="0"/>
        <w:adjustRightInd w:val="0"/>
        <w:spacing w:line="560" w:lineRule="exact"/>
        <w:jc w:val="center"/>
        <w:rPr>
          <w:rFonts w:eastAsia="方正小标宋_GBK"/>
          <w:kern w:val="0"/>
          <w:sz w:val="44"/>
          <w:szCs w:val="44"/>
        </w:rPr>
      </w:pPr>
      <w:r>
        <w:rPr>
          <w:rFonts w:eastAsia="方正小标宋_GBK"/>
          <w:kern w:val="0"/>
          <w:sz w:val="44"/>
          <w:szCs w:val="44"/>
        </w:rPr>
        <w:t>城口县人民政府</w:t>
      </w:r>
    </w:p>
    <w:p>
      <w:pPr>
        <w:autoSpaceDE w:val="0"/>
        <w:autoSpaceDN w:val="0"/>
        <w:adjustRightInd w:val="0"/>
        <w:spacing w:line="560" w:lineRule="exact"/>
        <w:jc w:val="center"/>
        <w:rPr>
          <w:rFonts w:eastAsia="方正小标宋_GBK"/>
          <w:kern w:val="0"/>
          <w:sz w:val="44"/>
          <w:szCs w:val="44"/>
        </w:rPr>
      </w:pPr>
      <w:r>
        <w:rPr>
          <w:rFonts w:eastAsia="方正小标宋_GBK"/>
          <w:kern w:val="0"/>
          <w:sz w:val="44"/>
          <w:szCs w:val="44"/>
        </w:rPr>
        <w:t>关于</w:t>
      </w:r>
      <w:r>
        <w:rPr>
          <w:rFonts w:eastAsia="方正小标宋_GBK"/>
          <w:sz w:val="44"/>
          <w:szCs w:val="44"/>
        </w:rPr>
        <w:t>部分区域</w:t>
      </w:r>
      <w:r>
        <w:rPr>
          <w:rFonts w:eastAsia="方正小标宋_GBK"/>
          <w:kern w:val="0"/>
          <w:sz w:val="44"/>
          <w:szCs w:val="44"/>
        </w:rPr>
        <w:t>禁止燃放烟花爆竹的通告</w:t>
      </w:r>
    </w:p>
    <w:p>
      <w:pPr>
        <w:autoSpaceDE w:val="0"/>
        <w:autoSpaceDN w:val="0"/>
        <w:adjustRightInd w:val="0"/>
        <w:spacing w:line="560" w:lineRule="exact"/>
        <w:jc w:val="center"/>
        <w:rPr>
          <w:rFonts w:eastAsia="方正楷体_GBK"/>
          <w:kern w:val="0"/>
          <w:szCs w:val="32"/>
          <w:lang w:val="zh-CN"/>
        </w:rPr>
      </w:pPr>
      <w:r>
        <w:rPr>
          <w:rFonts w:hint="eastAsia" w:eastAsia="方正楷体_GBK"/>
          <w:kern w:val="0"/>
          <w:szCs w:val="32"/>
          <w:lang w:val="zh-CN"/>
        </w:rPr>
        <w:t>（征求意见稿）</w:t>
      </w:r>
    </w:p>
    <w:p>
      <w:pPr>
        <w:autoSpaceDE w:val="0"/>
        <w:autoSpaceDN w:val="0"/>
        <w:adjustRightInd w:val="0"/>
        <w:spacing w:line="560" w:lineRule="exact"/>
        <w:ind w:firstLine="632" w:firstLineChars="200"/>
        <w:rPr>
          <w:rFonts w:eastAsia="方正仿宋_GBK"/>
          <w:kern w:val="0"/>
          <w:szCs w:val="32"/>
          <w:lang w:val="zh-CN"/>
        </w:rPr>
      </w:pPr>
      <w:r>
        <w:rPr>
          <w:rFonts w:eastAsia="方正仿宋_GBK"/>
          <w:szCs w:val="32"/>
        </w:rPr>
        <w:t>为加强烟花爆竹安全管理，减少燃放烟花爆竹对大气环境造成的危害，保障公共安全和人身、财产安全，依据《中华人民共和国大气污染防治法》《烟花爆竹安全管理条例》《重庆市燃放烟花爆竹管理条例》等法律、行政法规，结合本县实际情况，经县政府研究同意，决定城口县城市建成区及部分区域（场所）禁止燃放烟花爆竹，现将有关事项通知如下：</w:t>
      </w:r>
    </w:p>
    <w:p>
      <w:pPr>
        <w:adjustRightInd w:val="0"/>
        <w:snapToGrid w:val="0"/>
        <w:spacing w:line="560" w:lineRule="exact"/>
        <w:ind w:firstLine="632" w:firstLineChars="200"/>
        <w:rPr>
          <w:rFonts w:hint="eastAsia" w:ascii="方正仿宋_GBK" w:hAnsi="方正仿宋_GBK" w:eastAsia="方正仿宋_GBK" w:cs="方正仿宋_GBK"/>
          <w:szCs w:val="32"/>
        </w:rPr>
      </w:pPr>
      <w:r>
        <w:rPr>
          <w:rFonts w:hint="eastAsia" w:ascii="方正仿宋_GBK" w:hAnsi="方正仿宋_GBK" w:eastAsia="方正仿宋_GBK" w:cs="方正仿宋_GBK"/>
          <w:szCs w:val="32"/>
        </w:rPr>
        <w:t>一、城口县城市建成区禁止燃放烟花爆竹（以下简称禁放区域）</w:t>
      </w:r>
    </w:p>
    <w:p>
      <w:pPr>
        <w:adjustRightInd w:val="0"/>
        <w:snapToGrid w:val="0"/>
        <w:spacing w:line="540" w:lineRule="exact"/>
        <w:ind w:firstLine="632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（一）葛城街道：土城社区、凤凰社区、梧桐社区、滨河社区、桂花井社区（环山步道以下&lt;含环山步道&gt;所有区域、红军公园、东至城观二路与棉纱村道交汇口）、东方红社区（环山步道以下&lt;含环山步道&gt;所有区域北至原希望小学、西至北环支路与殡仪馆路交汇口）、柳杨社区（滨河水岸以北至五桥头）。</w:t>
      </w:r>
    </w:p>
    <w:p>
      <w:pPr>
        <w:adjustRightInd w:val="0"/>
        <w:snapToGrid w:val="0"/>
        <w:spacing w:line="540" w:lineRule="exact"/>
        <w:ind w:firstLine="632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（二）复兴街道：太和社区（太和一路至沱溪河交汇口、太和二路、观音堂路、复兴路）、和平社区（北至城万快速公路和平加油站）、茅坪社区（东至S301城</w:t>
      </w:r>
      <w:r>
        <w:rPr>
          <w:rFonts w:hint="eastAsia" w:eastAsia="方正仿宋_GBK"/>
          <w:szCs w:val="32"/>
        </w:rPr>
        <w:t>巫</w:t>
      </w:r>
      <w:r>
        <w:rPr>
          <w:rFonts w:eastAsia="方正仿宋_GBK"/>
          <w:szCs w:val="32"/>
        </w:rPr>
        <w:t>路茅坪加油站）、友谊社区（公租房、廉租房区域100米内）。</w:t>
      </w:r>
    </w:p>
    <w:p>
      <w:pPr>
        <w:adjustRightInd w:val="0"/>
        <w:snapToGrid w:val="0"/>
        <w:spacing w:line="560" w:lineRule="exact"/>
        <w:ind w:firstLine="632" w:firstLineChars="200"/>
        <w:rPr>
          <w:rFonts w:hint="eastAsia" w:ascii="方正仿宋_GBK" w:hAnsi="方正仿宋_GBK" w:eastAsia="方正仿宋_GBK" w:cs="方正仿宋_GBK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Cs w:val="32"/>
        </w:rPr>
        <w:t>二、城口县除上述区域外的下列区域（场所）禁止燃放烟花爆竹</w:t>
      </w:r>
      <w:r>
        <w:rPr>
          <w:rFonts w:hint="eastAsia" w:ascii="方正仿宋_GBK" w:hAnsi="方正仿宋_GBK" w:eastAsia="方正仿宋_GBK" w:cs="方正仿宋_GBK"/>
          <w:szCs w:val="32"/>
          <w:lang w:eastAsia="zh-CN"/>
        </w:rPr>
        <w:t>：</w:t>
      </w:r>
    </w:p>
    <w:p>
      <w:pPr>
        <w:adjustRightInd w:val="0"/>
        <w:snapToGrid w:val="0"/>
        <w:spacing w:line="560" w:lineRule="exact"/>
        <w:ind w:firstLine="632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易燃易爆物品生产、储存单位；文物保护单位；车站、桥梁、隧道；饮用水水源保护区内；输变电设施安全保护区内；医疗机构、幼儿园、学校、养老机构；化粪池、沼气池、地下管网；森林、草原等重点防火区；法律、法规、规章规定禁止用火的其他区域或者场所；以上区域或者场所，由有关单位设置明显的禁放警示标志，并负责管理。</w:t>
      </w:r>
    </w:p>
    <w:p>
      <w:pPr>
        <w:adjustRightInd w:val="0"/>
        <w:snapToGrid w:val="0"/>
        <w:spacing w:line="560" w:lineRule="exact"/>
        <w:ind w:firstLine="632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三、在</w:t>
      </w:r>
      <w:r>
        <w:rPr>
          <w:rFonts w:hint="eastAsia" w:eastAsia="方正仿宋_GBK"/>
          <w:szCs w:val="32"/>
        </w:rPr>
        <w:t>上述</w:t>
      </w:r>
      <w:r>
        <w:rPr>
          <w:rFonts w:eastAsia="方正仿宋_GBK"/>
          <w:szCs w:val="32"/>
        </w:rPr>
        <w:t>禁放区域内，禁止</w:t>
      </w:r>
      <w:r>
        <w:rPr>
          <w:rFonts w:hint="eastAsia" w:eastAsia="方正仿宋_GBK"/>
          <w:szCs w:val="32"/>
        </w:rPr>
        <w:t>生产、</w:t>
      </w:r>
      <w:r>
        <w:rPr>
          <w:rFonts w:eastAsia="方正仿宋_GBK"/>
          <w:szCs w:val="32"/>
        </w:rPr>
        <w:t>经营和储存烟花爆竹。</w:t>
      </w:r>
    </w:p>
    <w:p>
      <w:pPr>
        <w:adjustRightInd w:val="0"/>
        <w:snapToGrid w:val="0"/>
        <w:spacing w:line="540" w:lineRule="exact"/>
        <w:ind w:firstLine="632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四、重大节庆活动确需在禁放区域内组织焰火燃放的，按照国家有关规定执行。</w:t>
      </w:r>
    </w:p>
    <w:p>
      <w:pPr>
        <w:adjustRightInd w:val="0"/>
        <w:snapToGrid w:val="0"/>
        <w:spacing w:line="540" w:lineRule="exact"/>
        <w:ind w:firstLine="632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五、公安、应急、生态环境、住建、市场监管、交通等部门依据各自职责，负责禁止燃放烟花爆竹的相关管理和行政执法工作。各乡镇人民政府、街道办事处负责禁止燃放烟花爆竹的宣传和禁放工作。</w:t>
      </w:r>
    </w:p>
    <w:p>
      <w:pPr>
        <w:adjustRightInd w:val="0"/>
        <w:snapToGrid w:val="0"/>
        <w:spacing w:line="540" w:lineRule="exact"/>
        <w:ind w:firstLine="632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六、未经许可生产、经营烟花爆竹的，根据《重庆市燃放烟花爆竹管理条例》第十七条之规定，由应急管理部门责令停止非法活动，没收非法生产、经营的物品及违法所得，并处两万元以上十万元以下的罚款。</w:t>
      </w:r>
    </w:p>
    <w:p>
      <w:pPr>
        <w:adjustRightInd w:val="0"/>
        <w:snapToGrid w:val="0"/>
        <w:spacing w:line="540" w:lineRule="exact"/>
        <w:ind w:firstLine="632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七、在禁放区域（场所）内燃放烟花爆竹的，根据《重庆市燃放烟花爆竹管理条例》第十</w:t>
      </w:r>
      <w:r>
        <w:rPr>
          <w:rFonts w:hint="eastAsia" w:eastAsia="方正仿宋_GBK"/>
          <w:szCs w:val="32"/>
          <w:lang w:eastAsia="zh-CN"/>
        </w:rPr>
        <w:t>八</w:t>
      </w:r>
      <w:r>
        <w:rPr>
          <w:rFonts w:eastAsia="方正仿宋_GBK"/>
          <w:szCs w:val="32"/>
        </w:rPr>
        <w:t>条之规定</w:t>
      </w:r>
      <w:r>
        <w:rPr>
          <w:rFonts w:hint="eastAsia" w:eastAsia="方正仿宋_GBK"/>
          <w:szCs w:val="32"/>
          <w:lang w:eastAsia="zh-CN"/>
        </w:rPr>
        <w:t>，</w:t>
      </w:r>
      <w:r>
        <w:rPr>
          <w:rFonts w:hint="eastAsia" w:eastAsia="方正仿宋_GBK"/>
          <w:szCs w:val="32"/>
        </w:rPr>
        <w:t>由公安机关责令停止燃放，处一百元以上两百元以下的罚款；情节严重的，处两百元以上五百元以下的罚款；构成违反治安管理行为的，由公安机关依照《中华人民共和国治安管理处罚法》的规定处罚</w:t>
      </w:r>
      <w:r>
        <w:rPr>
          <w:rFonts w:eastAsia="方正仿宋_GBK"/>
          <w:szCs w:val="32"/>
        </w:rPr>
        <w:t>。</w:t>
      </w:r>
    </w:p>
    <w:p>
      <w:pPr>
        <w:adjustRightInd w:val="0"/>
        <w:snapToGrid w:val="0"/>
        <w:spacing w:line="540" w:lineRule="exact"/>
        <w:ind w:firstLine="632" w:firstLineChars="200"/>
        <w:rPr>
          <w:rFonts w:eastAsia="方正仿宋_GBK"/>
          <w:spacing w:val="2"/>
          <w:szCs w:val="32"/>
        </w:rPr>
      </w:pPr>
      <w:r>
        <w:rPr>
          <w:rFonts w:eastAsia="方正仿宋_GBK"/>
          <w:szCs w:val="32"/>
        </w:rPr>
        <w:t>八、阻碍烟花爆竹监管执法人员依法执行公务的，由公安机关依照《中华人民共和国治安管理处罚法》相关规定处罚；构成犯罪的，移送相关部门依法追究刑事责任。燃</w:t>
      </w:r>
      <w:r>
        <w:rPr>
          <w:rFonts w:eastAsia="方正仿宋_GBK"/>
          <w:spacing w:val="2"/>
          <w:szCs w:val="32"/>
        </w:rPr>
        <w:t>放烟花爆竹造成人身伤亡和财产损失的，依法承担法律责任。</w:t>
      </w:r>
    </w:p>
    <w:p>
      <w:pPr>
        <w:adjustRightInd w:val="0"/>
        <w:snapToGrid w:val="0"/>
        <w:spacing w:line="540" w:lineRule="exact"/>
        <w:ind w:firstLine="632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九、任何单位、个人应当自觉遵守本通告</w:t>
      </w:r>
      <w:r>
        <w:rPr>
          <w:rFonts w:hint="eastAsia" w:eastAsia="方正仿宋_GBK"/>
          <w:szCs w:val="32"/>
          <w:lang w:eastAsia="zh-CN"/>
        </w:rPr>
        <w:t>禁放要求</w:t>
      </w:r>
      <w:r>
        <w:rPr>
          <w:rFonts w:eastAsia="方正仿宋_GBK"/>
          <w:szCs w:val="32"/>
        </w:rPr>
        <w:t>，对违反本通告</w:t>
      </w:r>
      <w:r>
        <w:rPr>
          <w:rFonts w:hint="eastAsia" w:eastAsia="方正仿宋_GBK"/>
          <w:szCs w:val="32"/>
          <w:lang w:eastAsia="zh-CN"/>
        </w:rPr>
        <w:t>禁放要求</w:t>
      </w:r>
      <w:r>
        <w:rPr>
          <w:rFonts w:eastAsia="方正仿宋_GBK"/>
          <w:szCs w:val="32"/>
        </w:rPr>
        <w:t>行为</w:t>
      </w:r>
      <w:r>
        <w:rPr>
          <w:rFonts w:hint="eastAsia" w:eastAsia="方正仿宋_GBK"/>
          <w:szCs w:val="32"/>
          <w:lang w:eastAsia="zh-CN"/>
        </w:rPr>
        <w:t>的</w:t>
      </w:r>
      <w:r>
        <w:rPr>
          <w:rFonts w:eastAsia="方正仿宋_GBK"/>
          <w:szCs w:val="32"/>
        </w:rPr>
        <w:t>，有权劝阻和举报。举报电话110（公安）、59222355（应急）。</w:t>
      </w:r>
    </w:p>
    <w:p>
      <w:pPr>
        <w:adjustRightInd w:val="0"/>
        <w:snapToGrid w:val="0"/>
        <w:spacing w:line="560" w:lineRule="exact"/>
        <w:ind w:firstLine="632" w:firstLineChars="200"/>
        <w:rPr>
          <w:rFonts w:eastAsia="方正仿宋_GBK"/>
          <w:szCs w:val="32"/>
        </w:rPr>
      </w:pPr>
      <w:r>
        <w:rPr>
          <w:rFonts w:eastAsia="方正仿宋_GBK"/>
          <w:szCs w:val="32"/>
        </w:rPr>
        <w:t>十、本通告自</w:t>
      </w:r>
      <w:r>
        <w:rPr>
          <w:rFonts w:hint="eastAsia" w:eastAsia="方正仿宋_GBK"/>
          <w:szCs w:val="32"/>
        </w:rPr>
        <w:t>发布之日</w:t>
      </w:r>
      <w:r>
        <w:rPr>
          <w:rFonts w:eastAsia="方正仿宋_GBK"/>
          <w:szCs w:val="32"/>
        </w:rPr>
        <w:t>起施行。此前有关规定与本通告不一致的，以本通告为准。</w:t>
      </w:r>
    </w:p>
    <w:p>
      <w:pPr>
        <w:adjustRightInd w:val="0"/>
        <w:snapToGrid w:val="0"/>
        <w:spacing w:line="560" w:lineRule="exact"/>
        <w:ind w:firstLine="632" w:firstLineChars="200"/>
        <w:rPr>
          <w:rFonts w:eastAsia="方正仿宋_GBK"/>
          <w:szCs w:val="32"/>
        </w:rPr>
      </w:pPr>
    </w:p>
    <w:p>
      <w:pPr>
        <w:spacing w:line="560" w:lineRule="exact"/>
        <w:ind w:firstLine="316" w:firstLineChars="100"/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361" w:gutter="0"/>
      <w:cols w:space="720" w:num="1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7560" w:firstLineChars="2700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3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280" w:firstLineChars="100"/>
    </w:pPr>
    <w:r>
      <w:rPr>
        <w:rFonts w:hint="eastAsia"/>
        <w:sz w:val="28"/>
      </w:rPr>
      <w:t xml:space="preserve">— </w:t>
    </w:r>
    <w:r>
      <w:rPr>
        <w:sz w:val="28"/>
      </w:rPr>
      <w:fldChar w:fldCharType="begin"/>
    </w:r>
    <w:r>
      <w:rPr>
        <w:sz w:val="28"/>
      </w:rPr>
      <w:instrText xml:space="preserve"> PAGE   \* MERGEFORMAT </w:instrText>
    </w:r>
    <w:r>
      <w:rPr>
        <w:sz w:val="28"/>
      </w:rPr>
      <w:fldChar w:fldCharType="separate"/>
    </w:r>
    <w:r>
      <w:rPr>
        <w:sz w:val="28"/>
        <w:lang w:val="zh-CN"/>
      </w:rPr>
      <w:t>2</w:t>
    </w:r>
    <w:r>
      <w:rPr>
        <w:sz w:val="28"/>
      </w:rPr>
      <w:fldChar w:fldCharType="end"/>
    </w:r>
    <w:r>
      <w:rPr>
        <w:rFonts w:hint="eastAsia"/>
        <w:sz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F3001C"/>
    <w:rsid w:val="08F3001C"/>
    <w:rsid w:val="1C495E97"/>
    <w:rsid w:val="5BC549EF"/>
    <w:rsid w:val="A736658B"/>
    <w:rsid w:val="B7A74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2022-01-04T14:20:00Z</dcterms:created>
  <dc:creator>Administrator</dc:creator>
  <cp:lastModifiedBy>ckuos</cp:lastModifiedBy>
  <dcterms:modified xsi:type="dcterms:W3CDTF">2023-02-16T19:13:19Z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  <property fmtid="{D5CDD505-2E9C-101B-9397-08002B2CF9AE}" pid="3" name="ICV">
    <vt:lpwstr>A0C82DA53B404659AC5CBF6D3E986224</vt:lpwstr>
  </property>
</Properties>
</file>