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8EE96B">
      <w:pPr>
        <w:spacing w:line="560" w:lineRule="exact"/>
        <w:jc w:val="both"/>
        <w:rPr>
          <w:rFonts w:hint="eastAsia" w:ascii="Times New Roman" w:hAnsi="Times New Roman" w:eastAsia="仿宋_GB2312"/>
          <w:sz w:val="32"/>
        </w:rPr>
      </w:pPr>
    </w:p>
    <w:p w14:paraId="0E97E36F">
      <w:pPr>
        <w:spacing w:line="560" w:lineRule="exact"/>
        <w:ind w:left="0" w:leftChars="0" w:firstLine="0" w:firstLineChars="0"/>
        <w:jc w:val="both"/>
        <w:rPr>
          <w:rFonts w:hint="eastAsia" w:ascii="Times New Roman" w:hAnsi="Times New Roman" w:eastAsia="方正仿宋_GBK"/>
          <w:sz w:val="32"/>
        </w:rPr>
      </w:pPr>
    </w:p>
    <w:p w14:paraId="18032205">
      <w:pPr>
        <w:spacing w:line="560" w:lineRule="exact"/>
        <w:jc w:val="right"/>
        <w:rPr>
          <w:rFonts w:hint="eastAsia" w:ascii="Times New Roman" w:hAnsi="Times New Roman" w:eastAsia="方正仿宋_GBK"/>
          <w:spacing w:val="3"/>
          <w:sz w:val="32"/>
          <w:szCs w:val="32"/>
          <w:lang w:eastAsia="zh-CN"/>
        </w:rPr>
      </w:pPr>
      <w:r>
        <w:rPr>
          <w:rFonts w:ascii="Times New Roman" w:hAnsi="Times New Roman"/>
          <w:spacing w:val="3"/>
          <w:sz w:val="28"/>
          <w:szCs w:val="28"/>
        </w:rPr>
        <w:tab/>
      </w:r>
    </w:p>
    <w:p w14:paraId="18C8EE04">
      <w:pPr>
        <w:keepNext w:val="0"/>
        <w:keepLines w:val="0"/>
        <w:pageBreakBefore w:val="0"/>
        <w:widowControl w:val="0"/>
        <w:kinsoku/>
        <w:wordWrap/>
        <w:overflowPunct/>
        <w:topLinePunct w:val="0"/>
        <w:autoSpaceDE/>
        <w:autoSpaceDN/>
        <w:bidi w:val="0"/>
        <w:adjustRightInd/>
        <w:snapToGrid/>
        <w:spacing w:line="579" w:lineRule="exact"/>
        <w:ind w:firstLine="0" w:firstLineChars="0"/>
        <w:jc w:val="center"/>
        <w:textAlignment w:val="auto"/>
        <w:rPr>
          <w:rFonts w:ascii="Times New Roman" w:hAnsi="Times New Roman" w:eastAsia="方正小标宋_GBK" w:cs="方正小标宋_GBK"/>
          <w:color w:val="000000"/>
          <w:kern w:val="0"/>
          <w:sz w:val="44"/>
          <w:szCs w:val="43"/>
        </w:rPr>
      </w:pPr>
      <w:bookmarkStart w:id="0" w:name="quanwen"/>
      <w:r>
        <w:rPr>
          <w:rFonts w:hint="eastAsia" w:ascii="Times New Roman" w:hAnsi="Times New Roman" w:eastAsia="方正小标宋_GBK" w:cs="方正小标宋_GBK"/>
          <w:sz w:val="44"/>
          <w:szCs w:val="44"/>
        </w:rPr>
        <w:t>城口县人民政府办公室</w:t>
      </w:r>
    </w:p>
    <w:p w14:paraId="122DBFF3">
      <w:pPr>
        <w:keepNext w:val="0"/>
        <w:keepLines w:val="0"/>
        <w:pageBreakBefore w:val="0"/>
        <w:widowControl w:val="0"/>
        <w:kinsoku/>
        <w:wordWrap/>
        <w:overflowPunct w:val="0"/>
        <w:topLinePunct w:val="0"/>
        <w:autoSpaceDE/>
        <w:autoSpaceDN/>
        <w:bidi w:val="0"/>
        <w:adjustRightInd/>
        <w:snapToGrid/>
        <w:spacing w:line="579" w:lineRule="exact"/>
        <w:ind w:firstLine="0" w:firstLineChars="0"/>
        <w:jc w:val="center"/>
        <w:textAlignment w:val="auto"/>
        <w:rPr>
          <w:rFonts w:hint="default" w:ascii="Times New Roman" w:hAnsi="Times New Roman" w:eastAsia="方正小标宋_GBK" w:cs="Times New Roman"/>
          <w:sz w:val="44"/>
          <w:szCs w:val="44"/>
          <w:lang w:val="en-US" w:eastAsia="zh-CN"/>
        </w:rPr>
      </w:pPr>
      <w:r>
        <w:rPr>
          <w:rFonts w:hint="eastAsia" w:ascii="Times New Roman" w:hAnsi="Times New Roman" w:eastAsia="方正小标宋_GBK" w:cs="方正小标宋_GBK"/>
          <w:color w:val="000000"/>
          <w:kern w:val="2"/>
          <w:sz w:val="44"/>
          <w:szCs w:val="44"/>
          <w:highlight w:val="none"/>
          <w:u w:val="none"/>
          <w:lang w:val="en-US" w:eastAsia="zh-CN"/>
        </w:rPr>
        <w:t>关于印发</w:t>
      </w:r>
      <w:r>
        <w:rPr>
          <w:rFonts w:hint="default" w:ascii="Times New Roman" w:hAnsi="Times New Roman" w:eastAsia="方正小标宋_GBK" w:cs="Times New Roman"/>
          <w:sz w:val="44"/>
          <w:szCs w:val="44"/>
          <w:lang w:val="en-US" w:eastAsia="zh-CN"/>
        </w:rPr>
        <w:t>《城口县支持民营经济高质量发展</w:t>
      </w:r>
    </w:p>
    <w:p w14:paraId="2E6ADB75">
      <w:pPr>
        <w:keepNext w:val="0"/>
        <w:keepLines w:val="0"/>
        <w:pageBreakBefore w:val="0"/>
        <w:widowControl w:val="0"/>
        <w:kinsoku/>
        <w:wordWrap/>
        <w:overflowPunct w:val="0"/>
        <w:topLinePunct w:val="0"/>
        <w:autoSpaceDE/>
        <w:autoSpaceDN/>
        <w:bidi w:val="0"/>
        <w:adjustRightInd/>
        <w:snapToGrid/>
        <w:spacing w:line="579" w:lineRule="exact"/>
        <w:ind w:firstLine="0" w:firstLineChars="0"/>
        <w:jc w:val="center"/>
        <w:textAlignment w:val="auto"/>
        <w:rPr>
          <w:rFonts w:hint="eastAsia"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lang w:val="en-US" w:eastAsia="zh-CN"/>
        </w:rPr>
        <w:t>若干措施》</w:t>
      </w:r>
      <w:r>
        <w:rPr>
          <w:rFonts w:hint="default" w:ascii="Times New Roman" w:hAnsi="Times New Roman" w:eastAsia="方正小标宋_GBK" w:cs="Times New Roman"/>
          <w:sz w:val="44"/>
          <w:szCs w:val="44"/>
          <w:lang w:eastAsia="zh-CN"/>
        </w:rPr>
        <w:t>的</w:t>
      </w:r>
      <w:r>
        <w:rPr>
          <w:rFonts w:hint="eastAsia" w:ascii="Times New Roman" w:hAnsi="Times New Roman" w:eastAsia="方正小标宋_GBK" w:cs="Times New Roman"/>
          <w:sz w:val="44"/>
          <w:szCs w:val="44"/>
          <w:lang w:val="en-US" w:eastAsia="zh-CN"/>
        </w:rPr>
        <w:t>通知</w:t>
      </w:r>
    </w:p>
    <w:p w14:paraId="7BFA4B1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方正仿宋_GBK"/>
          <w:sz w:val="32"/>
        </w:rPr>
      </w:pPr>
      <w:r>
        <w:rPr>
          <w:rFonts w:hint="eastAsia" w:ascii="Times New Roman" w:hAnsi="Times New Roman" w:eastAsia="方正仿宋_GBK"/>
          <w:sz w:val="32"/>
          <w:lang w:eastAsia="zh-CN"/>
        </w:rPr>
        <w:t>城府办发</w:t>
      </w:r>
      <w:r>
        <w:rPr>
          <w:rFonts w:hint="eastAsia" w:ascii="Times New Roman" w:hAnsi="Times New Roman" w:eastAsia="方正仿宋_GBK"/>
          <w:sz w:val="32"/>
        </w:rPr>
        <w:t>〔</w:t>
      </w:r>
      <w:r>
        <w:rPr>
          <w:rFonts w:hint="eastAsia" w:ascii="Times New Roman" w:hAnsi="Times New Roman" w:eastAsia="方正仿宋_GBK"/>
          <w:sz w:val="32"/>
          <w:lang w:val="en-US" w:eastAsia="zh-CN"/>
        </w:rPr>
        <w:t>2025</w:t>
      </w:r>
      <w:r>
        <w:rPr>
          <w:rFonts w:ascii="Times New Roman" w:hAnsi="Times New Roman" w:eastAsia="方正仿宋_GBK" w:cs="Times New Roman"/>
          <w:sz w:val="32"/>
        </w:rPr>
        <w:t>〕</w:t>
      </w:r>
      <w:r>
        <w:rPr>
          <w:rFonts w:hint="eastAsia" w:ascii="Times New Roman" w:hAnsi="Times New Roman" w:eastAsia="方正仿宋_GBK" w:cs="Times New Roman"/>
          <w:sz w:val="32"/>
          <w:lang w:val="en-US" w:eastAsia="zh-CN"/>
        </w:rPr>
        <w:t>39</w:t>
      </w:r>
      <w:r>
        <w:rPr>
          <w:rFonts w:hint="eastAsia" w:ascii="Times New Roman" w:hAnsi="Times New Roman" w:eastAsia="方正仿宋_GBK"/>
          <w:sz w:val="32"/>
        </w:rPr>
        <w:t>号</w:t>
      </w:r>
    </w:p>
    <w:p w14:paraId="0D8BB057">
      <w:pPr>
        <w:pStyle w:val="2"/>
        <w:rPr>
          <w:rFonts w:hint="eastAsia"/>
          <w:lang w:val="en-US" w:eastAsia="zh-CN"/>
        </w:rPr>
      </w:pPr>
    </w:p>
    <w:p w14:paraId="615945B1">
      <w:pPr>
        <w:pStyle w:val="29"/>
        <w:keepNext w:val="0"/>
        <w:keepLines w:val="0"/>
        <w:pageBreakBefore w:val="0"/>
        <w:kinsoku/>
        <w:wordWrap/>
        <w:overflowPunct/>
        <w:topLinePunct w:val="0"/>
        <w:autoSpaceDE/>
        <w:autoSpaceDN/>
        <w:bidi w:val="0"/>
        <w:spacing w:before="0" w:beforeAutospacing="0" w:after="0" w:afterAutospacing="0" w:line="579" w:lineRule="exact"/>
        <w:jc w:val="both"/>
        <w:textAlignment w:val="auto"/>
        <w:rPr>
          <w:rFonts w:ascii="Times New Roman" w:hAnsi="Times New Roman" w:eastAsia="方正仿宋_GBK" w:cs="方正仿宋_GBK"/>
          <w:color w:val="000000"/>
          <w:sz w:val="32"/>
          <w:szCs w:val="32"/>
        </w:rPr>
      </w:pPr>
    </w:p>
    <w:p w14:paraId="7B5FA48E">
      <w:pPr>
        <w:keepNext w:val="0"/>
        <w:keepLines w:val="0"/>
        <w:pageBreakBefore w:val="0"/>
        <w:widowControl/>
        <w:suppressLineNumbers w:val="0"/>
        <w:kinsoku/>
        <w:wordWrap/>
        <w:overflowPunct/>
        <w:topLinePunct w:val="0"/>
        <w:autoSpaceDE/>
        <w:autoSpaceDN/>
        <w:bidi w:val="0"/>
        <w:adjustRightInd/>
        <w:snapToGrid/>
        <w:spacing w:line="579" w:lineRule="exact"/>
        <w:ind w:firstLine="0" w:firstLineChars="0"/>
        <w:jc w:val="both"/>
        <w:textAlignment w:val="auto"/>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各乡镇人民政府、街道办事处，县政府有关部门，有</w:t>
      </w:r>
      <w:bookmarkStart w:id="2" w:name="_GoBack"/>
      <w:bookmarkEnd w:id="2"/>
      <w:r>
        <w:rPr>
          <w:rFonts w:hint="eastAsia" w:ascii="Times New Roman" w:hAnsi="Times New Roman" w:eastAsia="方正仿宋_GBK" w:cs="Times New Roman"/>
          <w:sz w:val="32"/>
          <w:szCs w:val="32"/>
          <w:highlight w:val="none"/>
          <w:lang w:val="en-US" w:eastAsia="zh-CN"/>
        </w:rPr>
        <w:t>关单位：</w:t>
      </w:r>
    </w:p>
    <w:p w14:paraId="1B46F572">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both"/>
        <w:textAlignment w:val="auto"/>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highlight w:val="none"/>
          <w:lang w:val="en-US" w:eastAsia="zh-CN"/>
        </w:rPr>
        <w:t>《城口县支持民营经济高质量发展若干措施》</w:t>
      </w:r>
      <w:r>
        <w:rPr>
          <w:rFonts w:hint="eastAsia" w:ascii="Times New Roman" w:hAnsi="Times New Roman" w:eastAsia="方正仿宋_GBK" w:cs="Times New Roman"/>
          <w:sz w:val="32"/>
          <w:szCs w:val="32"/>
          <w:highlight w:val="none"/>
          <w:lang w:val="en-US" w:eastAsia="zh-CN"/>
        </w:rPr>
        <w:t>已</w:t>
      </w:r>
      <w:r>
        <w:rPr>
          <w:rFonts w:hint="eastAsia" w:ascii="Times New Roman" w:hAnsi="Times New Roman" w:eastAsia="方正仿宋_GBK" w:cs="Times New Roman"/>
          <w:sz w:val="32"/>
          <w:szCs w:val="32"/>
          <w:lang w:val="en-US" w:eastAsia="zh-CN"/>
        </w:rPr>
        <w:t>经县政府同意，现印发给你们，请认真贯彻执行。</w:t>
      </w:r>
    </w:p>
    <w:p w14:paraId="0642E242">
      <w:pPr>
        <w:pStyle w:val="7"/>
        <w:keepNext w:val="0"/>
        <w:keepLines w:val="0"/>
        <w:pageBreakBefore w:val="0"/>
        <w:widowControl/>
        <w:kinsoku/>
        <w:wordWrap/>
        <w:overflowPunct/>
        <w:topLinePunct w:val="0"/>
        <w:autoSpaceDE/>
        <w:autoSpaceDN/>
        <w:bidi w:val="0"/>
        <w:adjustRightInd/>
        <w:snapToGrid/>
        <w:spacing w:line="579" w:lineRule="exact"/>
        <w:ind w:left="0" w:leftChars="0" w:firstLine="0" w:firstLineChars="0"/>
        <w:jc w:val="left"/>
        <w:textAlignment w:val="auto"/>
        <w:rPr>
          <w:rFonts w:hint="eastAsia" w:ascii="Times New Roman" w:hAnsi="Times New Roman"/>
          <w:lang w:eastAsia="zh-CN"/>
        </w:rPr>
      </w:pPr>
    </w:p>
    <w:p w14:paraId="60EEFCDC">
      <w:pPr>
        <w:keepNext w:val="0"/>
        <w:keepLines w:val="0"/>
        <w:pageBreakBefore w:val="0"/>
        <w:kinsoku/>
        <w:wordWrap/>
        <w:overflowPunct/>
        <w:topLinePunct w:val="0"/>
        <w:autoSpaceDE/>
        <w:autoSpaceDN/>
        <w:bidi w:val="0"/>
        <w:adjustRightInd/>
        <w:snapToGrid/>
        <w:spacing w:line="579" w:lineRule="exact"/>
        <w:jc w:val="left"/>
        <w:textAlignment w:val="auto"/>
        <w:rPr>
          <w:rFonts w:hint="eastAsia" w:ascii="Times New Roman" w:hAnsi="Times New Roman"/>
          <w:lang w:eastAsia="zh-CN"/>
        </w:rPr>
      </w:pPr>
    </w:p>
    <w:p w14:paraId="39DF2BC4">
      <w:pPr>
        <w:keepNext w:val="0"/>
        <w:keepLines w:val="0"/>
        <w:pageBreakBefore w:val="0"/>
        <w:widowControl w:val="0"/>
        <w:kinsoku/>
        <w:wordWrap/>
        <w:topLinePunct w:val="0"/>
        <w:autoSpaceDE/>
        <w:autoSpaceDN/>
        <w:bidi w:val="0"/>
        <w:adjustRightInd/>
        <w:snapToGrid/>
        <w:spacing w:line="579" w:lineRule="exact"/>
        <w:ind w:firstLine="5120" w:firstLineChars="1600"/>
        <w:jc w:val="both"/>
        <w:textAlignment w:val="auto"/>
        <w:rPr>
          <w:rFonts w:hint="default" w:ascii="Times New Roman" w:hAnsi="Times New Roman" w:eastAsia="方正仿宋_GBK" w:cs="Times New Roman"/>
          <w:bCs/>
          <w:color w:val="000000"/>
          <w:kern w:val="0"/>
          <w:sz w:val="32"/>
          <w:szCs w:val="32"/>
          <w:lang w:val="en-US" w:eastAsia="zh-CN" w:bidi="ar-SA"/>
        </w:rPr>
      </w:pPr>
      <w:r>
        <w:rPr>
          <w:rFonts w:hint="default" w:ascii="Times New Roman" w:hAnsi="Times New Roman" w:eastAsia="方正仿宋_GBK" w:cs="Times New Roman"/>
          <w:bCs/>
          <w:color w:val="000000"/>
          <w:kern w:val="0"/>
          <w:sz w:val="32"/>
          <w:szCs w:val="32"/>
          <w:lang w:val="en-US" w:eastAsia="zh-CN" w:bidi="ar-SA"/>
        </w:rPr>
        <w:t>城口县人民政府办公室</w:t>
      </w:r>
    </w:p>
    <w:p w14:paraId="5F9047FA">
      <w:pPr>
        <w:keepNext w:val="0"/>
        <w:keepLines w:val="0"/>
        <w:pageBreakBefore w:val="0"/>
        <w:widowControl w:val="0"/>
        <w:kinsoku/>
        <w:wordWrap/>
        <w:overflowPunct w:val="0"/>
        <w:topLinePunct w:val="0"/>
        <w:autoSpaceDE/>
        <w:autoSpaceDN/>
        <w:bidi w:val="0"/>
        <w:adjustRightInd/>
        <w:snapToGrid/>
        <w:spacing w:line="579" w:lineRule="exact"/>
        <w:jc w:val="center"/>
        <w:textAlignment w:val="auto"/>
        <w:rPr>
          <w:rFonts w:hint="eastAsia" w:ascii="Times New Roman" w:hAnsi="Times New Roman"/>
          <w:lang w:val="en-US" w:eastAsia="zh-CN"/>
        </w:rPr>
      </w:pPr>
      <w:r>
        <w:rPr>
          <w:rFonts w:hint="default" w:ascii="Times New Roman" w:hAnsi="Times New Roman" w:eastAsia="方正仿宋_GBK" w:cs="Times New Roman"/>
          <w:bCs/>
          <w:color w:val="000000"/>
          <w:kern w:val="0"/>
          <w:sz w:val="32"/>
          <w:szCs w:val="32"/>
          <w:lang w:val="en-US" w:eastAsia="zh-CN" w:bidi="ar-SA"/>
        </w:rPr>
        <w:t xml:space="preserve">                           2025年</w:t>
      </w:r>
      <w:r>
        <w:rPr>
          <w:rFonts w:hint="eastAsia" w:ascii="Times New Roman" w:hAnsi="Times New Roman" w:eastAsia="方正仿宋_GBK" w:cs="Times New Roman"/>
          <w:bCs/>
          <w:color w:val="000000"/>
          <w:kern w:val="0"/>
          <w:sz w:val="32"/>
          <w:szCs w:val="32"/>
          <w:lang w:val="en-US" w:eastAsia="zh-CN" w:bidi="ar-SA"/>
        </w:rPr>
        <w:t>6</w:t>
      </w:r>
      <w:r>
        <w:rPr>
          <w:rFonts w:hint="default" w:ascii="Times New Roman" w:hAnsi="Times New Roman" w:eastAsia="方正仿宋_GBK" w:cs="Times New Roman"/>
          <w:bCs/>
          <w:color w:val="000000"/>
          <w:kern w:val="0"/>
          <w:sz w:val="32"/>
          <w:szCs w:val="32"/>
          <w:lang w:val="en-US" w:eastAsia="zh-CN" w:bidi="ar-SA"/>
        </w:rPr>
        <w:t>月</w:t>
      </w:r>
      <w:r>
        <w:rPr>
          <w:rFonts w:hint="eastAsia" w:ascii="Times New Roman" w:hAnsi="Times New Roman" w:eastAsia="方正仿宋_GBK" w:cs="Times New Roman"/>
          <w:bCs/>
          <w:color w:val="000000"/>
          <w:kern w:val="0"/>
          <w:sz w:val="32"/>
          <w:szCs w:val="32"/>
          <w:lang w:val="en-US" w:eastAsia="zh-CN" w:bidi="ar-SA"/>
        </w:rPr>
        <w:t>3</w:t>
      </w:r>
      <w:r>
        <w:rPr>
          <w:rFonts w:hint="default" w:ascii="Times New Roman" w:hAnsi="Times New Roman" w:eastAsia="方正仿宋_GBK" w:cs="Times New Roman"/>
          <w:bCs/>
          <w:color w:val="000000"/>
          <w:kern w:val="0"/>
          <w:sz w:val="32"/>
          <w:szCs w:val="32"/>
          <w:lang w:val="en-US" w:eastAsia="zh-CN" w:bidi="ar-SA"/>
        </w:rPr>
        <w:t>日</w:t>
      </w:r>
    </w:p>
    <w:p w14:paraId="56338B67">
      <w:pPr>
        <w:keepNext w:val="0"/>
        <w:keepLines w:val="0"/>
        <w:pageBreakBefore w:val="0"/>
        <w:widowControl w:val="0"/>
        <w:kinsoku/>
        <w:wordWrap/>
        <w:overflowPunct/>
        <w:topLinePunct w:val="0"/>
        <w:autoSpaceDE/>
        <w:autoSpaceDN/>
        <w:bidi w:val="0"/>
        <w:adjustRightInd/>
        <w:snapToGrid/>
        <w:spacing w:after="120" w:line="579" w:lineRule="exact"/>
        <w:ind w:left="0" w:leftChars="0" w:firstLine="640" w:firstLineChars="200"/>
        <w:jc w:val="left"/>
        <w:textAlignment w:val="auto"/>
        <w:outlineLvl w:val="9"/>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（此件公开发布）</w:t>
      </w:r>
    </w:p>
    <w:p w14:paraId="1D62F8A7">
      <w:pPr>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br w:type="page"/>
      </w:r>
    </w:p>
    <w:p w14:paraId="4196786D">
      <w:pPr>
        <w:keepNext w:val="0"/>
        <w:keepLines w:val="0"/>
        <w:pageBreakBefore w:val="0"/>
        <w:widowControl w:val="0"/>
        <w:kinsoku/>
        <w:wordWrap/>
        <w:overflowPunct/>
        <w:topLinePunct w:val="0"/>
        <w:autoSpaceDE/>
        <w:autoSpaceDN/>
        <w:bidi w:val="0"/>
        <w:adjustRightInd/>
        <w:snapToGrid/>
        <w:spacing w:line="579" w:lineRule="exact"/>
        <w:ind w:left="0" w:leftChars="0" w:right="0" w:rightChars="0" w:firstLine="0" w:firstLineChars="0"/>
        <w:jc w:val="center"/>
        <w:textAlignment w:val="auto"/>
        <w:outlineLvl w:val="9"/>
        <w:rPr>
          <w:rFonts w:hint="eastAsia" w:ascii="Times New Roman" w:hAnsi="Times New Roman" w:eastAsia="方正楷体_GBK" w:cs="方正楷体_GBK"/>
          <w:i w:val="0"/>
          <w:iCs w:val="0"/>
          <w:caps w:val="0"/>
          <w:color w:val="333333"/>
          <w:spacing w:val="0"/>
          <w:sz w:val="32"/>
          <w:szCs w:val="32"/>
          <w:shd w:val="clear" w:color="auto" w:fill="FFFFFF"/>
          <w:lang w:val="en-US" w:eastAsia="zh-CN"/>
        </w:rPr>
      </w:pPr>
      <w:r>
        <w:rPr>
          <w:rFonts w:hint="eastAsia" w:ascii="Times New Roman" w:hAnsi="Times New Roman" w:eastAsia="方正小标宋_GBK" w:cs="方正小标宋_GBK"/>
          <w:spacing w:val="0"/>
          <w:sz w:val="44"/>
          <w:szCs w:val="44"/>
          <w:lang w:val="en-US" w:eastAsia="zh-CN"/>
        </w:rPr>
        <w:t>城口县支持</w:t>
      </w:r>
      <w:r>
        <w:rPr>
          <w:rFonts w:ascii="Times New Roman" w:hAnsi="Times New Roman" w:eastAsia="方正小标宋_GBK" w:cs="方正小标宋_GBK"/>
          <w:i w:val="0"/>
          <w:iCs w:val="0"/>
          <w:caps w:val="0"/>
          <w:color w:val="333333"/>
          <w:spacing w:val="0"/>
          <w:sz w:val="44"/>
          <w:szCs w:val="44"/>
          <w:shd w:val="clear" w:color="auto" w:fill="FFFFFF"/>
        </w:rPr>
        <w:t>民营经济</w:t>
      </w:r>
      <w:r>
        <w:rPr>
          <w:rFonts w:hint="eastAsia" w:ascii="Times New Roman" w:hAnsi="Times New Roman" w:eastAsia="方正小标宋_GBK" w:cs="方正小标宋_GBK"/>
          <w:i w:val="0"/>
          <w:iCs w:val="0"/>
          <w:caps w:val="0"/>
          <w:color w:val="333333"/>
          <w:spacing w:val="0"/>
          <w:sz w:val="44"/>
          <w:szCs w:val="44"/>
          <w:shd w:val="clear" w:color="auto" w:fill="FFFFFF"/>
          <w:lang w:eastAsia="zh-CN"/>
        </w:rPr>
        <w:t>高质量</w:t>
      </w:r>
      <w:r>
        <w:rPr>
          <w:rFonts w:ascii="Times New Roman" w:hAnsi="Times New Roman" w:eastAsia="方正小标宋_GBK" w:cs="方正小标宋_GBK"/>
          <w:i w:val="0"/>
          <w:iCs w:val="0"/>
          <w:caps w:val="0"/>
          <w:color w:val="333333"/>
          <w:spacing w:val="0"/>
          <w:sz w:val="44"/>
          <w:szCs w:val="44"/>
          <w:shd w:val="clear" w:color="auto" w:fill="FFFFFF"/>
        </w:rPr>
        <w:t>发展若干措施</w:t>
      </w:r>
    </w:p>
    <w:p w14:paraId="497D629E">
      <w:pPr>
        <w:keepNext w:val="0"/>
        <w:keepLines w:val="0"/>
        <w:pageBreakBefore w:val="0"/>
        <w:widowControl/>
        <w:suppressLineNumbers w:val="0"/>
        <w:kinsoku/>
        <w:wordWrap/>
        <w:overflowPunct/>
        <w:topLinePunct w:val="0"/>
        <w:autoSpaceDE/>
        <w:autoSpaceDN/>
        <w:bidi w:val="0"/>
        <w:adjustRightInd/>
        <w:snapToGrid/>
        <w:spacing w:line="579" w:lineRule="exact"/>
        <w:ind w:left="0" w:leftChars="0" w:firstLine="0" w:firstLineChars="0"/>
        <w:jc w:val="left"/>
        <w:textAlignment w:val="auto"/>
        <w:rPr>
          <w:rFonts w:ascii="Times New Roman" w:hAnsi="Times New Roman" w:eastAsia="方正仿宋_GBK" w:cs="方正仿宋_GBK"/>
          <w:color w:val="000000"/>
          <w:kern w:val="0"/>
          <w:sz w:val="31"/>
          <w:szCs w:val="31"/>
          <w:lang w:val="en-US" w:eastAsia="zh-CN" w:bidi="ar"/>
        </w:rPr>
      </w:pPr>
    </w:p>
    <w:p w14:paraId="5482E4E1">
      <w:pPr>
        <w:keepNext w:val="0"/>
        <w:keepLines w:val="0"/>
        <w:pageBreakBefore w:val="0"/>
        <w:widowControl/>
        <w:suppressLineNumbers w:val="0"/>
        <w:kinsoku/>
        <w:wordWrap/>
        <w:overflowPunct/>
        <w:topLinePunct w:val="0"/>
        <w:autoSpaceDE/>
        <w:autoSpaceDN/>
        <w:bidi w:val="0"/>
        <w:adjustRightInd/>
        <w:snapToGrid/>
        <w:spacing w:line="579" w:lineRule="exact"/>
        <w:ind w:left="0" w:leftChars="0" w:firstLine="640" w:firstLineChars="200"/>
        <w:jc w:val="left"/>
        <w:textAlignment w:val="auto"/>
        <w:rPr>
          <w:rFonts w:hint="eastAsia" w:ascii="Times New Roman" w:hAnsi="Times New Roman" w:eastAsia="方正黑体_GBK" w:cs="方正黑体_GBK"/>
          <w:sz w:val="32"/>
          <w:szCs w:val="32"/>
          <w:lang w:val="en-US" w:eastAsia="zh-CN"/>
        </w:rPr>
      </w:pPr>
      <w:r>
        <w:rPr>
          <w:rFonts w:ascii="Times New Roman" w:hAnsi="Times New Roman" w:eastAsia="方正仿宋_GBK" w:cs="方正仿宋_GBK"/>
          <w:color w:val="000000"/>
          <w:kern w:val="0"/>
          <w:sz w:val="32"/>
          <w:szCs w:val="32"/>
          <w:lang w:val="en-US" w:eastAsia="zh-CN" w:bidi="ar"/>
        </w:rPr>
        <w:t>为进一步激发市场主体活力，</w:t>
      </w:r>
      <w:r>
        <w:rPr>
          <w:rFonts w:hint="eastAsia" w:ascii="Times New Roman" w:hAnsi="Times New Roman" w:eastAsia="方正仿宋_GBK" w:cs="方正仿宋_GBK"/>
          <w:color w:val="000000"/>
          <w:kern w:val="0"/>
          <w:sz w:val="32"/>
          <w:szCs w:val="32"/>
          <w:lang w:val="en-US" w:eastAsia="zh-CN" w:bidi="ar"/>
        </w:rPr>
        <w:t>推动</w:t>
      </w:r>
      <w:r>
        <w:rPr>
          <w:rFonts w:ascii="Times New Roman" w:hAnsi="Times New Roman" w:eastAsia="方正仿宋_GBK" w:cs="方正仿宋_GBK"/>
          <w:color w:val="000000"/>
          <w:kern w:val="0"/>
          <w:sz w:val="32"/>
          <w:szCs w:val="32"/>
          <w:lang w:val="en-US" w:eastAsia="zh-CN" w:bidi="ar"/>
        </w:rPr>
        <w:t>民营经济</w:t>
      </w:r>
      <w:r>
        <w:rPr>
          <w:rFonts w:hint="eastAsia" w:ascii="Times New Roman" w:hAnsi="Times New Roman" w:eastAsia="方正仿宋_GBK" w:cs="方正仿宋_GBK"/>
          <w:color w:val="000000"/>
          <w:kern w:val="0"/>
          <w:sz w:val="32"/>
          <w:szCs w:val="32"/>
          <w:lang w:val="en-US" w:eastAsia="zh-CN" w:bidi="ar"/>
        </w:rPr>
        <w:t>高质量</w:t>
      </w:r>
      <w:r>
        <w:rPr>
          <w:rFonts w:ascii="Times New Roman" w:hAnsi="Times New Roman" w:eastAsia="方正仿宋_GBK" w:cs="方正仿宋_GBK"/>
          <w:color w:val="000000"/>
          <w:kern w:val="0"/>
          <w:sz w:val="32"/>
          <w:szCs w:val="32"/>
          <w:lang w:val="en-US" w:eastAsia="zh-CN" w:bidi="ar"/>
        </w:rPr>
        <w:t>发展，</w:t>
      </w:r>
      <w:r>
        <w:rPr>
          <w:rFonts w:hint="eastAsia" w:ascii="Times New Roman" w:hAnsi="Times New Roman" w:eastAsia="方正仿宋_GBK" w:cs="方正仿宋_GBK"/>
          <w:color w:val="000000"/>
          <w:kern w:val="0"/>
          <w:sz w:val="32"/>
          <w:szCs w:val="32"/>
          <w:lang w:val="en-US" w:eastAsia="zh-CN" w:bidi="ar"/>
        </w:rPr>
        <w:t>结合</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重庆市打造民营经济发展高地若干措施</w:t>
      </w:r>
      <w:r>
        <w:rPr>
          <w:rFonts w:hint="eastAsia" w:ascii="Times New Roman" w:hAnsi="Times New Roman" w:eastAsia="方正仿宋_GBK" w:cs="Times New Roman"/>
          <w:sz w:val="32"/>
          <w:szCs w:val="32"/>
          <w:lang w:val="en-US" w:eastAsia="zh-CN"/>
        </w:rPr>
        <w:t>》（渝府办发</w:t>
      </w:r>
      <w:r>
        <w:rPr>
          <w:rFonts w:hint="default" w:ascii="Times New Roman" w:hAnsi="Times New Roman" w:eastAsia="方正仿宋_GBK" w:cs="Times New Roman"/>
          <w:sz w:val="32"/>
          <w:szCs w:val="32"/>
          <w:lang w:val="en-US" w:eastAsia="zh-CN"/>
        </w:rPr>
        <w:t>〔202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12号）和城口实际，特</w:t>
      </w:r>
      <w:r>
        <w:rPr>
          <w:rFonts w:hint="default" w:ascii="Times New Roman" w:hAnsi="Times New Roman" w:eastAsia="方正仿宋_GBK" w:cs="Times New Roman"/>
          <w:sz w:val="32"/>
          <w:szCs w:val="32"/>
        </w:rPr>
        <w:t>制定以下措施。</w:t>
      </w:r>
    </w:p>
    <w:p w14:paraId="1FB758CA">
      <w:pPr>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eastAsia" w:ascii="Times New Roman" w:hAnsi="Times New Roman" w:eastAsia="方正楷体_GBK" w:cs="方正楷体_GBK"/>
          <w:sz w:val="32"/>
          <w:szCs w:val="32"/>
          <w:lang w:val="en-US" w:eastAsia="zh-CN"/>
        </w:rPr>
      </w:pPr>
      <w:r>
        <w:rPr>
          <w:rFonts w:hint="eastAsia" w:ascii="Times New Roman" w:hAnsi="Times New Roman" w:eastAsia="方正黑体_GBK" w:cs="方正黑体_GBK"/>
          <w:sz w:val="32"/>
          <w:szCs w:val="32"/>
          <w:lang w:val="en-US" w:eastAsia="zh-CN"/>
        </w:rPr>
        <w:t>一、</w:t>
      </w:r>
      <w:r>
        <w:rPr>
          <w:rFonts w:hint="eastAsia" w:ascii="Times New Roman" w:hAnsi="Times New Roman" w:eastAsia="方正黑体_GBK" w:cs="方正黑体_GBK"/>
          <w:sz w:val="32"/>
          <w:szCs w:val="32"/>
        </w:rPr>
        <w:t>激发民营经济创新活力</w:t>
      </w:r>
    </w:p>
    <w:p w14:paraId="3705403F">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Times New Roman" w:hAnsi="Times New Roman" w:eastAsia="方正楷体_GBK" w:cs="方正楷体_GBK"/>
          <w:sz w:val="32"/>
          <w:szCs w:val="32"/>
          <w:lang w:val="en-US" w:eastAsia="zh-CN"/>
        </w:rPr>
      </w:pPr>
      <w:r>
        <w:rPr>
          <w:rFonts w:hint="eastAsia" w:ascii="Times New Roman" w:hAnsi="Times New Roman" w:eastAsia="方正楷体_GBK" w:cs="方正楷体_GBK"/>
          <w:sz w:val="32"/>
          <w:szCs w:val="32"/>
          <w:lang w:eastAsia="zh-CN"/>
        </w:rPr>
        <w:t>（</w:t>
      </w:r>
      <w:r>
        <w:rPr>
          <w:rFonts w:hint="eastAsia" w:ascii="Times New Roman" w:hAnsi="Times New Roman" w:eastAsia="方正楷体_GBK" w:cs="方正楷体_GBK"/>
          <w:sz w:val="32"/>
          <w:szCs w:val="32"/>
          <w:lang w:val="en-US" w:eastAsia="zh-CN"/>
        </w:rPr>
        <w:t>一）</w:t>
      </w:r>
      <w:r>
        <w:rPr>
          <w:rFonts w:hint="eastAsia" w:ascii="Times New Roman" w:hAnsi="Times New Roman" w:eastAsia="方正楷体_GBK" w:cs="方正楷体_GBK"/>
          <w:b w:val="0"/>
          <w:bCs w:val="0"/>
          <w:color w:val="000000"/>
          <w:kern w:val="0"/>
          <w:sz w:val="32"/>
          <w:szCs w:val="32"/>
          <w:lang w:val="en-US" w:eastAsia="zh-CN" w:bidi="ar"/>
        </w:rPr>
        <w:t>支持抢占未来产业新赛道。</w:t>
      </w:r>
      <w:r>
        <w:rPr>
          <w:rFonts w:hint="eastAsia" w:ascii="Times New Roman" w:hAnsi="Times New Roman" w:eastAsia="方正仿宋_GBK" w:cs="方正仿宋_GBK"/>
          <w:sz w:val="32"/>
          <w:szCs w:val="32"/>
          <w:lang w:val="en-US" w:eastAsia="zh-CN"/>
        </w:rPr>
        <w:t>支持民营企业踊跃投身低空经济、生物医药、前沿新材料等未来新兴产业，探索开发开创前沿技术，催生新产业、新模式、新动能。支持民营企业通过“揭榜挂帅”“赛马比拼”等方式，开展关键</w:t>
      </w:r>
      <w:r>
        <w:rPr>
          <w:rFonts w:hint="default" w:ascii="Times New Roman" w:hAnsi="Times New Roman" w:eastAsia="方正仿宋_GBK" w:cs="Times New Roman"/>
          <w:sz w:val="32"/>
          <w:szCs w:val="32"/>
          <w:lang w:val="en-US" w:eastAsia="zh-CN"/>
        </w:rPr>
        <w:t>核心技术攻关和产品创新</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按照规定1:1比例共同出资支持，单个项目资金资助额度最高不超过50万元。对牵头承担国家、市级科技重大专项和重点研发计划的单位，按照上级拨付经费的5%配套县级奖励，最高不超过50万元。</w:t>
      </w:r>
      <w:r>
        <w:rPr>
          <w:rFonts w:hint="eastAsia" w:ascii="Times New Roman" w:hAnsi="Times New Roman" w:eastAsia="方正楷体_GBK" w:cs="方正楷体_GBK"/>
          <w:sz w:val="32"/>
          <w:szCs w:val="32"/>
          <w:lang w:val="en-US" w:eastAsia="zh-CN"/>
        </w:rPr>
        <w:t>（责任单位：县经济信息委）</w:t>
      </w:r>
    </w:p>
    <w:p w14:paraId="4DC3D4AF">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jc w:val="both"/>
        <w:textAlignment w:val="auto"/>
        <w:rPr>
          <w:rFonts w:hint="eastAsia" w:ascii="Times New Roman" w:hAnsi="Times New Roman" w:eastAsia="方正楷体_GBK" w:cs="方正楷体_GBK"/>
          <w:sz w:val="32"/>
          <w:szCs w:val="32"/>
          <w:lang w:val="en-US" w:eastAsia="zh-CN"/>
        </w:rPr>
      </w:pPr>
      <w:r>
        <w:rPr>
          <w:rFonts w:hint="eastAsia" w:ascii="Times New Roman" w:hAnsi="Times New Roman" w:eastAsia="方正楷体_GBK" w:cs="方正楷体_GBK"/>
          <w:b w:val="0"/>
          <w:bCs w:val="0"/>
          <w:color w:val="000000"/>
          <w:kern w:val="0"/>
          <w:sz w:val="32"/>
          <w:szCs w:val="32"/>
          <w:lang w:val="en-US" w:eastAsia="zh-CN" w:bidi="ar"/>
        </w:rPr>
        <w:t>（二）</w:t>
      </w:r>
      <w:r>
        <w:rPr>
          <w:rFonts w:hint="default" w:ascii="Times New Roman" w:hAnsi="Times New Roman" w:eastAsia="方正楷体_GBK" w:cs="方正楷体_GBK"/>
          <w:b w:val="0"/>
          <w:bCs w:val="0"/>
          <w:color w:val="000000"/>
          <w:kern w:val="0"/>
          <w:sz w:val="32"/>
          <w:szCs w:val="32"/>
          <w:lang w:val="en-US" w:eastAsia="zh-CN" w:bidi="ar"/>
        </w:rPr>
        <w:t>助推数字化转型升级。</w:t>
      </w:r>
      <w:r>
        <w:rPr>
          <w:rFonts w:hint="default" w:ascii="Times New Roman" w:hAnsi="Times New Roman" w:eastAsia="方正仿宋_GBK" w:cs="Times New Roman"/>
          <w:sz w:val="32"/>
          <w:szCs w:val="32"/>
          <w:lang w:val="en-US" w:eastAsia="zh-CN"/>
        </w:rPr>
        <w:t>依托数字重庆建</w:t>
      </w:r>
      <w:r>
        <w:rPr>
          <w:rFonts w:hint="eastAsia" w:ascii="Times New Roman" w:hAnsi="Times New Roman" w:eastAsia="方正仿宋_GBK" w:cs="Times New Roman"/>
          <w:sz w:val="32"/>
          <w:szCs w:val="32"/>
          <w:lang w:val="en-US" w:eastAsia="zh-CN"/>
        </w:rPr>
        <w:t>设，探索构建“产业大脑+未来工厂”新发展模式，助力民营企业提升经营效率、降低生产成本。支持企业建设</w:t>
      </w:r>
      <w:r>
        <w:rPr>
          <w:rFonts w:hint="default" w:ascii="Times New Roman" w:hAnsi="Times New Roman" w:eastAsia="方正仿宋_GBK" w:cs="Times New Roman"/>
          <w:sz w:val="32"/>
          <w:szCs w:val="32"/>
          <w:lang w:val="en-US" w:eastAsia="zh-CN"/>
        </w:rPr>
        <w:t>数字化车间和智能工厂，按照设备和软件实际投资额的10%进行补助，单个项目最高不超过30万元。支持企业应用新一代信息技术建设“5G+工业互联网”集成创新应用项目，按照设备和软件实际投资额的10%进行补助，单个项目县级补助最高不超过30万元。聚焦人工智能领域，重点支持算力监测调度、算力网络、大模型应用、高质量数据集等领域研发及应用项目，对符合条件的民营企业，按规定给予资金补助。</w:t>
      </w:r>
      <w:r>
        <w:rPr>
          <w:rFonts w:hint="eastAsia" w:ascii="Times New Roman" w:hAnsi="Times New Roman" w:eastAsia="方正楷体_GBK" w:cs="方正楷体_GBK"/>
          <w:sz w:val="32"/>
          <w:szCs w:val="32"/>
          <w:lang w:val="en-US" w:eastAsia="zh-CN"/>
        </w:rPr>
        <w:t>（责任单位：县经济信息委、县发展改革委）</w:t>
      </w:r>
    </w:p>
    <w:p w14:paraId="7F101B98">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jc w:val="both"/>
        <w:textAlignment w:val="auto"/>
        <w:rPr>
          <w:rFonts w:hint="eastAsia" w:ascii="Times New Roman" w:hAnsi="Times New Roman" w:eastAsia="方正楷体_GBK" w:cs="方正楷体_GBK"/>
          <w:sz w:val="32"/>
          <w:szCs w:val="32"/>
          <w:lang w:val="en-US" w:eastAsia="zh-CN"/>
        </w:rPr>
      </w:pPr>
      <w:r>
        <w:rPr>
          <w:rFonts w:hint="eastAsia" w:ascii="Times New Roman" w:hAnsi="Times New Roman" w:eastAsia="方正楷体_GBK" w:cs="方正楷体_GBK"/>
          <w:sz w:val="32"/>
          <w:szCs w:val="32"/>
          <w:lang w:val="en-US" w:eastAsia="zh-CN"/>
        </w:rPr>
        <w:t>（三）助力科技创新能力提升。</w:t>
      </w:r>
      <w:r>
        <w:rPr>
          <w:rFonts w:hint="default" w:ascii="Times New Roman" w:hAnsi="Times New Roman" w:eastAsia="方正仿宋_GBK" w:cs="Times New Roman"/>
          <w:sz w:val="32"/>
          <w:szCs w:val="32"/>
          <w:lang w:val="en-US" w:eastAsia="zh-CN"/>
        </w:rPr>
        <w:t>支持民营企业专利培育，成功授权的发明专利补助2万元，成功授权的实用新型专利补助0.2万元。</w:t>
      </w:r>
      <w:r>
        <w:rPr>
          <w:rFonts w:hint="eastAsia" w:ascii="Times New Roman" w:hAnsi="Times New Roman" w:eastAsia="方正仿宋_GBK" w:cs="Times New Roman"/>
          <w:sz w:val="32"/>
          <w:szCs w:val="32"/>
          <w:lang w:val="en-US" w:eastAsia="zh-CN"/>
        </w:rPr>
        <w:t>支持</w:t>
      </w:r>
      <w:r>
        <w:rPr>
          <w:rFonts w:hint="default" w:ascii="Times New Roman" w:hAnsi="Times New Roman" w:eastAsia="方正仿宋_GBK" w:cs="Times New Roman"/>
          <w:sz w:val="32"/>
          <w:szCs w:val="32"/>
          <w:lang w:val="en-US" w:eastAsia="zh-CN"/>
        </w:rPr>
        <w:t>企业建立研发机构，被新认定为国家级、市级研发机构</w:t>
      </w:r>
      <w:r>
        <w:rPr>
          <w:rFonts w:hint="eastAsia" w:ascii="Times New Roman" w:hAnsi="Times New Roman" w:eastAsia="方正仿宋_GBK" w:cs="Times New Roman"/>
          <w:sz w:val="32"/>
          <w:szCs w:val="32"/>
          <w:lang w:val="en-US" w:eastAsia="zh-CN"/>
        </w:rPr>
        <w:t>的</w:t>
      </w:r>
      <w:r>
        <w:rPr>
          <w:rFonts w:hint="default" w:ascii="Times New Roman" w:hAnsi="Times New Roman" w:eastAsia="方正仿宋_GBK" w:cs="Times New Roman"/>
          <w:sz w:val="32"/>
          <w:szCs w:val="32"/>
          <w:lang w:val="en-US" w:eastAsia="zh-CN"/>
        </w:rPr>
        <w:t>，一次性分别给予100万元、20万元奖励</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规上工业企业建立研发机构并实施研发的，一次性奖励5万元</w:t>
      </w:r>
      <w:r>
        <w:rPr>
          <w:rFonts w:hint="eastAsia" w:ascii="Times New Roman" w:hAnsi="Times New Roman" w:eastAsia="方正仿宋_GBK" w:cs="Times New Roman"/>
          <w:sz w:val="32"/>
          <w:szCs w:val="32"/>
          <w:lang w:val="en-US" w:eastAsia="zh-CN"/>
        </w:rPr>
        <w:t>；按照规定</w:t>
      </w:r>
      <w:r>
        <w:rPr>
          <w:rFonts w:hint="default" w:ascii="Times New Roman" w:hAnsi="Times New Roman" w:eastAsia="方正仿宋_GBK" w:cs="Times New Roman"/>
          <w:sz w:val="32"/>
          <w:szCs w:val="32"/>
          <w:lang w:val="en-US" w:eastAsia="zh-CN"/>
        </w:rPr>
        <w:t>对创办民办非企业研发机构，纳入国家科技统计系统名录并在首年实现研发经费100万元以上的单位，一次性奖励10万元。</w:t>
      </w:r>
      <w:r>
        <w:rPr>
          <w:rFonts w:hint="eastAsia" w:ascii="Times New Roman" w:hAnsi="Times New Roman" w:eastAsia="方正楷体_GBK" w:cs="方正楷体_GBK"/>
          <w:sz w:val="32"/>
          <w:szCs w:val="32"/>
          <w:lang w:val="en-US" w:eastAsia="zh-CN"/>
        </w:rPr>
        <w:t>（责任单位：县经济信息委）</w:t>
      </w:r>
    </w:p>
    <w:p w14:paraId="018A216B">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jc w:val="both"/>
        <w:textAlignment w:val="auto"/>
        <w:rPr>
          <w:rFonts w:hint="eastAsia" w:ascii="Times New Roman" w:hAnsi="Times New Roman" w:eastAsia="方正楷体_GBK" w:cs="方正楷体_GBK"/>
          <w:sz w:val="32"/>
          <w:szCs w:val="32"/>
          <w:highlight w:val="none"/>
          <w:lang w:val="en-US" w:eastAsia="zh-CN"/>
        </w:rPr>
      </w:pPr>
      <w:r>
        <w:rPr>
          <w:rFonts w:hint="eastAsia" w:ascii="Times New Roman" w:hAnsi="Times New Roman" w:eastAsia="方正楷体_GBK" w:cs="方正楷体_GBK"/>
          <w:sz w:val="32"/>
          <w:szCs w:val="32"/>
          <w:lang w:val="en-US" w:eastAsia="zh-CN"/>
        </w:rPr>
        <w:t>（四）</w:t>
      </w:r>
      <w:r>
        <w:rPr>
          <w:rFonts w:hint="default" w:ascii="Times New Roman" w:hAnsi="Times New Roman" w:eastAsia="方正楷体_GBK" w:cs="方正楷体_GBK"/>
          <w:sz w:val="32"/>
          <w:szCs w:val="32"/>
          <w:lang w:val="en-US" w:eastAsia="zh-CN"/>
        </w:rPr>
        <w:t>强化科创资源服务供给。</w:t>
      </w:r>
      <w:r>
        <w:rPr>
          <w:rFonts w:hint="default" w:ascii="Times New Roman" w:hAnsi="Times New Roman" w:eastAsia="方正仿宋_GBK" w:cs="Times New Roman"/>
          <w:sz w:val="32"/>
          <w:szCs w:val="32"/>
          <w:lang w:val="en-US" w:eastAsia="zh-CN"/>
        </w:rPr>
        <w:t>实施企业科技特派员团行动，</w:t>
      </w:r>
      <w:r>
        <w:rPr>
          <w:rFonts w:hint="eastAsia" w:ascii="Times New Roman" w:hAnsi="Times New Roman" w:eastAsia="方正仿宋_GBK" w:cs="方正仿宋_GBK"/>
          <w:sz w:val="32"/>
          <w:szCs w:val="32"/>
          <w:lang w:val="en-US" w:eastAsia="zh-CN"/>
        </w:rPr>
        <w:t>每年选派国家“三区”人才和市级科技特派员，为企业开展科技服务。组织民营企业参加“渝跃行动”、新重庆引才计划和“百万人才兴重庆”等引才活动，为民营企业引育更多高层次人才和创新团队。</w:t>
      </w:r>
      <w:r>
        <w:rPr>
          <w:rFonts w:hint="eastAsia" w:ascii="Times New Roman" w:hAnsi="Times New Roman" w:eastAsia="方正仿宋_GBK" w:cs="Times New Roman"/>
          <w:sz w:val="32"/>
          <w:szCs w:val="32"/>
          <w:u w:val="none"/>
          <w:lang w:val="en-US" w:eastAsia="zh-CN"/>
        </w:rPr>
        <w:t>落实科技创新和技术改造再贷款等支持政策，推动科技型企业贷款支持户数有所增长。</w:t>
      </w:r>
      <w:r>
        <w:rPr>
          <w:rFonts w:hint="eastAsia" w:ascii="Times New Roman" w:hAnsi="Times New Roman" w:eastAsia="方正楷体_GBK" w:cs="方正楷体_GBK"/>
          <w:sz w:val="32"/>
          <w:szCs w:val="32"/>
          <w:lang w:val="en-US" w:eastAsia="zh-CN"/>
        </w:rPr>
        <w:t>（责任单位：县经济信息委、县人力社保局、</w:t>
      </w:r>
      <w:r>
        <w:rPr>
          <w:rFonts w:hint="default" w:ascii="Times New Roman" w:hAnsi="Times New Roman" w:eastAsia="方正楷体_GBK" w:cs="方正楷体_GBK"/>
          <w:sz w:val="32"/>
          <w:szCs w:val="32"/>
          <w:lang w:val="en-US" w:eastAsia="zh-CN"/>
        </w:rPr>
        <w:t>人行万州分行城口营管部</w:t>
      </w:r>
      <w:r>
        <w:rPr>
          <w:rFonts w:hint="eastAsia" w:ascii="Times New Roman" w:hAnsi="Times New Roman" w:eastAsia="方正楷体_GBK" w:cs="方正楷体_GBK"/>
          <w:sz w:val="32"/>
          <w:szCs w:val="32"/>
          <w:highlight w:val="none"/>
          <w:lang w:val="en-US" w:eastAsia="zh-CN"/>
        </w:rPr>
        <w:t>）</w:t>
      </w:r>
    </w:p>
    <w:p w14:paraId="56B7A505">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Times New Roman" w:hAnsi="Times New Roman" w:eastAsia="方正黑体_GBK" w:cs="方正黑体_GBK"/>
          <w:sz w:val="32"/>
          <w:szCs w:val="32"/>
        </w:rPr>
      </w:pPr>
      <w:r>
        <w:rPr>
          <w:rFonts w:hint="eastAsia" w:ascii="Times New Roman" w:hAnsi="Times New Roman" w:eastAsia="方正黑体_GBK" w:cs="方正黑体_GBK"/>
          <w:kern w:val="2"/>
          <w:sz w:val="32"/>
          <w:szCs w:val="32"/>
          <w:lang w:val="en-US" w:eastAsia="zh-CN" w:bidi="ar-SA"/>
        </w:rPr>
        <w:t>二、</w:t>
      </w:r>
      <w:r>
        <w:rPr>
          <w:rFonts w:hint="eastAsia" w:ascii="Times New Roman" w:hAnsi="Times New Roman" w:eastAsia="方正黑体_GBK" w:cs="方正黑体_GBK"/>
          <w:sz w:val="32"/>
          <w:szCs w:val="32"/>
        </w:rPr>
        <w:t>增强民营经济发展动能</w:t>
      </w:r>
    </w:p>
    <w:p w14:paraId="31BFDBDF">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default" w:ascii="Times New Roman" w:hAnsi="Times New Roman" w:eastAsia="方正楷体_GBK" w:cs="方正楷体_GBK"/>
          <w:sz w:val="32"/>
          <w:szCs w:val="32"/>
          <w:lang w:val="en-US" w:eastAsia="zh-CN"/>
        </w:rPr>
      </w:pPr>
      <w:r>
        <w:rPr>
          <w:rFonts w:hint="eastAsia" w:ascii="Times New Roman" w:hAnsi="Times New Roman" w:eastAsia="方正楷体_GBK" w:cs="方正楷体_GBK"/>
          <w:sz w:val="32"/>
          <w:szCs w:val="32"/>
          <w:lang w:val="en-US" w:eastAsia="zh-CN"/>
        </w:rPr>
        <w:t>（五）</w:t>
      </w:r>
      <w:r>
        <w:rPr>
          <w:rFonts w:hint="default" w:ascii="Times New Roman" w:hAnsi="Times New Roman" w:eastAsia="方正楷体_GBK" w:cs="方正楷体_GBK"/>
          <w:sz w:val="32"/>
          <w:szCs w:val="32"/>
          <w:lang w:val="en-US" w:eastAsia="zh-CN"/>
        </w:rPr>
        <w:t>积极融入制造业高质量发展体系。</w:t>
      </w:r>
      <w:r>
        <w:rPr>
          <w:rFonts w:hint="default" w:ascii="Times New Roman" w:hAnsi="Times New Roman" w:eastAsia="方正仿宋_GBK" w:cs="Times New Roman"/>
          <w:sz w:val="32"/>
          <w:szCs w:val="32"/>
          <w:lang w:val="en-US" w:eastAsia="zh-CN"/>
        </w:rPr>
        <w:t>支持民营企业融入</w:t>
      </w:r>
      <w:r>
        <w:rPr>
          <w:rFonts w:hint="eastAsia" w:ascii="Times New Roman" w:hAnsi="Times New Roman" w:eastAsia="方正仿宋_GBK" w:cs="Times New Roman"/>
          <w:sz w:val="32"/>
          <w:szCs w:val="32"/>
          <w:lang w:val="en-US" w:eastAsia="zh-CN"/>
        </w:rPr>
        <w:t>全市“</w:t>
      </w:r>
      <w:r>
        <w:rPr>
          <w:rFonts w:hint="default" w:ascii="Times New Roman" w:hAnsi="Times New Roman" w:eastAsia="方正仿宋_GBK" w:cs="Times New Roman"/>
          <w:sz w:val="32"/>
          <w:szCs w:val="32"/>
          <w:lang w:val="en-US" w:eastAsia="zh-CN"/>
        </w:rPr>
        <w:t>33618</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现代制造业集群体系</w:t>
      </w:r>
      <w:r>
        <w:rPr>
          <w:rFonts w:hint="eastAsia" w:ascii="Times New Roman" w:hAnsi="Times New Roman" w:eastAsia="方正仿宋_GBK" w:cs="Times New Roman"/>
          <w:sz w:val="32"/>
          <w:szCs w:val="32"/>
          <w:lang w:val="en-US" w:eastAsia="zh-CN"/>
        </w:rPr>
        <w:t>，指导申报工业和信息化领域重点专项项目。</w:t>
      </w:r>
      <w:r>
        <w:rPr>
          <w:rFonts w:hint="default" w:ascii="Times New Roman" w:hAnsi="Times New Roman" w:eastAsia="方正仿宋_GBK" w:cs="Times New Roman"/>
          <w:sz w:val="32"/>
          <w:szCs w:val="32"/>
          <w:lang w:val="en-US" w:eastAsia="zh-CN"/>
        </w:rPr>
        <w:t>支持民营企业在参与</w:t>
      </w:r>
      <w:r>
        <w:rPr>
          <w:rFonts w:hint="eastAsia" w:ascii="Times New Roman" w:hAnsi="Times New Roman" w:eastAsia="方正仿宋_GBK" w:cs="方正仿宋_GBK"/>
          <w:sz w:val="32"/>
          <w:szCs w:val="32"/>
          <w:lang w:val="en-US" w:eastAsia="zh-CN"/>
        </w:rPr>
        <w:t>“</w:t>
      </w:r>
      <w:r>
        <w:rPr>
          <w:rFonts w:hint="default" w:ascii="Times New Roman" w:hAnsi="Times New Roman" w:eastAsia="方正仿宋_GBK" w:cs="Times New Roman"/>
          <w:sz w:val="32"/>
          <w:szCs w:val="32"/>
          <w:lang w:val="en-US" w:eastAsia="zh-CN"/>
        </w:rPr>
        <w:t>1+3+N</w:t>
      </w:r>
      <w:r>
        <w:rPr>
          <w:rFonts w:hint="eastAsia" w:ascii="Times New Roman" w:hAnsi="Times New Roman" w:eastAsia="方正仿宋_GBK" w:cs="方正仿宋_GBK"/>
          <w:sz w:val="32"/>
          <w:szCs w:val="32"/>
          <w:lang w:val="en-US" w:eastAsia="zh-CN"/>
        </w:rPr>
        <w:t>”</w:t>
      </w:r>
      <w:r>
        <w:rPr>
          <w:rFonts w:hint="default" w:ascii="Times New Roman" w:hAnsi="Times New Roman" w:eastAsia="方正仿宋_GBK" w:cs="Times New Roman"/>
          <w:sz w:val="32"/>
          <w:szCs w:val="32"/>
          <w:lang w:val="en-US" w:eastAsia="zh-CN"/>
        </w:rPr>
        <w:t>制造业高质量发展体系建设中发展壮大自身规模实力，培育壮大一批民营龙头企业、行业领军企业、产业链主企业。</w:t>
      </w:r>
      <w:r>
        <w:rPr>
          <w:rFonts w:hint="eastAsia" w:ascii="Times New Roman" w:hAnsi="Times New Roman" w:eastAsia="方正仿宋_GBK" w:cs="Times New Roman"/>
          <w:sz w:val="32"/>
          <w:szCs w:val="32"/>
          <w:lang w:val="en-US" w:eastAsia="zh-CN"/>
        </w:rPr>
        <w:t>按规定对发展</w:t>
      </w:r>
      <w:r>
        <w:rPr>
          <w:rFonts w:hint="default" w:ascii="Times New Roman" w:hAnsi="Times New Roman" w:eastAsia="方正仿宋_GBK" w:cs="Times New Roman"/>
          <w:sz w:val="32"/>
          <w:szCs w:val="32"/>
          <w:lang w:val="en-US" w:eastAsia="zh-CN"/>
        </w:rPr>
        <w:t>城口老腊肉</w:t>
      </w:r>
      <w:r>
        <w:rPr>
          <w:rFonts w:hint="eastAsia" w:ascii="Times New Roman" w:hAnsi="Times New Roman" w:eastAsia="方正仿宋_GBK" w:cs="Times New Roman"/>
          <w:sz w:val="32"/>
          <w:szCs w:val="32"/>
          <w:lang w:val="en-US" w:eastAsia="zh-CN"/>
        </w:rPr>
        <w:t>、中药材、</w:t>
      </w:r>
      <w:r>
        <w:rPr>
          <w:rFonts w:hint="default" w:ascii="Times New Roman" w:hAnsi="Times New Roman" w:eastAsia="方正仿宋_GBK" w:cs="Times New Roman"/>
          <w:sz w:val="32"/>
          <w:szCs w:val="32"/>
          <w:lang w:val="en-US" w:eastAsia="zh-CN"/>
        </w:rPr>
        <w:t>城口山地鸡</w:t>
      </w:r>
      <w:r>
        <w:rPr>
          <w:rFonts w:hint="eastAsia" w:ascii="Times New Roman" w:hAnsi="Times New Roman" w:eastAsia="方正仿宋_GBK" w:cs="Times New Roman"/>
          <w:sz w:val="32"/>
          <w:szCs w:val="32"/>
          <w:lang w:val="en-US" w:eastAsia="zh-CN"/>
        </w:rPr>
        <w:t>等“一主两辅多支撑”</w:t>
      </w:r>
      <w:r>
        <w:rPr>
          <w:rFonts w:hint="default" w:ascii="Times New Roman" w:hAnsi="Times New Roman" w:eastAsia="方正仿宋_GBK" w:cs="Times New Roman"/>
          <w:sz w:val="32"/>
          <w:szCs w:val="32"/>
          <w:lang w:val="en-US" w:eastAsia="zh-CN"/>
        </w:rPr>
        <w:t>优势特色产业</w:t>
      </w:r>
      <w:r>
        <w:rPr>
          <w:rFonts w:hint="eastAsia" w:ascii="Times New Roman" w:hAnsi="Times New Roman" w:eastAsia="方正仿宋_GBK" w:cs="Times New Roman"/>
          <w:sz w:val="32"/>
          <w:szCs w:val="32"/>
          <w:lang w:val="en-US" w:eastAsia="zh-CN"/>
        </w:rPr>
        <w:t>的</w:t>
      </w:r>
      <w:r>
        <w:rPr>
          <w:rFonts w:hint="default" w:ascii="Times New Roman" w:hAnsi="Times New Roman" w:eastAsia="方正仿宋_GBK" w:cs="Times New Roman"/>
          <w:sz w:val="32"/>
          <w:szCs w:val="32"/>
          <w:lang w:val="en-US" w:eastAsia="zh-CN"/>
        </w:rPr>
        <w:t>农业企业、</w:t>
      </w:r>
      <w:r>
        <w:rPr>
          <w:rFonts w:hint="eastAsia" w:ascii="Times New Roman" w:hAnsi="Times New Roman" w:eastAsia="方正仿宋_GBK" w:cs="Times New Roman"/>
          <w:sz w:val="32"/>
          <w:szCs w:val="32"/>
          <w:lang w:val="en-US" w:eastAsia="zh-CN"/>
        </w:rPr>
        <w:t>农民合作社</w:t>
      </w:r>
      <w:r>
        <w:rPr>
          <w:rFonts w:hint="default" w:ascii="Times New Roman" w:hAnsi="Times New Roman" w:eastAsia="方正仿宋_GBK" w:cs="Times New Roman"/>
          <w:sz w:val="32"/>
          <w:szCs w:val="32"/>
          <w:lang w:val="en-US" w:eastAsia="zh-CN"/>
        </w:rPr>
        <w:t>、家庭农场</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农村集体经济合作社</w:t>
      </w:r>
      <w:r>
        <w:rPr>
          <w:rFonts w:hint="eastAsia" w:ascii="Times New Roman" w:hAnsi="Times New Roman" w:eastAsia="方正仿宋_GBK" w:cs="Times New Roman"/>
          <w:sz w:val="32"/>
          <w:szCs w:val="32"/>
          <w:lang w:val="en-US" w:eastAsia="zh-CN"/>
        </w:rPr>
        <w:t>、强村公司和农户</w:t>
      </w:r>
      <w:r>
        <w:rPr>
          <w:rFonts w:hint="default" w:ascii="Times New Roman" w:hAnsi="Times New Roman" w:eastAsia="方正仿宋_GBK" w:cs="Times New Roman"/>
          <w:sz w:val="32"/>
          <w:szCs w:val="32"/>
          <w:lang w:val="en-US" w:eastAsia="zh-CN"/>
        </w:rPr>
        <w:t>等</w:t>
      </w:r>
      <w:r>
        <w:rPr>
          <w:rFonts w:hint="eastAsia" w:ascii="Times New Roman" w:hAnsi="Times New Roman" w:eastAsia="方正仿宋_GBK" w:cs="Times New Roman"/>
          <w:sz w:val="32"/>
          <w:szCs w:val="32"/>
          <w:lang w:val="en-US" w:eastAsia="zh-CN"/>
        </w:rPr>
        <w:t>给予奖补。支持</w:t>
      </w:r>
      <w:r>
        <w:rPr>
          <w:rFonts w:hint="default" w:ascii="Times New Roman" w:hAnsi="Times New Roman" w:eastAsia="方正仿宋_GBK" w:cs="Times New Roman"/>
          <w:sz w:val="32"/>
          <w:szCs w:val="32"/>
          <w:lang w:val="en-US" w:eastAsia="zh-CN"/>
        </w:rPr>
        <w:t>民营企业</w:t>
      </w:r>
      <w:r>
        <w:rPr>
          <w:rFonts w:hint="eastAsia" w:ascii="Times New Roman" w:hAnsi="Times New Roman" w:eastAsia="方正仿宋_GBK" w:cs="Times New Roman"/>
          <w:sz w:val="32"/>
          <w:szCs w:val="32"/>
          <w:lang w:val="en-US" w:eastAsia="zh-CN"/>
        </w:rPr>
        <w:t>投资绿色</w:t>
      </w:r>
      <w:r>
        <w:rPr>
          <w:rFonts w:hint="default" w:ascii="Times New Roman" w:hAnsi="Times New Roman" w:eastAsia="方正仿宋_GBK" w:cs="Times New Roman"/>
          <w:sz w:val="32"/>
          <w:szCs w:val="32"/>
          <w:lang w:val="en-US" w:eastAsia="zh-CN"/>
        </w:rPr>
        <w:t>建材、</w:t>
      </w:r>
      <w:r>
        <w:rPr>
          <w:rFonts w:hint="eastAsia" w:ascii="Times New Roman" w:hAnsi="Times New Roman" w:eastAsia="方正仿宋_GBK" w:cs="Times New Roman"/>
          <w:sz w:val="32"/>
          <w:szCs w:val="32"/>
          <w:lang w:val="en-US" w:eastAsia="zh-CN"/>
        </w:rPr>
        <w:t>新材料、现代中药</w:t>
      </w:r>
      <w:r>
        <w:rPr>
          <w:rFonts w:hint="default" w:ascii="Times New Roman" w:hAnsi="Times New Roman" w:eastAsia="方正仿宋_GBK" w:cs="Times New Roman"/>
          <w:sz w:val="32"/>
          <w:szCs w:val="32"/>
          <w:lang w:val="en-US" w:eastAsia="zh-CN"/>
        </w:rPr>
        <w:t>等领域重点项目，按规定择优给予</w:t>
      </w:r>
      <w:r>
        <w:rPr>
          <w:rFonts w:hint="eastAsia" w:ascii="Times New Roman" w:hAnsi="Times New Roman" w:eastAsia="方正仿宋_GBK" w:cs="Times New Roman"/>
          <w:sz w:val="32"/>
          <w:szCs w:val="32"/>
          <w:lang w:val="en-US" w:eastAsia="zh-CN"/>
        </w:rPr>
        <w:t>补助</w:t>
      </w:r>
      <w:r>
        <w:rPr>
          <w:rFonts w:hint="default" w:ascii="Times New Roman" w:hAnsi="Times New Roman" w:eastAsia="方正仿宋_GBK" w:cs="Times New Roman"/>
          <w:sz w:val="32"/>
          <w:szCs w:val="32"/>
          <w:lang w:val="en-US" w:eastAsia="zh-CN"/>
        </w:rPr>
        <w:t>。</w:t>
      </w:r>
      <w:r>
        <w:rPr>
          <w:rFonts w:hint="eastAsia" w:ascii="Times New Roman" w:hAnsi="Times New Roman" w:eastAsia="方正楷体_GBK" w:cs="方正楷体_GBK"/>
          <w:sz w:val="32"/>
          <w:szCs w:val="32"/>
          <w:lang w:val="en-US" w:eastAsia="zh-CN"/>
        </w:rPr>
        <w:t>（责任单位：县经济信息委、县农业农村委、县林业局）</w:t>
      </w:r>
    </w:p>
    <w:p w14:paraId="36EEBEA2">
      <w:pPr>
        <w:keepNext w:val="0"/>
        <w:keepLines w:val="0"/>
        <w:pageBreakBefore w:val="0"/>
        <w:widowControl/>
        <w:numPr>
          <w:ilvl w:val="0"/>
          <w:numId w:val="0"/>
        </w:numPr>
        <w:suppressLineNumbers w:val="0"/>
        <w:kinsoku/>
        <w:wordWrap/>
        <w:overflowPunct/>
        <w:topLinePunct w:val="0"/>
        <w:autoSpaceDE/>
        <w:autoSpaceDN/>
        <w:bidi w:val="0"/>
        <w:adjustRightInd/>
        <w:snapToGrid/>
        <w:spacing w:line="579" w:lineRule="exact"/>
        <w:ind w:left="0" w:leftChars="0" w:firstLine="640" w:firstLineChars="200"/>
        <w:jc w:val="both"/>
        <w:textAlignment w:val="auto"/>
        <w:rPr>
          <w:rFonts w:hint="default" w:ascii="Times New Roman" w:hAnsi="Times New Roman" w:eastAsia="方正楷体_GBK" w:cs="方正楷体_GBK"/>
          <w:sz w:val="32"/>
          <w:szCs w:val="32"/>
          <w:lang w:val="en-US" w:eastAsia="zh-CN"/>
        </w:rPr>
      </w:pPr>
      <w:r>
        <w:rPr>
          <w:rFonts w:hint="eastAsia" w:ascii="Times New Roman" w:hAnsi="Times New Roman" w:eastAsia="方正楷体_GBK" w:cs="方正楷体_GBK"/>
          <w:kern w:val="2"/>
          <w:sz w:val="32"/>
          <w:szCs w:val="32"/>
          <w:lang w:val="en-US" w:eastAsia="zh-CN" w:bidi="ar-SA"/>
        </w:rPr>
        <w:t>（六）</w:t>
      </w:r>
      <w:r>
        <w:rPr>
          <w:rFonts w:hint="default" w:ascii="Times New Roman" w:hAnsi="Times New Roman" w:eastAsia="方正楷体_GBK" w:cs="方正楷体_GBK"/>
          <w:sz w:val="32"/>
          <w:szCs w:val="32"/>
          <w:lang w:val="en-US" w:eastAsia="zh-CN"/>
        </w:rPr>
        <w:t>鼓励支持发展现代生产性服务业。</w:t>
      </w:r>
      <w:r>
        <w:rPr>
          <w:rFonts w:hint="default" w:ascii="Times New Roman" w:hAnsi="Times New Roman" w:eastAsia="方正仿宋_GBK" w:cs="Times New Roman"/>
          <w:sz w:val="32"/>
          <w:szCs w:val="32"/>
          <w:lang w:val="en-US" w:eastAsia="zh-CN"/>
        </w:rPr>
        <w:t>积极争取市级现代生产性服务业专项资金，对生产性服务业重点民营企业给予支持。对成功</w:t>
      </w:r>
      <w:r>
        <w:rPr>
          <w:rFonts w:hint="eastAsia" w:ascii="Times New Roman" w:hAnsi="Times New Roman" w:eastAsia="方正仿宋_GBK" w:cs="方正仿宋_GBK"/>
          <w:sz w:val="32"/>
          <w:szCs w:val="32"/>
          <w:lang w:val="en-US" w:eastAsia="zh-CN"/>
        </w:rPr>
        <w:t>“上云上平台”的企业</w:t>
      </w:r>
      <w:r>
        <w:rPr>
          <w:rFonts w:hint="default" w:ascii="Times New Roman" w:hAnsi="Times New Roman" w:eastAsia="方正仿宋_GBK" w:cs="Times New Roman"/>
          <w:sz w:val="32"/>
          <w:szCs w:val="32"/>
          <w:lang w:val="en-US" w:eastAsia="zh-CN"/>
        </w:rPr>
        <w:t>，按实际发生建设费用和云资源服务费给予最高不超过5万元的补助，</w:t>
      </w:r>
      <w:r>
        <w:rPr>
          <w:rFonts w:hint="eastAsia" w:ascii="Times New Roman" w:hAnsi="Times New Roman" w:eastAsia="方正仿宋_GBK" w:cs="Times New Roman"/>
          <w:sz w:val="32"/>
          <w:szCs w:val="32"/>
          <w:lang w:val="en-US" w:eastAsia="zh-CN"/>
        </w:rPr>
        <w:t>上云</w:t>
      </w:r>
      <w:r>
        <w:rPr>
          <w:rFonts w:hint="default" w:ascii="Times New Roman" w:hAnsi="Times New Roman" w:eastAsia="方正仿宋_GBK" w:cs="Times New Roman"/>
          <w:sz w:val="32"/>
          <w:szCs w:val="32"/>
          <w:lang w:val="en-US" w:eastAsia="zh-CN"/>
        </w:rPr>
        <w:t>当年兑现50%，第二年和第三年分别兑现30%和20%。</w:t>
      </w:r>
      <w:r>
        <w:rPr>
          <w:rFonts w:hint="eastAsia" w:ascii="Times New Roman" w:hAnsi="Times New Roman" w:eastAsia="方正仿宋_GBK" w:cs="Times New Roman"/>
          <w:sz w:val="32"/>
          <w:szCs w:val="32"/>
          <w:lang w:val="en-US" w:eastAsia="zh-CN"/>
        </w:rPr>
        <w:t>持续推进“邮运通”试点，引导企业对县级共配中心进行改造，</w:t>
      </w:r>
      <w:r>
        <w:rPr>
          <w:rFonts w:hint="default" w:ascii="Times New Roman" w:hAnsi="Times New Roman" w:eastAsia="方正仿宋_GBK" w:cs="Times New Roman"/>
          <w:sz w:val="32"/>
          <w:szCs w:val="32"/>
          <w:lang w:val="en-US" w:eastAsia="zh-CN"/>
        </w:rPr>
        <w:t>支持冷链物流企业购置新能源城市冷链配送货车。</w:t>
      </w:r>
      <w:r>
        <w:rPr>
          <w:rFonts w:hint="eastAsia" w:ascii="Times New Roman" w:hAnsi="Times New Roman" w:eastAsia="方正仿宋_GBK" w:cs="Times New Roman"/>
          <w:sz w:val="32"/>
          <w:szCs w:val="32"/>
          <w:lang w:val="en-US" w:eastAsia="zh-CN"/>
        </w:rPr>
        <w:t>（</w:t>
      </w:r>
      <w:r>
        <w:rPr>
          <w:rFonts w:hint="eastAsia" w:ascii="Times New Roman" w:hAnsi="Times New Roman" w:eastAsia="方正楷体_GBK" w:cs="方正楷体_GBK"/>
          <w:sz w:val="32"/>
          <w:szCs w:val="32"/>
          <w:lang w:val="en-US" w:eastAsia="zh-CN"/>
        </w:rPr>
        <w:t>责任单位：县发展改革委、县经济信息委、县交通运输委，县级有关部门）</w:t>
      </w:r>
    </w:p>
    <w:p w14:paraId="3A5ACB47">
      <w:pPr>
        <w:keepNext w:val="0"/>
        <w:keepLines w:val="0"/>
        <w:pageBreakBefore w:val="0"/>
        <w:widowControl/>
        <w:numPr>
          <w:ilvl w:val="0"/>
          <w:numId w:val="0"/>
        </w:numPr>
        <w:suppressLineNumbers w:val="0"/>
        <w:kinsoku/>
        <w:wordWrap/>
        <w:overflowPunct/>
        <w:topLinePunct w:val="0"/>
        <w:autoSpaceDE/>
        <w:autoSpaceDN/>
        <w:bidi w:val="0"/>
        <w:adjustRightInd/>
        <w:snapToGrid/>
        <w:spacing w:line="579" w:lineRule="exact"/>
        <w:ind w:left="0" w:leftChars="0" w:firstLine="640" w:firstLineChars="200"/>
        <w:jc w:val="both"/>
        <w:textAlignment w:val="auto"/>
        <w:rPr>
          <w:rFonts w:hint="eastAsia" w:ascii="Times New Roman" w:hAnsi="Times New Roman" w:eastAsia="方正楷体_GBK" w:cs="方正楷体_GBK"/>
          <w:color w:val="000000"/>
          <w:sz w:val="32"/>
          <w:szCs w:val="32"/>
          <w:lang w:eastAsia="zh-CN"/>
        </w:rPr>
      </w:pPr>
      <w:r>
        <w:rPr>
          <w:rFonts w:hint="eastAsia" w:ascii="Times New Roman" w:hAnsi="Times New Roman" w:eastAsia="方正楷体_GBK" w:cs="方正楷体_GBK"/>
          <w:color w:val="000000"/>
          <w:sz w:val="32"/>
          <w:szCs w:val="32"/>
          <w:lang w:eastAsia="zh-CN"/>
        </w:rPr>
        <w:t>（</w:t>
      </w:r>
      <w:r>
        <w:rPr>
          <w:rFonts w:hint="eastAsia" w:ascii="Times New Roman" w:hAnsi="Times New Roman" w:eastAsia="方正楷体_GBK" w:cs="方正楷体_GBK"/>
          <w:color w:val="000000"/>
          <w:sz w:val="32"/>
          <w:szCs w:val="32"/>
          <w:lang w:val="en-US" w:eastAsia="zh-CN"/>
        </w:rPr>
        <w:t>七）</w:t>
      </w:r>
      <w:r>
        <w:rPr>
          <w:rFonts w:hint="default" w:ascii="Times New Roman" w:hAnsi="Times New Roman" w:eastAsia="方正楷体_GBK" w:cs="方正楷体_GBK"/>
          <w:color w:val="000000"/>
          <w:sz w:val="32"/>
          <w:szCs w:val="32"/>
          <w:lang w:eastAsia="zh-CN"/>
        </w:rPr>
        <w:t>推动参与</w:t>
      </w:r>
      <w:r>
        <w:rPr>
          <w:rFonts w:hint="eastAsia" w:ascii="Times New Roman" w:hAnsi="Times New Roman" w:eastAsia="方正楷体_GBK" w:cs="方正楷体_GBK"/>
          <w:color w:val="000000"/>
          <w:sz w:val="32"/>
          <w:szCs w:val="32"/>
          <w:lang w:eastAsia="zh-CN"/>
        </w:rPr>
        <w:t>“</w:t>
      </w:r>
      <w:r>
        <w:rPr>
          <w:rFonts w:hint="default" w:ascii="Times New Roman" w:hAnsi="Times New Roman" w:eastAsia="方正楷体_GBK" w:cs="方正楷体_GBK"/>
          <w:color w:val="000000"/>
          <w:sz w:val="32"/>
          <w:szCs w:val="32"/>
          <w:lang w:eastAsia="zh-CN"/>
        </w:rPr>
        <w:t>两重</w:t>
      </w:r>
      <w:r>
        <w:rPr>
          <w:rFonts w:hint="eastAsia" w:ascii="Times New Roman" w:hAnsi="Times New Roman" w:eastAsia="方正楷体_GBK" w:cs="方正楷体_GBK"/>
          <w:color w:val="000000"/>
          <w:sz w:val="32"/>
          <w:szCs w:val="32"/>
          <w:lang w:eastAsia="zh-CN"/>
        </w:rPr>
        <w:t>”“</w:t>
      </w:r>
      <w:r>
        <w:rPr>
          <w:rFonts w:hint="default" w:ascii="Times New Roman" w:hAnsi="Times New Roman" w:eastAsia="方正楷体_GBK" w:cs="方正楷体_GBK"/>
          <w:color w:val="000000"/>
          <w:sz w:val="32"/>
          <w:szCs w:val="32"/>
          <w:lang w:eastAsia="zh-CN"/>
        </w:rPr>
        <w:t>两新</w:t>
      </w:r>
      <w:r>
        <w:rPr>
          <w:rFonts w:hint="eastAsia" w:ascii="Times New Roman" w:hAnsi="Times New Roman" w:eastAsia="方正楷体_GBK" w:cs="方正楷体_GBK"/>
          <w:color w:val="000000"/>
          <w:sz w:val="32"/>
          <w:szCs w:val="32"/>
          <w:lang w:eastAsia="zh-CN"/>
        </w:rPr>
        <w:t>”</w:t>
      </w:r>
      <w:r>
        <w:rPr>
          <w:rFonts w:hint="default" w:ascii="Times New Roman" w:hAnsi="Times New Roman" w:eastAsia="方正楷体_GBK" w:cs="方正楷体_GBK"/>
          <w:color w:val="000000"/>
          <w:sz w:val="32"/>
          <w:szCs w:val="32"/>
          <w:lang w:eastAsia="zh-CN"/>
        </w:rPr>
        <w:t>项目</w:t>
      </w:r>
      <w:r>
        <w:rPr>
          <w:rFonts w:hint="default" w:ascii="Times New Roman" w:hAnsi="Times New Roman" w:eastAsia="方正仿宋_GBK" w:cs="方正仿宋_GBK"/>
          <w:color w:val="000000"/>
          <w:sz w:val="32"/>
          <w:szCs w:val="32"/>
          <w:lang w:val="en-US" w:eastAsia="zh-CN"/>
        </w:rPr>
        <w:t>。引导民营企业加强“两重”和设备更新项目策划储备，推动一批符合要求的民营企业项目纳入“两重”“两新”建设项目清单，争取国家</w:t>
      </w:r>
      <w:r>
        <w:rPr>
          <w:rFonts w:hint="eastAsia" w:ascii="Times New Roman" w:hAnsi="Times New Roman" w:eastAsia="方正仿宋_GBK" w:cs="方正仿宋_GBK"/>
          <w:color w:val="000000"/>
          <w:sz w:val="32"/>
          <w:szCs w:val="32"/>
          <w:lang w:val="en-US" w:eastAsia="zh-CN"/>
        </w:rPr>
        <w:t>市级</w:t>
      </w:r>
      <w:r>
        <w:rPr>
          <w:rFonts w:hint="default" w:ascii="Times New Roman" w:hAnsi="Times New Roman" w:eastAsia="方正仿宋_GBK" w:cs="方正仿宋_GBK"/>
          <w:color w:val="000000"/>
          <w:sz w:val="32"/>
          <w:szCs w:val="32"/>
          <w:lang w:val="en-US" w:eastAsia="zh-CN"/>
        </w:rPr>
        <w:t>资金支持。对中央预算内资金、超长期特别国债资金涉及的项目款支付实</w:t>
      </w:r>
      <w:r>
        <w:rPr>
          <w:rFonts w:hint="eastAsia" w:ascii="Times New Roman" w:hAnsi="Times New Roman" w:eastAsia="方正仿宋_GBK" w:cs="方正仿宋_GBK"/>
          <w:color w:val="000000"/>
          <w:sz w:val="32"/>
          <w:szCs w:val="32"/>
          <w:lang w:val="en-US" w:eastAsia="zh-CN"/>
        </w:rPr>
        <w:t>行“随报随审随付”，确</w:t>
      </w:r>
      <w:r>
        <w:rPr>
          <w:rFonts w:hint="default" w:ascii="Times New Roman" w:hAnsi="Times New Roman" w:eastAsia="方正仿宋_GBK" w:cs="方正仿宋_GBK"/>
          <w:color w:val="000000"/>
          <w:sz w:val="32"/>
          <w:szCs w:val="32"/>
          <w:lang w:val="en-US" w:eastAsia="zh-CN"/>
        </w:rPr>
        <w:t>保中央资金尽快形成实物工作量。</w:t>
      </w:r>
      <w:r>
        <w:rPr>
          <w:rFonts w:hint="default" w:ascii="Times New Roman" w:hAnsi="Times New Roman" w:eastAsia="方正仿宋_GBK" w:cs="Times New Roman"/>
          <w:color w:val="000000"/>
          <w:sz w:val="32"/>
          <w:szCs w:val="32"/>
          <w:lang w:val="en-US" w:eastAsia="zh-CN"/>
        </w:rPr>
        <w:t>在工业、电子信息、设施农业等重点领域，引导民营企业用好用足</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val="en-US" w:eastAsia="zh-CN"/>
        </w:rPr>
        <w:t>两新</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val="en-US" w:eastAsia="zh-CN"/>
        </w:rPr>
        <w:t>加力扩围政策。</w:t>
      </w:r>
      <w:r>
        <w:rPr>
          <w:rFonts w:hint="eastAsia" w:ascii="Times New Roman" w:hAnsi="Times New Roman" w:eastAsia="方正楷体_GBK" w:cs="方正楷体_GBK"/>
          <w:color w:val="000000"/>
          <w:sz w:val="32"/>
          <w:szCs w:val="32"/>
          <w:lang w:val="en-US" w:eastAsia="zh-CN"/>
        </w:rPr>
        <w:t>（责任单位：县发展改革委、县经济信息委、县财政局，县级有关部门）</w:t>
      </w:r>
    </w:p>
    <w:p w14:paraId="159E8AB7">
      <w:pPr>
        <w:keepNext w:val="0"/>
        <w:keepLines w:val="0"/>
        <w:pageBreakBefore w:val="0"/>
        <w:widowControl/>
        <w:numPr>
          <w:ilvl w:val="0"/>
          <w:numId w:val="0"/>
        </w:numPr>
        <w:suppressLineNumbers w:val="0"/>
        <w:kinsoku/>
        <w:wordWrap/>
        <w:overflowPunct/>
        <w:topLinePunct w:val="0"/>
        <w:autoSpaceDE/>
        <w:autoSpaceDN/>
        <w:bidi w:val="0"/>
        <w:adjustRightInd/>
        <w:snapToGrid/>
        <w:spacing w:line="579" w:lineRule="exact"/>
        <w:ind w:left="0" w:leftChars="0" w:firstLine="640" w:firstLineChars="200"/>
        <w:jc w:val="both"/>
        <w:textAlignment w:val="auto"/>
        <w:rPr>
          <w:rFonts w:hint="eastAsia" w:ascii="Times New Roman" w:hAnsi="Times New Roman" w:eastAsia="方正楷体_GBK" w:cs="方正楷体_GBK"/>
          <w:sz w:val="32"/>
          <w:szCs w:val="32"/>
          <w:lang w:eastAsia="zh-CN"/>
        </w:rPr>
      </w:pPr>
      <w:r>
        <w:rPr>
          <w:rFonts w:hint="eastAsia" w:ascii="Times New Roman" w:hAnsi="Times New Roman" w:eastAsia="方正楷体_GBK" w:cs="方正楷体_GBK"/>
          <w:sz w:val="32"/>
          <w:szCs w:val="32"/>
          <w:lang w:eastAsia="zh-CN"/>
        </w:rPr>
        <w:t>（八）</w:t>
      </w:r>
      <w:r>
        <w:rPr>
          <w:rFonts w:hint="default" w:ascii="Times New Roman" w:hAnsi="Times New Roman" w:eastAsia="方正楷体_GBK" w:cs="方正楷体_GBK"/>
          <w:sz w:val="32"/>
          <w:szCs w:val="32"/>
          <w:lang w:eastAsia="zh-CN"/>
        </w:rPr>
        <w:t>持续激发民间投资活力</w:t>
      </w:r>
      <w:r>
        <w:rPr>
          <w:rFonts w:hint="eastAsia" w:ascii="Times New Roman" w:hAnsi="Times New Roman" w:eastAsia="方正楷体_GBK" w:cs="方正楷体_GBK"/>
          <w:sz w:val="32"/>
          <w:szCs w:val="32"/>
          <w:lang w:eastAsia="zh-CN"/>
        </w:rPr>
        <w:t>。</w:t>
      </w:r>
      <w:r>
        <w:rPr>
          <w:rFonts w:hint="default" w:ascii="Times New Roman" w:hAnsi="Times New Roman" w:eastAsia="方正仿宋_GBK" w:cs="Times New Roman"/>
          <w:sz w:val="32"/>
          <w:szCs w:val="32"/>
          <w:lang w:val="en-US" w:eastAsia="zh-CN"/>
        </w:rPr>
        <w:t>梳理园区基础设施、生态环保、交通、水利等领域适合社会资本参与的项目，制定项目清单。为社会资本参与项目提供前期咨询、立项审批、建设协调等全流程服务。转变项目运作方式，积极研究构建使用者付费为主、资源要素配置为辅的模式，吸引更多社会资本参与相关项目建设。</w:t>
      </w:r>
      <w:r>
        <w:rPr>
          <w:rFonts w:hint="default" w:ascii="Times New Roman" w:hAnsi="Times New Roman" w:eastAsia="方正仿宋_GBK" w:cs="方正仿宋_GBK"/>
          <w:sz w:val="32"/>
          <w:szCs w:val="32"/>
          <w:lang w:val="en-US" w:eastAsia="zh-CN"/>
        </w:rPr>
        <w:t>成立企业国有资产盘活工作组，</w:t>
      </w:r>
      <w:r>
        <w:rPr>
          <w:rFonts w:hint="eastAsia" w:ascii="Times New Roman" w:hAnsi="Times New Roman" w:eastAsia="方正仿宋_GBK" w:cs="Times New Roman"/>
          <w:sz w:val="32"/>
          <w:szCs w:val="32"/>
          <w:lang w:val="en-US" w:eastAsia="zh-CN"/>
        </w:rPr>
        <w:t>深化央地合作，积极引入央企、民企、外企等外部资源参与国有资产盘活。</w:t>
      </w:r>
      <w:r>
        <w:rPr>
          <w:rFonts w:hint="eastAsia" w:ascii="Times New Roman" w:hAnsi="Times New Roman" w:eastAsia="方正楷体_GBK" w:cs="方正楷体_GBK"/>
          <w:sz w:val="32"/>
          <w:szCs w:val="32"/>
          <w:lang w:val="en-US" w:eastAsia="zh-CN"/>
        </w:rPr>
        <w:t>（责任单位：县发展改革委、县经济信息委、县财政局，县级有关部门）</w:t>
      </w:r>
    </w:p>
    <w:p w14:paraId="547F4429">
      <w:pPr>
        <w:keepNext w:val="0"/>
        <w:keepLines w:val="0"/>
        <w:pageBreakBefore w:val="0"/>
        <w:widowControl/>
        <w:numPr>
          <w:ilvl w:val="0"/>
          <w:numId w:val="0"/>
        </w:numPr>
        <w:suppressLineNumbers w:val="0"/>
        <w:kinsoku/>
        <w:wordWrap/>
        <w:overflowPunct/>
        <w:topLinePunct w:val="0"/>
        <w:autoSpaceDE/>
        <w:autoSpaceDN/>
        <w:bidi w:val="0"/>
        <w:adjustRightInd/>
        <w:snapToGrid/>
        <w:spacing w:line="579" w:lineRule="exact"/>
        <w:ind w:left="0" w:leftChars="0" w:firstLine="640" w:firstLineChars="200"/>
        <w:jc w:val="both"/>
        <w:textAlignment w:val="auto"/>
        <w:rPr>
          <w:rFonts w:hint="eastAsia" w:ascii="Times New Roman" w:hAnsi="Times New Roman" w:eastAsia="方正楷体_GBK" w:cs="方正楷体_GBK"/>
          <w:sz w:val="32"/>
          <w:szCs w:val="32"/>
          <w:lang w:eastAsia="zh-CN"/>
        </w:rPr>
      </w:pPr>
      <w:r>
        <w:rPr>
          <w:rFonts w:hint="eastAsia" w:ascii="Times New Roman" w:hAnsi="Times New Roman" w:eastAsia="方正楷体_GBK" w:cs="方正楷体_GBK"/>
          <w:sz w:val="32"/>
          <w:szCs w:val="32"/>
          <w:lang w:val="en-US" w:eastAsia="zh-CN"/>
        </w:rPr>
        <w:t>（九）推动市场主体增量提质。</w:t>
      </w:r>
      <w:r>
        <w:rPr>
          <w:rFonts w:hint="default" w:ascii="Times New Roman" w:hAnsi="Times New Roman" w:eastAsia="方正仿宋_GBK" w:cs="Times New Roman"/>
          <w:sz w:val="32"/>
          <w:szCs w:val="32"/>
          <w:lang w:val="en-US" w:eastAsia="zh-CN"/>
        </w:rPr>
        <w:t>加大力度促进</w:t>
      </w:r>
      <w:r>
        <w:rPr>
          <w:rFonts w:hint="eastAsia" w:ascii="Times New Roman" w:hAnsi="Times New Roman" w:eastAsia="方正仿宋_GBK" w:cs="Times New Roman"/>
          <w:sz w:val="32"/>
          <w:szCs w:val="32"/>
          <w:lang w:val="en-US" w:eastAsia="zh-CN"/>
        </w:rPr>
        <w:t>中</w:t>
      </w:r>
      <w:r>
        <w:rPr>
          <w:rFonts w:hint="default" w:ascii="Times New Roman" w:hAnsi="Times New Roman" w:eastAsia="方正仿宋_GBK" w:cs="Times New Roman"/>
          <w:sz w:val="32"/>
          <w:szCs w:val="32"/>
          <w:lang w:val="en-US" w:eastAsia="zh-CN"/>
        </w:rPr>
        <w:t>小企业升</w:t>
      </w:r>
      <w:r>
        <w:rPr>
          <w:rFonts w:hint="eastAsia" w:ascii="Times New Roman" w:hAnsi="Times New Roman" w:eastAsia="方正仿宋_GBK" w:cs="方正仿宋_GBK"/>
          <w:sz w:val="32"/>
          <w:szCs w:val="32"/>
          <w:lang w:val="en-US" w:eastAsia="zh-CN"/>
        </w:rPr>
        <w:t>为“四上”</w:t>
      </w:r>
      <w:r>
        <w:rPr>
          <w:rFonts w:hint="default" w:ascii="Times New Roman" w:hAnsi="Times New Roman" w:eastAsia="方正仿宋_GBK" w:cs="Times New Roman"/>
          <w:sz w:val="32"/>
          <w:szCs w:val="32"/>
          <w:lang w:val="en-US" w:eastAsia="zh-CN"/>
        </w:rPr>
        <w:t>（规模以</w:t>
      </w:r>
      <w:r>
        <w:rPr>
          <w:rFonts w:hint="eastAsia" w:ascii="Times New Roman" w:hAnsi="Times New Roman" w:eastAsia="方正仿宋_GBK" w:cs="Times New Roman"/>
          <w:sz w:val="32"/>
          <w:szCs w:val="32"/>
          <w:lang w:val="en-US" w:eastAsia="zh-CN"/>
        </w:rPr>
        <w:t>上工业企业、限额以上批发零售住宿餐饮企业、资质以上建筑企业和房地产开发企业、规模以上服务业企业）企业，按规定给予补助奖励。</w:t>
      </w:r>
      <w:r>
        <w:rPr>
          <w:rFonts w:hint="default" w:ascii="Times New Roman" w:hAnsi="Times New Roman" w:eastAsia="方正仿宋_GBK" w:cs="方正仿宋_GBK"/>
          <w:sz w:val="32"/>
          <w:szCs w:val="32"/>
          <w:lang w:val="en-US" w:eastAsia="zh-CN"/>
        </w:rPr>
        <w:t>加强特色农产品“两品一标一品牌”培育</w:t>
      </w:r>
      <w:r>
        <w:rPr>
          <w:rFonts w:hint="eastAsia" w:ascii="Times New Roman" w:hAnsi="Times New Roman" w:eastAsia="方正仿宋_GBK" w:cs="方正仿宋_GBK"/>
          <w:sz w:val="32"/>
          <w:szCs w:val="32"/>
          <w:lang w:val="en-US" w:eastAsia="zh-CN"/>
        </w:rPr>
        <w:t>，按规定</w:t>
      </w:r>
      <w:r>
        <w:rPr>
          <w:rFonts w:hint="default" w:ascii="Times New Roman" w:hAnsi="Times New Roman" w:eastAsia="方正仿宋_GBK" w:cs="方正仿宋_GBK"/>
          <w:sz w:val="32"/>
          <w:szCs w:val="32"/>
          <w:lang w:val="en-US" w:eastAsia="zh-CN"/>
        </w:rPr>
        <w:t>对成功申报“两品一标一品牌”的企业</w:t>
      </w:r>
      <w:r>
        <w:rPr>
          <w:rFonts w:hint="eastAsia" w:ascii="Times New Roman" w:hAnsi="Times New Roman" w:eastAsia="方正仿宋_GBK" w:cs="方正仿宋_GBK"/>
          <w:sz w:val="32"/>
          <w:szCs w:val="32"/>
          <w:lang w:val="en-US" w:eastAsia="zh-CN"/>
        </w:rPr>
        <w:t>实行</w:t>
      </w:r>
      <w:r>
        <w:rPr>
          <w:rFonts w:hint="default" w:ascii="Times New Roman" w:hAnsi="Times New Roman" w:eastAsia="方正仿宋_GBK" w:cs="方正仿宋_GBK"/>
          <w:sz w:val="32"/>
          <w:szCs w:val="32"/>
          <w:lang w:val="en-US" w:eastAsia="zh-CN"/>
        </w:rPr>
        <w:t>奖补。</w:t>
      </w:r>
      <w:r>
        <w:rPr>
          <w:rFonts w:hint="eastAsia" w:ascii="Times New Roman" w:hAnsi="Times New Roman" w:eastAsia="方正仿宋_GBK" w:cs="Times New Roman"/>
          <w:sz w:val="32"/>
          <w:szCs w:val="32"/>
          <w:lang w:val="en-US" w:eastAsia="zh-CN"/>
        </w:rPr>
        <w:t>支持农村电商发展，按规定对在各电商平台开展城口本地农产品网络销售的企业和市场主体给予奖励补助。（</w:t>
      </w:r>
      <w:r>
        <w:rPr>
          <w:rFonts w:hint="eastAsia" w:ascii="Times New Roman" w:hAnsi="Times New Roman" w:eastAsia="方正楷体_GBK" w:cs="方正楷体_GBK"/>
          <w:sz w:val="32"/>
          <w:szCs w:val="32"/>
          <w:lang w:val="en-US" w:eastAsia="zh-CN"/>
        </w:rPr>
        <w:t>责任单位：县经济信息委、县住房城乡建委、县发展改革委、县农业农村委、县商务委）</w:t>
      </w:r>
    </w:p>
    <w:p w14:paraId="48420F44">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eastAsia" w:ascii="Times New Roman" w:hAnsi="Times New Roman" w:eastAsia="方正黑体_GBK" w:cs="方正黑体_GBK"/>
          <w:kern w:val="2"/>
          <w:sz w:val="32"/>
          <w:szCs w:val="32"/>
          <w:lang w:val="en-US" w:eastAsia="zh-CN" w:bidi="ar-SA"/>
        </w:rPr>
      </w:pPr>
      <w:r>
        <w:rPr>
          <w:rFonts w:hint="eastAsia" w:ascii="Times New Roman" w:hAnsi="Times New Roman" w:eastAsia="方正黑体_GBK" w:cs="方正黑体_GBK"/>
          <w:kern w:val="2"/>
          <w:sz w:val="32"/>
          <w:szCs w:val="32"/>
          <w:lang w:val="en-US" w:eastAsia="zh-CN" w:bidi="ar-SA"/>
        </w:rPr>
        <w:t>三、完善民营经济法治保障</w:t>
      </w:r>
    </w:p>
    <w:p w14:paraId="030B94E9">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Times New Roman" w:hAnsi="Times New Roman" w:eastAsia="方正楷体_GBK" w:cs="方正楷体_GBK"/>
          <w:sz w:val="32"/>
          <w:szCs w:val="32"/>
          <w:lang w:val="en-US" w:eastAsia="zh-CN"/>
        </w:rPr>
      </w:pPr>
      <w:r>
        <w:rPr>
          <w:rFonts w:hint="eastAsia" w:ascii="Times New Roman" w:hAnsi="Times New Roman" w:eastAsia="方正楷体_GBK" w:cs="方正楷体_GBK"/>
          <w:kern w:val="2"/>
          <w:sz w:val="32"/>
          <w:szCs w:val="32"/>
          <w:lang w:val="en-US" w:eastAsia="zh-CN" w:bidi="ar-SA"/>
        </w:rPr>
        <w:t>（十）</w:t>
      </w:r>
      <w:r>
        <w:rPr>
          <w:rFonts w:hint="default" w:ascii="Times New Roman" w:hAnsi="Times New Roman" w:eastAsia="方正楷体_GBK" w:cs="方正楷体_GBK"/>
          <w:kern w:val="2"/>
          <w:sz w:val="32"/>
          <w:szCs w:val="32"/>
          <w:lang w:val="en-US" w:eastAsia="zh-CN" w:bidi="ar-SA"/>
        </w:rPr>
        <w:t>加强涉企法规体系建设。</w:t>
      </w:r>
      <w:r>
        <w:rPr>
          <w:rFonts w:hint="default" w:ascii="Times New Roman" w:hAnsi="Times New Roman" w:eastAsia="方正仿宋_GBK" w:cs="Times New Roman"/>
          <w:sz w:val="32"/>
          <w:szCs w:val="32"/>
          <w:lang w:val="en-US" w:eastAsia="zh-CN"/>
        </w:rPr>
        <w:t>落实《重庆市民营经济促进条例》《重庆市优化营商环境条例》《重庆市数字经济发展条例》《重庆市涉企行政检查办法》等促进民营经济发展的法规规章</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动态清理阻碍、限制民营经济高质量发展的</w:t>
      </w:r>
      <w:r>
        <w:rPr>
          <w:rFonts w:hint="eastAsia" w:ascii="Times New Roman" w:hAnsi="Times New Roman" w:eastAsia="方正仿宋_GBK" w:cs="Times New Roman"/>
          <w:sz w:val="32"/>
          <w:szCs w:val="32"/>
          <w:lang w:val="en-US" w:eastAsia="zh-CN"/>
        </w:rPr>
        <w:t>行政规范性文件</w:t>
      </w:r>
      <w:r>
        <w:rPr>
          <w:rFonts w:hint="default" w:ascii="Times New Roman" w:hAnsi="Times New Roman" w:eastAsia="方正仿宋_GBK" w:cs="Times New Roman"/>
          <w:sz w:val="32"/>
          <w:szCs w:val="32"/>
          <w:lang w:val="en-US" w:eastAsia="zh-CN"/>
        </w:rPr>
        <w:t>和政策文件</w:t>
      </w:r>
      <w:r>
        <w:rPr>
          <w:rFonts w:hint="eastAsia" w:ascii="Times New Roman" w:hAnsi="Times New Roman" w:eastAsia="方正仿宋_GBK" w:cs="Times New Roman"/>
          <w:sz w:val="32"/>
          <w:szCs w:val="32"/>
          <w:lang w:val="en-US" w:eastAsia="zh-CN"/>
        </w:rPr>
        <w:t>。迭代升级助企纾困政策包，督促</w:t>
      </w:r>
      <w:r>
        <w:rPr>
          <w:rFonts w:hint="default" w:ascii="Times New Roman" w:hAnsi="Times New Roman" w:eastAsia="方正仿宋_GBK" w:cs="Times New Roman"/>
          <w:sz w:val="32"/>
          <w:szCs w:val="32"/>
          <w:lang w:val="en-US" w:eastAsia="zh-CN"/>
        </w:rPr>
        <w:t>《城口县优化营商环境促进民营经济发展十条措施》</w:t>
      </w:r>
      <w:r>
        <w:rPr>
          <w:rFonts w:hint="eastAsia" w:ascii="Times New Roman" w:hAnsi="Times New Roman" w:eastAsia="方正仿宋_GBK" w:cs="Times New Roman"/>
          <w:sz w:val="32"/>
          <w:szCs w:val="32"/>
          <w:lang w:val="en-US" w:eastAsia="zh-CN"/>
        </w:rPr>
        <w:t>落地，加强跟踪问效。</w:t>
      </w:r>
      <w:r>
        <w:rPr>
          <w:rFonts w:hint="eastAsia" w:ascii="Times New Roman" w:hAnsi="Times New Roman" w:eastAsia="方正楷体_GBK" w:cs="方正楷体_GBK"/>
          <w:sz w:val="32"/>
          <w:szCs w:val="32"/>
          <w:lang w:val="en-US" w:eastAsia="zh-CN"/>
        </w:rPr>
        <w:t>（责任单位：县发展改革委、县司法局、县经济信息委，县级有关部门）</w:t>
      </w:r>
    </w:p>
    <w:p w14:paraId="64E696FD">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（十一）</w:t>
      </w:r>
      <w:r>
        <w:rPr>
          <w:rFonts w:hint="default" w:ascii="Times New Roman" w:hAnsi="Times New Roman" w:eastAsia="方正楷体_GBK" w:cs="方正楷体_GBK"/>
          <w:kern w:val="2"/>
          <w:sz w:val="32"/>
          <w:szCs w:val="32"/>
          <w:lang w:val="en-US" w:eastAsia="zh-CN" w:bidi="ar-SA"/>
        </w:rPr>
        <w:t>严格规范涉企行政执法。</w:t>
      </w:r>
      <w:r>
        <w:rPr>
          <w:rFonts w:hint="default" w:ascii="Times New Roman" w:hAnsi="Times New Roman" w:eastAsia="方正仿宋_GBK" w:cs="Times New Roman"/>
          <w:sz w:val="32"/>
          <w:szCs w:val="32"/>
          <w:lang w:val="en-US" w:eastAsia="zh-CN"/>
        </w:rPr>
        <w:t>建立涉企行政检查事项清单，实行清</w:t>
      </w:r>
      <w:r>
        <w:rPr>
          <w:rFonts w:hint="eastAsia" w:ascii="Times New Roman" w:hAnsi="Times New Roman" w:eastAsia="方正仿宋_GBK" w:cs="方正仿宋_GBK"/>
          <w:sz w:val="32"/>
          <w:szCs w:val="32"/>
          <w:lang w:val="en-US" w:eastAsia="zh-CN"/>
        </w:rPr>
        <w:t>单之外无检查。</w:t>
      </w:r>
      <w:r>
        <w:rPr>
          <w:rFonts w:hint="default" w:ascii="Times New Roman" w:hAnsi="Times New Roman" w:eastAsia="方正仿宋_GBK" w:cs="Times New Roman"/>
          <w:sz w:val="32"/>
          <w:szCs w:val="32"/>
          <w:lang w:val="en-US" w:eastAsia="zh-CN"/>
        </w:rPr>
        <w:t>持续实施</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大综合一体化</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行政执法改革，综合集成跨部门跨领域执法监管事项，构建更多</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综合查一次</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组团式执法场景，减少行政检查数量和频次。开展规范涉企执法专项行动，排查整治乱收费、乱罚款、乱检查、乱查封等突出问题。规范实施涉企行政强制，依法慎用查封、扣押、冻结等强制措施，尽可能减少对企业正常生产经营的影响。</w:t>
      </w:r>
      <w:r>
        <w:rPr>
          <w:rFonts w:hint="eastAsia" w:ascii="Times New Roman" w:hAnsi="Times New Roman" w:eastAsia="方正楷体_GBK" w:cs="方正楷体_GBK"/>
          <w:sz w:val="32"/>
          <w:szCs w:val="32"/>
          <w:lang w:val="en-US" w:eastAsia="zh-CN"/>
        </w:rPr>
        <w:t>（责任单位：县</w:t>
      </w:r>
      <w:r>
        <w:rPr>
          <w:rFonts w:hint="eastAsia" w:ascii="Times New Roman" w:hAnsi="Times New Roman" w:eastAsia="方正楷体_GBK" w:cs="方正楷体_GBK"/>
          <w:kern w:val="2"/>
          <w:sz w:val="32"/>
          <w:szCs w:val="32"/>
          <w:lang w:val="en-US" w:eastAsia="zh-CN" w:bidi="ar-SA"/>
        </w:rPr>
        <w:t>司法局、县市场监管局，县级有关部门）</w:t>
      </w:r>
    </w:p>
    <w:p w14:paraId="72C424A9">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（十二）</w:t>
      </w:r>
      <w:r>
        <w:rPr>
          <w:rFonts w:hint="default" w:ascii="Times New Roman" w:hAnsi="Times New Roman" w:eastAsia="方正楷体_GBK" w:cs="方正楷体_GBK"/>
          <w:kern w:val="2"/>
          <w:sz w:val="32"/>
          <w:szCs w:val="32"/>
          <w:lang w:val="en-US" w:eastAsia="zh-CN" w:bidi="ar-SA"/>
        </w:rPr>
        <w:t>加强民营企业产权和企业家权益保护。</w:t>
      </w:r>
      <w:r>
        <w:rPr>
          <w:rFonts w:hint="default" w:ascii="Times New Roman" w:hAnsi="Times New Roman" w:eastAsia="方正仿宋_GBK" w:cs="Times New Roman"/>
          <w:sz w:val="32"/>
          <w:szCs w:val="32"/>
          <w:lang w:val="en-US" w:eastAsia="zh-CN"/>
        </w:rPr>
        <w:t>开展防范和打击侵害企业合法权益经济犯罪专项工作，依法打击合同诈骗、职务侵占等犯罪行为。依法打击敲诈勒索、盗抢生产设施等影响企业和投资者安全感的违法犯罪行为；依法打击合同诈骗、金融诈骗等扰乱市场经济秩序</w:t>
      </w:r>
      <w:r>
        <w:rPr>
          <w:rFonts w:hint="eastAsia" w:ascii="Times New Roman" w:hAnsi="Times New Roman" w:eastAsia="方正仿宋_GBK" w:cs="Times New Roman"/>
          <w:sz w:val="32"/>
          <w:szCs w:val="32"/>
          <w:lang w:val="en-US" w:eastAsia="zh-CN"/>
        </w:rPr>
        <w:t>的</w:t>
      </w:r>
      <w:r>
        <w:rPr>
          <w:rFonts w:hint="default" w:ascii="Times New Roman" w:hAnsi="Times New Roman" w:eastAsia="方正仿宋_GBK" w:cs="Times New Roman"/>
          <w:sz w:val="32"/>
          <w:szCs w:val="32"/>
          <w:lang w:val="en-US" w:eastAsia="zh-CN"/>
        </w:rPr>
        <w:t>违法犯罪行为。规范财产保全工作，防止超权限、超范围、超数额、超时限查封扣押冻结财产。持续开展“护企兴商”专项行动，规范财产保全和执行工作，保障涉企执行案件各方的合法权益。完善知识产权保护联席会议制度，加强部门执法联动，依法查处知识产权领域违法行为。</w:t>
      </w:r>
      <w:r>
        <w:rPr>
          <w:rFonts w:hint="eastAsia" w:ascii="Times New Roman" w:hAnsi="Times New Roman" w:eastAsia="方正仿宋_GBK" w:cs="Times New Roman"/>
          <w:sz w:val="32"/>
          <w:szCs w:val="32"/>
          <w:lang w:val="en-US" w:eastAsia="zh-CN"/>
        </w:rPr>
        <w:t>（</w:t>
      </w:r>
      <w:r>
        <w:rPr>
          <w:rFonts w:hint="eastAsia" w:ascii="Times New Roman" w:hAnsi="Times New Roman" w:eastAsia="方正楷体_GBK" w:cs="方正楷体_GBK"/>
          <w:sz w:val="32"/>
          <w:szCs w:val="32"/>
          <w:lang w:val="en-US" w:eastAsia="zh-CN"/>
        </w:rPr>
        <w:t>责任单位：县委政法委、县公安局、县法院、县检察院、县市场监管局</w:t>
      </w:r>
      <w:r>
        <w:rPr>
          <w:rFonts w:hint="eastAsia" w:ascii="Times New Roman" w:hAnsi="Times New Roman" w:eastAsia="方正楷体_GBK" w:cs="方正楷体_GBK"/>
          <w:kern w:val="2"/>
          <w:sz w:val="32"/>
          <w:szCs w:val="32"/>
          <w:lang w:val="en-US" w:eastAsia="zh-CN" w:bidi="ar-SA"/>
        </w:rPr>
        <w:t>）</w:t>
      </w:r>
    </w:p>
    <w:p w14:paraId="0C728AAF">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Times New Roman" w:hAnsi="Times New Roman" w:eastAsia="宋体" w:cs="Times New Roman"/>
          <w:sz w:val="21"/>
          <w:lang w:val="en-US" w:eastAsia="zh-CN"/>
        </w:rPr>
      </w:pPr>
      <w:r>
        <w:rPr>
          <w:rFonts w:hint="eastAsia" w:ascii="Times New Roman" w:hAnsi="Times New Roman" w:eastAsia="方正楷体_GBK" w:cs="方正楷体_GBK"/>
          <w:kern w:val="2"/>
          <w:sz w:val="32"/>
          <w:szCs w:val="32"/>
          <w:lang w:val="en-US" w:eastAsia="zh-CN" w:bidi="ar-SA"/>
        </w:rPr>
        <w:t>（十三）</w:t>
      </w:r>
      <w:r>
        <w:rPr>
          <w:rFonts w:hint="default" w:ascii="Times New Roman" w:hAnsi="Times New Roman" w:eastAsia="方正楷体_GBK" w:cs="方正楷体_GBK"/>
          <w:kern w:val="2"/>
          <w:sz w:val="32"/>
          <w:szCs w:val="32"/>
          <w:lang w:val="en-US" w:eastAsia="zh-CN" w:bidi="ar-SA"/>
        </w:rPr>
        <w:t>构建防范化解拖欠企业账款长效机制。</w:t>
      </w:r>
      <w:r>
        <w:rPr>
          <w:rFonts w:hint="default" w:ascii="Times New Roman" w:hAnsi="Times New Roman" w:eastAsia="方正仿宋_GBK" w:cs="Times New Roman"/>
          <w:kern w:val="2"/>
          <w:sz w:val="32"/>
          <w:szCs w:val="32"/>
          <w:lang w:val="en-US" w:eastAsia="zh-CN" w:bidi="ar-SA"/>
        </w:rPr>
        <w:t>建立健全机关、事业单位采购货物、工程、服务预算管理机制，提高政府采购预算管理水平和执行效率，按时足额支付民营企业参与的政府采购项目资金。</w:t>
      </w:r>
      <w:r>
        <w:rPr>
          <w:rFonts w:hint="default" w:ascii="Times New Roman" w:hAnsi="Times New Roman" w:eastAsia="方正仿宋_GBK" w:cs="Times New Roman"/>
          <w:kern w:val="2"/>
          <w:sz w:val="32"/>
          <w:szCs w:val="32"/>
          <w:highlight w:val="none"/>
          <w:lang w:val="en-US" w:eastAsia="zh-CN" w:bidi="ar-SA"/>
        </w:rPr>
        <w:t>全面清理机关、事业单位和国有企业拖欠民营企业账款情况，建立违约拖欠企业款项登记（投诉）平台</w:t>
      </w:r>
      <w:r>
        <w:rPr>
          <w:rFonts w:hint="eastAsia" w:ascii="Times New Roman" w:hAnsi="Times New Roman" w:eastAsia="方正仿宋_GBK" w:cs="Times New Roman"/>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完善拖欠中小企业账款投诉管理流程，明确投诉受理范围和职责，提升办理质效。</w:t>
      </w:r>
      <w:r>
        <w:rPr>
          <w:rFonts w:hint="default" w:ascii="Times New Roman" w:hAnsi="Times New Roman" w:eastAsia="方正仿宋_GBK" w:cs="Times New Roman"/>
          <w:kern w:val="2"/>
          <w:sz w:val="32"/>
          <w:szCs w:val="32"/>
          <w:lang w:val="en-US" w:eastAsia="zh-CN" w:bidi="ar-SA"/>
        </w:rPr>
        <w:t>将大型企业拖欠中小企业款项信息纳入企业年报公示信息披露，将处理拖欠企业账款维权投诉线索情况纳入信用状况监测和政务诚信综合评价体系。</w:t>
      </w:r>
      <w:r>
        <w:rPr>
          <w:rFonts w:hint="eastAsia" w:ascii="Times New Roman" w:hAnsi="Times New Roman" w:eastAsia="方正仿宋_GBK" w:cs="Times New Roman"/>
          <w:sz w:val="32"/>
          <w:szCs w:val="32"/>
          <w:lang w:val="en-US" w:eastAsia="zh-CN"/>
        </w:rPr>
        <w:t>（</w:t>
      </w:r>
      <w:r>
        <w:rPr>
          <w:rFonts w:hint="eastAsia" w:ascii="Times New Roman" w:hAnsi="Times New Roman" w:eastAsia="方正楷体_GBK" w:cs="方正楷体_GBK"/>
          <w:sz w:val="32"/>
          <w:szCs w:val="32"/>
          <w:lang w:val="en-US" w:eastAsia="zh-CN"/>
        </w:rPr>
        <w:t>责任单位：县财政局、县经济信息委、县发展改革委，</w:t>
      </w:r>
      <w:r>
        <w:rPr>
          <w:rFonts w:hint="eastAsia" w:ascii="Times New Roman" w:hAnsi="Times New Roman" w:eastAsia="方正楷体_GBK" w:cs="方正楷体_GBK"/>
          <w:kern w:val="2"/>
          <w:sz w:val="32"/>
          <w:szCs w:val="32"/>
          <w:lang w:val="en-US" w:eastAsia="zh-CN" w:bidi="ar-SA"/>
        </w:rPr>
        <w:t>县级有关部门）</w:t>
      </w:r>
    </w:p>
    <w:p w14:paraId="64EA853B">
      <w:pPr>
        <w:keepNext w:val="0"/>
        <w:keepLines w:val="0"/>
        <w:pageBreakBefore w:val="0"/>
        <w:widowControl w:val="0"/>
        <w:numPr>
          <w:ilvl w:val="0"/>
          <w:numId w:val="1"/>
        </w:numPr>
        <w:kinsoku/>
        <w:wordWrap/>
        <w:overflowPunct/>
        <w:topLinePunct w:val="0"/>
        <w:autoSpaceDE/>
        <w:autoSpaceDN/>
        <w:bidi w:val="0"/>
        <w:adjustRightInd/>
        <w:snapToGrid/>
        <w:spacing w:line="579" w:lineRule="exact"/>
        <w:ind w:left="0" w:leftChars="0" w:firstLine="640" w:firstLineChars="0"/>
        <w:textAlignment w:val="auto"/>
        <w:rPr>
          <w:rFonts w:hint="eastAsia" w:ascii="Times New Roman" w:hAnsi="Times New Roman" w:eastAsia="方正黑体_GBK" w:cs="方正黑体_GBK"/>
          <w:kern w:val="2"/>
          <w:sz w:val="32"/>
          <w:szCs w:val="32"/>
          <w:lang w:val="en-US" w:eastAsia="zh-CN" w:bidi="ar-SA"/>
        </w:rPr>
      </w:pPr>
      <w:r>
        <w:rPr>
          <w:rFonts w:hint="eastAsia" w:ascii="Times New Roman" w:hAnsi="Times New Roman" w:eastAsia="方正黑体_GBK" w:cs="方正黑体_GBK"/>
          <w:kern w:val="2"/>
          <w:sz w:val="32"/>
          <w:szCs w:val="32"/>
          <w:lang w:val="en-US" w:eastAsia="zh-CN" w:bidi="ar-SA"/>
        </w:rPr>
        <w:t>优化民营经济发展环境</w:t>
      </w:r>
    </w:p>
    <w:p w14:paraId="60754AFF">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（十四）</w:t>
      </w:r>
      <w:r>
        <w:rPr>
          <w:rFonts w:hint="default" w:ascii="Times New Roman" w:hAnsi="Times New Roman" w:eastAsia="方正楷体_GBK" w:cs="方正楷体_GBK"/>
          <w:kern w:val="2"/>
          <w:sz w:val="32"/>
          <w:szCs w:val="32"/>
          <w:lang w:val="en-US" w:eastAsia="zh-CN" w:bidi="ar-SA"/>
        </w:rPr>
        <w:t>严格落实公平竞争政策。</w:t>
      </w:r>
      <w:r>
        <w:rPr>
          <w:rFonts w:hint="default" w:ascii="Times New Roman" w:hAnsi="Times New Roman" w:eastAsia="方正仿宋_GBK" w:cs="Times New Roman"/>
          <w:kern w:val="2"/>
          <w:sz w:val="32"/>
          <w:szCs w:val="32"/>
          <w:lang w:val="en-US" w:eastAsia="zh-CN" w:bidi="ar-SA"/>
        </w:rPr>
        <w:t>实施统一的市场准入负面清单制度，深化市场准入效能评估，持续推进基础设施竞争性领域向各类经营主体公平开放，依法保障民营企业平等参与市场竞争的权益。严格履行公平竞争审查程序，深化川渝公平竞争交叉互评，探索建立成渝地区区域市场一体化评价机制，推动市场准入实行</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异地同标</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，为民营企业营造公平竞争的市场环境。</w:t>
      </w:r>
      <w:r>
        <w:rPr>
          <w:rFonts w:hint="eastAsia" w:ascii="Times New Roman" w:hAnsi="Times New Roman" w:eastAsia="方正仿宋_GBK" w:cs="Times New Roman"/>
          <w:sz w:val="32"/>
          <w:szCs w:val="32"/>
          <w:lang w:val="en-US" w:eastAsia="zh-CN"/>
        </w:rPr>
        <w:t>（</w:t>
      </w:r>
      <w:r>
        <w:rPr>
          <w:rFonts w:hint="eastAsia" w:ascii="Times New Roman" w:hAnsi="Times New Roman" w:eastAsia="方正楷体_GBK" w:cs="方正楷体_GBK"/>
          <w:sz w:val="32"/>
          <w:szCs w:val="32"/>
          <w:lang w:val="en-US" w:eastAsia="zh-CN"/>
        </w:rPr>
        <w:t>责任单位：县发展改革委、县市场监管局、县财政局，</w:t>
      </w:r>
      <w:r>
        <w:rPr>
          <w:rFonts w:hint="eastAsia" w:ascii="Times New Roman" w:hAnsi="Times New Roman" w:eastAsia="方正楷体_GBK" w:cs="方正楷体_GBK"/>
          <w:kern w:val="2"/>
          <w:sz w:val="32"/>
          <w:szCs w:val="32"/>
          <w:lang w:val="en-US" w:eastAsia="zh-CN" w:bidi="ar-SA"/>
        </w:rPr>
        <w:t>县级有关部门）</w:t>
      </w:r>
    </w:p>
    <w:p w14:paraId="00BA1415">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（十五）</w:t>
      </w:r>
      <w:r>
        <w:rPr>
          <w:rFonts w:hint="default" w:ascii="Times New Roman" w:hAnsi="Times New Roman" w:eastAsia="方正楷体_GBK" w:cs="方正楷体_GBK"/>
          <w:kern w:val="2"/>
          <w:sz w:val="32"/>
          <w:szCs w:val="32"/>
          <w:lang w:val="en-US" w:eastAsia="zh-CN" w:bidi="ar-SA"/>
        </w:rPr>
        <w:t>优化信用体系建设。</w:t>
      </w:r>
      <w:r>
        <w:rPr>
          <w:rFonts w:hint="eastAsia" w:ascii="Times New Roman" w:hAnsi="Times New Roman" w:eastAsia="方正仿宋_GBK" w:cs="Times New Roman"/>
          <w:kern w:val="2"/>
          <w:sz w:val="32"/>
          <w:szCs w:val="32"/>
          <w:lang w:val="en-US" w:eastAsia="zh-CN" w:bidi="ar-SA"/>
        </w:rPr>
        <w:t>建立健全</w:t>
      </w:r>
      <w:r>
        <w:rPr>
          <w:rFonts w:hint="default" w:ascii="Times New Roman" w:hAnsi="Times New Roman" w:eastAsia="方正仿宋_GBK" w:cs="Times New Roman"/>
          <w:kern w:val="2"/>
          <w:sz w:val="32"/>
          <w:szCs w:val="32"/>
          <w:lang w:val="en-US" w:eastAsia="zh-CN" w:bidi="ar-SA"/>
        </w:rPr>
        <w:t>公共信用评</w:t>
      </w:r>
      <w:r>
        <w:rPr>
          <w:rFonts w:hint="eastAsia" w:ascii="Times New Roman" w:hAnsi="Times New Roman" w:eastAsia="方正仿宋_GBK" w:cs="方正仿宋_GBK"/>
          <w:kern w:val="2"/>
          <w:sz w:val="32"/>
          <w:szCs w:val="32"/>
          <w:lang w:val="en-US" w:eastAsia="zh-CN" w:bidi="ar-SA"/>
        </w:rPr>
        <w:t>价体系，争取“信用+行政审批”等场景应用实现贯通，为民营企业提供信用评价结果认证查询和授权查询服务，方便交易各方互相了解信用状况。</w:t>
      </w:r>
      <w:r>
        <w:rPr>
          <w:rFonts w:hint="default" w:ascii="Times New Roman" w:hAnsi="Times New Roman" w:eastAsia="方正仿宋_GBK" w:cs="方正仿宋_GBK"/>
          <w:kern w:val="2"/>
          <w:sz w:val="32"/>
          <w:szCs w:val="32"/>
          <w:lang w:val="en-US" w:eastAsia="zh-CN" w:bidi="ar-SA"/>
        </w:rPr>
        <w:t>探索以信用评价为基础的融资增信模式，帮助无抵押、无担保的小微企业以信用资产换取融资便利。</w:t>
      </w:r>
      <w:r>
        <w:rPr>
          <w:rFonts w:hint="eastAsia" w:ascii="Times New Roman" w:hAnsi="Times New Roman" w:eastAsia="方正仿宋_GBK" w:cs="方正仿宋_GBK"/>
          <w:kern w:val="2"/>
          <w:sz w:val="32"/>
          <w:szCs w:val="32"/>
          <w:lang w:val="en-US" w:eastAsia="zh-CN" w:bidi="ar-SA"/>
        </w:rPr>
        <w:t>积极对接信用修复“一件事一次办”贯通工作，快速办理符合条件的信用修复诉求，重塑企业信用。</w:t>
      </w:r>
      <w:r>
        <w:rPr>
          <w:rFonts w:hint="default" w:ascii="Times New Roman" w:hAnsi="Times New Roman" w:eastAsia="方正仿宋_GBK" w:cs="方正仿宋_GBK"/>
          <w:kern w:val="2"/>
          <w:sz w:val="32"/>
          <w:szCs w:val="32"/>
          <w:lang w:val="en-US" w:eastAsia="zh-CN" w:bidi="ar-SA"/>
        </w:rPr>
        <w:t>依法依规做好经营异常名录管理和信用修复，符合条件依法移出快速办理。</w:t>
      </w:r>
      <w:r>
        <w:rPr>
          <w:rFonts w:hint="eastAsia" w:ascii="Times New Roman" w:hAnsi="Times New Roman" w:eastAsia="方正楷体_GBK" w:cs="方正楷体_GBK"/>
          <w:kern w:val="2"/>
          <w:sz w:val="32"/>
          <w:szCs w:val="32"/>
          <w:lang w:val="en-US" w:eastAsia="zh-CN" w:bidi="ar-SA"/>
        </w:rPr>
        <w:t>（责任单位：县发展改革委、县市场监管局，县级有关部门）</w:t>
      </w:r>
    </w:p>
    <w:p w14:paraId="002CEED3">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（十六）</w:t>
      </w:r>
      <w:r>
        <w:rPr>
          <w:rFonts w:hint="default" w:ascii="Times New Roman" w:hAnsi="Times New Roman" w:eastAsia="方正楷体_GBK" w:cs="方正楷体_GBK"/>
          <w:kern w:val="2"/>
          <w:sz w:val="32"/>
          <w:szCs w:val="32"/>
          <w:lang w:val="en-US" w:eastAsia="zh-CN" w:bidi="ar-SA"/>
        </w:rPr>
        <w:t>完善招标投标及政府采购支持机制。</w:t>
      </w:r>
      <w:r>
        <w:rPr>
          <w:rFonts w:hint="default" w:ascii="Times New Roman" w:hAnsi="Times New Roman" w:eastAsia="方正仿宋_GBK" w:cs="Times New Roman"/>
          <w:kern w:val="2"/>
          <w:sz w:val="32"/>
          <w:szCs w:val="32"/>
          <w:lang w:val="en-US" w:eastAsia="zh-CN" w:bidi="ar-SA"/>
        </w:rPr>
        <w:t>鼓励大型企业与中小企业在招标投标领域加强合作，促进各类经营主体优势互补、资源融合。在采用招标投标方式的政府采购工程项目中落实预留份额支持中小企业发展的政策，预留项目预算总额的30%以上面向中小企业采购，其中预留给小微企业的比例不得低于60%</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提高中小企业在政府采购招标投标领域的参与度和竞争力。</w:t>
      </w:r>
      <w:r>
        <w:rPr>
          <w:rFonts w:hint="eastAsia" w:ascii="Times New Roman" w:hAnsi="Times New Roman" w:eastAsia="方正楷体_GBK" w:cs="方正楷体_GBK"/>
          <w:kern w:val="2"/>
          <w:sz w:val="32"/>
          <w:szCs w:val="32"/>
          <w:lang w:val="en-US" w:eastAsia="zh-CN" w:bidi="ar-SA"/>
        </w:rPr>
        <w:t>（责任单位：县发展改革委、县财政局）</w:t>
      </w:r>
    </w:p>
    <w:p w14:paraId="011E5D64">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（十七）提高政务服务效能。</w:t>
      </w:r>
      <w:r>
        <w:rPr>
          <w:rFonts w:hint="eastAsia" w:ascii="Times New Roman" w:hAnsi="Times New Roman" w:eastAsia="方正仿宋_GBK" w:cs="方正仿宋_GBK"/>
          <w:kern w:val="2"/>
          <w:sz w:val="32"/>
          <w:szCs w:val="32"/>
          <w:lang w:val="en-US" w:eastAsia="zh-CN" w:bidi="ar-SA"/>
        </w:rPr>
        <w:t>搭建县级涉企政策一站式服务平台，推动惠企惠民政策文件一站式汇聚。</w:t>
      </w:r>
      <w:r>
        <w:rPr>
          <w:rFonts w:hint="default" w:ascii="Times New Roman" w:hAnsi="Times New Roman" w:eastAsia="方正仿宋_GBK" w:cs="方正仿宋_GBK"/>
          <w:kern w:val="2"/>
          <w:sz w:val="32"/>
          <w:szCs w:val="32"/>
          <w:lang w:val="en-US" w:eastAsia="zh-CN" w:bidi="ar-SA"/>
        </w:rPr>
        <w:t>拓展企业全生命周期“一件事一次办”应用场景，梳理县级涉企高频服务事项，提升企业群众办事便利度。</w:t>
      </w:r>
      <w:r>
        <w:rPr>
          <w:rFonts w:hint="eastAsia" w:ascii="Times New Roman" w:hAnsi="Times New Roman" w:eastAsia="方正仿宋_GBK" w:cs="方正仿宋_GBK"/>
          <w:kern w:val="2"/>
          <w:sz w:val="32"/>
          <w:szCs w:val="32"/>
          <w:lang w:val="en-US" w:eastAsia="zh-CN" w:bidi="ar-SA"/>
        </w:rPr>
        <w:t>持续发挥“帮办代办”“导询台”窗口的作用，提升企业群众</w:t>
      </w:r>
      <w:r>
        <w:rPr>
          <w:rFonts w:hint="default" w:ascii="Times New Roman" w:hAnsi="Times New Roman" w:eastAsia="方正仿宋_GBK" w:cs="Times New Roman"/>
          <w:kern w:val="2"/>
          <w:sz w:val="32"/>
          <w:szCs w:val="32"/>
          <w:lang w:val="en-US" w:eastAsia="zh-CN" w:bidi="ar-SA"/>
        </w:rPr>
        <w:t>办事便利度。</w:t>
      </w:r>
      <w:r>
        <w:rPr>
          <w:rFonts w:hint="eastAsia" w:ascii="Times New Roman" w:hAnsi="Times New Roman" w:eastAsia="方正楷体_GBK" w:cs="方正楷体_GBK"/>
          <w:kern w:val="2"/>
          <w:sz w:val="32"/>
          <w:szCs w:val="32"/>
          <w:lang w:val="en-US" w:eastAsia="zh-CN" w:bidi="ar-SA"/>
        </w:rPr>
        <w:t>（责任单位：</w:t>
      </w:r>
      <w:r>
        <w:rPr>
          <w:rFonts w:hint="eastAsia" w:ascii="Times New Roman" w:hAnsi="Times New Roman" w:eastAsia="方正楷体_GBK" w:cs="方正楷体_GBK"/>
          <w:kern w:val="2"/>
          <w:sz w:val="32"/>
          <w:szCs w:val="32"/>
          <w:highlight w:val="none"/>
          <w:lang w:val="en-US" w:eastAsia="zh-CN" w:bidi="ar-SA"/>
        </w:rPr>
        <w:t>县政府办公室、县行政事务管理中心</w:t>
      </w:r>
      <w:r>
        <w:rPr>
          <w:rFonts w:hint="eastAsia" w:ascii="Times New Roman" w:hAnsi="Times New Roman" w:eastAsia="方正楷体_GBK" w:cs="方正楷体_GBK"/>
          <w:kern w:val="2"/>
          <w:sz w:val="32"/>
          <w:szCs w:val="32"/>
          <w:lang w:val="en-US" w:eastAsia="zh-CN" w:bidi="ar-SA"/>
        </w:rPr>
        <w:t>）</w:t>
      </w:r>
    </w:p>
    <w:p w14:paraId="3593BADD">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eastAsia" w:ascii="Times New Roman" w:hAnsi="Times New Roman" w:eastAsia="方正黑体_GBK" w:cs="方正黑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（十八）</w:t>
      </w:r>
      <w:r>
        <w:rPr>
          <w:rFonts w:hint="default" w:ascii="Times New Roman" w:hAnsi="Times New Roman" w:eastAsia="方正楷体_GBK" w:cs="方正楷体_GBK"/>
          <w:kern w:val="2"/>
          <w:sz w:val="32"/>
          <w:szCs w:val="32"/>
          <w:lang w:val="en-US" w:eastAsia="zh-CN" w:bidi="ar-SA"/>
        </w:rPr>
        <w:t>迭代政企沟通交流机制。</w:t>
      </w:r>
      <w:r>
        <w:rPr>
          <w:rFonts w:hint="default" w:ascii="Times New Roman" w:hAnsi="Times New Roman" w:eastAsia="方正仿宋_GBK" w:cs="方正仿宋_GBK"/>
          <w:kern w:val="2"/>
          <w:sz w:val="32"/>
          <w:szCs w:val="32"/>
          <w:lang w:val="en-US" w:eastAsia="zh-CN" w:bidi="ar-SA"/>
        </w:rPr>
        <w:t>深化“三服务”工作机制运用，强化各行业部门协作，整合利用各涉企服务平台线上线下渠道，常态化开展政企沟通、政策解读、项目推介等多维度服务活动，切实帮助解决民营企业的急难愁盼。深化市管领导和县管正职联系民营企业制度，实现重点企业联系全覆盖。迭代</w:t>
      </w:r>
      <w:r>
        <w:rPr>
          <w:rFonts w:hint="eastAsia" w:ascii="Times New Roman" w:hAnsi="Times New Roman" w:eastAsia="方正仿宋_GBK" w:cs="方正仿宋_GBK"/>
          <w:kern w:val="2"/>
          <w:sz w:val="32"/>
          <w:szCs w:val="32"/>
          <w:lang w:val="en-US" w:eastAsia="zh-CN" w:bidi="ar-SA"/>
        </w:rPr>
        <w:t>“</w:t>
      </w:r>
      <w:r>
        <w:rPr>
          <w:rFonts w:hint="default" w:ascii="Times New Roman" w:hAnsi="Times New Roman" w:eastAsia="方正仿宋_GBK" w:cs="方正仿宋_GBK"/>
          <w:kern w:val="2"/>
          <w:sz w:val="32"/>
          <w:szCs w:val="32"/>
          <w:lang w:val="en-US" w:eastAsia="zh-CN" w:bidi="ar-SA"/>
        </w:rPr>
        <w:t>民呼我为</w:t>
      </w:r>
      <w:r>
        <w:rPr>
          <w:rFonts w:hint="eastAsia" w:ascii="Times New Roman" w:hAnsi="Times New Roman" w:eastAsia="方正仿宋_GBK" w:cs="方正仿宋_GBK"/>
          <w:kern w:val="2"/>
          <w:sz w:val="32"/>
          <w:szCs w:val="32"/>
          <w:lang w:val="en-US" w:eastAsia="zh-CN" w:bidi="ar-SA"/>
        </w:rPr>
        <w:t>”</w:t>
      </w:r>
      <w:r>
        <w:rPr>
          <w:rFonts w:hint="default" w:ascii="Times New Roman" w:hAnsi="Times New Roman" w:eastAsia="方正仿宋_GBK" w:cs="方正仿宋_GBK"/>
          <w:kern w:val="2"/>
          <w:sz w:val="32"/>
          <w:szCs w:val="32"/>
          <w:lang w:val="en-US" w:eastAsia="zh-CN" w:bidi="ar-SA"/>
        </w:rPr>
        <w:t>工作机制，升级“渝企办难事”“渝企来维权”和“渝企找专员”模块，对企业诉求事项交办体系与“民呼我为”交办系统共享为推广使用线上服务平台。</w:t>
      </w:r>
      <w:r>
        <w:rPr>
          <w:rFonts w:hint="eastAsia" w:ascii="Times New Roman" w:hAnsi="Times New Roman" w:eastAsia="方正楷体_GBK" w:cs="方正楷体_GBK"/>
          <w:kern w:val="2"/>
          <w:sz w:val="32"/>
          <w:szCs w:val="32"/>
          <w:lang w:val="en-US" w:eastAsia="zh-CN" w:bidi="ar-SA"/>
        </w:rPr>
        <w:t>（责任单位：</w:t>
      </w:r>
      <w:r>
        <w:rPr>
          <w:rFonts w:hint="eastAsia" w:ascii="Times New Roman" w:hAnsi="Times New Roman" w:eastAsia="方正楷体_GBK" w:cs="方正楷体_GBK"/>
          <w:kern w:val="2"/>
          <w:sz w:val="32"/>
          <w:szCs w:val="32"/>
          <w:highlight w:val="none"/>
          <w:lang w:val="en-US" w:eastAsia="zh-CN" w:bidi="ar-SA"/>
        </w:rPr>
        <w:t>县政府办公室</w:t>
      </w:r>
      <w:r>
        <w:rPr>
          <w:rFonts w:hint="eastAsia" w:ascii="Times New Roman" w:hAnsi="Times New Roman" w:eastAsia="方正楷体_GBK" w:cs="方正楷体_GBK"/>
          <w:kern w:val="2"/>
          <w:sz w:val="32"/>
          <w:szCs w:val="32"/>
          <w:lang w:val="en-US" w:eastAsia="zh-CN" w:bidi="ar-SA"/>
        </w:rPr>
        <w:t>、县发展改革委、县委统战部、县经济信息委、县工商联、</w:t>
      </w:r>
      <w:r>
        <w:rPr>
          <w:rFonts w:hint="eastAsia" w:ascii="Times New Roman" w:hAnsi="Times New Roman" w:eastAsia="方正楷体_GBK" w:cs="方正楷体_GBK"/>
          <w:kern w:val="2"/>
          <w:sz w:val="32"/>
          <w:szCs w:val="32"/>
          <w:highlight w:val="none"/>
          <w:lang w:val="en-US" w:eastAsia="zh-CN" w:bidi="ar-SA"/>
        </w:rPr>
        <w:t>县行政事务管理中心</w:t>
      </w:r>
      <w:r>
        <w:rPr>
          <w:rFonts w:hint="eastAsia" w:ascii="Times New Roman" w:hAnsi="Times New Roman" w:eastAsia="方正楷体_GBK" w:cs="方正楷体_GBK"/>
          <w:kern w:val="2"/>
          <w:sz w:val="32"/>
          <w:szCs w:val="32"/>
          <w:lang w:val="en-US" w:eastAsia="zh-CN" w:bidi="ar-SA"/>
        </w:rPr>
        <w:t>，县级有关部门）</w:t>
      </w:r>
    </w:p>
    <w:p w14:paraId="7A39B994">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eastAsia" w:ascii="Times New Roman" w:hAnsi="Times New Roman" w:eastAsia="方正黑体_GBK" w:cs="方正黑体_GBK"/>
          <w:kern w:val="2"/>
          <w:sz w:val="32"/>
          <w:szCs w:val="32"/>
          <w:lang w:val="en-US" w:eastAsia="zh-CN" w:bidi="ar-SA"/>
        </w:rPr>
      </w:pPr>
      <w:r>
        <w:rPr>
          <w:rFonts w:hint="eastAsia" w:ascii="Times New Roman" w:hAnsi="Times New Roman" w:eastAsia="方正黑体_GBK" w:cs="方正黑体_GBK"/>
          <w:kern w:val="2"/>
          <w:sz w:val="32"/>
          <w:szCs w:val="32"/>
          <w:lang w:val="en-US" w:eastAsia="zh-CN" w:bidi="ar-SA"/>
        </w:rPr>
        <w:t>五、强化民营经济要素供给</w:t>
      </w:r>
    </w:p>
    <w:p w14:paraId="304023E7">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（十九）</w:t>
      </w:r>
      <w:r>
        <w:rPr>
          <w:rFonts w:hint="default" w:ascii="Times New Roman" w:hAnsi="Times New Roman" w:eastAsia="方正楷体_GBK" w:cs="方正楷体_GBK"/>
          <w:kern w:val="2"/>
          <w:sz w:val="32"/>
          <w:szCs w:val="32"/>
          <w:lang w:val="en-US" w:eastAsia="zh-CN" w:bidi="ar-SA"/>
        </w:rPr>
        <w:t>提供多元化金融服务。</w:t>
      </w:r>
      <w:r>
        <w:rPr>
          <w:rFonts w:hint="default" w:ascii="Times New Roman" w:hAnsi="Times New Roman" w:eastAsia="方正仿宋_GBK" w:cs="方正仿宋_GBK"/>
          <w:kern w:val="2"/>
          <w:sz w:val="32"/>
          <w:szCs w:val="32"/>
          <w:lang w:val="en-US" w:eastAsia="zh-CN" w:bidi="ar-SA"/>
        </w:rPr>
        <w:t>扩大“无还本续贷”政策覆盖面，推动续贷对象扩展至所有小微企业、阶段性扩大到中型企业。鼓励银行机构综合运用企业创新积分等多方信息，加大信用贷款投放力度，提升科技型企业“首贷率”。推广运用“长江渝融通”线上服务平台功能，实现民营企业金融服务一件事智能办、一次办、高效办。</w:t>
      </w:r>
      <w:r>
        <w:rPr>
          <w:rFonts w:hint="eastAsia" w:ascii="Times New Roman" w:hAnsi="Times New Roman" w:eastAsia="方正楷体_GBK" w:cs="方正楷体_GBK"/>
          <w:kern w:val="2"/>
          <w:sz w:val="32"/>
          <w:szCs w:val="32"/>
          <w:lang w:val="en-US" w:eastAsia="zh-CN" w:bidi="ar-SA"/>
        </w:rPr>
        <w:t>（责任单位</w:t>
      </w:r>
      <w:r>
        <w:rPr>
          <w:rFonts w:hint="eastAsia" w:ascii="Times New Roman" w:hAnsi="Times New Roman" w:eastAsia="方正楷体_GBK" w:cs="方正楷体_GBK"/>
          <w:kern w:val="2"/>
          <w:sz w:val="32"/>
          <w:szCs w:val="32"/>
          <w:u w:val="none"/>
          <w:lang w:val="en-US" w:eastAsia="zh-CN" w:bidi="ar-SA"/>
        </w:rPr>
        <w:t>：城口金融监管支局、</w:t>
      </w:r>
      <w:r>
        <w:rPr>
          <w:rFonts w:hint="eastAsia" w:ascii="Times New Roman" w:hAnsi="Times New Roman" w:eastAsia="方正楷体_GBK" w:cs="方正楷体_GBK"/>
          <w:kern w:val="2"/>
          <w:sz w:val="32"/>
          <w:szCs w:val="32"/>
          <w:lang w:val="en-US" w:eastAsia="zh-CN" w:bidi="ar-SA"/>
        </w:rPr>
        <w:t>人行万州分行城口营管部）</w:t>
      </w:r>
    </w:p>
    <w:p w14:paraId="55F9303A">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eastAsia" w:ascii="Times New Roman" w:hAnsi="Times New Roman" w:eastAsia="方正楷体_GBK" w:cs="方正楷体_GBK"/>
          <w:color w:val="000000"/>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（二十）</w:t>
      </w:r>
      <w:r>
        <w:rPr>
          <w:rFonts w:hint="eastAsia" w:ascii="Times New Roman" w:hAnsi="Times New Roman" w:eastAsia="方正楷体_GBK" w:cs="方正楷体_GBK"/>
          <w:color w:val="000000"/>
          <w:kern w:val="2"/>
          <w:sz w:val="32"/>
          <w:szCs w:val="32"/>
          <w:lang w:val="en-US" w:eastAsia="zh-CN" w:bidi="ar-SA"/>
        </w:rPr>
        <w:t>减轻企业税费负担。</w:t>
      </w:r>
      <w:r>
        <w:rPr>
          <w:rFonts w:hint="eastAsia" w:ascii="Times New Roman" w:hAnsi="Times New Roman" w:eastAsia="方正仿宋_GBK" w:cs="方正仿宋_GBK"/>
          <w:color w:val="000000"/>
          <w:kern w:val="2"/>
          <w:sz w:val="32"/>
          <w:szCs w:val="32"/>
          <w:lang w:val="en-US" w:eastAsia="zh-CN" w:bidi="ar-SA"/>
        </w:rPr>
        <w:t>加大增值税期末留抵退税力度，</w:t>
      </w:r>
      <w:r>
        <w:rPr>
          <w:rFonts w:hint="default" w:ascii="Times New Roman" w:hAnsi="Times New Roman" w:eastAsia="方正仿宋_GBK" w:cs="方正仿宋_GBK"/>
          <w:color w:val="000000"/>
          <w:kern w:val="2"/>
          <w:sz w:val="32"/>
          <w:szCs w:val="32"/>
          <w:lang w:val="en-US" w:eastAsia="zh-CN" w:bidi="ar-SA"/>
        </w:rPr>
        <w:t>符合条件的“农、林、牧、渔业”</w:t>
      </w:r>
      <w:r>
        <w:rPr>
          <w:rFonts w:hint="eastAsia" w:ascii="Times New Roman" w:hAnsi="Times New Roman" w:eastAsia="方正仿宋_GBK" w:cs="方正仿宋_GBK"/>
          <w:color w:val="000000"/>
          <w:kern w:val="2"/>
          <w:sz w:val="32"/>
          <w:szCs w:val="32"/>
          <w:lang w:val="en-US" w:eastAsia="zh-CN" w:bidi="ar-SA"/>
        </w:rPr>
        <w:t>“制造业”“</w:t>
      </w:r>
      <w:r>
        <w:rPr>
          <w:rFonts w:hint="default" w:ascii="Times New Roman" w:hAnsi="Times New Roman" w:eastAsia="方正仿宋_GBK" w:cs="方正仿宋_GBK"/>
          <w:color w:val="000000"/>
          <w:kern w:val="2"/>
          <w:sz w:val="32"/>
          <w:szCs w:val="32"/>
          <w:lang w:val="en-US" w:eastAsia="zh-CN" w:bidi="ar-SA"/>
        </w:rPr>
        <w:t>批发零售业</w:t>
      </w:r>
      <w:r>
        <w:rPr>
          <w:rFonts w:hint="eastAsia" w:ascii="Times New Roman" w:hAnsi="Times New Roman" w:eastAsia="方正仿宋_GBK" w:cs="方正仿宋_GBK"/>
          <w:color w:val="000000"/>
          <w:kern w:val="2"/>
          <w:sz w:val="32"/>
          <w:szCs w:val="32"/>
          <w:lang w:val="en-US" w:eastAsia="zh-CN" w:bidi="ar-SA"/>
        </w:rPr>
        <w:t>”</w:t>
      </w:r>
      <w:r>
        <w:rPr>
          <w:rFonts w:hint="default" w:ascii="Times New Roman" w:hAnsi="Times New Roman" w:eastAsia="方正仿宋_GBK" w:cs="方正仿宋_GBK"/>
          <w:color w:val="000000"/>
          <w:kern w:val="2"/>
          <w:sz w:val="32"/>
          <w:szCs w:val="32"/>
          <w:lang w:val="en-US" w:eastAsia="zh-CN" w:bidi="ar-SA"/>
        </w:rPr>
        <w:t>等行业</w:t>
      </w:r>
      <w:r>
        <w:rPr>
          <w:rFonts w:hint="eastAsia" w:ascii="Times New Roman" w:hAnsi="Times New Roman" w:eastAsia="方正仿宋_GBK" w:cs="方正仿宋_GBK"/>
          <w:color w:val="000000"/>
          <w:kern w:val="2"/>
          <w:sz w:val="32"/>
          <w:szCs w:val="32"/>
          <w:lang w:val="en-US" w:eastAsia="zh-CN" w:bidi="ar-SA"/>
        </w:rPr>
        <w:t>，</w:t>
      </w:r>
      <w:r>
        <w:rPr>
          <w:rFonts w:hint="default" w:ascii="Times New Roman" w:hAnsi="Times New Roman" w:eastAsia="方正仿宋_GBK" w:cs="方正仿宋_GBK"/>
          <w:color w:val="000000"/>
          <w:kern w:val="2"/>
          <w:sz w:val="32"/>
          <w:szCs w:val="32"/>
          <w:lang w:val="en-US" w:eastAsia="zh-CN" w:bidi="ar-SA"/>
        </w:rPr>
        <w:t>按月全额退还增值税增量留抵税额、一次性退还存量留抵税额</w:t>
      </w:r>
      <w:r>
        <w:rPr>
          <w:rFonts w:hint="eastAsia" w:ascii="Times New Roman" w:hAnsi="Times New Roman" w:eastAsia="方正仿宋_GBK" w:cs="方正仿宋_GBK"/>
          <w:color w:val="000000"/>
          <w:kern w:val="2"/>
          <w:sz w:val="32"/>
          <w:szCs w:val="32"/>
          <w:lang w:val="en-US" w:eastAsia="zh-CN" w:bidi="ar-SA"/>
        </w:rPr>
        <w:t>。</w:t>
      </w:r>
      <w:r>
        <w:rPr>
          <w:rFonts w:hint="default" w:ascii="Times New Roman" w:hAnsi="Times New Roman" w:eastAsia="方正仿宋_GBK" w:cs="Times New Roman"/>
          <w:color w:val="000000"/>
          <w:kern w:val="2"/>
          <w:sz w:val="32"/>
          <w:szCs w:val="32"/>
          <w:lang w:val="en-US" w:eastAsia="zh-CN" w:bidi="ar-SA"/>
        </w:rPr>
        <w:t>实施“六税两费”优惠政策，自2023年1月1日至2027年12月31日，对增值税小规模纳税人、小型微利企业和个体工商户减半征收资源税（不含水资源税）、城市维护建设税、房产税、城镇土地使用税、印花税（不含证券交易印花税）、</w:t>
      </w:r>
      <w:r>
        <w:rPr>
          <w:rFonts w:hint="eastAsia" w:ascii="Times New Roman" w:hAnsi="Times New Roman" w:eastAsia="方正仿宋_GBK" w:cs="方正仿宋_GBK"/>
          <w:color w:val="000000"/>
          <w:kern w:val="2"/>
          <w:sz w:val="32"/>
          <w:szCs w:val="32"/>
          <w:lang w:val="en-US" w:eastAsia="zh-CN" w:bidi="ar-SA"/>
        </w:rPr>
        <w:t>耕地占用税和教育费附加、地方教育附加。</w:t>
      </w:r>
      <w:r>
        <w:rPr>
          <w:rFonts w:hint="default" w:ascii="Times New Roman" w:hAnsi="Times New Roman" w:eastAsia="方正仿宋_GBK" w:cs="Times New Roman"/>
          <w:color w:val="000000"/>
          <w:kern w:val="2"/>
          <w:sz w:val="32"/>
          <w:szCs w:val="32"/>
          <w:lang w:val="en-US" w:eastAsia="zh-CN" w:bidi="ar-SA"/>
        </w:rPr>
        <w:t>对招用符合条件的高校毕业生、脱贫人口、就业困难人员，与其签订劳动合同并按规定缴纳社会保险费的用人单位，按规定给予社会保险补贴。对招用</w:t>
      </w:r>
      <w:r>
        <w:rPr>
          <w:rFonts w:hint="default" w:ascii="Times New Roman" w:hAnsi="Times New Roman" w:eastAsia="方正仿宋_GBK" w:cs="Times New Roman"/>
          <w:color w:val="000000"/>
          <w:kern w:val="2"/>
          <w:sz w:val="32"/>
          <w:szCs w:val="32"/>
          <w:highlight w:val="none"/>
          <w:lang w:val="en-US" w:eastAsia="zh-CN" w:bidi="ar-SA"/>
        </w:rPr>
        <w:t>我市户</w:t>
      </w:r>
      <w:r>
        <w:rPr>
          <w:rFonts w:hint="default" w:ascii="Times New Roman" w:hAnsi="Times New Roman" w:eastAsia="方正仿宋_GBK" w:cs="Times New Roman"/>
          <w:color w:val="000000"/>
          <w:kern w:val="2"/>
          <w:sz w:val="32"/>
          <w:szCs w:val="32"/>
          <w:lang w:val="en-US" w:eastAsia="zh-CN" w:bidi="ar-SA"/>
        </w:rPr>
        <w:t>籍登记失业的就业困难人员、登记失业离校5年内高校毕业生，与其签订劳动合同，并按规定连续缴纳1年以上且仍在缴纳社会保险费的各类企业，按规定给予一次性吸纳就业补贴。</w:t>
      </w:r>
      <w:r>
        <w:rPr>
          <w:rFonts w:hint="eastAsia" w:ascii="Times New Roman" w:hAnsi="Times New Roman" w:eastAsia="方正楷体_GBK" w:cs="方正楷体_GBK"/>
          <w:color w:val="000000"/>
          <w:kern w:val="2"/>
          <w:sz w:val="32"/>
          <w:szCs w:val="32"/>
          <w:lang w:val="en-US" w:eastAsia="zh-CN" w:bidi="ar-SA"/>
        </w:rPr>
        <w:t>（责任单位：县税务局、县人力社保局）</w:t>
      </w:r>
    </w:p>
    <w:p w14:paraId="2D75857F">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default" w:ascii="Times New Roman" w:hAnsi="Times New Roman" w:eastAsia="宋体" w:cs="Times New Roman"/>
          <w:kern w:val="2"/>
          <w:sz w:val="29"/>
          <w:szCs w:val="24"/>
          <w:lang w:val="en-US" w:eastAsia="zh-CN" w:bidi="ar-SA"/>
        </w:rPr>
      </w:pPr>
      <w:r>
        <w:rPr>
          <w:rFonts w:hint="eastAsia" w:ascii="Times New Roman" w:hAnsi="Times New Roman" w:eastAsia="方正楷体_GBK" w:cs="方正楷体_GBK"/>
          <w:kern w:val="2"/>
          <w:sz w:val="32"/>
          <w:szCs w:val="32"/>
          <w:lang w:val="en-US" w:eastAsia="zh-CN" w:bidi="ar-SA"/>
        </w:rPr>
        <w:t>（二十一）</w:t>
      </w:r>
      <w:r>
        <w:rPr>
          <w:rFonts w:hint="default" w:ascii="Times New Roman" w:hAnsi="Times New Roman" w:eastAsia="方正楷体_GBK" w:cs="方正楷体_GBK"/>
          <w:kern w:val="2"/>
          <w:sz w:val="32"/>
          <w:szCs w:val="32"/>
          <w:lang w:val="en-US" w:eastAsia="zh-CN" w:bidi="ar-SA"/>
        </w:rPr>
        <w:t>提高人才用工支持。</w:t>
      </w:r>
      <w:r>
        <w:rPr>
          <w:rFonts w:hint="default" w:ascii="Times New Roman" w:hAnsi="Times New Roman" w:eastAsia="方正仿宋_GBK" w:cs="方正仿宋_GBK"/>
          <w:kern w:val="2"/>
          <w:sz w:val="32"/>
          <w:szCs w:val="32"/>
          <w:lang w:val="en-US" w:eastAsia="zh-CN" w:bidi="ar-SA"/>
        </w:rPr>
        <w:t>优化</w:t>
      </w:r>
      <w:r>
        <w:rPr>
          <w:rFonts w:hint="eastAsia" w:ascii="Times New Roman" w:hAnsi="Times New Roman" w:eastAsia="方正仿宋_GBK" w:cs="方正仿宋_GBK"/>
          <w:kern w:val="2"/>
          <w:sz w:val="32"/>
          <w:szCs w:val="32"/>
          <w:lang w:val="en-US" w:eastAsia="zh-CN" w:bidi="ar-SA"/>
        </w:rPr>
        <w:t>“渝悦·就业”公共招聘平台大数据技术运用，实现人岗、政策、培训等智能匹配和精准推送，方便民营企业线上发布用工需求。搭建产教融合信息服务平台，利用公共实训基地，</w:t>
      </w:r>
      <w:r>
        <w:rPr>
          <w:rFonts w:hint="default" w:ascii="Times New Roman" w:hAnsi="Times New Roman" w:eastAsia="方正仿宋_GBK" w:cs="方正仿宋_GBK"/>
          <w:kern w:val="2"/>
          <w:sz w:val="32"/>
          <w:szCs w:val="32"/>
          <w:lang w:val="en-US" w:eastAsia="zh-CN" w:bidi="ar-SA"/>
        </w:rPr>
        <w:t>推进县域产教联合体建设，</w:t>
      </w:r>
      <w:r>
        <w:rPr>
          <w:rFonts w:hint="eastAsia" w:ascii="Times New Roman" w:hAnsi="Times New Roman" w:eastAsia="方正仿宋_GBK" w:cs="方正仿宋_GBK"/>
          <w:kern w:val="2"/>
          <w:sz w:val="32"/>
          <w:szCs w:val="32"/>
          <w:lang w:val="en-US" w:eastAsia="zh-CN" w:bidi="ar-SA"/>
        </w:rPr>
        <w:t>支持校企联合开展人才培养。</w:t>
      </w:r>
      <w:r>
        <w:rPr>
          <w:rFonts w:hint="default" w:ascii="Times New Roman" w:hAnsi="Times New Roman" w:eastAsia="方正仿宋_GBK" w:cs="方正仿宋_GBK"/>
          <w:kern w:val="2"/>
          <w:sz w:val="32"/>
          <w:szCs w:val="32"/>
          <w:lang w:val="en-US" w:eastAsia="zh-CN" w:bidi="ar-SA"/>
        </w:rPr>
        <w:t>实施“校企合作”，按需开展培训，畅通技能人才职业发展渠道，支持民营企业技术技能人才梯度培育</w:t>
      </w:r>
      <w:r>
        <w:rPr>
          <w:rFonts w:hint="eastAsia" w:ascii="Times New Roman" w:hAnsi="Times New Roman" w:eastAsia="方正仿宋_GBK" w:cs="方正仿宋_GBK"/>
          <w:kern w:val="2"/>
          <w:sz w:val="32"/>
          <w:szCs w:val="32"/>
          <w:lang w:val="en-US" w:eastAsia="zh-CN" w:bidi="ar-SA"/>
        </w:rPr>
        <w:t>。</w:t>
      </w:r>
      <w:r>
        <w:rPr>
          <w:rFonts w:hint="eastAsia" w:ascii="Times New Roman" w:hAnsi="Times New Roman" w:eastAsia="方正楷体_GBK" w:cs="方正楷体_GBK"/>
          <w:kern w:val="2"/>
          <w:sz w:val="32"/>
          <w:szCs w:val="32"/>
          <w:lang w:val="en-US" w:eastAsia="zh-CN" w:bidi="ar-SA"/>
        </w:rPr>
        <w:t>（责任单位：县人力社保局、县教委、县经济信息委）</w:t>
      </w:r>
    </w:p>
    <w:p w14:paraId="04310370">
      <w:pPr>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（二十二）</w:t>
      </w:r>
      <w:r>
        <w:rPr>
          <w:rFonts w:hint="default" w:ascii="Times New Roman" w:hAnsi="Times New Roman" w:eastAsia="方正楷体_GBK" w:cs="方正楷体_GBK"/>
          <w:kern w:val="2"/>
          <w:sz w:val="32"/>
          <w:szCs w:val="32"/>
          <w:lang w:val="en-US" w:eastAsia="zh-CN" w:bidi="ar-SA"/>
        </w:rPr>
        <w:t>提高用能用地保障</w:t>
      </w:r>
      <w:r>
        <w:rPr>
          <w:rFonts w:hint="eastAsia" w:ascii="Times New Roman" w:hAnsi="Times New Roman" w:eastAsia="方正楷体_GBK" w:cs="方正楷体_GBK"/>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加快推动渝西高铁城口境内外部供电工程，力争</w:t>
      </w:r>
      <w:r>
        <w:rPr>
          <w:rFonts w:hint="eastAsia" w:ascii="Times New Roman" w:hAnsi="Times New Roman" w:eastAsia="方正仿宋_GBK" w:cs="Times New Roman"/>
          <w:kern w:val="2"/>
          <w:sz w:val="32"/>
          <w:szCs w:val="32"/>
          <w:lang w:val="en-US" w:eastAsia="zh-CN" w:bidi="ar-SA"/>
        </w:rPr>
        <w:t>早日建成</w:t>
      </w:r>
      <w:r>
        <w:rPr>
          <w:rFonts w:hint="default" w:ascii="Times New Roman" w:hAnsi="Times New Roman" w:eastAsia="方正仿宋_GBK" w:cs="Times New Roman"/>
          <w:kern w:val="2"/>
          <w:sz w:val="32"/>
          <w:szCs w:val="32"/>
          <w:lang w:val="en-US" w:eastAsia="zh-CN" w:bidi="ar-SA"/>
        </w:rPr>
        <w:t>投运。支持民间资本建设养老、社会福利等项目，对养老、普惠托育服务机构等用气价格执行居民类价格。提前主动介入空间要素保障，对民营企业合理的新增项目用地需求应保尽保。通过合作开发、作价出资或入股等方式，持续引导民营企业参与盘活存量国有土地资产，探索民营企业新型用地供应方式。</w:t>
      </w:r>
      <w:r>
        <w:rPr>
          <w:rFonts w:hint="eastAsia" w:ascii="Times New Roman" w:hAnsi="Times New Roman" w:eastAsia="方正楷体_GBK" w:cs="方正楷体_GBK"/>
          <w:kern w:val="2"/>
          <w:sz w:val="32"/>
          <w:szCs w:val="32"/>
          <w:lang w:val="en-US" w:eastAsia="zh-CN" w:bidi="ar-SA"/>
        </w:rPr>
        <w:t>（责任单位：县发展改革委、县规划自然资源局、县经济信息委）</w:t>
      </w:r>
    </w:p>
    <w:p w14:paraId="068A09E3">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eastAsia"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（二十三）</w:t>
      </w:r>
      <w:r>
        <w:rPr>
          <w:rFonts w:hint="default" w:ascii="Times New Roman" w:hAnsi="Times New Roman" w:eastAsia="方正楷体_GBK" w:cs="方正楷体_GBK"/>
          <w:kern w:val="2"/>
          <w:sz w:val="32"/>
          <w:szCs w:val="32"/>
          <w:lang w:val="en-US" w:eastAsia="zh-CN" w:bidi="ar-SA"/>
        </w:rPr>
        <w:t>提升物流运输效率。</w:t>
      </w:r>
      <w:r>
        <w:rPr>
          <w:rFonts w:hint="eastAsia" w:ascii="Times New Roman" w:hAnsi="Times New Roman" w:eastAsia="方正仿宋_GBK" w:cs="Times New Roman"/>
          <w:kern w:val="2"/>
          <w:sz w:val="32"/>
          <w:szCs w:val="32"/>
          <w:lang w:val="en-US" w:eastAsia="zh-CN" w:bidi="ar-SA"/>
        </w:rPr>
        <w:t>依托高速高铁沿线可利用土地，引进社会资本建设物流仓储设施、分拣中心和信息平台，建设覆盖渝川陕毗邻区县市物流枢纽。</w:t>
      </w:r>
      <w:r>
        <w:rPr>
          <w:rFonts w:hint="default" w:ascii="Times New Roman" w:hAnsi="Times New Roman" w:eastAsia="方正仿宋_GBK" w:cs="Times New Roman"/>
          <w:kern w:val="2"/>
          <w:sz w:val="32"/>
          <w:szCs w:val="32"/>
          <w:lang w:val="en-US" w:eastAsia="zh-CN" w:bidi="ar-SA"/>
        </w:rPr>
        <w:t>加快建设G69银</w:t>
      </w:r>
      <w:r>
        <w:rPr>
          <w:rFonts w:hint="eastAsia" w:ascii="Times New Roman" w:hAnsi="Times New Roman" w:eastAsia="方正仿宋_GBK" w:cs="Times New Roman"/>
          <w:kern w:val="2"/>
          <w:sz w:val="32"/>
          <w:szCs w:val="32"/>
          <w:lang w:val="en-US" w:eastAsia="zh-CN" w:bidi="ar-SA"/>
        </w:rPr>
        <w:t>百</w:t>
      </w:r>
      <w:r>
        <w:rPr>
          <w:rFonts w:hint="default" w:ascii="Times New Roman" w:hAnsi="Times New Roman" w:eastAsia="方正仿宋_GBK" w:cs="Times New Roman"/>
          <w:kern w:val="2"/>
          <w:sz w:val="32"/>
          <w:szCs w:val="32"/>
          <w:lang w:val="en-US" w:eastAsia="zh-CN" w:bidi="ar-SA"/>
        </w:rPr>
        <w:t>高速城口至陕西岚皋段，打通向北大通道，提升交通便利度。</w:t>
      </w:r>
      <w:r>
        <w:rPr>
          <w:rFonts w:hint="eastAsia" w:ascii="Times New Roman" w:hAnsi="Times New Roman" w:eastAsia="方正仿宋_GBK" w:cs="Times New Roman"/>
          <w:kern w:val="2"/>
          <w:sz w:val="32"/>
          <w:szCs w:val="32"/>
          <w:lang w:val="en-US" w:eastAsia="zh-CN" w:bidi="ar-SA"/>
        </w:rPr>
        <w:t>完善三级物流网络，创新交邮融合发展，有效提高物流效率。</w:t>
      </w:r>
      <w:r>
        <w:rPr>
          <w:rFonts w:hint="eastAsia" w:ascii="Times New Roman" w:hAnsi="Times New Roman" w:eastAsia="方正楷体_GBK" w:cs="方正楷体_GBK"/>
          <w:kern w:val="2"/>
          <w:sz w:val="32"/>
          <w:szCs w:val="32"/>
          <w:lang w:val="en-US" w:eastAsia="zh-CN" w:bidi="ar-SA"/>
        </w:rPr>
        <w:t>（责任单位：县交通运输委、县商务委，县级有关部门）</w:t>
      </w:r>
    </w:p>
    <w:p w14:paraId="06AAE112">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default" w:ascii="Times New Roman" w:hAnsi="Times New Roman" w:eastAsia="宋体" w:cs="Times New Roman"/>
          <w:kern w:val="2"/>
          <w:sz w:val="29"/>
          <w:szCs w:val="24"/>
          <w:lang w:val="en-US" w:eastAsia="zh-CN" w:bidi="ar-SA"/>
        </w:rPr>
      </w:pPr>
      <w:r>
        <w:rPr>
          <w:rFonts w:hint="eastAsia" w:ascii="Times New Roman" w:hAnsi="Times New Roman" w:eastAsia="方正楷体_GBK" w:cs="方正楷体_GBK"/>
          <w:kern w:val="2"/>
          <w:sz w:val="32"/>
          <w:szCs w:val="32"/>
          <w:lang w:val="en-US" w:eastAsia="zh-CN" w:bidi="ar-SA"/>
        </w:rPr>
        <w:t>（二十四）</w:t>
      </w:r>
      <w:r>
        <w:rPr>
          <w:rFonts w:hint="default" w:ascii="Times New Roman" w:hAnsi="Times New Roman" w:eastAsia="方正楷体_GBK" w:cs="方正楷体_GBK"/>
          <w:kern w:val="2"/>
          <w:sz w:val="32"/>
          <w:szCs w:val="32"/>
          <w:lang w:val="en-US" w:eastAsia="zh-CN" w:bidi="ar-SA"/>
        </w:rPr>
        <w:t>强化数据要素赋能。</w:t>
      </w:r>
      <w:r>
        <w:rPr>
          <w:rFonts w:hint="default" w:ascii="Times New Roman" w:hAnsi="Times New Roman" w:eastAsia="方正仿宋_GBK" w:cs="Times New Roman"/>
          <w:kern w:val="2"/>
          <w:sz w:val="32"/>
          <w:szCs w:val="32"/>
          <w:lang w:val="en-US" w:eastAsia="zh-CN" w:bidi="ar-SA"/>
        </w:rPr>
        <w:t>加快推进县内重点应用场景数据共享赋能，推动居民服务、交通等领域数据开放、安全使用，为民营企业开发数据产品和打</w:t>
      </w:r>
      <w:r>
        <w:rPr>
          <w:rFonts w:hint="eastAsia" w:ascii="Times New Roman" w:hAnsi="Times New Roman" w:eastAsia="方正仿宋_GBK" w:cs="方正仿宋_GBK"/>
          <w:kern w:val="2"/>
          <w:sz w:val="32"/>
          <w:szCs w:val="32"/>
          <w:lang w:val="en-US" w:eastAsia="zh-CN" w:bidi="ar-SA"/>
        </w:rPr>
        <w:t>造“数据要素×”场</w:t>
      </w:r>
      <w:r>
        <w:rPr>
          <w:rFonts w:hint="default" w:ascii="Times New Roman" w:hAnsi="Times New Roman" w:eastAsia="方正仿宋_GBK" w:cs="Times New Roman"/>
          <w:kern w:val="2"/>
          <w:sz w:val="32"/>
          <w:szCs w:val="32"/>
          <w:lang w:val="en-US" w:eastAsia="zh-CN" w:bidi="ar-SA"/>
        </w:rPr>
        <w:t>景提供数据支撑。鼓励民营企业在一体化智能化公共数据平台上架能力组件，以市场化模式推广使用。</w:t>
      </w:r>
      <w:r>
        <w:rPr>
          <w:rFonts w:hint="eastAsia" w:ascii="Times New Roman" w:hAnsi="Times New Roman" w:eastAsia="方正楷体_GBK" w:cs="方正楷体_GBK"/>
          <w:kern w:val="2"/>
          <w:sz w:val="32"/>
          <w:szCs w:val="32"/>
          <w:lang w:val="en-US" w:eastAsia="zh-CN" w:bidi="ar-SA"/>
        </w:rPr>
        <w:t>（责任单位：</w:t>
      </w:r>
      <w:r>
        <w:rPr>
          <w:rFonts w:hint="eastAsia" w:ascii="Times New Roman" w:hAnsi="Times New Roman" w:eastAsia="方正楷体_GBK" w:cs="方正楷体_GBK"/>
          <w:kern w:val="2"/>
          <w:sz w:val="32"/>
          <w:szCs w:val="32"/>
          <w:highlight w:val="none"/>
          <w:lang w:val="en-US" w:eastAsia="zh-CN" w:bidi="ar-SA"/>
        </w:rPr>
        <w:t>县数建专班、</w:t>
      </w:r>
      <w:r>
        <w:rPr>
          <w:rFonts w:hint="eastAsia" w:ascii="Times New Roman" w:hAnsi="Times New Roman" w:eastAsia="方正楷体_GBK" w:cs="方正楷体_GBK"/>
          <w:kern w:val="2"/>
          <w:sz w:val="32"/>
          <w:szCs w:val="32"/>
          <w:lang w:val="en-US" w:eastAsia="zh-CN" w:bidi="ar-SA"/>
        </w:rPr>
        <w:t>县发展改革委，县级有关部门）</w:t>
      </w:r>
    </w:p>
    <w:p w14:paraId="0CB825B7">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jc w:val="both"/>
        <w:textAlignment w:val="auto"/>
        <w:rPr>
          <w:rFonts w:hint="eastAsia" w:ascii="Times New Roman" w:hAnsi="Times New Roman" w:eastAsia="方正黑体_GBK" w:cs="方正黑体_GBK"/>
          <w:kern w:val="2"/>
          <w:sz w:val="32"/>
          <w:szCs w:val="32"/>
          <w:highlight w:val="none"/>
          <w:lang w:val="en-US" w:eastAsia="zh-CN" w:bidi="ar-SA"/>
        </w:rPr>
      </w:pPr>
      <w:r>
        <w:rPr>
          <w:rFonts w:hint="eastAsia" w:ascii="Times New Roman" w:hAnsi="Times New Roman" w:eastAsia="方正黑体_GBK" w:cs="方正黑体_GBK"/>
          <w:kern w:val="2"/>
          <w:sz w:val="32"/>
          <w:szCs w:val="32"/>
          <w:highlight w:val="none"/>
          <w:lang w:val="en-US" w:eastAsia="zh-CN" w:bidi="ar-SA"/>
        </w:rPr>
        <w:t>六、促进民营经济人士健康成长</w:t>
      </w:r>
    </w:p>
    <w:p w14:paraId="53E797B6">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eastAsia"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楷体_GBK" w:cs="方正楷体_GBK"/>
          <w:kern w:val="2"/>
          <w:sz w:val="32"/>
          <w:szCs w:val="32"/>
          <w:highlight w:val="none"/>
          <w:lang w:val="en-US" w:eastAsia="zh-CN" w:bidi="ar-SA"/>
        </w:rPr>
        <w:t>（二十五）</w:t>
      </w:r>
      <w:r>
        <w:rPr>
          <w:rFonts w:hint="default" w:ascii="Times New Roman" w:hAnsi="Times New Roman" w:eastAsia="方正楷体_GBK" w:cs="方正楷体_GBK"/>
          <w:kern w:val="2"/>
          <w:sz w:val="32"/>
          <w:szCs w:val="32"/>
          <w:highlight w:val="none"/>
          <w:lang w:val="en-US" w:eastAsia="zh-CN" w:bidi="ar-SA"/>
        </w:rPr>
        <w:t>强化思想政治引领。</w:t>
      </w:r>
      <w:r>
        <w:rPr>
          <w:rFonts w:hint="default" w:ascii="Times New Roman" w:hAnsi="Times New Roman" w:eastAsia="方正仿宋_GBK" w:cs="Times New Roman"/>
          <w:kern w:val="2"/>
          <w:sz w:val="32"/>
          <w:szCs w:val="32"/>
          <w:highlight w:val="none"/>
          <w:lang w:val="en-US" w:eastAsia="zh-CN" w:bidi="ar-SA"/>
        </w:rPr>
        <w:t>推动具备建立党组织条件的民营企</w:t>
      </w:r>
      <w:r>
        <w:rPr>
          <w:rFonts w:hint="default" w:ascii="Times New Roman" w:hAnsi="Times New Roman" w:eastAsia="方正仿宋_GBK" w:cs="Times New Roman"/>
          <w:color w:val="000000"/>
          <w:kern w:val="2"/>
          <w:sz w:val="32"/>
          <w:szCs w:val="32"/>
          <w:highlight w:val="none"/>
          <w:lang w:val="en-US" w:eastAsia="zh-CN" w:bidi="ar-SA"/>
        </w:rPr>
        <w:t>业实现党的组织覆盖，对暂不具备建立党组织条件的民营企业实现党的工作全覆盖。提高民营企业党</w:t>
      </w:r>
      <w:r>
        <w:rPr>
          <w:rFonts w:hint="default" w:ascii="Times New Roman" w:hAnsi="Times New Roman" w:eastAsia="方正仿宋_GBK" w:cs="Times New Roman"/>
          <w:kern w:val="2"/>
          <w:sz w:val="32"/>
          <w:szCs w:val="32"/>
          <w:highlight w:val="none"/>
          <w:lang w:val="en-US" w:eastAsia="zh-CN" w:bidi="ar-SA"/>
        </w:rPr>
        <w:t>建工作标准化规范化水平，指导民营企业建立党建工作标准化清单</w:t>
      </w:r>
      <w:r>
        <w:rPr>
          <w:rFonts w:hint="eastAsia" w:ascii="Times New Roman" w:hAnsi="Times New Roman" w:eastAsia="方正仿宋_GBK" w:cs="方正仿宋_GBK"/>
          <w:kern w:val="2"/>
          <w:sz w:val="32"/>
          <w:szCs w:val="32"/>
          <w:highlight w:val="none"/>
          <w:lang w:val="en-US" w:eastAsia="zh-CN" w:bidi="ar-SA"/>
        </w:rPr>
        <w:t>。开展“两化一创”规范赋能，</w:t>
      </w:r>
      <w:r>
        <w:rPr>
          <w:rFonts w:hint="default" w:ascii="Times New Roman" w:hAnsi="Times New Roman" w:eastAsia="方正仿宋_GBK" w:cs="Times New Roman"/>
          <w:kern w:val="2"/>
          <w:sz w:val="32"/>
          <w:szCs w:val="32"/>
          <w:highlight w:val="none"/>
          <w:lang w:val="en-US" w:eastAsia="zh-CN" w:bidi="ar-SA"/>
        </w:rPr>
        <w:t>培育1</w:t>
      </w:r>
      <w:r>
        <w:rPr>
          <w:rFonts w:hint="eastAsia" w:ascii="Times New Roman" w:hAnsi="Times New Roman" w:eastAsia="方正仿宋_GBK" w:cs="Times New Roman"/>
          <w:kern w:val="2"/>
          <w:sz w:val="32"/>
          <w:szCs w:val="32"/>
          <w:highlight w:val="none"/>
          <w:lang w:val="en-US" w:eastAsia="zh-CN" w:bidi="ar-SA"/>
        </w:rPr>
        <w:t>-</w:t>
      </w:r>
      <w:r>
        <w:rPr>
          <w:rFonts w:hint="default" w:ascii="Times New Roman" w:hAnsi="Times New Roman" w:eastAsia="方正仿宋_GBK" w:cs="Times New Roman"/>
          <w:kern w:val="2"/>
          <w:sz w:val="32"/>
          <w:szCs w:val="32"/>
          <w:highlight w:val="none"/>
          <w:lang w:val="en-US" w:eastAsia="zh-CN" w:bidi="ar-SA"/>
        </w:rPr>
        <w:t>2个行业协会商会深化改革典型案例。加强对民营经济人士思想引导、政治培训、联系服务，鼓励民营企业家争做爱国敬业、守法经营、创业创新、回报社会的典范。</w:t>
      </w:r>
      <w:r>
        <w:rPr>
          <w:rFonts w:hint="eastAsia" w:ascii="Times New Roman" w:hAnsi="Times New Roman" w:eastAsia="方正楷体_GBK" w:cs="方正楷体_GBK"/>
          <w:kern w:val="2"/>
          <w:sz w:val="32"/>
          <w:szCs w:val="32"/>
          <w:highlight w:val="none"/>
          <w:lang w:val="en-US" w:eastAsia="zh-CN" w:bidi="ar-SA"/>
        </w:rPr>
        <w:t>（责任单位：县委统战部、县委组织部、县委社会工作部、县工商联）</w:t>
      </w:r>
    </w:p>
    <w:p w14:paraId="2174A210">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default" w:ascii="Times New Roman" w:hAnsi="Times New Roman" w:eastAsia="宋体" w:cs="Times New Roman"/>
          <w:kern w:val="2"/>
          <w:sz w:val="29"/>
          <w:szCs w:val="24"/>
          <w:highlight w:val="none"/>
          <w:lang w:val="en-US" w:eastAsia="zh-CN" w:bidi="ar-SA"/>
        </w:rPr>
      </w:pPr>
      <w:r>
        <w:rPr>
          <w:rFonts w:hint="eastAsia" w:ascii="Times New Roman" w:hAnsi="Times New Roman" w:eastAsia="方正楷体_GBK" w:cs="方正楷体_GBK"/>
          <w:kern w:val="2"/>
          <w:sz w:val="32"/>
          <w:szCs w:val="32"/>
          <w:lang w:val="en-US" w:eastAsia="zh-CN" w:bidi="ar-SA"/>
        </w:rPr>
        <w:t>（二十六）</w:t>
      </w:r>
      <w:r>
        <w:rPr>
          <w:rFonts w:hint="default" w:ascii="Times New Roman" w:hAnsi="Times New Roman" w:eastAsia="方正楷体_GBK" w:cs="方正楷体_GBK"/>
          <w:kern w:val="2"/>
          <w:sz w:val="32"/>
          <w:szCs w:val="32"/>
          <w:lang w:val="en-US" w:eastAsia="zh-CN" w:bidi="ar-SA"/>
        </w:rPr>
        <w:t>加强新时代</w:t>
      </w:r>
      <w:r>
        <w:rPr>
          <w:rFonts w:hint="eastAsia" w:ascii="Times New Roman" w:hAnsi="Times New Roman" w:eastAsia="方正楷体_GBK" w:cs="方正楷体_GBK"/>
          <w:kern w:val="2"/>
          <w:sz w:val="32"/>
          <w:szCs w:val="32"/>
          <w:lang w:val="en-US" w:eastAsia="zh-CN" w:bidi="ar-SA"/>
        </w:rPr>
        <w:t>城</w:t>
      </w:r>
      <w:r>
        <w:rPr>
          <w:rFonts w:hint="default" w:ascii="Times New Roman" w:hAnsi="Times New Roman" w:eastAsia="方正楷体_GBK" w:cs="方正楷体_GBK"/>
          <w:kern w:val="2"/>
          <w:sz w:val="32"/>
          <w:szCs w:val="32"/>
          <w:lang w:val="en-US" w:eastAsia="zh-CN" w:bidi="ar-SA"/>
        </w:rPr>
        <w:t>商培养。</w:t>
      </w:r>
      <w:r>
        <w:rPr>
          <w:rFonts w:hint="default" w:ascii="Times New Roman" w:hAnsi="Times New Roman" w:eastAsia="方正仿宋_GBK" w:cs="Times New Roman"/>
          <w:color w:val="000000"/>
          <w:kern w:val="0"/>
          <w:sz w:val="32"/>
          <w:szCs w:val="32"/>
          <w:vertAlign w:val="baseline"/>
          <w:lang w:val="en-US" w:eastAsia="zh-CN" w:bidi="ar"/>
        </w:rPr>
        <w:t>建立个体工商户分型分类精准帮扶机制，提升个体工商户发展质量。持续深化优质中小企业梯度培育工作，推动中小企业孵化生成和成长。深化民营经济人士理想信念教育，定期举办民营企业负责人主体培训班，召开民营经济高质量发展大会，</w:t>
      </w:r>
      <w:r>
        <w:rPr>
          <w:rFonts w:hint="eastAsia" w:ascii="Times New Roman" w:hAnsi="Times New Roman" w:eastAsia="方正仿宋_GBK" w:cs="Times New Roman"/>
          <w:color w:val="000000"/>
          <w:kern w:val="0"/>
          <w:sz w:val="32"/>
          <w:szCs w:val="32"/>
          <w:vertAlign w:val="baseline"/>
          <w:lang w:val="en-US" w:eastAsia="zh-CN" w:bidi="ar"/>
        </w:rPr>
        <w:t>表扬</w:t>
      </w:r>
      <w:r>
        <w:rPr>
          <w:rFonts w:hint="default" w:ascii="Times New Roman" w:hAnsi="Times New Roman" w:eastAsia="方正仿宋_GBK" w:cs="Times New Roman"/>
          <w:color w:val="000000"/>
          <w:kern w:val="0"/>
          <w:sz w:val="32"/>
          <w:szCs w:val="32"/>
          <w:vertAlign w:val="baseline"/>
          <w:lang w:val="en-US" w:eastAsia="zh-CN" w:bidi="ar"/>
        </w:rPr>
        <w:t>优秀民营企业和优秀民营企业家。推进年轻一代民营</w:t>
      </w:r>
      <w:r>
        <w:rPr>
          <w:rFonts w:hint="eastAsia" w:ascii="Times New Roman" w:hAnsi="Times New Roman" w:eastAsia="方正仿宋_GBK" w:cs="方正仿宋_GBK"/>
          <w:color w:val="000000"/>
          <w:kern w:val="0"/>
          <w:sz w:val="32"/>
          <w:szCs w:val="32"/>
          <w:vertAlign w:val="baseline"/>
          <w:lang w:val="en-US" w:eastAsia="zh-CN" w:bidi="ar"/>
        </w:rPr>
        <w:t>经济人士“十百千万”培育工程，</w:t>
      </w:r>
      <w:r>
        <w:rPr>
          <w:rFonts w:hint="default" w:ascii="Times New Roman" w:hAnsi="Times New Roman" w:eastAsia="方正仿宋_GBK" w:cs="Times New Roman"/>
          <w:color w:val="000000"/>
          <w:kern w:val="0"/>
          <w:sz w:val="32"/>
          <w:szCs w:val="32"/>
          <w:vertAlign w:val="baseline"/>
          <w:lang w:val="en-US" w:eastAsia="zh-CN" w:bidi="ar"/>
        </w:rPr>
        <w:t>加强民营经济领域人才培育</w:t>
      </w:r>
      <w:r>
        <w:rPr>
          <w:rFonts w:hint="eastAsia" w:ascii="Times New Roman" w:hAnsi="Times New Roman" w:eastAsia="方正仿宋_GBK" w:cs="Times New Roman"/>
          <w:color w:val="000000"/>
          <w:kern w:val="0"/>
          <w:sz w:val="32"/>
          <w:szCs w:val="32"/>
          <w:vertAlign w:val="baseline"/>
          <w:lang w:val="en-US" w:eastAsia="zh-CN" w:bidi="ar"/>
        </w:rPr>
        <w:t>。</w:t>
      </w:r>
      <w:r>
        <w:rPr>
          <w:rFonts w:hint="default" w:ascii="Times New Roman" w:hAnsi="Times New Roman" w:eastAsia="方正仿宋_GBK" w:cs="方正仿宋_GBK"/>
          <w:color w:val="000000"/>
          <w:kern w:val="0"/>
          <w:sz w:val="32"/>
          <w:szCs w:val="32"/>
          <w:vertAlign w:val="baseline"/>
          <w:lang w:val="en-US" w:eastAsia="zh-CN" w:bidi="ar"/>
        </w:rPr>
        <w:t>引导民营企业完善法人治理结构、规范股东行为、强化内部监督，鼓励有条件的民营企业建立现代企业制度</w:t>
      </w:r>
      <w:r>
        <w:rPr>
          <w:rFonts w:hint="eastAsia" w:ascii="Times New Roman" w:hAnsi="Times New Roman" w:eastAsia="方正仿宋_GBK" w:cs="方正仿宋_GBK"/>
          <w:color w:val="000000"/>
          <w:kern w:val="0"/>
          <w:sz w:val="32"/>
          <w:szCs w:val="32"/>
          <w:vertAlign w:val="baseline"/>
          <w:lang w:val="en-US" w:eastAsia="zh-CN" w:bidi="ar"/>
        </w:rPr>
        <w:t>。</w:t>
      </w:r>
      <w:r>
        <w:rPr>
          <w:rFonts w:hint="eastAsia" w:ascii="Times New Roman" w:hAnsi="Times New Roman" w:eastAsia="方正楷体_GBK" w:cs="方正楷体_GBK"/>
          <w:kern w:val="2"/>
          <w:sz w:val="32"/>
          <w:szCs w:val="32"/>
          <w:lang w:val="en-US" w:eastAsia="zh-CN" w:bidi="ar-SA"/>
        </w:rPr>
        <w:t>（责任单位：县工商联、县经济信息委、</w:t>
      </w:r>
      <w:r>
        <w:rPr>
          <w:rFonts w:hint="eastAsia" w:ascii="Times New Roman" w:hAnsi="Times New Roman" w:eastAsia="方正楷体_GBK" w:cs="方正楷体_GBK"/>
          <w:kern w:val="2"/>
          <w:sz w:val="32"/>
          <w:szCs w:val="32"/>
          <w:highlight w:val="none"/>
          <w:lang w:val="en-US" w:eastAsia="zh-CN" w:bidi="ar-SA"/>
        </w:rPr>
        <w:t>县市场监管局、县发展改革委）</w:t>
      </w:r>
    </w:p>
    <w:p w14:paraId="3D0E849B">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eastAsia"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（二十七）</w:t>
      </w:r>
      <w:r>
        <w:rPr>
          <w:rFonts w:hint="default" w:ascii="Times New Roman" w:hAnsi="Times New Roman" w:eastAsia="方正楷体_GBK" w:cs="方正楷体_GBK"/>
          <w:kern w:val="2"/>
          <w:sz w:val="32"/>
          <w:szCs w:val="32"/>
          <w:lang w:val="en-US" w:eastAsia="zh-CN" w:bidi="ar-SA"/>
        </w:rPr>
        <w:t>构建亲清政商关系。</w:t>
      </w:r>
      <w:r>
        <w:rPr>
          <w:rFonts w:hint="eastAsia" w:ascii="Times New Roman" w:hAnsi="Times New Roman" w:eastAsia="方正仿宋_GBK" w:cs="方正仿宋_GBK"/>
          <w:color w:val="000000"/>
          <w:kern w:val="0"/>
          <w:sz w:val="32"/>
          <w:szCs w:val="32"/>
          <w:vertAlign w:val="baseline"/>
          <w:lang w:val="en-US" w:eastAsia="zh-CN" w:bidi="ar"/>
        </w:rPr>
        <w:t>按照《重庆市</w:t>
      </w:r>
      <w:r>
        <w:rPr>
          <w:rFonts w:hint="default" w:ascii="Times New Roman" w:hAnsi="Times New Roman" w:eastAsia="方正仿宋_GBK" w:cs="Times New Roman"/>
          <w:color w:val="000000"/>
          <w:kern w:val="0"/>
          <w:sz w:val="32"/>
          <w:szCs w:val="32"/>
          <w:lang w:val="en-US" w:eastAsia="zh-CN" w:bidi="ar"/>
        </w:rPr>
        <w:t>构建亲清政商关系行为清单</w:t>
      </w:r>
      <w:r>
        <w:rPr>
          <w:rFonts w:hint="eastAsia" w:ascii="Times New Roman" w:hAnsi="Times New Roman" w:eastAsia="方正仿宋_GBK" w:cs="Times New Roman"/>
          <w:color w:val="000000"/>
          <w:kern w:val="0"/>
          <w:sz w:val="32"/>
          <w:szCs w:val="32"/>
          <w:lang w:val="en-US" w:eastAsia="zh-CN" w:bidi="ar"/>
        </w:rPr>
        <w:t>》要求</w:t>
      </w:r>
      <w:r>
        <w:rPr>
          <w:rFonts w:hint="default" w:ascii="Times New Roman" w:hAnsi="Times New Roman" w:eastAsia="方正仿宋_GBK" w:cs="Times New Roman"/>
          <w:color w:val="000000"/>
          <w:kern w:val="0"/>
          <w:sz w:val="32"/>
          <w:szCs w:val="32"/>
          <w:lang w:val="en-US" w:eastAsia="zh-CN" w:bidi="ar"/>
        </w:rPr>
        <w:t>，</w:t>
      </w:r>
      <w:r>
        <w:rPr>
          <w:rFonts w:hint="default" w:ascii="Times New Roman" w:hAnsi="Times New Roman" w:eastAsia="方正仿宋_GBK" w:cs="Times New Roman"/>
          <w:color w:val="000000"/>
          <w:kern w:val="0"/>
          <w:sz w:val="32"/>
          <w:szCs w:val="32"/>
          <w:vertAlign w:val="baseline"/>
          <w:lang w:val="en-US" w:eastAsia="zh-CN" w:bidi="ar"/>
        </w:rPr>
        <w:t>规范有序开展政商面对面活动</w:t>
      </w:r>
      <w:r>
        <w:rPr>
          <w:rFonts w:hint="default" w:ascii="Times New Roman" w:hAnsi="Times New Roman" w:eastAsia="方正仿宋_GBK" w:cs="Times New Roman"/>
          <w:color w:val="000000"/>
          <w:kern w:val="0"/>
          <w:sz w:val="32"/>
          <w:szCs w:val="32"/>
          <w:lang w:val="en-US" w:eastAsia="zh-CN" w:bidi="ar"/>
        </w:rPr>
        <w:t>。推进清廉重庆建设提质扩面，健全完善清廉单元建设干部领衔、联建联创工作机制，从严查处滥用职权、玩忽职守、权力寻租、吃拿卡要等影响民营经济发展的腐败和作风问题，积极营造风清气正的营商环境。持续推动清廉民企建设，推动商会企业开展清廉自律活动，推动清廉思想、清廉制度、清廉文化融入民营企业发展。</w:t>
      </w:r>
      <w:r>
        <w:rPr>
          <w:rFonts w:hint="eastAsia" w:ascii="Times New Roman" w:hAnsi="Times New Roman" w:eastAsia="方正仿宋_GBK" w:cs="Times New Roman"/>
          <w:color w:val="000000"/>
          <w:kern w:val="0"/>
          <w:sz w:val="32"/>
          <w:szCs w:val="32"/>
          <w:lang w:val="en-US" w:eastAsia="zh-CN" w:bidi="ar"/>
        </w:rPr>
        <w:t>（</w:t>
      </w:r>
      <w:r>
        <w:rPr>
          <w:rFonts w:hint="eastAsia" w:ascii="Times New Roman" w:hAnsi="Times New Roman" w:eastAsia="方正楷体_GBK" w:cs="方正楷体_GBK"/>
          <w:kern w:val="2"/>
          <w:sz w:val="32"/>
          <w:szCs w:val="32"/>
          <w:lang w:val="en-US" w:eastAsia="zh-CN" w:bidi="ar-SA"/>
        </w:rPr>
        <w:t>责任单位：县委统战部、县工商联、县纪委监委机关</w:t>
      </w:r>
      <w:r>
        <w:rPr>
          <w:rFonts w:hint="eastAsia" w:ascii="Times New Roman" w:hAnsi="Times New Roman" w:eastAsia="方正仿宋_GBK" w:cs="Times New Roman"/>
          <w:color w:val="000000"/>
          <w:kern w:val="0"/>
          <w:sz w:val="32"/>
          <w:szCs w:val="32"/>
          <w:lang w:val="en-US" w:eastAsia="zh-CN" w:bidi="ar"/>
        </w:rPr>
        <w:t>）</w:t>
      </w:r>
    </w:p>
    <w:p w14:paraId="37DC234A">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（二十八）加强宣传引导。</w:t>
      </w:r>
      <w:r>
        <w:rPr>
          <w:rFonts w:hint="default" w:ascii="Times New Roman" w:hAnsi="Times New Roman" w:eastAsia="方正仿宋_GBK" w:cs="Times New Roman"/>
          <w:color w:val="000000"/>
          <w:kern w:val="0"/>
          <w:sz w:val="32"/>
          <w:szCs w:val="32"/>
          <w:lang w:val="en-US" w:eastAsia="zh-CN" w:bidi="ar"/>
        </w:rPr>
        <w:t>引导全社会客观正确全面认识民营经济和民营经济人士，把握好正确舆论导向氛围。开</w:t>
      </w:r>
      <w:r>
        <w:rPr>
          <w:rFonts w:hint="eastAsia" w:ascii="Times New Roman" w:hAnsi="Times New Roman" w:eastAsia="方正仿宋_GBK" w:cs="Times New Roman"/>
          <w:color w:val="000000"/>
          <w:kern w:val="0"/>
          <w:sz w:val="32"/>
          <w:szCs w:val="32"/>
          <w:lang w:val="en-US" w:eastAsia="zh-CN" w:bidi="ar"/>
        </w:rPr>
        <w:t>展“支持民营经济高质量发展”主题宣</w:t>
      </w:r>
      <w:r>
        <w:rPr>
          <w:rFonts w:hint="default" w:ascii="Times New Roman" w:hAnsi="Times New Roman" w:eastAsia="方正仿宋_GBK" w:cs="Times New Roman"/>
          <w:color w:val="000000"/>
          <w:kern w:val="0"/>
          <w:sz w:val="32"/>
          <w:szCs w:val="32"/>
          <w:lang w:val="en-US" w:eastAsia="zh-CN" w:bidi="ar"/>
        </w:rPr>
        <w:t>传，营造创新创业良好环境。大力</w:t>
      </w:r>
      <w:r>
        <w:rPr>
          <w:rFonts w:hint="eastAsia" w:ascii="Times New Roman" w:hAnsi="Times New Roman" w:eastAsia="方正仿宋_GBK" w:cs="Times New Roman"/>
          <w:color w:val="000000"/>
          <w:kern w:val="0"/>
          <w:sz w:val="32"/>
          <w:szCs w:val="32"/>
          <w:lang w:val="en-US" w:eastAsia="zh-CN" w:bidi="ar"/>
        </w:rPr>
        <w:t>推进“清朗”系列专</w:t>
      </w:r>
      <w:r>
        <w:rPr>
          <w:rFonts w:hint="default" w:ascii="Times New Roman" w:hAnsi="Times New Roman" w:eastAsia="方正仿宋_GBK" w:cs="Times New Roman"/>
          <w:color w:val="000000"/>
          <w:kern w:val="0"/>
          <w:sz w:val="32"/>
          <w:szCs w:val="32"/>
          <w:lang w:val="en-US" w:eastAsia="zh-CN" w:bidi="ar"/>
        </w:rPr>
        <w:t>项行动，设置乡镇（街道）营商环境观察员</w:t>
      </w:r>
      <w:r>
        <w:rPr>
          <w:rFonts w:hint="eastAsia" w:ascii="Times New Roman" w:hAnsi="Times New Roman" w:eastAsia="方正仿宋_GBK" w:cs="Times New Roman"/>
          <w:color w:val="000000"/>
          <w:kern w:val="0"/>
          <w:sz w:val="32"/>
          <w:szCs w:val="32"/>
          <w:lang w:val="en-US" w:eastAsia="zh-CN" w:bidi="ar"/>
        </w:rPr>
        <w:t>，不定期</w:t>
      </w:r>
      <w:r>
        <w:rPr>
          <w:rFonts w:hint="default" w:ascii="Times New Roman" w:hAnsi="Times New Roman" w:eastAsia="方正仿宋_GBK" w:cs="Times New Roman"/>
          <w:color w:val="000000"/>
          <w:kern w:val="0"/>
          <w:sz w:val="32"/>
          <w:szCs w:val="32"/>
          <w:lang w:val="en-US" w:eastAsia="zh-CN" w:bidi="ar"/>
        </w:rPr>
        <w:t>跟踪问效</w:t>
      </w:r>
      <w:r>
        <w:rPr>
          <w:rFonts w:hint="eastAsia" w:ascii="Times New Roman" w:hAnsi="Times New Roman" w:eastAsia="方正仿宋_GBK" w:cs="Times New Roman"/>
          <w:color w:val="000000"/>
          <w:kern w:val="0"/>
          <w:sz w:val="32"/>
          <w:szCs w:val="32"/>
          <w:lang w:val="en-US" w:eastAsia="zh-CN" w:bidi="ar"/>
        </w:rPr>
        <w:t>，</w:t>
      </w:r>
      <w:r>
        <w:rPr>
          <w:rFonts w:hint="default" w:ascii="Times New Roman" w:hAnsi="Times New Roman" w:eastAsia="方正仿宋_GBK" w:cs="Times New Roman"/>
          <w:color w:val="000000"/>
          <w:kern w:val="0"/>
          <w:sz w:val="32"/>
          <w:szCs w:val="32"/>
          <w:lang w:val="en-US" w:eastAsia="zh-CN" w:bidi="ar"/>
        </w:rPr>
        <w:t>营造清朗舆论</w:t>
      </w:r>
      <w:r>
        <w:rPr>
          <w:rFonts w:hint="eastAsia" w:ascii="Times New Roman" w:hAnsi="Times New Roman" w:eastAsia="方正仿宋_GBK" w:cs="Times New Roman"/>
          <w:color w:val="000000"/>
          <w:kern w:val="0"/>
          <w:sz w:val="32"/>
          <w:szCs w:val="32"/>
          <w:lang w:val="en-US" w:eastAsia="zh-CN" w:bidi="ar"/>
        </w:rPr>
        <w:t>。（</w:t>
      </w:r>
      <w:r>
        <w:rPr>
          <w:rFonts w:hint="eastAsia" w:ascii="Times New Roman" w:hAnsi="Times New Roman" w:eastAsia="方正楷体_GBK" w:cs="方正楷体_GBK"/>
          <w:kern w:val="2"/>
          <w:sz w:val="32"/>
          <w:szCs w:val="32"/>
          <w:lang w:val="en-US" w:eastAsia="zh-CN" w:bidi="ar-SA"/>
        </w:rPr>
        <w:t>责任单位：县委统战部、县委宣传部、</w:t>
      </w:r>
      <w:r>
        <w:rPr>
          <w:rFonts w:hint="eastAsia" w:ascii="Times New Roman" w:hAnsi="Times New Roman" w:eastAsia="方正楷体_GBK" w:cs="方正楷体_GBK"/>
          <w:kern w:val="2"/>
          <w:sz w:val="32"/>
          <w:szCs w:val="32"/>
          <w:highlight w:val="none"/>
          <w:lang w:val="en-US" w:eastAsia="zh-CN" w:bidi="ar-SA"/>
        </w:rPr>
        <w:t>县网信中心</w:t>
      </w:r>
      <w:r>
        <w:rPr>
          <w:rFonts w:hint="eastAsia" w:ascii="Times New Roman" w:hAnsi="Times New Roman" w:eastAsia="方正楷体_GBK" w:cs="方正楷体_GBK"/>
          <w:kern w:val="2"/>
          <w:sz w:val="32"/>
          <w:szCs w:val="32"/>
          <w:lang w:val="en-US" w:eastAsia="zh-CN" w:bidi="ar-SA"/>
        </w:rPr>
        <w:t>、县工商联、县发展改革委</w:t>
      </w:r>
      <w:r>
        <w:rPr>
          <w:rFonts w:hint="eastAsia" w:ascii="Times New Roman" w:hAnsi="Times New Roman" w:eastAsia="方正仿宋_GBK" w:cs="Times New Roman"/>
          <w:color w:val="000000"/>
          <w:kern w:val="0"/>
          <w:sz w:val="32"/>
          <w:szCs w:val="32"/>
          <w:lang w:val="en-US" w:eastAsia="zh-CN" w:bidi="ar"/>
        </w:rPr>
        <w:t>）</w:t>
      </w:r>
    </w:p>
    <w:p w14:paraId="4E0FE9CD">
      <w:pPr>
        <w:keepNext w:val="0"/>
        <w:keepLines w:val="0"/>
        <w:pageBreakBefore w:val="0"/>
        <w:widowControl w:val="0"/>
        <w:numPr>
          <w:ilvl w:val="0"/>
          <w:numId w:val="0"/>
        </w:numPr>
        <w:kinsoku/>
        <w:wordWrap/>
        <w:overflowPunct/>
        <w:topLinePunct w:val="0"/>
        <w:autoSpaceDE/>
        <w:autoSpaceDN/>
        <w:bidi w:val="0"/>
        <w:adjustRightInd/>
        <w:snapToGrid/>
        <w:spacing w:after="0" w:afterLines="0" w:line="579" w:lineRule="exact"/>
        <w:ind w:left="0" w:leftChars="0" w:firstLine="640" w:firstLineChars="200"/>
        <w:jc w:val="both"/>
        <w:textAlignment w:val="auto"/>
        <w:rPr>
          <w:rFonts w:hint="eastAsia" w:ascii="Times New Roman" w:hAnsi="Times New Roman" w:eastAsia="方正仿宋_GBK" w:cs="Times New Roman"/>
          <w:color w:val="000000"/>
          <w:kern w:val="0"/>
          <w:sz w:val="32"/>
          <w:szCs w:val="32"/>
          <w:lang w:val="en-US" w:eastAsia="zh-CN" w:bidi="ar"/>
        </w:rPr>
      </w:pPr>
      <w:r>
        <w:rPr>
          <w:rFonts w:hint="eastAsia" w:ascii="Times New Roman" w:hAnsi="Times New Roman" w:eastAsia="方正楷体_GBK" w:cs="方正楷体_GBK"/>
          <w:kern w:val="2"/>
          <w:sz w:val="32"/>
          <w:szCs w:val="32"/>
          <w:lang w:val="en-US" w:eastAsia="zh-CN" w:bidi="ar-SA"/>
        </w:rPr>
        <w:t>（二十九）</w:t>
      </w:r>
      <w:r>
        <w:rPr>
          <w:rFonts w:hint="default" w:ascii="Times New Roman" w:hAnsi="Times New Roman" w:eastAsia="方正楷体_GBK" w:cs="方正楷体_GBK"/>
          <w:kern w:val="2"/>
          <w:sz w:val="32"/>
          <w:szCs w:val="32"/>
          <w:lang w:val="en-US" w:eastAsia="zh-CN" w:bidi="ar-SA"/>
        </w:rPr>
        <w:t>加强组织保障。</w:t>
      </w:r>
      <w:r>
        <w:rPr>
          <w:rFonts w:hint="default" w:ascii="Times New Roman" w:hAnsi="Times New Roman" w:eastAsia="方正仿宋_GBK" w:cs="Times New Roman"/>
          <w:color w:val="000000"/>
          <w:kern w:val="0"/>
          <w:sz w:val="32"/>
          <w:szCs w:val="32"/>
          <w:highlight w:val="none"/>
          <w:lang w:val="en-US" w:eastAsia="zh-CN" w:bidi="ar"/>
        </w:rPr>
        <w:t>建立支持民营经济高质量发展工作协调机制，县发展改革委牵头抓总，</w:t>
      </w:r>
      <w:r>
        <w:rPr>
          <w:rFonts w:hint="default" w:ascii="Times New Roman" w:hAnsi="Times New Roman" w:eastAsia="方正仿宋_GBK" w:cs="Times New Roman"/>
          <w:color w:val="000000"/>
          <w:kern w:val="0"/>
          <w:sz w:val="32"/>
          <w:szCs w:val="32"/>
          <w:highlight w:val="none"/>
          <w:vertAlign w:val="baseline"/>
          <w:lang w:val="en-US" w:eastAsia="zh-CN" w:bidi="ar"/>
        </w:rPr>
        <w:t>分解任务、持续调度、定期评估、统筹推进</w:t>
      </w:r>
      <w:r>
        <w:rPr>
          <w:rFonts w:hint="default" w:ascii="Times New Roman" w:hAnsi="Times New Roman" w:eastAsia="方正仿宋_GBK" w:cs="Times New Roman"/>
          <w:color w:val="000000"/>
          <w:kern w:val="0"/>
          <w:sz w:val="32"/>
          <w:szCs w:val="32"/>
          <w:highlight w:val="none"/>
          <w:lang w:val="en-US" w:eastAsia="zh-CN" w:bidi="ar"/>
        </w:rPr>
        <w:t>。</w:t>
      </w:r>
      <w:r>
        <w:rPr>
          <w:rFonts w:hint="eastAsia" w:ascii="Times New Roman" w:hAnsi="Times New Roman" w:eastAsia="方正仿宋_GBK" w:cs="Times New Roman"/>
          <w:color w:val="000000"/>
          <w:kern w:val="0"/>
          <w:sz w:val="32"/>
          <w:szCs w:val="32"/>
          <w:highlight w:val="none"/>
          <w:lang w:val="en-US" w:eastAsia="zh-CN" w:bidi="ar"/>
        </w:rPr>
        <w:t>县级</w:t>
      </w:r>
      <w:r>
        <w:rPr>
          <w:rFonts w:hint="default" w:ascii="Times New Roman" w:hAnsi="Times New Roman" w:eastAsia="方正仿宋_GBK" w:cs="Times New Roman"/>
          <w:color w:val="000000"/>
          <w:kern w:val="0"/>
          <w:sz w:val="32"/>
          <w:szCs w:val="32"/>
          <w:highlight w:val="none"/>
          <w:lang w:val="en-US" w:eastAsia="zh-CN" w:bidi="ar"/>
        </w:rPr>
        <w:t>有关部门要细化工作举措，强化协作配合，加强政策解读、政策兑现，围绕经营主体需求及时迭代升级支持政策</w:t>
      </w:r>
      <w:r>
        <w:rPr>
          <w:rFonts w:hint="eastAsia" w:ascii="Times New Roman" w:hAnsi="Times New Roman" w:eastAsia="方正仿宋_GBK" w:cs="Times New Roman"/>
          <w:color w:val="000000"/>
          <w:kern w:val="0"/>
          <w:sz w:val="32"/>
          <w:szCs w:val="32"/>
          <w:highlight w:val="none"/>
          <w:lang w:val="en-US" w:eastAsia="zh-CN" w:bidi="ar"/>
        </w:rPr>
        <w:t>，定期推送至县发展改革委更新动态涉企政策库</w:t>
      </w:r>
      <w:r>
        <w:rPr>
          <w:rFonts w:hint="eastAsia" w:ascii="Times New Roman" w:hAnsi="Times New Roman" w:eastAsia="方正仿宋_GBK" w:cs="Times New Roman"/>
          <w:color w:val="000000"/>
          <w:kern w:val="2"/>
          <w:sz w:val="24"/>
          <w:szCs w:val="24"/>
          <w:lang w:val="en-US" w:eastAsia="zh-CN" w:bidi="ar-SA"/>
        </w:rPr>
        <w:t>。</w:t>
      </w:r>
      <w:r>
        <w:rPr>
          <w:rFonts w:hint="default" w:ascii="Times New Roman" w:hAnsi="Times New Roman" w:eastAsia="方正仿宋_GBK" w:cs="Times New Roman"/>
          <w:color w:val="000000"/>
          <w:kern w:val="0"/>
          <w:sz w:val="32"/>
          <w:szCs w:val="32"/>
          <w:highlight w:val="none"/>
          <w:lang w:val="en-US" w:eastAsia="zh-CN" w:bidi="ar"/>
        </w:rPr>
        <w:t>要压实工作责任，创新工作方式，加强对经营主体的主动沟通和服务，确保工作任务落实落细。</w:t>
      </w:r>
      <w:r>
        <w:rPr>
          <w:rFonts w:hint="eastAsia" w:ascii="Times New Roman" w:hAnsi="Times New Roman" w:eastAsia="方正仿宋_GBK" w:cs="Times New Roman"/>
          <w:color w:val="000000"/>
          <w:kern w:val="0"/>
          <w:sz w:val="32"/>
          <w:szCs w:val="32"/>
          <w:lang w:val="en-US" w:eastAsia="zh-CN" w:bidi="ar"/>
        </w:rPr>
        <w:t>（</w:t>
      </w:r>
      <w:r>
        <w:rPr>
          <w:rFonts w:hint="eastAsia" w:ascii="Times New Roman" w:hAnsi="Times New Roman" w:eastAsia="方正楷体_GBK" w:cs="方正楷体_GBK"/>
          <w:kern w:val="2"/>
          <w:sz w:val="32"/>
          <w:szCs w:val="32"/>
          <w:lang w:val="en-US" w:eastAsia="zh-CN" w:bidi="ar-SA"/>
        </w:rPr>
        <w:t>责任单位：县发展改革委，县级有关部门</w:t>
      </w:r>
      <w:r>
        <w:rPr>
          <w:rFonts w:hint="eastAsia" w:ascii="Times New Roman" w:hAnsi="Times New Roman" w:eastAsia="方正仿宋_GBK" w:cs="Times New Roman"/>
          <w:color w:val="000000"/>
          <w:kern w:val="0"/>
          <w:sz w:val="32"/>
          <w:szCs w:val="32"/>
          <w:lang w:val="en-US" w:eastAsia="zh-CN" w:bidi="ar"/>
        </w:rPr>
        <w:t>）</w:t>
      </w:r>
    </w:p>
    <w:p w14:paraId="5A5FE55A">
      <w:pPr>
        <w:pStyle w:val="3"/>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eastAsia" w:ascii="Times New Roman" w:hAnsi="Times New Roman" w:eastAsia="方正仿宋_GBK" w:cs="Times New Roman"/>
          <w:color w:val="000000"/>
          <w:kern w:val="0"/>
          <w:sz w:val="32"/>
          <w:szCs w:val="32"/>
          <w:lang w:val="en-US" w:eastAsia="zh-CN" w:bidi="ar"/>
        </w:rPr>
      </w:pPr>
      <w:r>
        <w:rPr>
          <w:rFonts w:hint="default" w:ascii="Times New Roman" w:hAnsi="Times New Roman" w:eastAsia="方正仿宋_GBK" w:cs="Times New Roman"/>
          <w:color w:val="000000"/>
          <w:kern w:val="0"/>
          <w:sz w:val="32"/>
          <w:szCs w:val="32"/>
          <w:highlight w:val="none"/>
          <w:lang w:val="en-US" w:eastAsia="zh-CN" w:bidi="ar"/>
        </w:rPr>
        <w:t>本文件自发布之日起执行，《城口县人民政府办公室关于印发〈支持民营经济发展若干政策措施〉的通知》（城府办发〔2022〕71号），《城口县人民政府办公室关于印发〈城口县进一步支持市场主体发展推动经济企稳恢复提振政策措施〉的通知》（城府办发〔2023〕67号），同时废止。有关部门根据本文件可制定相关的实施细则，同时负责解释落实。</w:t>
      </w:r>
    </w:p>
    <w:p w14:paraId="7B7FA2FA">
      <w:pPr>
        <w:keepNext w:val="0"/>
        <w:keepLines w:val="0"/>
        <w:pageBreakBefore w:val="0"/>
        <w:widowControl/>
        <w:suppressLineNumbers w:val="0"/>
        <w:kinsoku/>
        <w:wordWrap/>
        <w:overflowPunct/>
        <w:topLinePunct w:val="0"/>
        <w:autoSpaceDE/>
        <w:autoSpaceDN/>
        <w:bidi w:val="0"/>
        <w:adjustRightInd/>
        <w:snapToGrid/>
        <w:spacing w:line="579" w:lineRule="exact"/>
        <w:ind w:left="0" w:leftChars="0" w:firstLine="640" w:firstLineChars="200"/>
        <w:jc w:val="both"/>
        <w:textAlignment w:val="auto"/>
        <w:rPr>
          <w:rFonts w:hint="eastAsia" w:ascii="Times New Roman" w:hAnsi="Times New Roman" w:eastAsia="方正仿宋_GBK" w:cs="Times New Roman"/>
          <w:color w:val="000000"/>
          <w:kern w:val="0"/>
          <w:sz w:val="32"/>
          <w:szCs w:val="32"/>
          <w:highlight w:val="none"/>
          <w:lang w:val="en-US" w:eastAsia="zh-CN" w:bidi="ar"/>
        </w:rPr>
      </w:pPr>
      <w:r>
        <w:rPr>
          <w:rFonts w:hint="eastAsia" w:ascii="Times New Roman" w:hAnsi="Times New Roman" w:eastAsia="方正仿宋_GBK" w:cs="Times New Roman"/>
          <w:color w:val="000000"/>
          <w:kern w:val="0"/>
          <w:sz w:val="32"/>
          <w:szCs w:val="32"/>
          <w:highlight w:val="none"/>
          <w:lang w:val="en-US" w:eastAsia="zh-CN" w:bidi="ar"/>
        </w:rPr>
        <w:t>附件：城口县支持民营经济高质量发展若干措施任务分解表</w:t>
      </w:r>
    </w:p>
    <w:p w14:paraId="70013E5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kern w:val="0"/>
          <w:sz w:val="32"/>
          <w:szCs w:val="32"/>
          <w:highlight w:val="none"/>
          <w:lang w:val="en-US" w:eastAsia="zh-CN" w:bidi="ar"/>
        </w:rPr>
        <w:sectPr>
          <w:headerReference r:id="rId5" w:type="default"/>
          <w:footerReference r:id="rId7" w:type="default"/>
          <w:headerReference r:id="rId6" w:type="even"/>
          <w:footerReference r:id="rId8" w:type="even"/>
          <w:type w:val="oddPage"/>
          <w:pgSz w:w="11906" w:h="16838"/>
          <w:pgMar w:top="2098" w:right="1474" w:bottom="1985" w:left="1588" w:header="851" w:footer="992" w:gutter="0"/>
          <w:pgNumType w:start="1"/>
          <w:cols w:space="720" w:num="1"/>
          <w:docGrid w:type="linesAndChars" w:linePitch="312" w:charSpace="0"/>
        </w:sectPr>
      </w:pPr>
    </w:p>
    <w:p w14:paraId="4C7C020E">
      <w:pPr>
        <w:keepNext w:val="0"/>
        <w:keepLines w:val="0"/>
        <w:pageBreakBefore w:val="0"/>
        <w:widowControl/>
        <w:suppressLineNumbers w:val="0"/>
        <w:kinsoku/>
        <w:wordWrap/>
        <w:overflowPunct/>
        <w:topLinePunct w:val="0"/>
        <w:autoSpaceDE/>
        <w:autoSpaceDN/>
        <w:bidi w:val="0"/>
        <w:adjustRightInd/>
        <w:snapToGrid/>
        <w:spacing w:line="579" w:lineRule="exact"/>
        <w:ind w:firstLine="0" w:firstLineChars="0"/>
        <w:jc w:val="both"/>
        <w:textAlignment w:val="auto"/>
        <w:rPr>
          <w:rFonts w:hint="default" w:ascii="Times New Roman" w:hAnsi="Times New Roman" w:eastAsia="方正黑体_GBK" w:cs="方正黑体_GBK"/>
          <w:color w:val="000000"/>
          <w:kern w:val="0"/>
          <w:sz w:val="28"/>
          <w:szCs w:val="28"/>
          <w:lang w:val="en-US" w:eastAsia="zh-CN" w:bidi="ar"/>
        </w:rPr>
      </w:pPr>
      <w:r>
        <w:rPr>
          <w:rFonts w:hint="eastAsia" w:ascii="Times New Roman" w:hAnsi="Times New Roman" w:eastAsia="方正黑体_GBK" w:cs="方正黑体_GBK"/>
          <w:color w:val="000000"/>
          <w:kern w:val="0"/>
          <w:sz w:val="32"/>
          <w:szCs w:val="32"/>
          <w:lang w:val="en-US" w:eastAsia="zh-CN" w:bidi="ar"/>
        </w:rPr>
        <w:t>附件</w:t>
      </w:r>
    </w:p>
    <w:p w14:paraId="3ED5AC05">
      <w:pPr>
        <w:keepNext w:val="0"/>
        <w:keepLines w:val="0"/>
        <w:pageBreakBefore w:val="0"/>
        <w:widowControl w:val="0"/>
        <w:kinsoku/>
        <w:wordWrap/>
        <w:overflowPunct/>
        <w:topLinePunct w:val="0"/>
        <w:autoSpaceDE/>
        <w:autoSpaceDN/>
        <w:bidi w:val="0"/>
        <w:adjustRightInd/>
        <w:snapToGrid/>
        <w:spacing w:line="579" w:lineRule="exact"/>
        <w:ind w:left="0" w:leftChars="0" w:right="0" w:rightChars="0" w:firstLine="0" w:firstLineChars="0"/>
        <w:jc w:val="center"/>
        <w:textAlignment w:val="auto"/>
        <w:outlineLvl w:val="9"/>
        <w:rPr>
          <w:rFonts w:hint="eastAsia" w:ascii="Times New Roman" w:hAnsi="Times New Roman" w:eastAsia="方正小标宋_GBK" w:cs="方正小标宋_GBK"/>
          <w:spacing w:val="20"/>
          <w:sz w:val="44"/>
          <w:szCs w:val="44"/>
          <w:lang w:val="en-US" w:eastAsia="zh-CN"/>
        </w:rPr>
      </w:pPr>
    </w:p>
    <w:p w14:paraId="2E31078A">
      <w:pPr>
        <w:keepNext w:val="0"/>
        <w:keepLines w:val="0"/>
        <w:pageBreakBefore w:val="0"/>
        <w:widowControl w:val="0"/>
        <w:kinsoku/>
        <w:wordWrap/>
        <w:overflowPunct/>
        <w:topLinePunct w:val="0"/>
        <w:autoSpaceDE/>
        <w:autoSpaceDN/>
        <w:bidi w:val="0"/>
        <w:adjustRightInd/>
        <w:snapToGrid/>
        <w:spacing w:line="579" w:lineRule="exact"/>
        <w:ind w:left="0" w:leftChars="0" w:right="0" w:rightChars="0" w:firstLine="0" w:firstLineChars="0"/>
        <w:jc w:val="center"/>
        <w:textAlignment w:val="auto"/>
        <w:outlineLvl w:val="9"/>
        <w:rPr>
          <w:rFonts w:hint="default" w:ascii="Times New Roman" w:hAnsi="Times New Roman"/>
          <w:lang w:val="en-US" w:eastAsia="zh-CN"/>
        </w:rPr>
      </w:pPr>
      <w:r>
        <w:rPr>
          <w:rFonts w:hint="eastAsia" w:ascii="Times New Roman" w:hAnsi="Times New Roman" w:eastAsia="方正小标宋_GBK" w:cs="方正小标宋_GBK"/>
          <w:spacing w:val="20"/>
          <w:sz w:val="44"/>
          <w:szCs w:val="44"/>
          <w:lang w:val="en-US" w:eastAsia="zh-CN"/>
        </w:rPr>
        <w:t>城口县支持</w:t>
      </w:r>
      <w:r>
        <w:rPr>
          <w:rFonts w:ascii="Times New Roman" w:hAnsi="Times New Roman" w:eastAsia="方正小标宋_GBK" w:cs="方正小标宋_GBK"/>
          <w:i w:val="0"/>
          <w:iCs w:val="0"/>
          <w:caps w:val="0"/>
          <w:color w:val="333333"/>
          <w:spacing w:val="20"/>
          <w:sz w:val="44"/>
          <w:szCs w:val="44"/>
          <w:shd w:val="clear" w:color="auto" w:fill="FFFFFF"/>
        </w:rPr>
        <w:t>民营经济</w:t>
      </w:r>
      <w:r>
        <w:rPr>
          <w:rFonts w:hint="eastAsia" w:ascii="Times New Roman" w:hAnsi="Times New Roman" w:eastAsia="方正小标宋_GBK" w:cs="方正小标宋_GBK"/>
          <w:i w:val="0"/>
          <w:iCs w:val="0"/>
          <w:caps w:val="0"/>
          <w:color w:val="333333"/>
          <w:spacing w:val="20"/>
          <w:sz w:val="44"/>
          <w:szCs w:val="44"/>
          <w:shd w:val="clear" w:color="auto" w:fill="FFFFFF"/>
          <w:lang w:eastAsia="zh-CN"/>
        </w:rPr>
        <w:t>高质量</w:t>
      </w:r>
      <w:r>
        <w:rPr>
          <w:rFonts w:ascii="Times New Roman" w:hAnsi="Times New Roman" w:eastAsia="方正小标宋_GBK" w:cs="方正小标宋_GBK"/>
          <w:i w:val="0"/>
          <w:iCs w:val="0"/>
          <w:caps w:val="0"/>
          <w:color w:val="333333"/>
          <w:spacing w:val="20"/>
          <w:sz w:val="44"/>
          <w:szCs w:val="44"/>
          <w:shd w:val="clear" w:color="auto" w:fill="FFFFFF"/>
        </w:rPr>
        <w:t>发展若干措施</w:t>
      </w:r>
      <w:r>
        <w:rPr>
          <w:rFonts w:hint="eastAsia" w:ascii="Times New Roman" w:hAnsi="Times New Roman" w:eastAsia="方正小标宋_GBK" w:cs="方正小标宋_GBK"/>
          <w:i w:val="0"/>
          <w:iCs w:val="0"/>
          <w:caps w:val="0"/>
          <w:color w:val="333333"/>
          <w:spacing w:val="20"/>
          <w:sz w:val="44"/>
          <w:szCs w:val="44"/>
          <w:shd w:val="clear" w:color="auto" w:fill="FFFFFF"/>
          <w:lang w:eastAsia="zh-CN"/>
        </w:rPr>
        <w:t>任务分解表</w:t>
      </w:r>
    </w:p>
    <w:tbl>
      <w:tblPr>
        <w:tblStyle w:val="33"/>
        <w:tblW w:w="15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298"/>
        <w:gridCol w:w="5686"/>
        <w:gridCol w:w="1719"/>
        <w:gridCol w:w="967"/>
        <w:gridCol w:w="1654"/>
        <w:gridCol w:w="2888"/>
      </w:tblGrid>
      <w:tr w14:paraId="7BCE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827" w:type="dxa"/>
            <w:noWrap w:val="0"/>
            <w:vAlign w:val="center"/>
          </w:tcPr>
          <w:p w14:paraId="656974F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方正黑体_GBK" w:cs="方正黑体_GBK"/>
                <w:color w:val="000000"/>
                <w:kern w:val="0"/>
                <w:sz w:val="24"/>
                <w:szCs w:val="24"/>
                <w:highlight w:val="none"/>
                <w:vertAlign w:val="baseline"/>
                <w:lang w:val="en-US" w:eastAsia="zh-CN" w:bidi="ar"/>
              </w:rPr>
            </w:pPr>
            <w:r>
              <w:rPr>
                <w:rFonts w:hint="eastAsia" w:ascii="Times New Roman" w:hAnsi="Times New Roman" w:eastAsia="方正黑体_GBK" w:cs="方正黑体_GBK"/>
                <w:color w:val="000000"/>
                <w:kern w:val="0"/>
                <w:sz w:val="24"/>
                <w:szCs w:val="24"/>
                <w:highlight w:val="none"/>
                <w:vertAlign w:val="baseline"/>
                <w:lang w:val="en-US" w:eastAsia="zh-CN" w:bidi="ar"/>
              </w:rPr>
              <w:t>序号</w:t>
            </w:r>
          </w:p>
        </w:tc>
        <w:tc>
          <w:tcPr>
            <w:tcW w:w="1298" w:type="dxa"/>
            <w:noWrap w:val="0"/>
            <w:vAlign w:val="center"/>
          </w:tcPr>
          <w:p w14:paraId="4B9EE69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方正黑体_GBK" w:cs="方正黑体_GBK"/>
                <w:color w:val="000000"/>
                <w:kern w:val="0"/>
                <w:sz w:val="24"/>
                <w:szCs w:val="24"/>
                <w:highlight w:val="none"/>
                <w:vertAlign w:val="baseline"/>
                <w:lang w:val="en-US" w:eastAsia="zh-CN" w:bidi="ar"/>
              </w:rPr>
            </w:pPr>
            <w:r>
              <w:rPr>
                <w:rFonts w:hint="eastAsia" w:ascii="Times New Roman" w:hAnsi="Times New Roman" w:eastAsia="方正黑体_GBK" w:cs="方正黑体_GBK"/>
                <w:color w:val="000000"/>
                <w:kern w:val="0"/>
                <w:sz w:val="24"/>
                <w:szCs w:val="24"/>
                <w:highlight w:val="none"/>
                <w:vertAlign w:val="baseline"/>
                <w:lang w:val="en-US" w:eastAsia="zh-CN" w:bidi="ar"/>
              </w:rPr>
              <w:t>政策类型</w:t>
            </w:r>
          </w:p>
        </w:tc>
        <w:tc>
          <w:tcPr>
            <w:tcW w:w="5686" w:type="dxa"/>
            <w:noWrap w:val="0"/>
            <w:vAlign w:val="center"/>
          </w:tcPr>
          <w:p w14:paraId="214B4C1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黑体_GBK" w:cs="方正黑体_GBK"/>
                <w:color w:val="000000"/>
                <w:kern w:val="0"/>
                <w:sz w:val="24"/>
                <w:szCs w:val="24"/>
                <w:highlight w:val="none"/>
                <w:vertAlign w:val="baseline"/>
                <w:lang w:val="en-US" w:eastAsia="zh-CN" w:bidi="ar"/>
              </w:rPr>
            </w:pPr>
            <w:r>
              <w:rPr>
                <w:rFonts w:hint="default" w:ascii="Times New Roman" w:hAnsi="Times New Roman" w:eastAsia="方正黑体_GBK" w:cs="方正黑体_GBK"/>
                <w:color w:val="000000"/>
                <w:kern w:val="0"/>
                <w:sz w:val="24"/>
                <w:szCs w:val="24"/>
                <w:highlight w:val="none"/>
                <w:vertAlign w:val="baseline"/>
                <w:lang w:val="en-US" w:eastAsia="zh-CN" w:bidi="ar"/>
              </w:rPr>
              <w:t>城口县</w:t>
            </w:r>
            <w:r>
              <w:rPr>
                <w:rFonts w:hint="eastAsia" w:ascii="Times New Roman" w:hAnsi="Times New Roman" w:eastAsia="方正黑体_GBK" w:cs="方正黑体_GBK"/>
                <w:color w:val="000000"/>
                <w:kern w:val="0"/>
                <w:sz w:val="24"/>
                <w:szCs w:val="24"/>
                <w:highlight w:val="none"/>
                <w:vertAlign w:val="baseline"/>
                <w:lang w:val="en-US" w:eastAsia="zh-CN" w:bidi="ar"/>
              </w:rPr>
              <w:t>支持</w:t>
            </w:r>
            <w:r>
              <w:rPr>
                <w:rFonts w:hint="default" w:ascii="Times New Roman" w:hAnsi="Times New Roman" w:eastAsia="方正黑体_GBK" w:cs="方正黑体_GBK"/>
                <w:color w:val="000000"/>
                <w:kern w:val="0"/>
                <w:sz w:val="24"/>
                <w:szCs w:val="24"/>
                <w:highlight w:val="none"/>
                <w:vertAlign w:val="baseline"/>
                <w:lang w:val="en-US" w:eastAsia="zh-CN" w:bidi="ar"/>
              </w:rPr>
              <w:t>民营经济高质量发展若干措施</w:t>
            </w:r>
          </w:p>
        </w:tc>
        <w:tc>
          <w:tcPr>
            <w:tcW w:w="1719" w:type="dxa"/>
            <w:noWrap w:val="0"/>
            <w:vAlign w:val="center"/>
          </w:tcPr>
          <w:p w14:paraId="63321D6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黑体_GBK" w:cs="方正黑体_GBK"/>
                <w:color w:val="000000"/>
                <w:kern w:val="0"/>
                <w:sz w:val="24"/>
                <w:szCs w:val="24"/>
                <w:highlight w:val="none"/>
                <w:vertAlign w:val="baseline"/>
                <w:lang w:val="en-US" w:eastAsia="zh-CN" w:bidi="ar"/>
              </w:rPr>
            </w:pPr>
            <w:r>
              <w:rPr>
                <w:rFonts w:hint="eastAsia" w:ascii="Times New Roman" w:hAnsi="Times New Roman" w:eastAsia="方正黑体_GBK" w:cs="方正黑体_GBK"/>
                <w:color w:val="000000"/>
                <w:kern w:val="0"/>
                <w:sz w:val="24"/>
                <w:szCs w:val="24"/>
                <w:highlight w:val="none"/>
                <w:vertAlign w:val="baseline"/>
                <w:lang w:val="en-US" w:eastAsia="zh-CN" w:bidi="ar"/>
              </w:rPr>
              <w:t>县级责任单位</w:t>
            </w:r>
          </w:p>
        </w:tc>
        <w:tc>
          <w:tcPr>
            <w:tcW w:w="967" w:type="dxa"/>
            <w:noWrap w:val="0"/>
            <w:vAlign w:val="center"/>
          </w:tcPr>
          <w:p w14:paraId="657E215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黑体_GBK" w:cs="方正黑体_GBK"/>
                <w:color w:val="000000"/>
                <w:kern w:val="0"/>
                <w:sz w:val="24"/>
                <w:szCs w:val="24"/>
                <w:highlight w:val="none"/>
                <w:vertAlign w:val="baseline"/>
                <w:lang w:val="en-US" w:eastAsia="zh-CN" w:bidi="ar"/>
              </w:rPr>
            </w:pPr>
            <w:r>
              <w:rPr>
                <w:rFonts w:hint="eastAsia" w:ascii="Times New Roman" w:hAnsi="Times New Roman" w:eastAsia="方正黑体_GBK" w:cs="方正黑体_GBK"/>
                <w:color w:val="000000"/>
                <w:kern w:val="0"/>
                <w:sz w:val="24"/>
                <w:szCs w:val="24"/>
                <w:highlight w:val="none"/>
                <w:vertAlign w:val="baseline"/>
                <w:lang w:val="en-US" w:eastAsia="zh-CN" w:bidi="ar"/>
              </w:rPr>
              <w:t>联系人</w:t>
            </w:r>
          </w:p>
        </w:tc>
        <w:tc>
          <w:tcPr>
            <w:tcW w:w="1654" w:type="dxa"/>
            <w:noWrap w:val="0"/>
            <w:vAlign w:val="center"/>
          </w:tcPr>
          <w:p w14:paraId="1C8BDC9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黑体_GBK" w:cs="方正黑体_GBK"/>
                <w:color w:val="000000"/>
                <w:kern w:val="0"/>
                <w:sz w:val="24"/>
                <w:szCs w:val="24"/>
                <w:highlight w:val="none"/>
                <w:vertAlign w:val="baseline"/>
                <w:lang w:val="en-US" w:eastAsia="zh-CN" w:bidi="ar"/>
              </w:rPr>
            </w:pPr>
            <w:r>
              <w:rPr>
                <w:rFonts w:hint="eastAsia" w:ascii="Times New Roman" w:hAnsi="Times New Roman" w:eastAsia="方正黑体_GBK" w:cs="方正黑体_GBK"/>
                <w:color w:val="000000"/>
                <w:kern w:val="0"/>
                <w:sz w:val="24"/>
                <w:szCs w:val="24"/>
                <w:highlight w:val="none"/>
                <w:vertAlign w:val="baseline"/>
                <w:lang w:val="en-US" w:eastAsia="zh-CN" w:bidi="ar"/>
              </w:rPr>
              <w:t>联系方式</w:t>
            </w:r>
          </w:p>
        </w:tc>
        <w:tc>
          <w:tcPr>
            <w:tcW w:w="2888" w:type="dxa"/>
            <w:noWrap w:val="0"/>
            <w:vAlign w:val="center"/>
          </w:tcPr>
          <w:p w14:paraId="5D7ADBD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方正黑体_GBK" w:cs="方正黑体_GBK"/>
                <w:color w:val="000000"/>
                <w:kern w:val="0"/>
                <w:sz w:val="24"/>
                <w:szCs w:val="24"/>
                <w:highlight w:val="none"/>
                <w:vertAlign w:val="baseline"/>
                <w:lang w:val="en-US" w:eastAsia="zh-CN" w:bidi="ar"/>
              </w:rPr>
            </w:pPr>
            <w:r>
              <w:rPr>
                <w:rFonts w:hint="eastAsia" w:ascii="Times New Roman" w:hAnsi="Times New Roman" w:eastAsia="方正黑体_GBK" w:cs="方正黑体_GBK"/>
                <w:color w:val="000000"/>
                <w:kern w:val="0"/>
                <w:sz w:val="24"/>
                <w:szCs w:val="24"/>
                <w:highlight w:val="none"/>
                <w:vertAlign w:val="baseline"/>
                <w:lang w:val="en-US" w:eastAsia="zh-CN" w:bidi="ar"/>
              </w:rPr>
              <w:t>政策依据</w:t>
            </w:r>
          </w:p>
        </w:tc>
      </w:tr>
      <w:tr w14:paraId="703E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39" w:type="dxa"/>
            <w:gridSpan w:val="7"/>
            <w:noWrap w:val="0"/>
            <w:vAlign w:val="center"/>
          </w:tcPr>
          <w:p w14:paraId="260A8B8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eastAsia="zh-CN" w:bidi="ar"/>
              </w:rPr>
            </w:pPr>
            <w:r>
              <w:rPr>
                <w:rFonts w:hint="eastAsia" w:ascii="Times New Roman" w:hAnsi="Times New Roman" w:eastAsia="方正黑体_GBK" w:cs="方正黑体_GBK"/>
                <w:color w:val="000000"/>
                <w:kern w:val="0"/>
                <w:sz w:val="24"/>
                <w:szCs w:val="24"/>
                <w:lang w:eastAsia="zh-CN" w:bidi="ar"/>
              </w:rPr>
              <w:t>一、激发民营经济创新活力</w:t>
            </w:r>
          </w:p>
        </w:tc>
      </w:tr>
      <w:tr w14:paraId="3EAD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noWrap w:val="0"/>
            <w:vAlign w:val="center"/>
          </w:tcPr>
          <w:p w14:paraId="0F00A1A7">
            <w:pPr>
              <w:keepNext w:val="0"/>
              <w:keepLines w:val="0"/>
              <w:pageBreakBefore w:val="0"/>
              <w:widowControl/>
              <w:suppressLineNumbers w:val="0"/>
              <w:kinsoku/>
              <w:wordWrap/>
              <w:overflowPunct/>
              <w:topLinePunct w:val="0"/>
              <w:autoSpaceDE/>
              <w:autoSpaceDN/>
              <w:bidi w:val="0"/>
              <w:adjustRightInd/>
              <w:snapToGrid/>
              <w:spacing w:line="579"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default" w:ascii="Times New Roman" w:hAnsi="Times New Roman" w:eastAsia="方正黑体_GBK" w:cs="Times New Roman"/>
                <w:color w:val="000000"/>
                <w:kern w:val="0"/>
                <w:sz w:val="24"/>
                <w:szCs w:val="24"/>
                <w:vertAlign w:val="baseline"/>
                <w:lang w:val="en-US" w:eastAsia="zh-CN" w:bidi="ar"/>
              </w:rPr>
              <w:t>1</w:t>
            </w:r>
          </w:p>
        </w:tc>
        <w:tc>
          <w:tcPr>
            <w:tcW w:w="1298" w:type="dxa"/>
            <w:noWrap w:val="0"/>
            <w:vAlign w:val="center"/>
          </w:tcPr>
          <w:p w14:paraId="26348CE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仿宋_GBK" w:cs="Times New Roman"/>
                <w:b/>
                <w:bCs/>
                <w:color w:val="000000"/>
                <w:kern w:val="0"/>
                <w:sz w:val="24"/>
                <w:szCs w:val="24"/>
                <w:lang w:val="en-US" w:eastAsia="zh-CN" w:bidi="ar"/>
              </w:rPr>
              <w:t>支持抢占未来产业新赛道</w:t>
            </w:r>
          </w:p>
        </w:tc>
        <w:tc>
          <w:tcPr>
            <w:tcW w:w="5686" w:type="dxa"/>
            <w:noWrap w:val="0"/>
            <w:vAlign w:val="center"/>
          </w:tcPr>
          <w:p w14:paraId="1093594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highlight w:val="none"/>
                <w:lang w:val="en-US" w:eastAsia="zh-CN" w:bidi="ar"/>
              </w:rPr>
              <w:t>（1）支持民营企业踊跃投身低空经济、生物医药、前沿新材料等未来新兴产业，探索开发开创</w:t>
            </w:r>
            <w:r>
              <w:rPr>
                <w:rFonts w:hint="eastAsia" w:ascii="Times New Roman" w:hAnsi="Times New Roman" w:eastAsia="方正仿宋_GBK" w:cs="Times New Roman"/>
                <w:color w:val="000000"/>
                <w:kern w:val="0"/>
                <w:sz w:val="24"/>
                <w:szCs w:val="24"/>
                <w:lang w:val="en-US" w:eastAsia="zh-CN" w:bidi="ar"/>
              </w:rPr>
              <w:t>前沿技术，催生新产业、新模式、新动能。支持民营企业通过“揭榜挂帅”“赛马比拼”等方式，开展关键</w:t>
            </w:r>
            <w:r>
              <w:rPr>
                <w:rFonts w:hint="default" w:ascii="Times New Roman" w:hAnsi="Times New Roman" w:eastAsia="方正仿宋_GBK" w:cs="Times New Roman"/>
                <w:color w:val="000000"/>
                <w:kern w:val="0"/>
                <w:sz w:val="24"/>
                <w:szCs w:val="24"/>
                <w:lang w:val="en-US" w:eastAsia="zh-CN" w:bidi="ar"/>
              </w:rPr>
              <w:t>核心技术攻关和产品创新</w:t>
            </w:r>
            <w:r>
              <w:rPr>
                <w:rFonts w:hint="eastAsia" w:ascii="Times New Roman" w:hAnsi="Times New Roman" w:eastAsia="方正仿宋_GBK" w:cs="Times New Roman"/>
                <w:color w:val="000000"/>
                <w:kern w:val="0"/>
                <w:sz w:val="24"/>
                <w:szCs w:val="24"/>
                <w:lang w:val="en-US" w:eastAsia="zh-CN" w:bidi="ar"/>
              </w:rPr>
              <w:t>，</w:t>
            </w:r>
            <w:r>
              <w:rPr>
                <w:rFonts w:hint="default" w:ascii="Times New Roman" w:hAnsi="Times New Roman" w:eastAsia="方正仿宋_GBK" w:cs="Times New Roman"/>
                <w:color w:val="000000"/>
                <w:kern w:val="0"/>
                <w:sz w:val="24"/>
                <w:szCs w:val="24"/>
                <w:lang w:val="en-US" w:eastAsia="zh-CN" w:bidi="ar"/>
              </w:rPr>
              <w:t>按照规定1:1比例共同出资支持，单个项目资金资助额度最高不超过50万元。对牵头承担国家、市级科技重大专项和重点研发计划的</w:t>
            </w:r>
            <w:r>
              <w:rPr>
                <w:rFonts w:hint="default" w:ascii="Times New Roman" w:hAnsi="Times New Roman" w:eastAsia="方正仿宋_GBK" w:cs="Times New Roman"/>
                <w:color w:val="000000"/>
                <w:kern w:val="0"/>
                <w:sz w:val="24"/>
                <w:szCs w:val="24"/>
                <w:highlight w:val="none"/>
                <w:lang w:val="en-US" w:eastAsia="zh-CN" w:bidi="ar"/>
              </w:rPr>
              <w:t>单位，</w:t>
            </w:r>
            <w:r>
              <w:rPr>
                <w:rFonts w:hint="default" w:ascii="Times New Roman" w:hAnsi="Times New Roman" w:eastAsia="方正仿宋_GBK" w:cs="Times New Roman"/>
                <w:color w:val="000000"/>
                <w:kern w:val="0"/>
                <w:sz w:val="24"/>
                <w:szCs w:val="24"/>
                <w:lang w:val="en-US" w:eastAsia="zh-CN" w:bidi="ar"/>
              </w:rPr>
              <w:t>按照上级拨付经费的5%配套县级奖励，最高不超过50万元。</w:t>
            </w:r>
          </w:p>
        </w:tc>
        <w:tc>
          <w:tcPr>
            <w:tcW w:w="1719" w:type="dxa"/>
            <w:noWrap w:val="0"/>
            <w:vAlign w:val="center"/>
          </w:tcPr>
          <w:p w14:paraId="49E0BCF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val="en-US" w:eastAsia="zh-CN" w:bidi="ar"/>
              </w:rPr>
              <w:t>县经济信息委</w:t>
            </w:r>
          </w:p>
        </w:tc>
        <w:tc>
          <w:tcPr>
            <w:tcW w:w="967" w:type="dxa"/>
            <w:noWrap w:val="0"/>
            <w:vAlign w:val="center"/>
          </w:tcPr>
          <w:p w14:paraId="243A558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eastAsia="zh-CN" w:bidi="ar"/>
              </w:rPr>
              <w:t>赵静</w:t>
            </w:r>
          </w:p>
        </w:tc>
        <w:tc>
          <w:tcPr>
            <w:tcW w:w="1654" w:type="dxa"/>
            <w:noWrap w:val="0"/>
            <w:vAlign w:val="center"/>
          </w:tcPr>
          <w:p w14:paraId="2BCE6F8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eastAsia="zh-CN" w:bidi="ar"/>
              </w:rPr>
              <w:t>13752889092</w:t>
            </w:r>
          </w:p>
        </w:tc>
        <w:tc>
          <w:tcPr>
            <w:tcW w:w="2888" w:type="dxa"/>
            <w:noWrap w:val="0"/>
            <w:vAlign w:val="center"/>
          </w:tcPr>
          <w:p w14:paraId="4149188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《关于印发城口县支持科技创新十五条政策的通知》（城府办发</w:t>
            </w:r>
            <w:r>
              <w:rPr>
                <w:rFonts w:hint="default" w:ascii="Times New Roman" w:hAnsi="Times New Roman" w:eastAsia="方正仿宋_GBK" w:cs="Times New Roman"/>
                <w:color w:val="000000"/>
                <w:kern w:val="0"/>
                <w:sz w:val="24"/>
                <w:szCs w:val="24"/>
                <w:lang w:val="en-US" w:eastAsia="zh-CN" w:bidi="ar"/>
              </w:rPr>
              <w:t>〔202</w:t>
            </w:r>
            <w:r>
              <w:rPr>
                <w:rFonts w:hint="eastAsia" w:ascii="Times New Roman" w:hAnsi="Times New Roman" w:eastAsia="方正仿宋_GBK" w:cs="Times New Roman"/>
                <w:color w:val="000000"/>
                <w:kern w:val="0"/>
                <w:sz w:val="24"/>
                <w:szCs w:val="24"/>
                <w:lang w:val="en-US" w:eastAsia="zh-CN" w:bidi="ar"/>
              </w:rPr>
              <w:t>4</w:t>
            </w:r>
            <w:r>
              <w:rPr>
                <w:rFonts w:hint="default" w:ascii="Times New Roman" w:hAnsi="Times New Roman" w:eastAsia="方正仿宋_GBK" w:cs="Times New Roman"/>
                <w:color w:val="000000"/>
                <w:kern w:val="0"/>
                <w:sz w:val="24"/>
                <w:szCs w:val="24"/>
                <w:lang w:val="en-US" w:eastAsia="zh-CN" w:bidi="ar"/>
              </w:rPr>
              <w:t>〕</w:t>
            </w:r>
            <w:r>
              <w:rPr>
                <w:rFonts w:hint="eastAsia" w:ascii="Times New Roman" w:hAnsi="Times New Roman" w:eastAsia="方正仿宋_GBK" w:cs="Times New Roman"/>
                <w:color w:val="000000"/>
                <w:kern w:val="0"/>
                <w:sz w:val="24"/>
                <w:szCs w:val="24"/>
                <w:lang w:val="en-US" w:eastAsia="zh-CN" w:bidi="ar"/>
              </w:rPr>
              <w:t>91</w:t>
            </w:r>
            <w:r>
              <w:rPr>
                <w:rFonts w:hint="default" w:ascii="Times New Roman" w:hAnsi="Times New Roman" w:eastAsia="方正仿宋_GBK" w:cs="Times New Roman"/>
                <w:color w:val="000000"/>
                <w:kern w:val="0"/>
                <w:sz w:val="24"/>
                <w:szCs w:val="24"/>
                <w:lang w:val="en-US" w:eastAsia="zh-CN" w:bidi="ar"/>
              </w:rPr>
              <w:t>号</w:t>
            </w:r>
            <w:r>
              <w:rPr>
                <w:rFonts w:hint="eastAsia" w:ascii="Times New Roman" w:hAnsi="Times New Roman" w:eastAsia="方正仿宋_GBK" w:cs="Times New Roman"/>
                <w:color w:val="000000"/>
                <w:kern w:val="0"/>
                <w:sz w:val="24"/>
                <w:szCs w:val="24"/>
                <w:lang w:val="en-US" w:eastAsia="zh-CN" w:bidi="ar"/>
              </w:rPr>
              <w:t>）</w:t>
            </w:r>
          </w:p>
        </w:tc>
      </w:tr>
      <w:tr w14:paraId="39E4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restart"/>
            <w:noWrap w:val="0"/>
            <w:vAlign w:val="center"/>
          </w:tcPr>
          <w:p w14:paraId="7C0774AB">
            <w:pPr>
              <w:keepNext w:val="0"/>
              <w:keepLines w:val="0"/>
              <w:pageBreakBefore w:val="0"/>
              <w:widowControl/>
              <w:suppressLineNumbers w:val="0"/>
              <w:kinsoku/>
              <w:wordWrap/>
              <w:overflowPunct/>
              <w:topLinePunct w:val="0"/>
              <w:autoSpaceDE/>
              <w:autoSpaceDN/>
              <w:bidi w:val="0"/>
              <w:adjustRightInd/>
              <w:snapToGrid/>
              <w:spacing w:line="579"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default" w:ascii="Times New Roman" w:hAnsi="Times New Roman" w:eastAsia="方正黑体_GBK" w:cs="Times New Roman"/>
                <w:color w:val="000000"/>
                <w:kern w:val="0"/>
                <w:sz w:val="24"/>
                <w:szCs w:val="24"/>
                <w:vertAlign w:val="baseline"/>
                <w:lang w:val="en-US" w:eastAsia="zh-CN" w:bidi="ar"/>
              </w:rPr>
              <w:t>2</w:t>
            </w:r>
          </w:p>
        </w:tc>
        <w:tc>
          <w:tcPr>
            <w:tcW w:w="1298" w:type="dxa"/>
            <w:vMerge w:val="restart"/>
            <w:noWrap w:val="0"/>
            <w:vAlign w:val="center"/>
          </w:tcPr>
          <w:p w14:paraId="4036883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助推数字化转型升级</w:t>
            </w:r>
          </w:p>
        </w:tc>
        <w:tc>
          <w:tcPr>
            <w:tcW w:w="5686" w:type="dxa"/>
            <w:noWrap w:val="0"/>
            <w:vAlign w:val="center"/>
          </w:tcPr>
          <w:p w14:paraId="0CD83452">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（2）</w:t>
            </w:r>
            <w:r>
              <w:rPr>
                <w:rFonts w:hint="default" w:ascii="Times New Roman" w:hAnsi="Times New Roman" w:eastAsia="方正仿宋_GBK" w:cs="Times New Roman"/>
                <w:color w:val="000000"/>
                <w:kern w:val="0"/>
                <w:sz w:val="24"/>
                <w:szCs w:val="24"/>
                <w:lang w:val="en-US" w:eastAsia="zh-CN" w:bidi="ar"/>
              </w:rPr>
              <w:t>依托数字重庆建</w:t>
            </w:r>
            <w:r>
              <w:rPr>
                <w:rFonts w:hint="eastAsia" w:ascii="Times New Roman" w:hAnsi="Times New Roman" w:eastAsia="方正仿宋_GBK" w:cs="方正仿宋_GBK"/>
                <w:color w:val="000000"/>
                <w:kern w:val="0"/>
                <w:sz w:val="24"/>
                <w:szCs w:val="24"/>
                <w:lang w:val="en-US" w:eastAsia="zh-CN" w:bidi="ar"/>
              </w:rPr>
              <w:t>设，探索构建“产业大脑+未来工厂”新发展模式，助力民营企业提升经营效率、降低生产成本。支持企业建设</w:t>
            </w:r>
            <w:r>
              <w:rPr>
                <w:rFonts w:hint="default" w:ascii="Times New Roman" w:hAnsi="Times New Roman" w:eastAsia="方正仿宋_GBK" w:cs="Times New Roman"/>
                <w:color w:val="000000"/>
                <w:kern w:val="0"/>
                <w:sz w:val="24"/>
                <w:szCs w:val="24"/>
                <w:lang w:val="en-US" w:eastAsia="zh-CN" w:bidi="ar"/>
              </w:rPr>
              <w:t>数字化车间和智能工厂，按照设备和软件实际投资额的10%进行补助，单个项目最高不超过30万元。支持企业应用新一代信息技术建设“5G+工业互联网”集成创新应用项目，按照设备和软件实际投资额的10%进行补助，单个项目县级补助最高不超过30万元。</w:t>
            </w:r>
          </w:p>
        </w:tc>
        <w:tc>
          <w:tcPr>
            <w:tcW w:w="1719" w:type="dxa"/>
            <w:noWrap w:val="0"/>
            <w:vAlign w:val="center"/>
          </w:tcPr>
          <w:p w14:paraId="7F93DBC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000000"/>
                <w:kern w:val="0"/>
                <w:sz w:val="24"/>
                <w:szCs w:val="24"/>
                <w:lang w:val="en-US" w:eastAsia="zh-CN" w:bidi="ar"/>
              </w:rPr>
              <w:t>县经济信息委</w:t>
            </w:r>
          </w:p>
        </w:tc>
        <w:tc>
          <w:tcPr>
            <w:tcW w:w="967" w:type="dxa"/>
            <w:noWrap w:val="0"/>
            <w:vAlign w:val="center"/>
          </w:tcPr>
          <w:p w14:paraId="42B7F2A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000000"/>
                <w:kern w:val="0"/>
                <w:sz w:val="24"/>
                <w:szCs w:val="24"/>
                <w:highlight w:val="none"/>
                <w:lang w:eastAsia="zh-CN" w:bidi="ar"/>
              </w:rPr>
              <w:t>王赟薇</w:t>
            </w:r>
          </w:p>
        </w:tc>
        <w:tc>
          <w:tcPr>
            <w:tcW w:w="1654" w:type="dxa"/>
            <w:noWrap w:val="0"/>
            <w:vAlign w:val="center"/>
          </w:tcPr>
          <w:p w14:paraId="6FE2990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000000"/>
                <w:kern w:val="0"/>
                <w:sz w:val="24"/>
                <w:szCs w:val="24"/>
                <w:highlight w:val="none"/>
                <w:lang w:eastAsia="zh-CN" w:bidi="ar"/>
              </w:rPr>
              <w:t>19923530196</w:t>
            </w:r>
          </w:p>
        </w:tc>
        <w:tc>
          <w:tcPr>
            <w:tcW w:w="2888" w:type="dxa"/>
            <w:noWrap w:val="0"/>
            <w:vAlign w:val="center"/>
          </w:tcPr>
          <w:p w14:paraId="4B47A63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eastAsia="zh-CN" w:bidi="ar"/>
              </w:rPr>
            </w:pPr>
            <w:r>
              <w:rPr>
                <w:rFonts w:hint="eastAsia" w:ascii="Times New Roman" w:hAnsi="Times New Roman" w:eastAsia="方正仿宋_GBK" w:cs="Times New Roman"/>
                <w:color w:val="000000"/>
                <w:kern w:val="0"/>
                <w:sz w:val="24"/>
                <w:szCs w:val="24"/>
                <w:lang w:val="en-US" w:eastAsia="zh-CN" w:bidi="ar"/>
              </w:rPr>
              <w:t>《关于印发城口县支持科技创新十五条政策的通知》（城府办发</w:t>
            </w:r>
            <w:r>
              <w:rPr>
                <w:rFonts w:hint="default" w:ascii="Times New Roman" w:hAnsi="Times New Roman" w:eastAsia="方正仿宋_GBK" w:cs="Times New Roman"/>
                <w:color w:val="000000"/>
                <w:kern w:val="0"/>
                <w:sz w:val="24"/>
                <w:szCs w:val="24"/>
                <w:lang w:val="en-US" w:eastAsia="zh-CN" w:bidi="ar"/>
              </w:rPr>
              <w:t>〔202</w:t>
            </w:r>
            <w:r>
              <w:rPr>
                <w:rFonts w:hint="eastAsia" w:ascii="Times New Roman" w:hAnsi="Times New Roman" w:eastAsia="方正仿宋_GBK" w:cs="Times New Roman"/>
                <w:color w:val="000000"/>
                <w:kern w:val="0"/>
                <w:sz w:val="24"/>
                <w:szCs w:val="24"/>
                <w:lang w:val="en-US" w:eastAsia="zh-CN" w:bidi="ar"/>
              </w:rPr>
              <w:t>4</w:t>
            </w:r>
            <w:r>
              <w:rPr>
                <w:rFonts w:hint="default" w:ascii="Times New Roman" w:hAnsi="Times New Roman" w:eastAsia="方正仿宋_GBK" w:cs="Times New Roman"/>
                <w:color w:val="000000"/>
                <w:kern w:val="0"/>
                <w:sz w:val="24"/>
                <w:szCs w:val="24"/>
                <w:lang w:val="en-US" w:eastAsia="zh-CN" w:bidi="ar"/>
              </w:rPr>
              <w:t>〕</w:t>
            </w:r>
            <w:r>
              <w:rPr>
                <w:rFonts w:hint="eastAsia" w:ascii="Times New Roman" w:hAnsi="Times New Roman" w:eastAsia="方正仿宋_GBK" w:cs="Times New Roman"/>
                <w:color w:val="000000"/>
                <w:kern w:val="0"/>
                <w:sz w:val="24"/>
                <w:szCs w:val="24"/>
                <w:lang w:val="en-US" w:eastAsia="zh-CN" w:bidi="ar"/>
              </w:rPr>
              <w:t>91</w:t>
            </w:r>
            <w:r>
              <w:rPr>
                <w:rFonts w:hint="default" w:ascii="Times New Roman" w:hAnsi="Times New Roman" w:eastAsia="方正仿宋_GBK" w:cs="Times New Roman"/>
                <w:color w:val="000000"/>
                <w:kern w:val="0"/>
                <w:sz w:val="24"/>
                <w:szCs w:val="24"/>
                <w:lang w:val="en-US" w:eastAsia="zh-CN" w:bidi="ar"/>
              </w:rPr>
              <w:t>号</w:t>
            </w:r>
            <w:r>
              <w:rPr>
                <w:rFonts w:hint="eastAsia" w:ascii="Times New Roman" w:hAnsi="Times New Roman" w:eastAsia="方正仿宋_GBK" w:cs="Times New Roman"/>
                <w:color w:val="000000"/>
                <w:kern w:val="0"/>
                <w:sz w:val="24"/>
                <w:szCs w:val="24"/>
                <w:lang w:val="en-US" w:eastAsia="zh-CN" w:bidi="ar"/>
              </w:rPr>
              <w:t>）</w:t>
            </w:r>
          </w:p>
        </w:tc>
      </w:tr>
      <w:tr w14:paraId="0AEB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827" w:type="dxa"/>
            <w:vMerge w:val="continue"/>
            <w:noWrap w:val="0"/>
            <w:vAlign w:val="center"/>
          </w:tcPr>
          <w:p w14:paraId="6F590425">
            <w:pPr>
              <w:keepNext w:val="0"/>
              <w:keepLines w:val="0"/>
              <w:pageBreakBefore w:val="0"/>
              <w:widowControl/>
              <w:suppressLineNumbers w:val="0"/>
              <w:kinsoku/>
              <w:wordWrap/>
              <w:overflowPunct/>
              <w:topLinePunct w:val="0"/>
              <w:autoSpaceDE/>
              <w:autoSpaceDN/>
              <w:bidi w:val="0"/>
              <w:adjustRightInd/>
              <w:snapToGrid/>
              <w:spacing w:line="579"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3E0060C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p>
        </w:tc>
        <w:tc>
          <w:tcPr>
            <w:tcW w:w="5686" w:type="dxa"/>
            <w:noWrap w:val="0"/>
            <w:vAlign w:val="center"/>
          </w:tcPr>
          <w:p w14:paraId="2F161AA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bCs/>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（3）</w:t>
            </w:r>
            <w:r>
              <w:rPr>
                <w:rFonts w:hint="default" w:ascii="Times New Roman" w:hAnsi="Times New Roman" w:eastAsia="方正仿宋_GBK" w:cs="Times New Roman"/>
                <w:color w:val="000000"/>
                <w:kern w:val="0"/>
                <w:sz w:val="24"/>
                <w:szCs w:val="24"/>
                <w:lang w:val="en-US" w:eastAsia="zh-CN" w:bidi="ar"/>
              </w:rPr>
              <w:t>聚焦人工智能领域，重点支持算力监测调度、算力网络、大模型应用、高质量数据集等领域研发及应用项目，对符合条件的民营企业，按规定给予资金补助。</w:t>
            </w:r>
          </w:p>
        </w:tc>
        <w:tc>
          <w:tcPr>
            <w:tcW w:w="1719" w:type="dxa"/>
            <w:noWrap w:val="0"/>
            <w:vAlign w:val="center"/>
          </w:tcPr>
          <w:p w14:paraId="5701864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val="en-US" w:eastAsia="zh-CN" w:bidi="ar"/>
              </w:rPr>
              <w:t>县发展改革委</w:t>
            </w:r>
          </w:p>
        </w:tc>
        <w:tc>
          <w:tcPr>
            <w:tcW w:w="967" w:type="dxa"/>
            <w:noWrap w:val="0"/>
            <w:vAlign w:val="center"/>
          </w:tcPr>
          <w:p w14:paraId="357F117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马发珊</w:t>
            </w:r>
          </w:p>
        </w:tc>
        <w:tc>
          <w:tcPr>
            <w:tcW w:w="1654" w:type="dxa"/>
            <w:noWrap w:val="0"/>
            <w:vAlign w:val="center"/>
          </w:tcPr>
          <w:p w14:paraId="0362F28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18183177061</w:t>
            </w:r>
          </w:p>
        </w:tc>
        <w:tc>
          <w:tcPr>
            <w:tcW w:w="2888" w:type="dxa"/>
            <w:noWrap w:val="0"/>
            <w:vAlign w:val="center"/>
          </w:tcPr>
          <w:p w14:paraId="0718CF0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《关于开展2024年重庆市数字经济产业发展专项资金项目申报工作的通知》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渝大数据〔2024〕70号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4321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4" w:hRule="atLeast"/>
          <w:jc w:val="center"/>
        </w:trPr>
        <w:tc>
          <w:tcPr>
            <w:tcW w:w="827" w:type="dxa"/>
            <w:noWrap w:val="0"/>
            <w:vAlign w:val="center"/>
          </w:tcPr>
          <w:p w14:paraId="4CE19678">
            <w:pPr>
              <w:keepNext w:val="0"/>
              <w:keepLines w:val="0"/>
              <w:pageBreakBefore w:val="0"/>
              <w:widowControl/>
              <w:suppressLineNumbers w:val="0"/>
              <w:kinsoku/>
              <w:wordWrap/>
              <w:overflowPunct/>
              <w:topLinePunct w:val="0"/>
              <w:autoSpaceDE/>
              <w:autoSpaceDN/>
              <w:bidi w:val="0"/>
              <w:adjustRightInd/>
              <w:snapToGrid/>
              <w:spacing w:line="579" w:lineRule="exact"/>
              <w:ind w:firstLine="0" w:firstLineChars="0"/>
              <w:jc w:val="center"/>
              <w:textAlignment w:val="auto"/>
              <w:rPr>
                <w:rFonts w:hint="default" w:ascii="Times New Roman" w:hAnsi="Times New Roman" w:eastAsia="方正黑体_GBK" w:cs="方正黑体_GBK"/>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3</w:t>
            </w:r>
          </w:p>
        </w:tc>
        <w:tc>
          <w:tcPr>
            <w:tcW w:w="1298" w:type="dxa"/>
            <w:noWrap w:val="0"/>
            <w:vAlign w:val="center"/>
          </w:tcPr>
          <w:p w14:paraId="63F321B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助力科技创新能力提升</w:t>
            </w:r>
          </w:p>
        </w:tc>
        <w:tc>
          <w:tcPr>
            <w:tcW w:w="5686" w:type="dxa"/>
            <w:noWrap w:val="0"/>
            <w:vAlign w:val="center"/>
          </w:tcPr>
          <w:p w14:paraId="4EABCE2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（4）</w:t>
            </w:r>
            <w:r>
              <w:rPr>
                <w:rFonts w:hint="default" w:ascii="Times New Roman" w:hAnsi="Times New Roman" w:eastAsia="方正仿宋_GBK" w:cs="Times New Roman"/>
                <w:color w:val="000000"/>
                <w:kern w:val="0"/>
                <w:sz w:val="24"/>
                <w:szCs w:val="24"/>
                <w:lang w:val="en-US" w:eastAsia="zh-CN" w:bidi="ar"/>
              </w:rPr>
              <w:t>支持民营企业专利培育，成功授权的发明专利补助2万元，成功授权的实用新型专利补助0.2万元。支持企业建立研发机构，被新认定为国家级、市级研发机构的，一次性分别给予100万元、</w:t>
            </w:r>
            <w:r>
              <w:rPr>
                <w:rFonts w:hint="default" w:ascii="Times New Roman" w:hAnsi="Times New Roman" w:eastAsia="方正仿宋_GBK" w:cs="Times New Roman"/>
                <w:color w:val="000000"/>
                <w:kern w:val="0"/>
                <w:sz w:val="24"/>
                <w:szCs w:val="24"/>
                <w:highlight w:val="none"/>
                <w:lang w:val="en-US" w:eastAsia="zh-CN" w:bidi="ar"/>
              </w:rPr>
              <w:t>20</w:t>
            </w:r>
            <w:r>
              <w:rPr>
                <w:rFonts w:hint="default" w:ascii="Times New Roman" w:hAnsi="Times New Roman" w:eastAsia="方正仿宋_GBK" w:cs="Times New Roman"/>
                <w:color w:val="000000"/>
                <w:kern w:val="0"/>
                <w:sz w:val="24"/>
                <w:szCs w:val="24"/>
                <w:lang w:val="en-US" w:eastAsia="zh-CN" w:bidi="ar"/>
              </w:rPr>
              <w:t>万元奖励；规上工业企业建立研发机构并实施研发的，一次性奖励5万元；按照规定对创办民办非企业研发机构，纳入国家科技统计系统名录并在首年实现研发经费100万元以上的单位，一次性奖励10万元。</w:t>
            </w:r>
          </w:p>
        </w:tc>
        <w:tc>
          <w:tcPr>
            <w:tcW w:w="1719" w:type="dxa"/>
            <w:noWrap w:val="0"/>
            <w:vAlign w:val="center"/>
          </w:tcPr>
          <w:p w14:paraId="3716426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val="en-US" w:eastAsia="zh-CN" w:bidi="ar"/>
              </w:rPr>
              <w:t>县经济信息委</w:t>
            </w:r>
          </w:p>
        </w:tc>
        <w:tc>
          <w:tcPr>
            <w:tcW w:w="967" w:type="dxa"/>
            <w:noWrap w:val="0"/>
            <w:vAlign w:val="center"/>
          </w:tcPr>
          <w:p w14:paraId="6173D91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eastAsia="zh-CN" w:bidi="ar"/>
              </w:rPr>
              <w:t>赵静</w:t>
            </w:r>
          </w:p>
        </w:tc>
        <w:tc>
          <w:tcPr>
            <w:tcW w:w="1654" w:type="dxa"/>
            <w:noWrap w:val="0"/>
            <w:vAlign w:val="center"/>
          </w:tcPr>
          <w:p w14:paraId="6A1F277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eastAsia="zh-CN" w:bidi="ar"/>
              </w:rPr>
              <w:t>13752889092</w:t>
            </w:r>
          </w:p>
        </w:tc>
        <w:tc>
          <w:tcPr>
            <w:tcW w:w="2888" w:type="dxa"/>
            <w:noWrap w:val="0"/>
            <w:vAlign w:val="center"/>
          </w:tcPr>
          <w:p w14:paraId="5311246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eastAsia="zh-CN" w:bidi="ar"/>
              </w:rPr>
            </w:pPr>
            <w:r>
              <w:rPr>
                <w:rFonts w:hint="eastAsia" w:ascii="Times New Roman" w:hAnsi="Times New Roman" w:eastAsia="方正仿宋_GBK" w:cs="Times New Roman"/>
                <w:color w:val="000000"/>
                <w:kern w:val="0"/>
                <w:sz w:val="24"/>
                <w:szCs w:val="24"/>
                <w:lang w:val="en-US" w:eastAsia="zh-CN" w:bidi="ar"/>
              </w:rPr>
              <w:t>《关于印发城口县支持科技创新十五条政策的通知》（城府办发</w:t>
            </w:r>
            <w:r>
              <w:rPr>
                <w:rFonts w:hint="default" w:ascii="Times New Roman" w:hAnsi="Times New Roman" w:eastAsia="方正仿宋_GBK" w:cs="Times New Roman"/>
                <w:color w:val="000000"/>
                <w:kern w:val="0"/>
                <w:sz w:val="24"/>
                <w:szCs w:val="24"/>
                <w:lang w:val="en-US" w:eastAsia="zh-CN" w:bidi="ar"/>
              </w:rPr>
              <w:t>〔202</w:t>
            </w:r>
            <w:r>
              <w:rPr>
                <w:rFonts w:hint="eastAsia" w:ascii="Times New Roman" w:hAnsi="Times New Roman" w:eastAsia="方正仿宋_GBK" w:cs="Times New Roman"/>
                <w:color w:val="000000"/>
                <w:kern w:val="0"/>
                <w:sz w:val="24"/>
                <w:szCs w:val="24"/>
                <w:lang w:val="en-US" w:eastAsia="zh-CN" w:bidi="ar"/>
              </w:rPr>
              <w:t>4</w:t>
            </w:r>
            <w:r>
              <w:rPr>
                <w:rFonts w:hint="default" w:ascii="Times New Roman" w:hAnsi="Times New Roman" w:eastAsia="方正仿宋_GBK" w:cs="Times New Roman"/>
                <w:color w:val="000000"/>
                <w:kern w:val="0"/>
                <w:sz w:val="24"/>
                <w:szCs w:val="24"/>
                <w:lang w:val="en-US" w:eastAsia="zh-CN" w:bidi="ar"/>
              </w:rPr>
              <w:t>〕</w:t>
            </w:r>
            <w:r>
              <w:rPr>
                <w:rFonts w:hint="eastAsia" w:ascii="Times New Roman" w:hAnsi="Times New Roman" w:eastAsia="方正仿宋_GBK" w:cs="Times New Roman"/>
                <w:color w:val="000000"/>
                <w:kern w:val="0"/>
                <w:sz w:val="24"/>
                <w:szCs w:val="24"/>
                <w:lang w:val="en-US" w:eastAsia="zh-CN" w:bidi="ar"/>
              </w:rPr>
              <w:t>91</w:t>
            </w:r>
            <w:r>
              <w:rPr>
                <w:rFonts w:hint="default" w:ascii="Times New Roman" w:hAnsi="Times New Roman" w:eastAsia="方正仿宋_GBK" w:cs="Times New Roman"/>
                <w:color w:val="000000"/>
                <w:kern w:val="0"/>
                <w:sz w:val="24"/>
                <w:szCs w:val="24"/>
                <w:lang w:val="en-US" w:eastAsia="zh-CN" w:bidi="ar"/>
              </w:rPr>
              <w:t>号</w:t>
            </w:r>
            <w:r>
              <w:rPr>
                <w:rFonts w:hint="eastAsia" w:ascii="Times New Roman" w:hAnsi="Times New Roman" w:eastAsia="方正仿宋_GBK" w:cs="Times New Roman"/>
                <w:color w:val="000000"/>
                <w:kern w:val="0"/>
                <w:sz w:val="24"/>
                <w:szCs w:val="24"/>
                <w:lang w:val="en-US" w:eastAsia="zh-CN" w:bidi="ar"/>
              </w:rPr>
              <w:t>）</w:t>
            </w:r>
          </w:p>
        </w:tc>
      </w:tr>
      <w:tr w14:paraId="57BC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827" w:type="dxa"/>
            <w:vMerge w:val="restart"/>
            <w:noWrap w:val="0"/>
            <w:vAlign w:val="center"/>
          </w:tcPr>
          <w:p w14:paraId="25E7AB2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方正黑体_GBK"/>
                <w:color w:val="000000"/>
                <w:kern w:val="0"/>
                <w:sz w:val="24"/>
                <w:szCs w:val="24"/>
                <w:highlight w:val="none"/>
                <w:vertAlign w:val="baseline"/>
                <w:lang w:val="en-US" w:eastAsia="zh-CN" w:bidi="ar"/>
              </w:rPr>
            </w:pPr>
            <w:r>
              <w:rPr>
                <w:rFonts w:hint="eastAsia" w:ascii="Times New Roman" w:hAnsi="Times New Roman" w:eastAsia="方正黑体_GBK" w:cs="Times New Roman"/>
                <w:color w:val="000000"/>
                <w:kern w:val="0"/>
                <w:sz w:val="24"/>
                <w:szCs w:val="24"/>
                <w:highlight w:val="none"/>
                <w:vertAlign w:val="baseline"/>
                <w:lang w:val="en-US" w:eastAsia="zh-CN" w:bidi="ar"/>
              </w:rPr>
              <w:t>4</w:t>
            </w:r>
          </w:p>
        </w:tc>
        <w:tc>
          <w:tcPr>
            <w:tcW w:w="1298" w:type="dxa"/>
            <w:vMerge w:val="restart"/>
            <w:noWrap w:val="0"/>
            <w:vAlign w:val="center"/>
          </w:tcPr>
          <w:p w14:paraId="34DF39B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强化科创资源服务供给</w:t>
            </w:r>
          </w:p>
        </w:tc>
        <w:tc>
          <w:tcPr>
            <w:tcW w:w="5686" w:type="dxa"/>
            <w:noWrap w:val="0"/>
            <w:vAlign w:val="center"/>
          </w:tcPr>
          <w:p w14:paraId="6C592E9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eastAsia" w:ascii="Times New Roman" w:hAnsi="Times New Roman" w:eastAsia="方正仿宋_GBK" w:cs="Times New Roman"/>
                <w:color w:val="000000"/>
                <w:kern w:val="0"/>
                <w:sz w:val="24"/>
                <w:szCs w:val="24"/>
                <w:highlight w:val="none"/>
                <w:lang w:val="en-US" w:eastAsia="zh-CN" w:bidi="ar"/>
              </w:rPr>
              <w:t>（5）</w:t>
            </w:r>
            <w:r>
              <w:rPr>
                <w:rFonts w:hint="default" w:ascii="Times New Roman" w:hAnsi="Times New Roman" w:eastAsia="方正仿宋_GBK" w:cs="Times New Roman"/>
                <w:color w:val="000000"/>
                <w:kern w:val="0"/>
                <w:sz w:val="24"/>
                <w:szCs w:val="24"/>
                <w:highlight w:val="none"/>
                <w:lang w:val="en-US" w:eastAsia="zh-CN" w:bidi="ar"/>
              </w:rPr>
              <w:t>实施企业科技特派员团行动，每年选派国</w:t>
            </w:r>
            <w:r>
              <w:rPr>
                <w:rFonts w:hint="eastAsia" w:ascii="Times New Roman" w:hAnsi="Times New Roman" w:eastAsia="方正仿宋_GBK" w:cs="方正仿宋_GBK"/>
                <w:color w:val="000000"/>
                <w:kern w:val="0"/>
                <w:sz w:val="24"/>
                <w:szCs w:val="24"/>
                <w:highlight w:val="none"/>
                <w:lang w:val="en-US" w:eastAsia="zh-CN" w:bidi="ar"/>
              </w:rPr>
              <w:t>家“三区”人才和市级科技特派员，为企业开展科技服务。</w:t>
            </w:r>
          </w:p>
        </w:tc>
        <w:tc>
          <w:tcPr>
            <w:tcW w:w="1719" w:type="dxa"/>
            <w:noWrap w:val="0"/>
            <w:vAlign w:val="center"/>
          </w:tcPr>
          <w:p w14:paraId="1DAE3FF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000000"/>
                <w:kern w:val="0"/>
                <w:sz w:val="24"/>
                <w:szCs w:val="24"/>
                <w:highlight w:val="none"/>
                <w:lang w:val="en-US" w:eastAsia="zh-CN" w:bidi="ar"/>
              </w:rPr>
              <w:t>县经济信息委</w:t>
            </w:r>
          </w:p>
        </w:tc>
        <w:tc>
          <w:tcPr>
            <w:tcW w:w="967" w:type="dxa"/>
            <w:noWrap w:val="0"/>
            <w:vAlign w:val="center"/>
          </w:tcPr>
          <w:p w14:paraId="402A580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000000"/>
                <w:kern w:val="0"/>
                <w:sz w:val="24"/>
                <w:szCs w:val="24"/>
                <w:lang w:eastAsia="zh-CN" w:bidi="ar"/>
              </w:rPr>
              <w:t>赵静</w:t>
            </w:r>
          </w:p>
        </w:tc>
        <w:tc>
          <w:tcPr>
            <w:tcW w:w="1654" w:type="dxa"/>
            <w:noWrap w:val="0"/>
            <w:vAlign w:val="center"/>
          </w:tcPr>
          <w:p w14:paraId="100C29E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000000"/>
                <w:kern w:val="0"/>
                <w:sz w:val="24"/>
                <w:szCs w:val="24"/>
                <w:lang w:eastAsia="zh-CN" w:bidi="ar"/>
              </w:rPr>
              <w:t>13752889092</w:t>
            </w:r>
          </w:p>
        </w:tc>
        <w:tc>
          <w:tcPr>
            <w:tcW w:w="2888" w:type="dxa"/>
            <w:noWrap w:val="0"/>
            <w:vAlign w:val="center"/>
          </w:tcPr>
          <w:p w14:paraId="763F52B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eastAsia="zh-CN" w:bidi="ar"/>
              </w:rPr>
            </w:pPr>
            <w:r>
              <w:rPr>
                <w:rFonts w:hint="eastAsia" w:ascii="Times New Roman" w:hAnsi="Times New Roman" w:eastAsia="方正仿宋_GBK" w:cs="Times New Roman"/>
                <w:color w:val="000000"/>
                <w:kern w:val="0"/>
                <w:sz w:val="24"/>
                <w:szCs w:val="24"/>
                <w:lang w:val="en-US" w:eastAsia="zh-CN" w:bidi="ar"/>
              </w:rPr>
              <w:t>《关于印发城口县支持科技创新十五条政策的通知》（城府办发</w:t>
            </w:r>
            <w:r>
              <w:rPr>
                <w:rFonts w:hint="default" w:ascii="Times New Roman" w:hAnsi="Times New Roman" w:eastAsia="方正仿宋_GBK" w:cs="Times New Roman"/>
                <w:color w:val="000000"/>
                <w:kern w:val="0"/>
                <w:sz w:val="24"/>
                <w:szCs w:val="24"/>
                <w:lang w:val="en-US" w:eastAsia="zh-CN" w:bidi="ar"/>
              </w:rPr>
              <w:t>〔202</w:t>
            </w:r>
            <w:r>
              <w:rPr>
                <w:rFonts w:hint="eastAsia" w:ascii="Times New Roman" w:hAnsi="Times New Roman" w:eastAsia="方正仿宋_GBK" w:cs="Times New Roman"/>
                <w:color w:val="000000"/>
                <w:kern w:val="0"/>
                <w:sz w:val="24"/>
                <w:szCs w:val="24"/>
                <w:lang w:val="en-US" w:eastAsia="zh-CN" w:bidi="ar"/>
              </w:rPr>
              <w:t>4</w:t>
            </w:r>
            <w:r>
              <w:rPr>
                <w:rFonts w:hint="default" w:ascii="Times New Roman" w:hAnsi="Times New Roman" w:eastAsia="方正仿宋_GBK" w:cs="Times New Roman"/>
                <w:color w:val="000000"/>
                <w:kern w:val="0"/>
                <w:sz w:val="24"/>
                <w:szCs w:val="24"/>
                <w:lang w:val="en-US" w:eastAsia="zh-CN" w:bidi="ar"/>
              </w:rPr>
              <w:t>〕</w:t>
            </w:r>
            <w:r>
              <w:rPr>
                <w:rFonts w:hint="eastAsia" w:ascii="Times New Roman" w:hAnsi="Times New Roman" w:eastAsia="方正仿宋_GBK" w:cs="Times New Roman"/>
                <w:color w:val="000000"/>
                <w:kern w:val="0"/>
                <w:sz w:val="24"/>
                <w:szCs w:val="24"/>
                <w:lang w:val="en-US" w:eastAsia="zh-CN" w:bidi="ar"/>
              </w:rPr>
              <w:t>91</w:t>
            </w:r>
            <w:r>
              <w:rPr>
                <w:rFonts w:hint="default" w:ascii="Times New Roman" w:hAnsi="Times New Roman" w:eastAsia="方正仿宋_GBK" w:cs="Times New Roman"/>
                <w:color w:val="000000"/>
                <w:kern w:val="0"/>
                <w:sz w:val="24"/>
                <w:szCs w:val="24"/>
                <w:lang w:val="en-US" w:eastAsia="zh-CN" w:bidi="ar"/>
              </w:rPr>
              <w:t>号</w:t>
            </w:r>
            <w:r>
              <w:rPr>
                <w:rFonts w:hint="eastAsia" w:ascii="Times New Roman" w:hAnsi="Times New Roman" w:eastAsia="方正仿宋_GBK" w:cs="Times New Roman"/>
                <w:color w:val="000000"/>
                <w:kern w:val="0"/>
                <w:sz w:val="24"/>
                <w:szCs w:val="24"/>
                <w:lang w:val="en-US" w:eastAsia="zh-CN" w:bidi="ar"/>
              </w:rPr>
              <w:t>）</w:t>
            </w:r>
          </w:p>
        </w:tc>
      </w:tr>
      <w:tr w14:paraId="167A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827" w:type="dxa"/>
            <w:vMerge w:val="continue"/>
            <w:noWrap w:val="0"/>
            <w:vAlign w:val="center"/>
          </w:tcPr>
          <w:p w14:paraId="34331D7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p>
        </w:tc>
        <w:tc>
          <w:tcPr>
            <w:tcW w:w="1298" w:type="dxa"/>
            <w:vMerge w:val="continue"/>
            <w:noWrap w:val="0"/>
            <w:vAlign w:val="center"/>
          </w:tcPr>
          <w:p w14:paraId="7C94DDB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48296FE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000000"/>
                <w:kern w:val="0"/>
                <w:sz w:val="24"/>
                <w:szCs w:val="24"/>
                <w:highlight w:val="none"/>
                <w:lang w:val="en-US" w:eastAsia="zh-CN" w:bidi="ar"/>
              </w:rPr>
              <w:t>（6）</w:t>
            </w:r>
            <w:r>
              <w:rPr>
                <w:rFonts w:hint="eastAsia" w:ascii="Times New Roman" w:hAnsi="Times New Roman" w:eastAsia="方正仿宋_GBK" w:cs="方正仿宋_GBK"/>
                <w:color w:val="000000"/>
                <w:kern w:val="0"/>
                <w:sz w:val="24"/>
                <w:szCs w:val="24"/>
                <w:highlight w:val="none"/>
                <w:lang w:val="en-US" w:eastAsia="zh-CN" w:bidi="ar"/>
              </w:rPr>
              <w:t>组织民营企业参加“渝跃行动”、新重庆引才计划和“百万人才兴重庆”等引才活动</w:t>
            </w:r>
            <w:r>
              <w:rPr>
                <w:rFonts w:hint="default" w:ascii="Times New Roman" w:hAnsi="Times New Roman" w:eastAsia="方正仿宋_GBK" w:cs="Times New Roman"/>
                <w:color w:val="000000"/>
                <w:kern w:val="0"/>
                <w:sz w:val="24"/>
                <w:szCs w:val="24"/>
                <w:highlight w:val="none"/>
                <w:lang w:val="en-US" w:eastAsia="zh-CN" w:bidi="ar"/>
              </w:rPr>
              <w:t>，为民营企业引育更多高层次人才和创新团队。</w:t>
            </w:r>
          </w:p>
        </w:tc>
        <w:tc>
          <w:tcPr>
            <w:tcW w:w="1719" w:type="dxa"/>
            <w:noWrap w:val="0"/>
            <w:vAlign w:val="center"/>
          </w:tcPr>
          <w:p w14:paraId="0EEAF51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000000"/>
                <w:kern w:val="0"/>
                <w:sz w:val="24"/>
                <w:szCs w:val="24"/>
                <w:highlight w:val="none"/>
                <w:lang w:val="en-US" w:eastAsia="zh-CN" w:bidi="ar"/>
              </w:rPr>
              <w:t>县人力社保局</w:t>
            </w:r>
          </w:p>
        </w:tc>
        <w:tc>
          <w:tcPr>
            <w:tcW w:w="967" w:type="dxa"/>
            <w:noWrap w:val="0"/>
            <w:vAlign w:val="center"/>
          </w:tcPr>
          <w:p w14:paraId="06B3D5C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陈昌润</w:t>
            </w:r>
          </w:p>
        </w:tc>
        <w:tc>
          <w:tcPr>
            <w:tcW w:w="1654" w:type="dxa"/>
            <w:noWrap w:val="0"/>
            <w:vAlign w:val="center"/>
          </w:tcPr>
          <w:p w14:paraId="55ED4A8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auto"/>
                <w:kern w:val="0"/>
                <w:sz w:val="24"/>
                <w:szCs w:val="24"/>
                <w:highlight w:val="none"/>
                <w:lang w:val="en-US" w:eastAsia="zh-CN" w:bidi="ar"/>
              </w:rPr>
              <w:t>59225936</w:t>
            </w:r>
          </w:p>
        </w:tc>
        <w:tc>
          <w:tcPr>
            <w:tcW w:w="2888" w:type="dxa"/>
            <w:noWrap w:val="0"/>
            <w:vAlign w:val="center"/>
          </w:tcPr>
          <w:p w14:paraId="7A958DBB">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07B6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827" w:type="dxa"/>
            <w:vMerge w:val="continue"/>
            <w:noWrap w:val="0"/>
            <w:vAlign w:val="center"/>
          </w:tcPr>
          <w:p w14:paraId="64B4713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p>
        </w:tc>
        <w:tc>
          <w:tcPr>
            <w:tcW w:w="1298" w:type="dxa"/>
            <w:vMerge w:val="continue"/>
            <w:noWrap w:val="0"/>
            <w:vAlign w:val="center"/>
          </w:tcPr>
          <w:p w14:paraId="6A1225A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40E7330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Times New Roman" w:hAnsi="Times New Roman" w:eastAsia="方正仿宋_GBK" w:cs="方正仿宋_GBK"/>
                <w:color w:val="000000"/>
                <w:kern w:val="0"/>
                <w:sz w:val="24"/>
                <w:szCs w:val="24"/>
                <w:highlight w:val="none"/>
                <w:lang w:val="en-US" w:eastAsia="zh-CN" w:bidi="ar"/>
              </w:rPr>
            </w:pPr>
            <w:r>
              <w:rPr>
                <w:rFonts w:hint="eastAsia" w:ascii="Times New Roman" w:hAnsi="Times New Roman" w:eastAsia="方正仿宋_GBK" w:cs="Times New Roman"/>
                <w:color w:val="000000"/>
                <w:kern w:val="0"/>
                <w:sz w:val="24"/>
                <w:szCs w:val="24"/>
                <w:highlight w:val="none"/>
                <w:lang w:val="en-US" w:eastAsia="zh-CN" w:bidi="ar"/>
              </w:rPr>
              <w:t>（7）</w:t>
            </w:r>
            <w:r>
              <w:rPr>
                <w:rFonts w:hint="default" w:ascii="Times New Roman" w:hAnsi="Times New Roman" w:eastAsia="方正仿宋_GBK" w:cs="Times New Roman"/>
                <w:color w:val="000000"/>
                <w:kern w:val="0"/>
                <w:sz w:val="24"/>
                <w:szCs w:val="24"/>
                <w:highlight w:val="none"/>
                <w:lang w:val="en-US" w:eastAsia="zh-CN" w:bidi="ar"/>
              </w:rPr>
              <w:t>落实科技创新和技术改造再贷款等支持政策，推动科技型企业贷款支持户数有所增长。</w:t>
            </w:r>
          </w:p>
        </w:tc>
        <w:tc>
          <w:tcPr>
            <w:tcW w:w="1719" w:type="dxa"/>
            <w:noWrap w:val="0"/>
            <w:vAlign w:val="center"/>
          </w:tcPr>
          <w:p w14:paraId="1EA79D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人行万州分行城口营管部</w:t>
            </w:r>
          </w:p>
        </w:tc>
        <w:tc>
          <w:tcPr>
            <w:tcW w:w="967" w:type="dxa"/>
            <w:noWrap w:val="0"/>
            <w:vAlign w:val="center"/>
          </w:tcPr>
          <w:p w14:paraId="0EB8642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李鸿垚</w:t>
            </w:r>
          </w:p>
        </w:tc>
        <w:tc>
          <w:tcPr>
            <w:tcW w:w="1654" w:type="dxa"/>
            <w:noWrap w:val="0"/>
            <w:vAlign w:val="center"/>
          </w:tcPr>
          <w:p w14:paraId="788CF3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auto"/>
                <w:kern w:val="0"/>
                <w:sz w:val="24"/>
                <w:szCs w:val="24"/>
                <w:highlight w:val="none"/>
                <w:lang w:val="en-US" w:eastAsia="zh-CN" w:bidi="ar"/>
              </w:rPr>
              <w:t>59</w:t>
            </w:r>
            <w:r>
              <w:rPr>
                <w:rFonts w:hint="eastAsia" w:ascii="Times New Roman" w:hAnsi="Times New Roman" w:eastAsia="方正仿宋_GBK" w:cs="Times New Roman"/>
                <w:color w:val="auto"/>
                <w:kern w:val="0"/>
                <w:sz w:val="24"/>
                <w:szCs w:val="24"/>
                <w:highlight w:val="none"/>
                <w:lang w:val="en-US" w:eastAsia="zh-CN" w:bidi="ar"/>
              </w:rPr>
              <w:t>5</w:t>
            </w:r>
            <w:r>
              <w:rPr>
                <w:rFonts w:hint="default" w:ascii="Times New Roman" w:hAnsi="Times New Roman" w:eastAsia="方正仿宋_GBK" w:cs="Times New Roman"/>
                <w:color w:val="auto"/>
                <w:kern w:val="0"/>
                <w:sz w:val="24"/>
                <w:szCs w:val="24"/>
                <w:highlight w:val="none"/>
                <w:lang w:val="en-US" w:eastAsia="zh-CN" w:bidi="ar"/>
              </w:rPr>
              <w:t>00955</w:t>
            </w:r>
          </w:p>
        </w:tc>
        <w:tc>
          <w:tcPr>
            <w:tcW w:w="2888" w:type="dxa"/>
            <w:noWrap w:val="0"/>
            <w:vAlign w:val="center"/>
          </w:tcPr>
          <w:p w14:paraId="7A0F05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关于设立科技创新和技术改造再贷款有关事宜的通知</w:t>
            </w:r>
            <w:r>
              <w:rPr>
                <w:rFonts w:hint="eastAsia" w:ascii="Times New Roman" w:hAnsi="Times New Roman" w:eastAsia="方正仿宋_GBK"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渝银翻印〔2024〕57号</w:t>
            </w:r>
            <w:r>
              <w:rPr>
                <w:rFonts w:hint="eastAsia" w:ascii="Times New Roman" w:hAnsi="Times New Roman" w:eastAsia="方正仿宋_GBK" w:cs="Times New Roman"/>
                <w:color w:val="auto"/>
                <w:kern w:val="0"/>
                <w:sz w:val="24"/>
                <w:szCs w:val="24"/>
                <w:highlight w:val="none"/>
                <w:lang w:val="en-US" w:eastAsia="zh-CN" w:bidi="ar"/>
              </w:rPr>
              <w:t>）</w:t>
            </w:r>
          </w:p>
        </w:tc>
      </w:tr>
      <w:tr w14:paraId="75B5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39" w:type="dxa"/>
            <w:gridSpan w:val="7"/>
            <w:noWrap w:val="0"/>
            <w:vAlign w:val="center"/>
          </w:tcPr>
          <w:p w14:paraId="09114E6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eastAsia="zh-CN" w:bidi="ar"/>
              </w:rPr>
            </w:pPr>
            <w:r>
              <w:rPr>
                <w:rFonts w:hint="eastAsia" w:ascii="Times New Roman" w:hAnsi="Times New Roman" w:eastAsia="方正黑体_GBK" w:cs="方正黑体_GBK"/>
                <w:color w:val="000000"/>
                <w:kern w:val="0"/>
                <w:sz w:val="24"/>
                <w:szCs w:val="24"/>
                <w:lang w:eastAsia="zh-CN" w:bidi="ar"/>
              </w:rPr>
              <w:t>二、</w:t>
            </w:r>
            <w:r>
              <w:rPr>
                <w:rFonts w:hint="eastAsia" w:ascii="Times New Roman" w:hAnsi="Times New Roman" w:eastAsia="方正黑体_GBK" w:cs="方正黑体_GBK"/>
                <w:sz w:val="24"/>
                <w:szCs w:val="24"/>
              </w:rPr>
              <w:t>增强民营经济发展动能</w:t>
            </w:r>
          </w:p>
        </w:tc>
      </w:tr>
      <w:tr w14:paraId="0555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8" w:hRule="atLeast"/>
          <w:jc w:val="center"/>
        </w:trPr>
        <w:tc>
          <w:tcPr>
            <w:tcW w:w="827" w:type="dxa"/>
            <w:vMerge w:val="restart"/>
            <w:noWrap w:val="0"/>
            <w:vAlign w:val="center"/>
          </w:tcPr>
          <w:p w14:paraId="54A1EC0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5</w:t>
            </w:r>
          </w:p>
        </w:tc>
        <w:tc>
          <w:tcPr>
            <w:tcW w:w="1298" w:type="dxa"/>
            <w:vMerge w:val="restart"/>
            <w:noWrap w:val="0"/>
            <w:vAlign w:val="center"/>
          </w:tcPr>
          <w:p w14:paraId="781D3C4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r>
              <w:rPr>
                <w:rFonts w:hint="default" w:ascii="Times New Roman" w:hAnsi="Times New Roman" w:eastAsia="方正仿宋_GBK" w:cs="Times New Roman"/>
                <w:b/>
                <w:bCs/>
                <w:color w:val="000000"/>
                <w:kern w:val="0"/>
                <w:sz w:val="24"/>
                <w:szCs w:val="24"/>
                <w:lang w:val="en-US" w:eastAsia="zh-CN" w:bidi="ar"/>
              </w:rPr>
              <w:t>积极融入制造业高质量发展体系</w:t>
            </w:r>
          </w:p>
        </w:tc>
        <w:tc>
          <w:tcPr>
            <w:tcW w:w="5686" w:type="dxa"/>
            <w:noWrap w:val="0"/>
            <w:vAlign w:val="center"/>
          </w:tcPr>
          <w:p w14:paraId="77F51FF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（8）</w:t>
            </w:r>
            <w:r>
              <w:rPr>
                <w:rFonts w:hint="default" w:ascii="Times New Roman" w:hAnsi="Times New Roman" w:eastAsia="方正仿宋_GBK" w:cs="Times New Roman"/>
                <w:color w:val="000000"/>
                <w:kern w:val="0"/>
                <w:sz w:val="24"/>
                <w:szCs w:val="24"/>
                <w:lang w:val="en-US" w:eastAsia="zh-CN" w:bidi="ar"/>
              </w:rPr>
              <w:t>支持民营企业融入全市“33618”现代制造业集群体系，指导申报工业和信息化领域重点专项项目。支持民营企业在参与“1+3+N”制造业高质量发展体系建设中发展壮大自身规模实力，培育壮大一批民营龙头企业、行业领军企业、产业链主企业。支持民营企业投资绿色建材、新材料、现代中药等领域重点项目，按规定择优给予补助。</w:t>
            </w:r>
          </w:p>
        </w:tc>
        <w:tc>
          <w:tcPr>
            <w:tcW w:w="1719" w:type="dxa"/>
            <w:noWrap w:val="0"/>
            <w:vAlign w:val="center"/>
          </w:tcPr>
          <w:p w14:paraId="77EA8B2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val="en-US" w:eastAsia="zh-CN" w:bidi="ar"/>
              </w:rPr>
              <w:t>县经济信息委</w:t>
            </w:r>
          </w:p>
        </w:tc>
        <w:tc>
          <w:tcPr>
            <w:tcW w:w="967" w:type="dxa"/>
            <w:noWrap w:val="0"/>
            <w:vAlign w:val="center"/>
          </w:tcPr>
          <w:p w14:paraId="34C0CBC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eastAsia="zh-CN" w:bidi="ar"/>
              </w:rPr>
              <w:t>夏娇</w:t>
            </w:r>
          </w:p>
        </w:tc>
        <w:tc>
          <w:tcPr>
            <w:tcW w:w="1654" w:type="dxa"/>
            <w:noWrap w:val="0"/>
            <w:vAlign w:val="center"/>
          </w:tcPr>
          <w:p w14:paraId="7481152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eastAsia="zh-CN" w:bidi="ar"/>
              </w:rPr>
              <w:t>15310507868</w:t>
            </w:r>
          </w:p>
        </w:tc>
        <w:tc>
          <w:tcPr>
            <w:tcW w:w="2888" w:type="dxa"/>
            <w:noWrap w:val="0"/>
            <w:vAlign w:val="center"/>
          </w:tcPr>
          <w:p w14:paraId="2FA5F25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eastAsia="zh-CN" w:bidi="ar"/>
              </w:rPr>
              <w:t>《关于印发深入推进新时代新征程新城口制造业高质量发展行动方案（2023-2027年）的通知》</w:t>
            </w:r>
            <w:r>
              <w:rPr>
                <w:rFonts w:hint="eastAsia" w:ascii="Times New Roman" w:hAnsi="Times New Roman" w:eastAsia="方正仿宋_GBK" w:cs="Times New Roman"/>
                <w:color w:val="000000"/>
                <w:kern w:val="0"/>
                <w:sz w:val="24"/>
                <w:szCs w:val="24"/>
                <w:lang w:val="en-US" w:eastAsia="zh-CN" w:bidi="ar"/>
              </w:rPr>
              <w:t>（城委办发</w:t>
            </w:r>
            <w:r>
              <w:rPr>
                <w:rFonts w:hint="default" w:ascii="Times New Roman" w:hAnsi="Times New Roman" w:eastAsia="方正仿宋_GBK" w:cs="Times New Roman"/>
                <w:color w:val="000000"/>
                <w:kern w:val="0"/>
                <w:sz w:val="24"/>
                <w:szCs w:val="24"/>
                <w:lang w:val="en-US" w:eastAsia="zh-CN" w:bidi="ar"/>
              </w:rPr>
              <w:t>〔202</w:t>
            </w:r>
            <w:r>
              <w:rPr>
                <w:rFonts w:hint="eastAsia" w:ascii="Times New Roman" w:hAnsi="Times New Roman" w:eastAsia="方正仿宋_GBK" w:cs="Times New Roman"/>
                <w:color w:val="000000"/>
                <w:kern w:val="0"/>
                <w:sz w:val="24"/>
                <w:szCs w:val="24"/>
                <w:lang w:val="en-US" w:eastAsia="zh-CN" w:bidi="ar"/>
              </w:rPr>
              <w:t>3</w:t>
            </w:r>
            <w:r>
              <w:rPr>
                <w:rFonts w:hint="default" w:ascii="Times New Roman" w:hAnsi="Times New Roman" w:eastAsia="方正仿宋_GBK" w:cs="Times New Roman"/>
                <w:color w:val="000000"/>
                <w:kern w:val="0"/>
                <w:sz w:val="24"/>
                <w:szCs w:val="24"/>
                <w:lang w:val="en-US" w:eastAsia="zh-CN" w:bidi="ar"/>
              </w:rPr>
              <w:t>〕</w:t>
            </w:r>
            <w:r>
              <w:rPr>
                <w:rFonts w:hint="eastAsia" w:ascii="Times New Roman" w:hAnsi="Times New Roman" w:eastAsia="方正仿宋_GBK" w:cs="Times New Roman"/>
                <w:color w:val="000000"/>
                <w:kern w:val="0"/>
                <w:sz w:val="24"/>
                <w:szCs w:val="24"/>
                <w:lang w:val="en-US" w:eastAsia="zh-CN" w:bidi="ar"/>
              </w:rPr>
              <w:t>11</w:t>
            </w:r>
            <w:r>
              <w:rPr>
                <w:rFonts w:hint="default" w:ascii="Times New Roman" w:hAnsi="Times New Roman" w:eastAsia="方正仿宋_GBK" w:cs="Times New Roman"/>
                <w:color w:val="000000"/>
                <w:kern w:val="0"/>
                <w:sz w:val="24"/>
                <w:szCs w:val="24"/>
                <w:lang w:val="en-US" w:eastAsia="zh-CN" w:bidi="ar"/>
              </w:rPr>
              <w:t>号</w:t>
            </w:r>
            <w:r>
              <w:rPr>
                <w:rFonts w:hint="eastAsia" w:ascii="Times New Roman" w:hAnsi="Times New Roman" w:eastAsia="方正仿宋_GBK" w:cs="Times New Roman"/>
                <w:color w:val="000000"/>
                <w:kern w:val="0"/>
                <w:sz w:val="24"/>
                <w:szCs w:val="24"/>
                <w:lang w:val="en-US" w:eastAsia="zh-CN" w:bidi="ar"/>
              </w:rPr>
              <w:t>）</w:t>
            </w:r>
          </w:p>
        </w:tc>
      </w:tr>
      <w:tr w14:paraId="6532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continue"/>
            <w:noWrap w:val="0"/>
            <w:vAlign w:val="center"/>
          </w:tcPr>
          <w:p w14:paraId="0A9A16F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4E9D6F6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58D1B61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（9）</w:t>
            </w:r>
            <w:r>
              <w:rPr>
                <w:rFonts w:hint="default" w:ascii="Times New Roman" w:hAnsi="Times New Roman" w:eastAsia="方正仿宋_GBK" w:cs="Times New Roman"/>
                <w:color w:val="000000"/>
                <w:kern w:val="0"/>
                <w:sz w:val="24"/>
                <w:szCs w:val="24"/>
                <w:lang w:val="en-US" w:eastAsia="zh-CN" w:bidi="ar"/>
              </w:rPr>
              <w:t>按规定</w:t>
            </w:r>
            <w:r>
              <w:rPr>
                <w:rFonts w:hint="eastAsia" w:ascii="Times New Roman" w:hAnsi="Times New Roman" w:eastAsia="方正仿宋_GBK" w:cs="Times New Roman"/>
                <w:color w:val="000000"/>
                <w:kern w:val="0"/>
                <w:sz w:val="24"/>
                <w:szCs w:val="24"/>
                <w:lang w:val="en-US" w:eastAsia="zh-CN" w:bidi="ar"/>
              </w:rPr>
              <w:t>对发展</w:t>
            </w:r>
            <w:r>
              <w:rPr>
                <w:rFonts w:hint="eastAsia" w:ascii="Times New Roman" w:hAnsi="Times New Roman" w:eastAsia="方正仿宋_GBK" w:cs="方正仿宋_GBK"/>
                <w:color w:val="000000"/>
                <w:kern w:val="0"/>
                <w:sz w:val="24"/>
                <w:szCs w:val="24"/>
                <w:lang w:val="en-US" w:eastAsia="zh-CN" w:bidi="ar"/>
              </w:rPr>
              <w:t>城口老腊肉、中药材、城口山地鸡等“一主两辅多支撑”优势特色产业的农业企业、农民合作社、家庭农场</w:t>
            </w:r>
            <w:r>
              <w:rPr>
                <w:rFonts w:hint="default" w:ascii="Times New Roman" w:hAnsi="Times New Roman" w:eastAsia="方正仿宋_GBK" w:cs="Times New Roman"/>
                <w:color w:val="000000"/>
                <w:kern w:val="0"/>
                <w:sz w:val="24"/>
                <w:szCs w:val="24"/>
                <w:lang w:val="en-US" w:eastAsia="zh-CN" w:bidi="ar"/>
              </w:rPr>
              <w:t>、农村集体经济合作社、强村公司和农户等给予奖补。</w:t>
            </w:r>
          </w:p>
        </w:tc>
        <w:tc>
          <w:tcPr>
            <w:tcW w:w="1719" w:type="dxa"/>
            <w:noWrap w:val="0"/>
            <w:vAlign w:val="center"/>
          </w:tcPr>
          <w:p w14:paraId="72A2B2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县农业农村委</w:t>
            </w:r>
          </w:p>
          <w:p w14:paraId="6D37BD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lang w:val="en-US" w:eastAsia="zh-CN"/>
              </w:rPr>
            </w:pPr>
            <w:r>
              <w:rPr>
                <w:rFonts w:hint="eastAsia" w:ascii="Times New Roman" w:hAnsi="Times New Roman" w:eastAsia="方正仿宋_GBK" w:cs="Times New Roman"/>
                <w:color w:val="auto"/>
                <w:kern w:val="0"/>
                <w:sz w:val="24"/>
                <w:szCs w:val="24"/>
                <w:highlight w:val="none"/>
                <w:lang w:val="en-US" w:eastAsia="zh-CN" w:bidi="ar"/>
              </w:rPr>
              <w:t>县林业局</w:t>
            </w:r>
          </w:p>
        </w:tc>
        <w:tc>
          <w:tcPr>
            <w:tcW w:w="967" w:type="dxa"/>
            <w:noWrap w:val="0"/>
            <w:vAlign w:val="center"/>
          </w:tcPr>
          <w:p w14:paraId="50152BA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张莉</w:t>
            </w:r>
          </w:p>
        </w:tc>
        <w:tc>
          <w:tcPr>
            <w:tcW w:w="1654" w:type="dxa"/>
            <w:noWrap w:val="0"/>
            <w:vAlign w:val="center"/>
          </w:tcPr>
          <w:p w14:paraId="5418931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18223767263</w:t>
            </w:r>
          </w:p>
        </w:tc>
        <w:tc>
          <w:tcPr>
            <w:tcW w:w="2888" w:type="dxa"/>
            <w:noWrap w:val="0"/>
            <w:vAlign w:val="center"/>
          </w:tcPr>
          <w:p w14:paraId="4359ABE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《关于印发城口县2025年优势特色产业培育行动扶持政策等3个文件的通知》（城委农办〔2025〕2号）</w:t>
            </w:r>
          </w:p>
        </w:tc>
      </w:tr>
      <w:tr w14:paraId="761B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827" w:type="dxa"/>
            <w:vMerge w:val="restart"/>
            <w:noWrap w:val="0"/>
            <w:vAlign w:val="center"/>
          </w:tcPr>
          <w:p w14:paraId="24DA653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highlight w:val="none"/>
                <w:vertAlign w:val="baseline"/>
                <w:lang w:val="en-US" w:eastAsia="zh-CN" w:bidi="ar"/>
              </w:rPr>
            </w:pPr>
            <w:r>
              <w:rPr>
                <w:rFonts w:hint="eastAsia" w:ascii="Times New Roman" w:hAnsi="Times New Roman" w:eastAsia="方正黑体_GBK" w:cs="Times New Roman"/>
                <w:color w:val="000000"/>
                <w:kern w:val="0"/>
                <w:sz w:val="24"/>
                <w:szCs w:val="24"/>
                <w:highlight w:val="none"/>
                <w:vertAlign w:val="baseline"/>
                <w:lang w:val="en-US" w:eastAsia="zh-CN" w:bidi="ar"/>
              </w:rPr>
              <w:t>6</w:t>
            </w:r>
          </w:p>
        </w:tc>
        <w:tc>
          <w:tcPr>
            <w:tcW w:w="1298" w:type="dxa"/>
            <w:vMerge w:val="restart"/>
            <w:noWrap w:val="0"/>
            <w:vAlign w:val="center"/>
          </w:tcPr>
          <w:p w14:paraId="64A48E2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highlight w:val="none"/>
                <w:vertAlign w:val="baseline"/>
                <w:lang w:val="en-US" w:eastAsia="zh-CN" w:bidi="ar"/>
              </w:rPr>
            </w:pPr>
            <w:r>
              <w:rPr>
                <w:rFonts w:hint="eastAsia" w:ascii="Times New Roman" w:hAnsi="Times New Roman" w:eastAsia="方正仿宋_GBK" w:cs="Times New Roman"/>
                <w:b/>
                <w:bCs/>
                <w:color w:val="000000"/>
                <w:kern w:val="0"/>
                <w:sz w:val="24"/>
                <w:szCs w:val="24"/>
                <w:lang w:val="en-US" w:eastAsia="zh-CN" w:bidi="ar"/>
              </w:rPr>
              <w:t>鼓励支持发展现代生产性服务业</w:t>
            </w:r>
          </w:p>
        </w:tc>
        <w:tc>
          <w:tcPr>
            <w:tcW w:w="5686" w:type="dxa"/>
            <w:noWrap w:val="0"/>
            <w:vAlign w:val="center"/>
          </w:tcPr>
          <w:p w14:paraId="04CA02DF">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（10）</w:t>
            </w:r>
            <w:r>
              <w:rPr>
                <w:rFonts w:hint="default" w:ascii="Times New Roman" w:hAnsi="Times New Roman" w:eastAsia="方正仿宋_GBK" w:cs="Times New Roman"/>
                <w:color w:val="000000"/>
                <w:kern w:val="0"/>
                <w:sz w:val="24"/>
                <w:szCs w:val="24"/>
                <w:vertAlign w:val="baseline"/>
                <w:lang w:val="en-US" w:eastAsia="zh-CN" w:bidi="ar"/>
              </w:rPr>
              <w:t>积极争取市级现代生产性服务业专项资金，对生产性服务业重点民营企业给予支持。</w:t>
            </w:r>
          </w:p>
        </w:tc>
        <w:tc>
          <w:tcPr>
            <w:tcW w:w="1719" w:type="dxa"/>
            <w:noWrap w:val="0"/>
            <w:vAlign w:val="center"/>
          </w:tcPr>
          <w:p w14:paraId="4B4E4C4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县发展改革委</w:t>
            </w:r>
          </w:p>
          <w:p w14:paraId="16BC1A2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lang w:val="en-US" w:eastAsia="zh-CN" w:bidi="ar"/>
              </w:rPr>
              <w:t>县级有关部门</w:t>
            </w:r>
          </w:p>
        </w:tc>
        <w:tc>
          <w:tcPr>
            <w:tcW w:w="967" w:type="dxa"/>
            <w:noWrap w:val="0"/>
            <w:vAlign w:val="center"/>
          </w:tcPr>
          <w:p w14:paraId="5BEBC6D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lang w:val="en-US" w:eastAsia="zh-CN"/>
              </w:rPr>
            </w:pPr>
            <w:r>
              <w:rPr>
                <w:rFonts w:hint="eastAsia" w:ascii="Times New Roman" w:hAnsi="Times New Roman" w:eastAsia="方正仿宋_GBK" w:cs="Times New Roman"/>
                <w:color w:val="000000"/>
                <w:kern w:val="0"/>
                <w:sz w:val="24"/>
                <w:szCs w:val="24"/>
                <w:vertAlign w:val="baseline"/>
                <w:lang w:val="en-US" w:eastAsia="zh-CN" w:bidi="ar"/>
              </w:rPr>
              <w:t>王橹堰</w:t>
            </w:r>
          </w:p>
        </w:tc>
        <w:tc>
          <w:tcPr>
            <w:tcW w:w="1654" w:type="dxa"/>
            <w:noWrap w:val="0"/>
            <w:vAlign w:val="center"/>
          </w:tcPr>
          <w:p w14:paraId="0CB1623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17338647266</w:t>
            </w:r>
          </w:p>
        </w:tc>
        <w:tc>
          <w:tcPr>
            <w:tcW w:w="2888" w:type="dxa"/>
            <w:noWrap w:val="0"/>
            <w:vAlign w:val="center"/>
          </w:tcPr>
          <w:p w14:paraId="33FDD91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《关于印发重庆市支持现代生产性服务业高质量发展若干政策措施的通知》（渝发改规范〔2024〕7号）</w:t>
            </w:r>
          </w:p>
        </w:tc>
      </w:tr>
      <w:tr w14:paraId="0B4A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827" w:type="dxa"/>
            <w:vMerge w:val="continue"/>
            <w:noWrap w:val="0"/>
            <w:vAlign w:val="center"/>
          </w:tcPr>
          <w:p w14:paraId="5754763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p>
        </w:tc>
        <w:tc>
          <w:tcPr>
            <w:tcW w:w="1298" w:type="dxa"/>
            <w:vMerge w:val="continue"/>
            <w:noWrap w:val="0"/>
            <w:vAlign w:val="center"/>
          </w:tcPr>
          <w:p w14:paraId="6052C92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6A22EDF8">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（11）</w:t>
            </w:r>
            <w:r>
              <w:rPr>
                <w:rFonts w:hint="default" w:ascii="Times New Roman" w:hAnsi="Times New Roman" w:eastAsia="方正仿宋_GBK" w:cs="Times New Roman"/>
                <w:color w:val="000000"/>
                <w:kern w:val="0"/>
                <w:sz w:val="24"/>
                <w:szCs w:val="24"/>
                <w:vertAlign w:val="baseline"/>
                <w:lang w:val="en-US" w:eastAsia="zh-CN" w:bidi="ar"/>
              </w:rPr>
              <w:t>对成</w:t>
            </w:r>
            <w:r>
              <w:rPr>
                <w:rFonts w:hint="eastAsia" w:ascii="Times New Roman" w:hAnsi="Times New Roman" w:eastAsia="方正仿宋_GBK" w:cs="方正仿宋_GBK"/>
                <w:color w:val="000000"/>
                <w:kern w:val="0"/>
                <w:sz w:val="24"/>
                <w:szCs w:val="24"/>
                <w:vertAlign w:val="baseline"/>
                <w:lang w:val="en-US" w:eastAsia="zh-CN" w:bidi="ar"/>
              </w:rPr>
              <w:t>功“上云上平台”的企业，按</w:t>
            </w:r>
            <w:r>
              <w:rPr>
                <w:rFonts w:hint="default" w:ascii="Times New Roman" w:hAnsi="Times New Roman" w:eastAsia="方正仿宋_GBK" w:cs="Times New Roman"/>
                <w:color w:val="000000"/>
                <w:kern w:val="0"/>
                <w:sz w:val="24"/>
                <w:szCs w:val="24"/>
                <w:vertAlign w:val="baseline"/>
                <w:lang w:val="en-US" w:eastAsia="zh-CN" w:bidi="ar"/>
              </w:rPr>
              <w:t>实际发生建设费用和云资源服务费给予最高不超过5万元的补助，</w:t>
            </w:r>
            <w:r>
              <w:rPr>
                <w:rFonts w:hint="eastAsia" w:ascii="Times New Roman" w:hAnsi="Times New Roman" w:eastAsia="方正仿宋_GBK" w:cs="Times New Roman"/>
                <w:color w:val="000000"/>
                <w:kern w:val="0"/>
                <w:sz w:val="24"/>
                <w:szCs w:val="24"/>
                <w:vertAlign w:val="baseline"/>
                <w:lang w:val="en-US" w:eastAsia="zh-CN" w:bidi="ar"/>
              </w:rPr>
              <w:t>上云</w:t>
            </w:r>
            <w:r>
              <w:rPr>
                <w:rFonts w:hint="default" w:ascii="Times New Roman" w:hAnsi="Times New Roman" w:eastAsia="方正仿宋_GBK" w:cs="Times New Roman"/>
                <w:color w:val="000000"/>
                <w:kern w:val="0"/>
                <w:sz w:val="24"/>
                <w:szCs w:val="24"/>
                <w:vertAlign w:val="baseline"/>
                <w:lang w:val="en-US" w:eastAsia="zh-CN" w:bidi="ar"/>
              </w:rPr>
              <w:t>当年兑现50%，第二年和第三年分别兑现30%和20%。</w:t>
            </w:r>
          </w:p>
        </w:tc>
        <w:tc>
          <w:tcPr>
            <w:tcW w:w="1719" w:type="dxa"/>
            <w:noWrap w:val="0"/>
            <w:vAlign w:val="center"/>
          </w:tcPr>
          <w:p w14:paraId="607012F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县经济信息委</w:t>
            </w:r>
          </w:p>
        </w:tc>
        <w:tc>
          <w:tcPr>
            <w:tcW w:w="967" w:type="dxa"/>
            <w:noWrap w:val="0"/>
            <w:vAlign w:val="center"/>
          </w:tcPr>
          <w:p w14:paraId="2A02DEE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eastAsia="zh-CN" w:bidi="ar"/>
              </w:rPr>
              <w:t>王赟薇</w:t>
            </w:r>
          </w:p>
        </w:tc>
        <w:tc>
          <w:tcPr>
            <w:tcW w:w="1654" w:type="dxa"/>
            <w:noWrap w:val="0"/>
            <w:vAlign w:val="center"/>
          </w:tcPr>
          <w:p w14:paraId="6A0FF4E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eastAsia="zh-CN" w:bidi="ar"/>
              </w:rPr>
              <w:t>19923530196</w:t>
            </w:r>
          </w:p>
        </w:tc>
        <w:tc>
          <w:tcPr>
            <w:tcW w:w="2888" w:type="dxa"/>
            <w:noWrap w:val="0"/>
            <w:vAlign w:val="center"/>
          </w:tcPr>
          <w:p w14:paraId="146BB71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eastAsia="zh-CN" w:bidi="ar"/>
              </w:rPr>
            </w:pPr>
            <w:r>
              <w:rPr>
                <w:rFonts w:hint="eastAsia" w:ascii="Times New Roman" w:hAnsi="Times New Roman" w:eastAsia="方正仿宋_GBK" w:cs="Times New Roman"/>
                <w:color w:val="000000"/>
                <w:kern w:val="0"/>
                <w:sz w:val="24"/>
                <w:szCs w:val="24"/>
                <w:lang w:val="en-US" w:eastAsia="zh-CN" w:bidi="ar"/>
              </w:rPr>
              <w:t>《关于印发城口县支持科技创新十五条政策的通知》（城府办发</w:t>
            </w:r>
            <w:r>
              <w:rPr>
                <w:rFonts w:hint="default" w:ascii="Times New Roman" w:hAnsi="Times New Roman" w:eastAsia="方正仿宋_GBK" w:cs="Times New Roman"/>
                <w:color w:val="000000"/>
                <w:kern w:val="0"/>
                <w:sz w:val="24"/>
                <w:szCs w:val="24"/>
                <w:lang w:val="en-US" w:eastAsia="zh-CN" w:bidi="ar"/>
              </w:rPr>
              <w:t>〔202</w:t>
            </w:r>
            <w:r>
              <w:rPr>
                <w:rFonts w:hint="eastAsia" w:ascii="Times New Roman" w:hAnsi="Times New Roman" w:eastAsia="方正仿宋_GBK" w:cs="Times New Roman"/>
                <w:color w:val="000000"/>
                <w:kern w:val="0"/>
                <w:sz w:val="24"/>
                <w:szCs w:val="24"/>
                <w:lang w:val="en-US" w:eastAsia="zh-CN" w:bidi="ar"/>
              </w:rPr>
              <w:t>4</w:t>
            </w:r>
            <w:r>
              <w:rPr>
                <w:rFonts w:hint="default" w:ascii="Times New Roman" w:hAnsi="Times New Roman" w:eastAsia="方正仿宋_GBK" w:cs="Times New Roman"/>
                <w:color w:val="000000"/>
                <w:kern w:val="0"/>
                <w:sz w:val="24"/>
                <w:szCs w:val="24"/>
                <w:lang w:val="en-US" w:eastAsia="zh-CN" w:bidi="ar"/>
              </w:rPr>
              <w:t>〕</w:t>
            </w:r>
            <w:r>
              <w:rPr>
                <w:rFonts w:hint="eastAsia" w:ascii="Times New Roman" w:hAnsi="Times New Roman" w:eastAsia="方正仿宋_GBK" w:cs="Times New Roman"/>
                <w:color w:val="000000"/>
                <w:kern w:val="0"/>
                <w:sz w:val="24"/>
                <w:szCs w:val="24"/>
                <w:lang w:val="en-US" w:eastAsia="zh-CN" w:bidi="ar"/>
              </w:rPr>
              <w:t>91</w:t>
            </w:r>
            <w:r>
              <w:rPr>
                <w:rFonts w:hint="default" w:ascii="Times New Roman" w:hAnsi="Times New Roman" w:eastAsia="方正仿宋_GBK" w:cs="Times New Roman"/>
                <w:color w:val="000000"/>
                <w:kern w:val="0"/>
                <w:sz w:val="24"/>
                <w:szCs w:val="24"/>
                <w:lang w:val="en-US" w:eastAsia="zh-CN" w:bidi="ar"/>
              </w:rPr>
              <w:t>号</w:t>
            </w:r>
            <w:r>
              <w:rPr>
                <w:rFonts w:hint="eastAsia" w:ascii="Times New Roman" w:hAnsi="Times New Roman" w:eastAsia="方正仿宋_GBK" w:cs="Times New Roman"/>
                <w:color w:val="000000"/>
                <w:kern w:val="0"/>
                <w:sz w:val="24"/>
                <w:szCs w:val="24"/>
                <w:lang w:val="en-US" w:eastAsia="zh-CN" w:bidi="ar"/>
              </w:rPr>
              <w:t>）</w:t>
            </w:r>
          </w:p>
        </w:tc>
      </w:tr>
      <w:tr w14:paraId="53CB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827" w:type="dxa"/>
            <w:vMerge w:val="continue"/>
            <w:noWrap w:val="0"/>
            <w:vAlign w:val="center"/>
          </w:tcPr>
          <w:p w14:paraId="5FB061A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p>
        </w:tc>
        <w:tc>
          <w:tcPr>
            <w:tcW w:w="1298" w:type="dxa"/>
            <w:vMerge w:val="continue"/>
            <w:noWrap w:val="0"/>
            <w:vAlign w:val="center"/>
          </w:tcPr>
          <w:p w14:paraId="399A9DD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58C469AE">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（12）</w:t>
            </w:r>
            <w:r>
              <w:rPr>
                <w:rFonts w:hint="default" w:ascii="Times New Roman" w:hAnsi="Times New Roman" w:eastAsia="方正仿宋_GBK" w:cs="Times New Roman"/>
                <w:color w:val="000000"/>
                <w:kern w:val="0"/>
                <w:sz w:val="24"/>
                <w:szCs w:val="24"/>
                <w:vertAlign w:val="baseline"/>
                <w:lang w:val="en-US" w:eastAsia="zh-CN" w:bidi="ar"/>
              </w:rPr>
              <w:t>持续推</w:t>
            </w:r>
            <w:r>
              <w:rPr>
                <w:rFonts w:hint="eastAsia" w:ascii="Times New Roman" w:hAnsi="Times New Roman" w:eastAsia="方正仿宋_GBK" w:cs="方正仿宋_GBK"/>
                <w:color w:val="000000"/>
                <w:kern w:val="0"/>
                <w:sz w:val="24"/>
                <w:szCs w:val="24"/>
                <w:vertAlign w:val="baseline"/>
                <w:lang w:val="en-US" w:eastAsia="zh-CN" w:bidi="ar"/>
              </w:rPr>
              <w:t>进“邮运通”试点，引导企业对县级共配中心进行改造，支持冷链物流企业</w:t>
            </w:r>
            <w:r>
              <w:rPr>
                <w:rFonts w:hint="default" w:ascii="Times New Roman" w:hAnsi="Times New Roman" w:eastAsia="方正仿宋_GBK" w:cs="Times New Roman"/>
                <w:color w:val="000000"/>
                <w:kern w:val="0"/>
                <w:sz w:val="24"/>
                <w:szCs w:val="24"/>
                <w:vertAlign w:val="baseline"/>
                <w:lang w:val="en-US" w:eastAsia="zh-CN" w:bidi="ar"/>
              </w:rPr>
              <w:t>购置新能源城市冷链配送货车。</w:t>
            </w:r>
          </w:p>
        </w:tc>
        <w:tc>
          <w:tcPr>
            <w:tcW w:w="1719" w:type="dxa"/>
            <w:noWrap w:val="0"/>
            <w:vAlign w:val="center"/>
          </w:tcPr>
          <w:p w14:paraId="452CD6F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县交通运输委</w:t>
            </w:r>
          </w:p>
        </w:tc>
        <w:tc>
          <w:tcPr>
            <w:tcW w:w="967" w:type="dxa"/>
            <w:noWrap w:val="0"/>
            <w:vAlign w:val="center"/>
          </w:tcPr>
          <w:p w14:paraId="2925A72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袁野</w:t>
            </w:r>
          </w:p>
        </w:tc>
        <w:tc>
          <w:tcPr>
            <w:tcW w:w="1654" w:type="dxa"/>
            <w:noWrap w:val="0"/>
            <w:vAlign w:val="center"/>
          </w:tcPr>
          <w:p w14:paraId="6DDDB63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1592309616</w:t>
            </w:r>
            <w:r>
              <w:rPr>
                <w:rFonts w:hint="eastAsia" w:ascii="Times New Roman" w:hAnsi="Times New Roman" w:cs="Times New Roman"/>
                <w:color w:val="000000"/>
                <w:kern w:val="0"/>
                <w:sz w:val="24"/>
                <w:szCs w:val="24"/>
                <w:vertAlign w:val="baseline"/>
                <w:lang w:val="en-US" w:eastAsia="zh-CN" w:bidi="ar"/>
              </w:rPr>
              <w:t>1</w:t>
            </w:r>
          </w:p>
        </w:tc>
        <w:tc>
          <w:tcPr>
            <w:tcW w:w="2888" w:type="dxa"/>
            <w:noWrap w:val="0"/>
            <w:vAlign w:val="center"/>
          </w:tcPr>
          <w:p w14:paraId="4CD4169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w:t>
            </w:r>
            <w:r>
              <w:rPr>
                <w:rFonts w:hint="default" w:ascii="Times New Roman" w:hAnsi="Times New Roman" w:eastAsia="方正仿宋_GBK" w:cs="Times New Roman"/>
                <w:color w:val="000000"/>
                <w:kern w:val="0"/>
                <w:sz w:val="24"/>
                <w:szCs w:val="24"/>
                <w:vertAlign w:val="baseline"/>
                <w:lang w:val="en-US" w:eastAsia="zh-CN" w:bidi="ar"/>
              </w:rPr>
              <w:t>关于进一步做好2025年老旧营运货车报废更新工作的补充通知</w:t>
            </w:r>
            <w:r>
              <w:rPr>
                <w:rFonts w:hint="eastAsia" w:ascii="Times New Roman" w:hAnsi="Times New Roman" w:eastAsia="方正仿宋_GBK" w:cs="Times New Roman"/>
                <w:color w:val="000000"/>
                <w:kern w:val="0"/>
                <w:sz w:val="24"/>
                <w:szCs w:val="24"/>
                <w:vertAlign w:val="baseline"/>
                <w:lang w:val="en-US" w:eastAsia="zh-CN" w:bidi="ar"/>
              </w:rPr>
              <w:t>》（</w:t>
            </w:r>
            <w:r>
              <w:rPr>
                <w:rFonts w:hint="default" w:ascii="Times New Roman" w:hAnsi="Times New Roman" w:eastAsia="方正仿宋_GBK" w:cs="Times New Roman"/>
                <w:color w:val="000000"/>
                <w:kern w:val="0"/>
                <w:sz w:val="24"/>
                <w:szCs w:val="24"/>
                <w:vertAlign w:val="baseline"/>
                <w:lang w:val="en-US" w:eastAsia="zh-CN" w:bidi="ar"/>
              </w:rPr>
              <w:t>渝交发〔2025〕20号</w:t>
            </w:r>
            <w:r>
              <w:rPr>
                <w:rFonts w:hint="eastAsia" w:ascii="Times New Roman" w:hAnsi="Times New Roman" w:eastAsia="方正仿宋_GBK" w:cs="Times New Roman"/>
                <w:color w:val="000000"/>
                <w:kern w:val="0"/>
                <w:sz w:val="24"/>
                <w:szCs w:val="24"/>
                <w:vertAlign w:val="baseline"/>
                <w:lang w:val="en-US" w:eastAsia="zh-CN" w:bidi="ar"/>
              </w:rPr>
              <w:t>）</w:t>
            </w:r>
          </w:p>
        </w:tc>
      </w:tr>
      <w:tr w14:paraId="65E0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827" w:type="dxa"/>
            <w:vMerge w:val="restart"/>
            <w:noWrap w:val="0"/>
            <w:vAlign w:val="center"/>
          </w:tcPr>
          <w:p w14:paraId="264F15E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highlight w:val="none"/>
                <w:vertAlign w:val="baseline"/>
                <w:lang w:val="en-US" w:eastAsia="zh-CN" w:bidi="ar"/>
              </w:rPr>
            </w:pPr>
            <w:r>
              <w:rPr>
                <w:rFonts w:hint="eastAsia" w:ascii="Times New Roman" w:hAnsi="Times New Roman" w:eastAsia="方正黑体_GBK" w:cs="Times New Roman"/>
                <w:color w:val="000000"/>
                <w:kern w:val="0"/>
                <w:sz w:val="24"/>
                <w:szCs w:val="24"/>
                <w:highlight w:val="none"/>
                <w:vertAlign w:val="baseline"/>
                <w:lang w:val="en-US" w:eastAsia="zh-CN" w:bidi="ar"/>
              </w:rPr>
              <w:t>7</w:t>
            </w:r>
          </w:p>
        </w:tc>
        <w:tc>
          <w:tcPr>
            <w:tcW w:w="1298" w:type="dxa"/>
            <w:vMerge w:val="restart"/>
            <w:noWrap w:val="0"/>
            <w:vAlign w:val="center"/>
          </w:tcPr>
          <w:p w14:paraId="4B3A89F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highlight w:val="none"/>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推动参与</w:t>
            </w:r>
            <w:r>
              <w:rPr>
                <w:rFonts w:hint="eastAsia" w:ascii="Times New Roman" w:hAnsi="Times New Roman" w:eastAsia="方正仿宋_GBK" w:cs="Times New Roman"/>
                <w:b/>
                <w:bCs/>
                <w:color w:val="000000"/>
                <w:kern w:val="0"/>
                <w:sz w:val="24"/>
                <w:szCs w:val="24"/>
                <w:lang w:val="en-US" w:eastAsia="zh-CN" w:bidi="ar"/>
              </w:rPr>
              <w:t>“</w:t>
            </w:r>
            <w:r>
              <w:rPr>
                <w:rFonts w:hint="default" w:ascii="Times New Roman" w:hAnsi="Times New Roman" w:eastAsia="方正仿宋_GBK" w:cs="Times New Roman"/>
                <w:b/>
                <w:bCs/>
                <w:color w:val="000000"/>
                <w:kern w:val="0"/>
                <w:sz w:val="24"/>
                <w:szCs w:val="24"/>
                <w:lang w:val="en-US" w:eastAsia="zh-CN" w:bidi="ar"/>
              </w:rPr>
              <w:t>两重</w:t>
            </w:r>
            <w:r>
              <w:rPr>
                <w:rFonts w:hint="eastAsia" w:ascii="Times New Roman" w:hAnsi="Times New Roman" w:eastAsia="方正仿宋_GBK" w:cs="Times New Roman"/>
                <w:b/>
                <w:bCs/>
                <w:color w:val="000000"/>
                <w:kern w:val="0"/>
                <w:sz w:val="24"/>
                <w:szCs w:val="24"/>
                <w:lang w:val="en-US" w:eastAsia="zh-CN" w:bidi="ar"/>
              </w:rPr>
              <w:t>”“</w:t>
            </w:r>
            <w:r>
              <w:rPr>
                <w:rFonts w:hint="default" w:ascii="Times New Roman" w:hAnsi="Times New Roman" w:eastAsia="方正仿宋_GBK" w:cs="Times New Roman"/>
                <w:b/>
                <w:bCs/>
                <w:color w:val="000000"/>
                <w:kern w:val="0"/>
                <w:sz w:val="24"/>
                <w:szCs w:val="24"/>
                <w:lang w:val="en-US" w:eastAsia="zh-CN" w:bidi="ar"/>
              </w:rPr>
              <w:t>两新</w:t>
            </w:r>
            <w:r>
              <w:rPr>
                <w:rFonts w:hint="eastAsia" w:ascii="Times New Roman" w:hAnsi="Times New Roman" w:eastAsia="方正仿宋_GBK" w:cs="Times New Roman"/>
                <w:b/>
                <w:bCs/>
                <w:color w:val="000000"/>
                <w:kern w:val="0"/>
                <w:sz w:val="24"/>
                <w:szCs w:val="24"/>
                <w:lang w:val="en-US" w:eastAsia="zh-CN" w:bidi="ar"/>
              </w:rPr>
              <w:t>”</w:t>
            </w:r>
            <w:r>
              <w:rPr>
                <w:rFonts w:hint="default" w:ascii="Times New Roman" w:hAnsi="Times New Roman" w:eastAsia="方正仿宋_GBK" w:cs="Times New Roman"/>
                <w:b/>
                <w:bCs/>
                <w:color w:val="000000"/>
                <w:kern w:val="0"/>
                <w:sz w:val="24"/>
                <w:szCs w:val="24"/>
                <w:lang w:val="en-US" w:eastAsia="zh-CN" w:bidi="ar"/>
              </w:rPr>
              <w:t>项目</w:t>
            </w:r>
          </w:p>
        </w:tc>
        <w:tc>
          <w:tcPr>
            <w:tcW w:w="5686" w:type="dxa"/>
            <w:noWrap w:val="0"/>
            <w:vAlign w:val="center"/>
          </w:tcPr>
          <w:p w14:paraId="39BEADB7">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Times New Roman" w:hAnsi="Times New Roman" w:eastAsia="方正仿宋_GBK" w:cs="方正仿宋_GBK"/>
                <w:color w:val="auto"/>
                <w:kern w:val="0"/>
                <w:sz w:val="24"/>
                <w:szCs w:val="24"/>
                <w:lang w:val="en-US" w:eastAsia="zh-CN" w:bidi="ar"/>
              </w:rPr>
            </w:pPr>
            <w:r>
              <w:rPr>
                <w:rFonts w:hint="default" w:ascii="Times New Roman" w:hAnsi="Times New Roman" w:eastAsia="方正仿宋_GBK" w:cs="Times New Roman"/>
                <w:color w:val="auto"/>
                <w:kern w:val="0"/>
                <w:sz w:val="24"/>
                <w:szCs w:val="24"/>
                <w:lang w:val="en-US" w:eastAsia="zh-CN" w:bidi="ar"/>
              </w:rPr>
              <w:t>（13）</w:t>
            </w:r>
            <w:r>
              <w:rPr>
                <w:rFonts w:hint="eastAsia" w:ascii="Times New Roman" w:hAnsi="Times New Roman" w:eastAsia="方正仿宋_GBK" w:cs="方正仿宋_GBK"/>
                <w:color w:val="auto"/>
                <w:kern w:val="0"/>
                <w:sz w:val="24"/>
                <w:szCs w:val="24"/>
                <w:lang w:val="en-US" w:eastAsia="zh-CN" w:bidi="ar"/>
              </w:rPr>
              <w:t>引导民营企业加强“两重”和设备更新项目策划储备，推动一批符合要求的民营企业项目纳入“两重”“两新”建设项目清单，争取国家市级资金支持。</w:t>
            </w:r>
          </w:p>
        </w:tc>
        <w:tc>
          <w:tcPr>
            <w:tcW w:w="1719" w:type="dxa"/>
            <w:noWrap w:val="0"/>
            <w:vAlign w:val="center"/>
          </w:tcPr>
          <w:p w14:paraId="346895E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lang w:val="en-US" w:eastAsia="zh-CN" w:bidi="ar"/>
              </w:rPr>
            </w:pPr>
            <w:r>
              <w:rPr>
                <w:rFonts w:hint="default" w:ascii="Times New Roman" w:hAnsi="Times New Roman" w:eastAsia="方正仿宋_GBK" w:cs="Times New Roman"/>
                <w:color w:val="auto"/>
                <w:kern w:val="0"/>
                <w:sz w:val="24"/>
                <w:szCs w:val="24"/>
                <w:lang w:val="en-US" w:eastAsia="zh-CN" w:bidi="ar"/>
              </w:rPr>
              <w:t>县发展改革委</w:t>
            </w:r>
          </w:p>
          <w:p w14:paraId="439B417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auto"/>
                <w:kern w:val="0"/>
                <w:sz w:val="24"/>
                <w:szCs w:val="24"/>
                <w:lang w:val="en-US" w:eastAsia="zh-CN" w:bidi="ar"/>
              </w:rPr>
              <w:t>县级相关部门</w:t>
            </w:r>
          </w:p>
        </w:tc>
        <w:tc>
          <w:tcPr>
            <w:tcW w:w="967" w:type="dxa"/>
            <w:noWrap w:val="0"/>
            <w:vAlign w:val="center"/>
          </w:tcPr>
          <w:p w14:paraId="19A5484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张</w:t>
            </w:r>
            <w:r>
              <w:rPr>
                <w:rFonts w:hint="eastAsia" w:ascii="Times New Roman" w:hAnsi="Times New Roman" w:eastAsia="方正仿宋_GBK" w:cs="Times New Roman"/>
                <w:color w:val="000000"/>
                <w:kern w:val="0"/>
                <w:sz w:val="24"/>
                <w:szCs w:val="24"/>
                <w:highlight w:val="none"/>
                <w:vertAlign w:val="baseline"/>
                <w:lang w:val="en-US" w:eastAsia="zh-CN" w:bidi="ar"/>
              </w:rPr>
              <w:t>春春</w:t>
            </w:r>
            <w:r>
              <w:rPr>
                <w:rFonts w:hint="eastAsia" w:ascii="Times New Roman" w:hAnsi="Times New Roman" w:eastAsia="方正仿宋_GBK" w:cs="Times New Roman"/>
                <w:color w:val="000000"/>
                <w:kern w:val="0"/>
                <w:sz w:val="24"/>
                <w:szCs w:val="24"/>
                <w:vertAlign w:val="baseline"/>
                <w:lang w:val="en-US" w:eastAsia="zh-CN" w:bidi="ar"/>
              </w:rPr>
              <w:t>王清</w:t>
            </w:r>
          </w:p>
        </w:tc>
        <w:tc>
          <w:tcPr>
            <w:tcW w:w="1654" w:type="dxa"/>
            <w:noWrap w:val="0"/>
            <w:vAlign w:val="center"/>
          </w:tcPr>
          <w:p w14:paraId="640DC0E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19923586201</w:t>
            </w:r>
          </w:p>
          <w:p w14:paraId="3C878AF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15023062516</w:t>
            </w:r>
          </w:p>
        </w:tc>
        <w:tc>
          <w:tcPr>
            <w:tcW w:w="2888" w:type="dxa"/>
            <w:vMerge w:val="restart"/>
            <w:noWrap w:val="0"/>
            <w:vAlign w:val="center"/>
          </w:tcPr>
          <w:p w14:paraId="30612A63">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p>
          <w:p w14:paraId="34572454">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36E2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827" w:type="dxa"/>
            <w:vMerge w:val="continue"/>
            <w:noWrap w:val="0"/>
            <w:vAlign w:val="center"/>
          </w:tcPr>
          <w:p w14:paraId="5EC588F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p>
        </w:tc>
        <w:tc>
          <w:tcPr>
            <w:tcW w:w="1298" w:type="dxa"/>
            <w:vMerge w:val="continue"/>
            <w:noWrap w:val="0"/>
            <w:vAlign w:val="center"/>
          </w:tcPr>
          <w:p w14:paraId="1DDA811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2020BB1E">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auto"/>
                <w:kern w:val="0"/>
                <w:sz w:val="24"/>
                <w:szCs w:val="24"/>
                <w:lang w:val="en-US" w:eastAsia="zh-CN" w:bidi="ar"/>
              </w:rPr>
            </w:pPr>
            <w:r>
              <w:rPr>
                <w:rFonts w:hint="eastAsia" w:ascii="Times New Roman" w:hAnsi="Times New Roman" w:eastAsia="方正仿宋_GBK" w:cs="Times New Roman"/>
                <w:color w:val="auto"/>
                <w:kern w:val="0"/>
                <w:sz w:val="24"/>
                <w:szCs w:val="24"/>
                <w:lang w:val="en-US" w:eastAsia="zh-CN" w:bidi="ar"/>
              </w:rPr>
              <w:t>（14）</w:t>
            </w:r>
            <w:r>
              <w:rPr>
                <w:rFonts w:hint="default" w:ascii="Times New Roman" w:hAnsi="Times New Roman" w:eastAsia="方正仿宋_GBK" w:cs="Times New Roman"/>
                <w:color w:val="auto"/>
                <w:kern w:val="0"/>
                <w:sz w:val="24"/>
                <w:szCs w:val="24"/>
                <w:lang w:val="en-US" w:eastAsia="zh-CN" w:bidi="ar"/>
              </w:rPr>
              <w:t>对中央预算内资金、超长期特别国债资金涉及的项目款支付</w:t>
            </w:r>
            <w:r>
              <w:rPr>
                <w:rFonts w:hint="eastAsia" w:ascii="Times New Roman" w:hAnsi="Times New Roman" w:eastAsia="方正仿宋_GBK" w:cs="方正仿宋_GBK"/>
                <w:color w:val="auto"/>
                <w:kern w:val="0"/>
                <w:sz w:val="24"/>
                <w:szCs w:val="24"/>
                <w:lang w:val="en-US" w:eastAsia="zh-CN" w:bidi="ar"/>
              </w:rPr>
              <w:t>实行“随报随审随付”，</w:t>
            </w:r>
            <w:r>
              <w:rPr>
                <w:rFonts w:hint="default" w:ascii="Times New Roman" w:hAnsi="Times New Roman" w:eastAsia="方正仿宋_GBK" w:cs="Times New Roman"/>
                <w:color w:val="auto"/>
                <w:kern w:val="0"/>
                <w:sz w:val="24"/>
                <w:szCs w:val="24"/>
                <w:lang w:val="en-US" w:eastAsia="zh-CN" w:bidi="ar"/>
              </w:rPr>
              <w:t>确保中央资金尽快形成实物工作量。</w:t>
            </w:r>
          </w:p>
        </w:tc>
        <w:tc>
          <w:tcPr>
            <w:tcW w:w="1719" w:type="dxa"/>
            <w:noWrap w:val="0"/>
            <w:vAlign w:val="center"/>
          </w:tcPr>
          <w:p w14:paraId="3DFFCF9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lang w:val="en-US" w:eastAsia="zh-CN" w:bidi="ar"/>
              </w:rPr>
            </w:pPr>
            <w:r>
              <w:rPr>
                <w:rFonts w:hint="default" w:ascii="Times New Roman" w:hAnsi="Times New Roman" w:eastAsia="方正仿宋_GBK" w:cs="Times New Roman"/>
                <w:color w:val="auto"/>
                <w:kern w:val="0"/>
                <w:sz w:val="24"/>
                <w:szCs w:val="24"/>
                <w:lang w:val="en-US" w:eastAsia="zh-CN" w:bidi="ar"/>
              </w:rPr>
              <w:t>县财政局</w:t>
            </w:r>
          </w:p>
        </w:tc>
        <w:tc>
          <w:tcPr>
            <w:tcW w:w="967" w:type="dxa"/>
            <w:noWrap w:val="0"/>
            <w:vAlign w:val="center"/>
          </w:tcPr>
          <w:p w14:paraId="38C5045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eastAsia="zh-CN" w:bidi="ar"/>
              </w:rPr>
            </w:pPr>
            <w:r>
              <w:rPr>
                <w:rFonts w:hint="default" w:ascii="Times New Roman" w:hAnsi="Times New Roman" w:eastAsia="方正仿宋_GBK" w:cs="Times New Roman"/>
                <w:color w:val="000000"/>
                <w:kern w:val="0"/>
                <w:sz w:val="24"/>
                <w:szCs w:val="24"/>
                <w:highlight w:val="none"/>
                <w:vertAlign w:val="baseline"/>
                <w:lang w:eastAsia="zh-CN" w:bidi="ar"/>
              </w:rPr>
              <w:t>向烜</w:t>
            </w:r>
          </w:p>
          <w:p w14:paraId="722D926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夏彬彬</w:t>
            </w:r>
          </w:p>
          <w:p w14:paraId="2D53C4D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highlight w:val="none"/>
                <w:lang w:val="en-US" w:eastAsia="zh-CN"/>
              </w:rPr>
            </w:pPr>
            <w:r>
              <w:rPr>
                <w:rFonts w:hint="default" w:ascii="Times New Roman" w:hAnsi="Times New Roman" w:eastAsia="方正仿宋_GBK" w:cs="Times New Roman"/>
                <w:color w:val="000000"/>
                <w:kern w:val="0"/>
                <w:sz w:val="24"/>
                <w:szCs w:val="24"/>
                <w:highlight w:val="none"/>
                <w:vertAlign w:val="baseline"/>
                <w:lang w:val="en-US" w:eastAsia="zh-CN" w:bidi="ar"/>
              </w:rPr>
              <w:t>刘烙君</w:t>
            </w:r>
          </w:p>
        </w:tc>
        <w:tc>
          <w:tcPr>
            <w:tcW w:w="1654" w:type="dxa"/>
            <w:noWrap w:val="0"/>
            <w:vAlign w:val="center"/>
          </w:tcPr>
          <w:p w14:paraId="09CC5D0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eastAsia="zh-CN" w:bidi="ar"/>
              </w:rPr>
            </w:pPr>
            <w:r>
              <w:rPr>
                <w:rFonts w:hint="default" w:ascii="Times New Roman" w:hAnsi="Times New Roman" w:eastAsia="方正仿宋_GBK" w:cs="Times New Roman"/>
                <w:color w:val="000000"/>
                <w:kern w:val="0"/>
                <w:sz w:val="24"/>
                <w:szCs w:val="24"/>
                <w:highlight w:val="none"/>
                <w:vertAlign w:val="baseline"/>
                <w:lang w:eastAsia="zh-CN" w:bidi="ar"/>
              </w:rPr>
              <w:t>17723943562</w:t>
            </w:r>
          </w:p>
          <w:p w14:paraId="6CDD949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18723501605</w:t>
            </w:r>
          </w:p>
          <w:p w14:paraId="6A7256A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highlight w:val="none"/>
                <w:lang w:val="en-US" w:eastAsia="zh-CN"/>
              </w:rPr>
            </w:pPr>
            <w:r>
              <w:rPr>
                <w:rFonts w:hint="default" w:ascii="Times New Roman" w:hAnsi="Times New Roman" w:eastAsia="方正仿宋_GBK" w:cs="Times New Roman"/>
                <w:color w:val="000000"/>
                <w:kern w:val="0"/>
                <w:sz w:val="24"/>
                <w:szCs w:val="24"/>
                <w:highlight w:val="none"/>
                <w:vertAlign w:val="baseline"/>
                <w:lang w:val="en-US" w:eastAsia="zh-CN" w:bidi="ar"/>
              </w:rPr>
              <w:t>17323653363</w:t>
            </w:r>
          </w:p>
        </w:tc>
        <w:tc>
          <w:tcPr>
            <w:tcW w:w="2888" w:type="dxa"/>
            <w:vMerge w:val="continue"/>
            <w:noWrap w:val="0"/>
            <w:vAlign w:val="center"/>
          </w:tcPr>
          <w:p w14:paraId="1ADA6F7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yellow"/>
                <w:vertAlign w:val="baseline"/>
                <w:lang w:val="en-US" w:eastAsia="zh-CN" w:bidi="ar"/>
              </w:rPr>
            </w:pPr>
          </w:p>
        </w:tc>
      </w:tr>
      <w:tr w14:paraId="592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827" w:type="dxa"/>
            <w:vMerge w:val="continue"/>
            <w:noWrap w:val="0"/>
            <w:vAlign w:val="center"/>
          </w:tcPr>
          <w:p w14:paraId="6C8EEB9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p>
        </w:tc>
        <w:tc>
          <w:tcPr>
            <w:tcW w:w="1298" w:type="dxa"/>
            <w:vMerge w:val="continue"/>
            <w:noWrap w:val="0"/>
            <w:vAlign w:val="center"/>
          </w:tcPr>
          <w:p w14:paraId="16117D3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2AFB62B9">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auto"/>
                <w:kern w:val="0"/>
                <w:sz w:val="24"/>
                <w:szCs w:val="24"/>
                <w:lang w:val="en-US" w:eastAsia="zh-CN" w:bidi="ar"/>
              </w:rPr>
            </w:pPr>
            <w:r>
              <w:rPr>
                <w:rFonts w:hint="eastAsia" w:ascii="Times New Roman" w:hAnsi="Times New Roman" w:eastAsia="方正仿宋_GBK" w:cs="Times New Roman"/>
                <w:color w:val="auto"/>
                <w:kern w:val="0"/>
                <w:sz w:val="24"/>
                <w:szCs w:val="24"/>
                <w:lang w:val="en-US" w:eastAsia="zh-CN" w:bidi="ar"/>
              </w:rPr>
              <w:t>（15）</w:t>
            </w:r>
            <w:r>
              <w:rPr>
                <w:rFonts w:hint="default" w:ascii="Times New Roman" w:hAnsi="Times New Roman" w:eastAsia="方正仿宋_GBK" w:cs="Times New Roman"/>
                <w:color w:val="auto"/>
                <w:kern w:val="0"/>
                <w:sz w:val="24"/>
                <w:szCs w:val="24"/>
                <w:lang w:val="en-US" w:eastAsia="zh-CN" w:bidi="ar"/>
              </w:rPr>
              <w:t>在工业、电子信息、设施农业等重点领域，引导民营企业用好用</w:t>
            </w:r>
            <w:r>
              <w:rPr>
                <w:rFonts w:hint="eastAsia" w:ascii="Times New Roman" w:hAnsi="Times New Roman" w:eastAsia="方正仿宋_GBK" w:cs="方正仿宋_GBK"/>
                <w:color w:val="auto"/>
                <w:kern w:val="0"/>
                <w:sz w:val="24"/>
                <w:szCs w:val="24"/>
                <w:lang w:val="en-US" w:eastAsia="zh-CN" w:bidi="ar"/>
              </w:rPr>
              <w:t>足“两新”加力</w:t>
            </w:r>
            <w:r>
              <w:rPr>
                <w:rFonts w:hint="default" w:ascii="Times New Roman" w:hAnsi="Times New Roman" w:eastAsia="方正仿宋_GBK" w:cs="Times New Roman"/>
                <w:color w:val="auto"/>
                <w:kern w:val="0"/>
                <w:sz w:val="24"/>
                <w:szCs w:val="24"/>
                <w:lang w:val="en-US" w:eastAsia="zh-CN" w:bidi="ar"/>
              </w:rPr>
              <w:t>扩围政策。</w:t>
            </w:r>
          </w:p>
        </w:tc>
        <w:tc>
          <w:tcPr>
            <w:tcW w:w="1719" w:type="dxa"/>
            <w:noWrap w:val="0"/>
            <w:vAlign w:val="center"/>
          </w:tcPr>
          <w:p w14:paraId="4E45428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县发展改革委</w:t>
            </w:r>
          </w:p>
          <w:p w14:paraId="6C9A43F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lang w:val="en-US" w:eastAsia="zh-CN"/>
              </w:rPr>
            </w:pPr>
            <w:r>
              <w:rPr>
                <w:rFonts w:hint="eastAsia" w:ascii="Times New Roman" w:hAnsi="Times New Roman" w:eastAsia="方正仿宋_GBK" w:cs="Times New Roman"/>
                <w:color w:val="auto"/>
                <w:kern w:val="0"/>
                <w:sz w:val="24"/>
                <w:szCs w:val="24"/>
                <w:vertAlign w:val="baseline"/>
                <w:lang w:val="en-US" w:eastAsia="zh-CN" w:bidi="ar"/>
              </w:rPr>
              <w:t>县经济信息委</w:t>
            </w:r>
          </w:p>
        </w:tc>
        <w:tc>
          <w:tcPr>
            <w:tcW w:w="967" w:type="dxa"/>
            <w:noWrap w:val="0"/>
            <w:vAlign w:val="center"/>
          </w:tcPr>
          <w:p w14:paraId="03FA441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王清</w:t>
            </w:r>
          </w:p>
          <w:p w14:paraId="320046E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lang w:val="en-US" w:eastAsia="zh-CN"/>
              </w:rPr>
            </w:pPr>
            <w:r>
              <w:rPr>
                <w:rFonts w:hint="default" w:ascii="Times New Roman" w:hAnsi="Times New Roman" w:eastAsia="方正仿宋_GBK" w:cs="Times New Roman"/>
                <w:color w:val="000000"/>
                <w:kern w:val="0"/>
                <w:sz w:val="24"/>
                <w:szCs w:val="24"/>
                <w:highlight w:val="none"/>
                <w:vertAlign w:val="baseline"/>
                <w:lang w:val="en-US" w:eastAsia="zh-CN" w:bidi="ar"/>
              </w:rPr>
              <w:t>夏娇</w:t>
            </w:r>
          </w:p>
        </w:tc>
        <w:tc>
          <w:tcPr>
            <w:tcW w:w="1654" w:type="dxa"/>
            <w:noWrap w:val="0"/>
            <w:vAlign w:val="center"/>
          </w:tcPr>
          <w:p w14:paraId="56C7B63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15023062516</w:t>
            </w:r>
          </w:p>
          <w:p w14:paraId="1705749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lang w:val="en-US" w:eastAsia="zh-CN"/>
              </w:rPr>
            </w:pPr>
            <w:r>
              <w:rPr>
                <w:rFonts w:hint="default" w:ascii="Times New Roman" w:hAnsi="Times New Roman" w:eastAsia="方正仿宋_GBK" w:cs="Times New Roman"/>
                <w:color w:val="000000"/>
                <w:kern w:val="0"/>
                <w:sz w:val="24"/>
                <w:szCs w:val="24"/>
                <w:highlight w:val="none"/>
                <w:vertAlign w:val="baseline"/>
                <w:lang w:val="en-US" w:eastAsia="zh-CN" w:bidi="ar"/>
              </w:rPr>
              <w:t>15310507868</w:t>
            </w:r>
          </w:p>
        </w:tc>
        <w:tc>
          <w:tcPr>
            <w:tcW w:w="2888" w:type="dxa"/>
            <w:vMerge w:val="continue"/>
            <w:noWrap w:val="0"/>
            <w:vAlign w:val="center"/>
          </w:tcPr>
          <w:p w14:paraId="3B1942C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p>
        </w:tc>
      </w:tr>
      <w:tr w14:paraId="1DF3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27" w:type="dxa"/>
            <w:vMerge w:val="restart"/>
            <w:noWrap w:val="0"/>
            <w:vAlign w:val="center"/>
          </w:tcPr>
          <w:p w14:paraId="2C7652B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8</w:t>
            </w:r>
          </w:p>
        </w:tc>
        <w:tc>
          <w:tcPr>
            <w:tcW w:w="1298" w:type="dxa"/>
            <w:vMerge w:val="restart"/>
            <w:noWrap w:val="0"/>
            <w:vAlign w:val="center"/>
          </w:tcPr>
          <w:p w14:paraId="5CB263F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持续激发民间投资活力</w:t>
            </w:r>
          </w:p>
        </w:tc>
        <w:tc>
          <w:tcPr>
            <w:tcW w:w="5686" w:type="dxa"/>
            <w:vMerge w:val="restart"/>
            <w:noWrap w:val="0"/>
            <w:vAlign w:val="center"/>
          </w:tcPr>
          <w:p w14:paraId="0142ED0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vertAlign w:val="baseline"/>
                <w:lang w:val="en-US" w:eastAsia="zh-CN" w:bidi="ar"/>
              </w:rPr>
              <w:t>（16）</w:t>
            </w:r>
            <w:r>
              <w:rPr>
                <w:rFonts w:hint="default" w:ascii="Times New Roman" w:hAnsi="Times New Roman" w:eastAsia="方正仿宋_GBK" w:cs="Times New Roman"/>
                <w:color w:val="auto"/>
                <w:kern w:val="0"/>
                <w:sz w:val="24"/>
                <w:szCs w:val="24"/>
                <w:vertAlign w:val="baseline"/>
                <w:lang w:val="en-US" w:eastAsia="zh-CN" w:bidi="ar"/>
              </w:rPr>
              <w:t>梳理园区基础设施、生态环保、交通、水利等领域适合社会资本参与的项目，制定项目清单。为社会资本参与项目提供前期咨询、立项审批、建设协调等全流程服务。转变项目运作方式，积极研究构建使用者付费为主、资源要素配置为辅的模式，吸引更多社会资本参与相关项目建设</w:t>
            </w:r>
            <w:r>
              <w:rPr>
                <w:rFonts w:hint="eastAsia" w:ascii="Times New Roman" w:hAnsi="Times New Roman" w:eastAsia="方正仿宋_GBK" w:cs="Times New Roman"/>
                <w:color w:val="auto"/>
                <w:kern w:val="0"/>
                <w:sz w:val="24"/>
                <w:szCs w:val="24"/>
                <w:vertAlign w:val="baseline"/>
                <w:lang w:val="en-US" w:eastAsia="zh-CN" w:bidi="ar"/>
              </w:rPr>
              <w:t>。</w:t>
            </w:r>
          </w:p>
        </w:tc>
        <w:tc>
          <w:tcPr>
            <w:tcW w:w="1719" w:type="dxa"/>
            <w:noWrap w:val="0"/>
            <w:vAlign w:val="center"/>
          </w:tcPr>
          <w:p w14:paraId="39BB8CF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县发展改革委</w:t>
            </w:r>
          </w:p>
          <w:p w14:paraId="49F913C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lang w:val="en-US" w:eastAsia="zh-CN" w:bidi="ar"/>
              </w:rPr>
              <w:t>县级有关部门</w:t>
            </w:r>
          </w:p>
        </w:tc>
        <w:tc>
          <w:tcPr>
            <w:tcW w:w="967" w:type="dxa"/>
            <w:noWrap w:val="0"/>
            <w:vAlign w:val="center"/>
          </w:tcPr>
          <w:p w14:paraId="6A1634E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李中将</w:t>
            </w:r>
          </w:p>
        </w:tc>
        <w:tc>
          <w:tcPr>
            <w:tcW w:w="1654" w:type="dxa"/>
            <w:noWrap w:val="0"/>
            <w:vAlign w:val="center"/>
          </w:tcPr>
          <w:p w14:paraId="773DBB4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1778321506</w:t>
            </w:r>
          </w:p>
        </w:tc>
        <w:tc>
          <w:tcPr>
            <w:tcW w:w="2888" w:type="dxa"/>
            <w:vMerge w:val="restart"/>
            <w:noWrap w:val="0"/>
            <w:vAlign w:val="center"/>
          </w:tcPr>
          <w:p w14:paraId="73D3BCD8">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1DDF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827" w:type="dxa"/>
            <w:vMerge w:val="continue"/>
            <w:noWrap w:val="0"/>
            <w:vAlign w:val="center"/>
          </w:tcPr>
          <w:p w14:paraId="6BCE377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673DA72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vMerge w:val="continue"/>
            <w:noWrap w:val="0"/>
            <w:vAlign w:val="center"/>
          </w:tcPr>
          <w:p w14:paraId="3A79D1D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p>
        </w:tc>
        <w:tc>
          <w:tcPr>
            <w:tcW w:w="1719" w:type="dxa"/>
            <w:noWrap w:val="0"/>
            <w:vAlign w:val="center"/>
          </w:tcPr>
          <w:p w14:paraId="4B03E44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县经济信息委</w:t>
            </w:r>
          </w:p>
        </w:tc>
        <w:tc>
          <w:tcPr>
            <w:tcW w:w="967" w:type="dxa"/>
            <w:noWrap w:val="0"/>
            <w:vAlign w:val="center"/>
          </w:tcPr>
          <w:p w14:paraId="79DA220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eastAsia="zh-CN" w:bidi="ar"/>
              </w:rPr>
              <w:t>赵安陆</w:t>
            </w:r>
          </w:p>
        </w:tc>
        <w:tc>
          <w:tcPr>
            <w:tcW w:w="1654" w:type="dxa"/>
            <w:noWrap w:val="0"/>
            <w:vAlign w:val="center"/>
          </w:tcPr>
          <w:p w14:paraId="03D0A22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eastAsia="zh-CN" w:bidi="ar"/>
              </w:rPr>
              <w:t>13509453120</w:t>
            </w:r>
          </w:p>
        </w:tc>
        <w:tc>
          <w:tcPr>
            <w:tcW w:w="2888" w:type="dxa"/>
            <w:vMerge w:val="continue"/>
            <w:noWrap w:val="0"/>
            <w:vAlign w:val="center"/>
          </w:tcPr>
          <w:p w14:paraId="5AB0C0A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eastAsia="zh-CN" w:bidi="ar"/>
              </w:rPr>
            </w:pPr>
          </w:p>
        </w:tc>
      </w:tr>
      <w:tr w14:paraId="7649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827" w:type="dxa"/>
            <w:vMerge w:val="continue"/>
            <w:noWrap w:val="0"/>
            <w:vAlign w:val="center"/>
          </w:tcPr>
          <w:p w14:paraId="6AA166D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25AE3FC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2ADB9F6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vertAlign w:val="baseline"/>
                <w:lang w:val="en-US" w:eastAsia="zh-CN" w:bidi="ar"/>
              </w:rPr>
              <w:t>（17）</w:t>
            </w:r>
            <w:r>
              <w:rPr>
                <w:rFonts w:hint="default" w:ascii="Times New Roman" w:hAnsi="Times New Roman" w:eastAsia="方正仿宋_GBK" w:cs="Times New Roman"/>
                <w:color w:val="auto"/>
                <w:kern w:val="0"/>
                <w:sz w:val="24"/>
                <w:szCs w:val="24"/>
                <w:vertAlign w:val="baseline"/>
                <w:lang w:val="en-US" w:eastAsia="zh-CN" w:bidi="ar"/>
              </w:rPr>
              <w:t>成立企业国有资产盘活工作组</w:t>
            </w:r>
            <w:r>
              <w:rPr>
                <w:rFonts w:hint="eastAsia" w:ascii="Times New Roman" w:hAnsi="Times New Roman" w:eastAsia="方正仿宋_GBK" w:cs="Times New Roman"/>
                <w:color w:val="auto"/>
                <w:kern w:val="0"/>
                <w:sz w:val="24"/>
                <w:szCs w:val="24"/>
                <w:vertAlign w:val="baseline"/>
                <w:lang w:val="en-US" w:eastAsia="zh-CN" w:bidi="ar"/>
              </w:rPr>
              <w:t>，</w:t>
            </w:r>
            <w:r>
              <w:rPr>
                <w:rFonts w:hint="default" w:ascii="Times New Roman" w:hAnsi="Times New Roman" w:eastAsia="方正仿宋_GBK" w:cs="Times New Roman"/>
                <w:color w:val="auto"/>
                <w:kern w:val="0"/>
                <w:sz w:val="24"/>
                <w:szCs w:val="24"/>
                <w:highlight w:val="none"/>
                <w:vertAlign w:val="baseline"/>
                <w:lang w:val="en-US" w:eastAsia="zh-CN" w:bidi="ar"/>
              </w:rPr>
              <w:t>深化央地合作，积极引入央企、民企、外企等外部资源参与国有资产盘活。</w:t>
            </w:r>
          </w:p>
        </w:tc>
        <w:tc>
          <w:tcPr>
            <w:tcW w:w="1719" w:type="dxa"/>
            <w:noWrap w:val="0"/>
            <w:vAlign w:val="center"/>
          </w:tcPr>
          <w:p w14:paraId="7C15B20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县财政局</w:t>
            </w:r>
          </w:p>
        </w:tc>
        <w:tc>
          <w:tcPr>
            <w:tcW w:w="967" w:type="dxa"/>
            <w:noWrap w:val="0"/>
            <w:vAlign w:val="center"/>
          </w:tcPr>
          <w:p w14:paraId="37FC351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李燕婉</w:t>
            </w:r>
          </w:p>
        </w:tc>
        <w:tc>
          <w:tcPr>
            <w:tcW w:w="1654" w:type="dxa"/>
            <w:noWrap w:val="0"/>
            <w:vAlign w:val="center"/>
          </w:tcPr>
          <w:p w14:paraId="743508B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000000"/>
                <w:kern w:val="0"/>
                <w:sz w:val="24"/>
                <w:szCs w:val="24"/>
                <w:vertAlign w:val="baseline"/>
                <w:lang w:val="en-US" w:eastAsia="zh-CN" w:bidi="ar"/>
              </w:rPr>
              <w:t>59224352</w:t>
            </w:r>
          </w:p>
        </w:tc>
        <w:tc>
          <w:tcPr>
            <w:tcW w:w="2888" w:type="dxa"/>
            <w:noWrap w:val="0"/>
            <w:vAlign w:val="center"/>
          </w:tcPr>
          <w:p w14:paraId="0AEADB92">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lang w:val="en-US" w:eastAsia="zh-CN"/>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《关于印发城口县2025年推动国有资产盘活工作方案的通知》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城委办〔2025〕11号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2B69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restart"/>
            <w:noWrap w:val="0"/>
            <w:vAlign w:val="center"/>
          </w:tcPr>
          <w:p w14:paraId="1279BD2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b/>
                <w:bCs/>
                <w:color w:val="000000"/>
                <w:kern w:val="0"/>
                <w:sz w:val="24"/>
                <w:szCs w:val="24"/>
                <w:lang w:val="en-US" w:eastAsia="zh-CN" w:bidi="ar"/>
              </w:rPr>
            </w:pPr>
            <w:r>
              <w:rPr>
                <w:rFonts w:hint="eastAsia" w:ascii="Times New Roman" w:hAnsi="Times New Roman" w:eastAsia="方正仿宋_GBK" w:cs="Times New Roman"/>
                <w:b/>
                <w:bCs/>
                <w:color w:val="000000"/>
                <w:kern w:val="0"/>
                <w:sz w:val="24"/>
                <w:szCs w:val="24"/>
                <w:lang w:val="en-US" w:eastAsia="zh-CN" w:bidi="ar"/>
              </w:rPr>
              <w:t>9</w:t>
            </w:r>
          </w:p>
          <w:p w14:paraId="65F2577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r>
              <w:rPr>
                <w:rFonts w:hint="eastAsia" w:ascii="Times New Roman" w:hAnsi="Times New Roman" w:eastAsia="方正仿宋_GBK" w:cs="Times New Roman"/>
                <w:b/>
                <w:bCs/>
                <w:color w:val="000000"/>
                <w:kern w:val="0"/>
                <w:sz w:val="24"/>
                <w:szCs w:val="24"/>
                <w:lang w:val="en-US" w:eastAsia="zh-CN" w:bidi="ar"/>
              </w:rPr>
              <w:t>新增</w:t>
            </w:r>
          </w:p>
        </w:tc>
        <w:tc>
          <w:tcPr>
            <w:tcW w:w="1298" w:type="dxa"/>
            <w:vMerge w:val="restart"/>
            <w:noWrap w:val="0"/>
            <w:vAlign w:val="center"/>
          </w:tcPr>
          <w:p w14:paraId="00BF974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b/>
                <w:bCs/>
                <w:color w:val="000000"/>
                <w:kern w:val="0"/>
                <w:sz w:val="24"/>
                <w:szCs w:val="24"/>
                <w:lang w:val="en-US" w:eastAsia="zh-CN" w:bidi="ar"/>
              </w:rPr>
            </w:pPr>
            <w:r>
              <w:rPr>
                <w:rFonts w:hint="default" w:ascii="Times New Roman" w:hAnsi="Times New Roman" w:eastAsia="方正仿宋_GBK" w:cs="Times New Roman"/>
                <w:b/>
                <w:bCs/>
                <w:color w:val="000000"/>
                <w:kern w:val="0"/>
                <w:sz w:val="24"/>
                <w:szCs w:val="24"/>
                <w:lang w:val="en-US" w:eastAsia="zh-CN" w:bidi="ar"/>
              </w:rPr>
              <w:t>推动市场主体增量提质</w:t>
            </w:r>
          </w:p>
        </w:tc>
        <w:tc>
          <w:tcPr>
            <w:tcW w:w="5686" w:type="dxa"/>
            <w:noWrap w:val="0"/>
            <w:vAlign w:val="center"/>
          </w:tcPr>
          <w:p w14:paraId="03F527C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vertAlign w:val="baseline"/>
                <w:lang w:val="en-US" w:eastAsia="zh-CN" w:bidi="ar"/>
              </w:rPr>
              <w:t>（18）</w:t>
            </w:r>
            <w:r>
              <w:rPr>
                <w:rFonts w:hint="default" w:ascii="Times New Roman" w:hAnsi="Times New Roman" w:eastAsia="方正仿宋_GBK" w:cs="Times New Roman"/>
                <w:color w:val="auto"/>
                <w:kern w:val="0"/>
                <w:sz w:val="24"/>
                <w:szCs w:val="24"/>
                <w:vertAlign w:val="baseline"/>
                <w:lang w:val="en-US" w:eastAsia="zh-CN" w:bidi="ar"/>
              </w:rPr>
              <w:t>加大力度促进</w:t>
            </w:r>
            <w:r>
              <w:rPr>
                <w:rFonts w:hint="eastAsia" w:ascii="Times New Roman" w:hAnsi="Times New Roman" w:eastAsia="方正仿宋_GBK" w:cs="Times New Roman"/>
                <w:color w:val="auto"/>
                <w:kern w:val="0"/>
                <w:sz w:val="24"/>
                <w:szCs w:val="24"/>
                <w:vertAlign w:val="baseline"/>
                <w:lang w:val="en-US" w:eastAsia="zh-CN" w:bidi="ar"/>
              </w:rPr>
              <w:t>中</w:t>
            </w:r>
            <w:r>
              <w:rPr>
                <w:rFonts w:hint="default" w:ascii="Times New Roman" w:hAnsi="Times New Roman" w:eastAsia="方正仿宋_GBK" w:cs="Times New Roman"/>
                <w:color w:val="auto"/>
                <w:kern w:val="0"/>
                <w:sz w:val="24"/>
                <w:szCs w:val="24"/>
                <w:vertAlign w:val="baseline"/>
                <w:lang w:val="en-US" w:eastAsia="zh-CN" w:bidi="ar"/>
              </w:rPr>
              <w:t>小企业升</w:t>
            </w:r>
            <w:r>
              <w:rPr>
                <w:rFonts w:hint="eastAsia" w:ascii="Times New Roman" w:hAnsi="Times New Roman" w:eastAsia="方正仿宋_GBK" w:cs="Times New Roman"/>
                <w:color w:val="auto"/>
                <w:kern w:val="0"/>
                <w:sz w:val="24"/>
                <w:szCs w:val="24"/>
                <w:vertAlign w:val="baseline"/>
                <w:lang w:val="en-US" w:eastAsia="zh-CN" w:bidi="ar"/>
              </w:rPr>
              <w:t>为“四上”</w:t>
            </w:r>
            <w:r>
              <w:rPr>
                <w:rFonts w:hint="default" w:ascii="Times New Roman" w:hAnsi="Times New Roman" w:eastAsia="方正仿宋_GBK" w:cs="Times New Roman"/>
                <w:color w:val="auto"/>
                <w:kern w:val="0"/>
                <w:sz w:val="24"/>
                <w:szCs w:val="24"/>
                <w:vertAlign w:val="baseline"/>
                <w:lang w:val="en-US" w:eastAsia="zh-CN" w:bidi="ar"/>
              </w:rPr>
              <w:t>（规模以</w:t>
            </w:r>
            <w:r>
              <w:rPr>
                <w:rFonts w:hint="eastAsia" w:ascii="Times New Roman" w:hAnsi="Times New Roman" w:eastAsia="方正仿宋_GBK" w:cs="Times New Roman"/>
                <w:color w:val="auto"/>
                <w:kern w:val="0"/>
                <w:sz w:val="24"/>
                <w:szCs w:val="24"/>
                <w:vertAlign w:val="baseline"/>
                <w:lang w:val="en-US" w:eastAsia="zh-CN" w:bidi="ar"/>
              </w:rPr>
              <w:t>上工业企业、限额以上批发零售住宿餐饮企业、资质以上建筑企业和房地产开发企业、规模以上服务业企业）企业，按规定给予补助奖励。</w:t>
            </w:r>
          </w:p>
        </w:tc>
        <w:tc>
          <w:tcPr>
            <w:tcW w:w="1719" w:type="dxa"/>
            <w:noWrap w:val="0"/>
            <w:vAlign w:val="center"/>
          </w:tcPr>
          <w:p w14:paraId="689168E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县经济信息委</w:t>
            </w:r>
          </w:p>
          <w:p w14:paraId="1F19B7E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县商务委</w:t>
            </w:r>
          </w:p>
          <w:p w14:paraId="0980058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vertAlign w:val="baseline"/>
                <w:lang w:val="en-US" w:eastAsia="zh-CN" w:bidi="ar"/>
              </w:rPr>
              <w:t>县住房城乡建委</w:t>
            </w:r>
          </w:p>
          <w:p w14:paraId="03DDC41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lang w:val="en-US" w:eastAsia="zh-CN"/>
              </w:rPr>
            </w:pPr>
            <w:r>
              <w:rPr>
                <w:rFonts w:hint="default" w:ascii="Times New Roman" w:hAnsi="Times New Roman" w:eastAsia="方正仿宋_GBK" w:cs="Times New Roman"/>
                <w:color w:val="auto"/>
                <w:kern w:val="0"/>
                <w:sz w:val="24"/>
                <w:szCs w:val="24"/>
                <w:vertAlign w:val="baseline"/>
                <w:lang w:val="en-US" w:eastAsia="zh-CN" w:bidi="ar"/>
              </w:rPr>
              <w:t>县发展改革委</w:t>
            </w:r>
          </w:p>
        </w:tc>
        <w:tc>
          <w:tcPr>
            <w:tcW w:w="967" w:type="dxa"/>
            <w:noWrap w:val="0"/>
            <w:vAlign w:val="center"/>
          </w:tcPr>
          <w:p w14:paraId="6AFC249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张桢</w:t>
            </w:r>
          </w:p>
          <w:p w14:paraId="39D698A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段羽佳</w:t>
            </w:r>
            <w:r>
              <w:rPr>
                <w:rFonts w:hint="eastAsia" w:ascii="Times New Roman" w:hAnsi="Times New Roman" w:eastAsia="方正仿宋_GBK" w:cs="Times New Roman"/>
                <w:color w:val="auto"/>
                <w:kern w:val="0"/>
                <w:sz w:val="24"/>
                <w:szCs w:val="24"/>
                <w:vertAlign w:val="baseline"/>
                <w:lang w:val="en-US" w:eastAsia="zh-CN" w:bidi="ar"/>
              </w:rPr>
              <w:t>余旺</w:t>
            </w:r>
          </w:p>
          <w:p w14:paraId="11F653F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lang w:val="en-US" w:eastAsia="zh-CN"/>
              </w:rPr>
            </w:pPr>
            <w:r>
              <w:rPr>
                <w:rFonts w:hint="eastAsia" w:ascii="Times New Roman" w:hAnsi="Times New Roman" w:eastAsia="方正仿宋_GBK" w:cs="Times New Roman"/>
                <w:color w:val="auto"/>
                <w:kern w:val="0"/>
                <w:sz w:val="24"/>
                <w:szCs w:val="24"/>
                <w:vertAlign w:val="baseline"/>
                <w:lang w:val="en-US" w:eastAsia="zh-CN" w:bidi="ar"/>
              </w:rPr>
              <w:t>王橹堰</w:t>
            </w:r>
          </w:p>
        </w:tc>
        <w:tc>
          <w:tcPr>
            <w:tcW w:w="1654" w:type="dxa"/>
            <w:noWrap w:val="0"/>
            <w:vAlign w:val="center"/>
          </w:tcPr>
          <w:p w14:paraId="2A4FC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18523248599</w:t>
            </w:r>
          </w:p>
          <w:p w14:paraId="05D67F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auto"/>
                <w:kern w:val="0"/>
                <w:sz w:val="24"/>
                <w:szCs w:val="24"/>
                <w:vertAlign w:val="baseline"/>
                <w:lang w:val="en-US" w:eastAsia="zh-CN" w:bidi="ar"/>
              </w:rPr>
              <w:t>59223912</w:t>
            </w:r>
          </w:p>
          <w:p w14:paraId="39EA44A3">
            <w:pPr>
              <w:pStyle w:val="2"/>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18523771607</w:t>
            </w:r>
          </w:p>
          <w:p w14:paraId="2870AF80">
            <w:pPr>
              <w:pStyle w:val="2"/>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lang w:val="en-US" w:eastAsia="zh-CN"/>
              </w:rPr>
            </w:pPr>
            <w:r>
              <w:rPr>
                <w:rFonts w:hint="eastAsia" w:ascii="Times New Roman" w:hAnsi="Times New Roman" w:eastAsia="方正仿宋_GBK" w:cs="Times New Roman"/>
                <w:color w:val="000000"/>
                <w:kern w:val="0"/>
                <w:sz w:val="24"/>
                <w:szCs w:val="24"/>
                <w:highlight w:val="none"/>
                <w:vertAlign w:val="baseline"/>
                <w:lang w:val="en-US" w:eastAsia="zh-CN" w:bidi="ar"/>
              </w:rPr>
              <w:t>17338647266</w:t>
            </w:r>
          </w:p>
        </w:tc>
        <w:tc>
          <w:tcPr>
            <w:tcW w:w="2888" w:type="dxa"/>
            <w:vMerge w:val="restart"/>
            <w:noWrap w:val="0"/>
            <w:vAlign w:val="center"/>
          </w:tcPr>
          <w:p w14:paraId="22DC8EA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根据《支持民营经济发展若干政策措施》（城府办发〔2022〕71号）迭代</w:t>
            </w:r>
          </w:p>
        </w:tc>
      </w:tr>
      <w:tr w14:paraId="7523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827" w:type="dxa"/>
            <w:vMerge w:val="continue"/>
            <w:noWrap w:val="0"/>
            <w:vAlign w:val="center"/>
          </w:tcPr>
          <w:p w14:paraId="3773AB6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b/>
                <w:bCs/>
                <w:color w:val="000000"/>
                <w:kern w:val="0"/>
                <w:sz w:val="24"/>
                <w:szCs w:val="24"/>
                <w:lang w:val="en-US" w:eastAsia="zh-CN" w:bidi="ar"/>
              </w:rPr>
            </w:pPr>
          </w:p>
        </w:tc>
        <w:tc>
          <w:tcPr>
            <w:tcW w:w="1298" w:type="dxa"/>
            <w:vMerge w:val="continue"/>
            <w:noWrap w:val="0"/>
            <w:vAlign w:val="center"/>
          </w:tcPr>
          <w:p w14:paraId="74B6EBC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1E92321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vertAlign w:val="baseline"/>
                <w:lang w:val="en-US" w:eastAsia="zh-CN" w:bidi="ar"/>
              </w:rPr>
              <w:t>（19）</w:t>
            </w:r>
            <w:r>
              <w:rPr>
                <w:rFonts w:hint="default" w:ascii="Times New Roman" w:hAnsi="Times New Roman" w:eastAsia="方正仿宋_GBK" w:cs="Times New Roman"/>
                <w:color w:val="auto"/>
                <w:kern w:val="0"/>
                <w:sz w:val="24"/>
                <w:szCs w:val="24"/>
                <w:vertAlign w:val="baseline"/>
                <w:lang w:val="en-US" w:eastAsia="zh-CN" w:bidi="ar"/>
              </w:rPr>
              <w:t>加强特色农产</w:t>
            </w:r>
            <w:r>
              <w:rPr>
                <w:rFonts w:hint="eastAsia" w:ascii="Times New Roman" w:hAnsi="Times New Roman" w:eastAsia="方正仿宋_GBK" w:cs="方正仿宋_GBK"/>
                <w:color w:val="auto"/>
                <w:kern w:val="0"/>
                <w:sz w:val="24"/>
                <w:szCs w:val="24"/>
                <w:vertAlign w:val="baseline"/>
                <w:lang w:val="en-US" w:eastAsia="zh-CN" w:bidi="ar"/>
              </w:rPr>
              <w:t>品“两品一标一品牌”培育，按规定对成功申报“两品一标一品牌”的企业实行奖补。</w:t>
            </w:r>
          </w:p>
        </w:tc>
        <w:tc>
          <w:tcPr>
            <w:tcW w:w="1719" w:type="dxa"/>
            <w:noWrap w:val="0"/>
            <w:vAlign w:val="center"/>
          </w:tcPr>
          <w:p w14:paraId="4DA0B19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县农业农村委</w:t>
            </w:r>
          </w:p>
        </w:tc>
        <w:tc>
          <w:tcPr>
            <w:tcW w:w="967" w:type="dxa"/>
            <w:noWrap w:val="0"/>
            <w:vAlign w:val="center"/>
          </w:tcPr>
          <w:p w14:paraId="7A0E4EC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sz w:val="24"/>
                <w:szCs w:val="24"/>
              </w:rPr>
              <w:t>李莹</w:t>
            </w:r>
          </w:p>
        </w:tc>
        <w:tc>
          <w:tcPr>
            <w:tcW w:w="1654" w:type="dxa"/>
            <w:noWrap w:val="0"/>
            <w:vAlign w:val="center"/>
          </w:tcPr>
          <w:p w14:paraId="77FA55D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sz w:val="24"/>
                <w:szCs w:val="24"/>
              </w:rPr>
              <w:t>17783538871</w:t>
            </w:r>
          </w:p>
        </w:tc>
        <w:tc>
          <w:tcPr>
            <w:tcW w:w="2888" w:type="dxa"/>
            <w:vMerge w:val="continue"/>
            <w:noWrap w:val="0"/>
            <w:vAlign w:val="center"/>
          </w:tcPr>
          <w:p w14:paraId="48E9B17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sz w:val="24"/>
                <w:szCs w:val="24"/>
                <w:lang w:eastAsia="zh-CN"/>
              </w:rPr>
            </w:pPr>
          </w:p>
        </w:tc>
      </w:tr>
      <w:tr w14:paraId="01F5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827" w:type="dxa"/>
            <w:vMerge w:val="continue"/>
            <w:noWrap w:val="0"/>
            <w:vAlign w:val="center"/>
          </w:tcPr>
          <w:p w14:paraId="5C0407E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b/>
                <w:bCs/>
                <w:color w:val="000000"/>
                <w:kern w:val="0"/>
                <w:sz w:val="24"/>
                <w:szCs w:val="24"/>
                <w:lang w:val="en-US" w:eastAsia="zh-CN" w:bidi="ar"/>
              </w:rPr>
            </w:pPr>
          </w:p>
        </w:tc>
        <w:tc>
          <w:tcPr>
            <w:tcW w:w="1298" w:type="dxa"/>
            <w:vMerge w:val="continue"/>
            <w:noWrap w:val="0"/>
            <w:vAlign w:val="center"/>
          </w:tcPr>
          <w:p w14:paraId="09D0981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2248684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vertAlign w:val="baseline"/>
                <w:lang w:val="en-US" w:eastAsia="zh-CN" w:bidi="ar"/>
              </w:rPr>
              <w:t>（20）支持农村电商发展，按规定对在各电商平台开展城口本地农产品网络销售的企业和市场主体给予奖励补助。</w:t>
            </w:r>
          </w:p>
        </w:tc>
        <w:tc>
          <w:tcPr>
            <w:tcW w:w="1719" w:type="dxa"/>
            <w:noWrap w:val="0"/>
            <w:vAlign w:val="center"/>
          </w:tcPr>
          <w:p w14:paraId="1105BEF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县商务委</w:t>
            </w:r>
          </w:p>
        </w:tc>
        <w:tc>
          <w:tcPr>
            <w:tcW w:w="967" w:type="dxa"/>
            <w:noWrap w:val="0"/>
            <w:vAlign w:val="center"/>
          </w:tcPr>
          <w:p w14:paraId="5B277E78">
            <w:pPr>
              <w:pStyle w:val="2"/>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lang w:val="en-US" w:eastAsia="zh-CN"/>
              </w:rPr>
            </w:pPr>
            <w:r>
              <w:rPr>
                <w:rFonts w:hint="eastAsia" w:ascii="Times New Roman" w:hAnsi="Times New Roman" w:eastAsia="方正仿宋_GBK" w:cs="Times New Roman"/>
                <w:color w:val="auto"/>
                <w:kern w:val="0"/>
                <w:sz w:val="24"/>
                <w:szCs w:val="24"/>
                <w:highlight w:val="none"/>
                <w:lang w:val="en-US" w:eastAsia="zh-CN" w:bidi="ar"/>
              </w:rPr>
              <w:t>庞仁洪</w:t>
            </w:r>
          </w:p>
        </w:tc>
        <w:tc>
          <w:tcPr>
            <w:tcW w:w="1654" w:type="dxa"/>
            <w:noWrap w:val="0"/>
            <w:vAlign w:val="center"/>
          </w:tcPr>
          <w:p w14:paraId="26626EE7">
            <w:pPr>
              <w:pStyle w:val="2"/>
              <w:keepNext w:val="0"/>
              <w:keepLines w:val="0"/>
              <w:pageBreakBefore w:val="0"/>
              <w:kinsoku/>
              <w:wordWrap/>
              <w:overflowPunct/>
              <w:topLinePunct w:val="0"/>
              <w:autoSpaceDN/>
              <w:bidi w:val="0"/>
              <w:adjustRightInd/>
              <w:snapToGrid/>
              <w:ind w:firstLine="0" w:firstLineChars="0"/>
              <w:jc w:val="center"/>
              <w:textAlignment w:val="auto"/>
              <w:rPr>
                <w:rFonts w:hint="default" w:ascii="Times New Roman" w:hAnsi="Times New Roman"/>
                <w:lang w:val="en-US" w:eastAsia="zh-CN"/>
              </w:rPr>
            </w:pPr>
            <w:r>
              <w:rPr>
                <w:rFonts w:hint="eastAsia" w:ascii="Times New Roman" w:hAnsi="Times New Roman" w:eastAsia="方正仿宋_GBK" w:cs="Times New Roman"/>
                <w:color w:val="auto"/>
                <w:kern w:val="0"/>
                <w:sz w:val="24"/>
                <w:szCs w:val="24"/>
                <w:highlight w:val="none"/>
                <w:lang w:val="en-US" w:eastAsia="zh-CN" w:bidi="ar"/>
              </w:rPr>
              <w:t>023-59224912</w:t>
            </w:r>
          </w:p>
        </w:tc>
        <w:tc>
          <w:tcPr>
            <w:tcW w:w="2888" w:type="dxa"/>
            <w:noWrap w:val="0"/>
            <w:vAlign w:val="center"/>
          </w:tcPr>
          <w:p w14:paraId="01B892E9">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2"/>
                <w:sz w:val="24"/>
                <w:szCs w:val="24"/>
                <w:lang w:val="en-US" w:eastAsia="zh-CN" w:bidi="ar-SA"/>
              </w:rPr>
              <w:t>《关于印发城口县2025年农村电商发展7条措施的通知》（城商务发〔2025〕8号）</w:t>
            </w:r>
          </w:p>
        </w:tc>
      </w:tr>
      <w:tr w14:paraId="1842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5039" w:type="dxa"/>
            <w:gridSpan w:val="7"/>
            <w:noWrap w:val="0"/>
            <w:vAlign w:val="center"/>
          </w:tcPr>
          <w:p w14:paraId="21805A2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eastAsia" w:ascii="Times New Roman" w:hAnsi="Times New Roman" w:eastAsia="方正黑体_GBK" w:cs="方正黑体_GBK"/>
                <w:kern w:val="2"/>
                <w:sz w:val="24"/>
                <w:szCs w:val="24"/>
                <w:lang w:val="en-US" w:eastAsia="zh-CN" w:bidi="ar-SA"/>
              </w:rPr>
              <w:t>三、完善民营经济法治保障</w:t>
            </w:r>
          </w:p>
        </w:tc>
      </w:tr>
      <w:tr w14:paraId="1099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827" w:type="dxa"/>
            <w:vMerge w:val="restart"/>
            <w:noWrap w:val="0"/>
            <w:vAlign w:val="center"/>
          </w:tcPr>
          <w:p w14:paraId="4C2FB97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10</w:t>
            </w:r>
          </w:p>
        </w:tc>
        <w:tc>
          <w:tcPr>
            <w:tcW w:w="1298" w:type="dxa"/>
            <w:vMerge w:val="restart"/>
            <w:noWrap w:val="0"/>
            <w:vAlign w:val="center"/>
          </w:tcPr>
          <w:p w14:paraId="3EC834C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加强涉企法规体系建设</w:t>
            </w:r>
          </w:p>
        </w:tc>
        <w:tc>
          <w:tcPr>
            <w:tcW w:w="5686" w:type="dxa"/>
            <w:noWrap w:val="0"/>
            <w:vAlign w:val="center"/>
          </w:tcPr>
          <w:p w14:paraId="6DCAC28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（21）</w:t>
            </w:r>
            <w:r>
              <w:rPr>
                <w:rFonts w:hint="default" w:ascii="Times New Roman" w:hAnsi="Times New Roman" w:eastAsia="方正仿宋_GBK" w:cs="Times New Roman"/>
                <w:color w:val="000000"/>
                <w:kern w:val="0"/>
                <w:sz w:val="24"/>
                <w:szCs w:val="24"/>
                <w:highlight w:val="none"/>
                <w:vertAlign w:val="baseline"/>
                <w:lang w:val="en-US" w:eastAsia="zh-CN" w:bidi="ar"/>
              </w:rPr>
              <w:t>落实《重庆市民营经济促进条例》《重庆市优化营商环境条例》《重庆市数字经济发展条例》《重庆市涉企行政检查办法》等促进民营经济发展的法规规章，</w:t>
            </w:r>
            <w:r>
              <w:rPr>
                <w:rFonts w:hint="default" w:ascii="Times New Roman" w:hAnsi="Times New Roman" w:eastAsia="方正仿宋_GBK" w:cs="方正仿宋_GBK"/>
                <w:color w:val="000000"/>
                <w:kern w:val="0"/>
                <w:sz w:val="24"/>
                <w:szCs w:val="24"/>
                <w:vertAlign w:val="baseline"/>
                <w:lang w:val="en-US" w:eastAsia="zh-CN" w:bidi="ar"/>
              </w:rPr>
              <w:t>动态清理阻碍、限制民营经济高质量发展的行政规范性文件和政策文件</w:t>
            </w:r>
            <w:r>
              <w:rPr>
                <w:rFonts w:hint="eastAsia" w:ascii="Times New Roman" w:hAnsi="Times New Roman" w:eastAsia="方正仿宋_GBK" w:cs="方正仿宋_GBK"/>
                <w:color w:val="000000"/>
                <w:kern w:val="0"/>
                <w:sz w:val="24"/>
                <w:szCs w:val="24"/>
                <w:vertAlign w:val="baseline"/>
                <w:lang w:val="en-US" w:eastAsia="zh-CN" w:bidi="ar"/>
              </w:rPr>
              <w:t>。</w:t>
            </w:r>
          </w:p>
        </w:tc>
        <w:tc>
          <w:tcPr>
            <w:tcW w:w="1719" w:type="dxa"/>
            <w:noWrap w:val="0"/>
            <w:vAlign w:val="center"/>
          </w:tcPr>
          <w:p w14:paraId="4BCE656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县发展改革委</w:t>
            </w:r>
          </w:p>
          <w:p w14:paraId="3F3ACC4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县司法局</w:t>
            </w:r>
          </w:p>
          <w:p w14:paraId="418E151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县经济信息委</w:t>
            </w:r>
          </w:p>
          <w:p w14:paraId="272F310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县</w:t>
            </w:r>
            <w:r>
              <w:rPr>
                <w:rFonts w:hint="eastAsia" w:ascii="Times New Roman" w:hAnsi="Times New Roman" w:eastAsia="方正仿宋_GBK" w:cs="Times New Roman"/>
                <w:color w:val="000000"/>
                <w:kern w:val="0"/>
                <w:sz w:val="24"/>
                <w:szCs w:val="24"/>
                <w:lang w:val="en-US" w:eastAsia="zh-CN" w:bidi="ar"/>
              </w:rPr>
              <w:t>级有关部门</w:t>
            </w:r>
          </w:p>
        </w:tc>
        <w:tc>
          <w:tcPr>
            <w:tcW w:w="967" w:type="dxa"/>
            <w:noWrap w:val="0"/>
            <w:vAlign w:val="center"/>
          </w:tcPr>
          <w:p w14:paraId="1D0C25B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熊向令</w:t>
            </w:r>
          </w:p>
          <w:p w14:paraId="66BAE5C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于清</w:t>
            </w:r>
          </w:p>
          <w:p w14:paraId="4366F01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王赟薇</w:t>
            </w:r>
          </w:p>
        </w:tc>
        <w:tc>
          <w:tcPr>
            <w:tcW w:w="1654" w:type="dxa"/>
            <w:noWrap w:val="0"/>
            <w:vAlign w:val="center"/>
          </w:tcPr>
          <w:p w14:paraId="28C02AD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17383138663</w:t>
            </w:r>
          </w:p>
          <w:p w14:paraId="45E5F9D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13668074882</w:t>
            </w:r>
          </w:p>
          <w:p w14:paraId="6E42A01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19923530196</w:t>
            </w:r>
          </w:p>
        </w:tc>
        <w:tc>
          <w:tcPr>
            <w:tcW w:w="2888" w:type="dxa"/>
            <w:noWrap w:val="0"/>
            <w:vAlign w:val="center"/>
          </w:tcPr>
          <w:p w14:paraId="39C02C0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726A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827" w:type="dxa"/>
            <w:vMerge w:val="continue"/>
            <w:noWrap w:val="0"/>
            <w:vAlign w:val="center"/>
          </w:tcPr>
          <w:p w14:paraId="3C18B01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16E8A63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30B78F7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（22）</w:t>
            </w:r>
            <w:r>
              <w:rPr>
                <w:rFonts w:hint="default" w:ascii="Times New Roman" w:hAnsi="Times New Roman" w:eastAsia="方正仿宋_GBK" w:cs="Times New Roman"/>
                <w:color w:val="000000"/>
                <w:kern w:val="0"/>
                <w:sz w:val="24"/>
                <w:szCs w:val="24"/>
                <w:highlight w:val="none"/>
                <w:vertAlign w:val="baseline"/>
                <w:lang w:val="en-US" w:eastAsia="zh-CN" w:bidi="ar"/>
              </w:rPr>
              <w:t>迭代升级助企纾困政策包，</w:t>
            </w:r>
            <w:r>
              <w:rPr>
                <w:rFonts w:hint="eastAsia" w:ascii="Times New Roman" w:hAnsi="Times New Roman" w:eastAsia="方正仿宋_GBK" w:cs="Times New Roman"/>
                <w:color w:val="000000"/>
                <w:kern w:val="0"/>
                <w:sz w:val="24"/>
                <w:szCs w:val="24"/>
                <w:highlight w:val="none"/>
                <w:vertAlign w:val="baseline"/>
                <w:lang w:val="en-US" w:eastAsia="zh-CN" w:bidi="ar"/>
              </w:rPr>
              <w:t>督促</w:t>
            </w:r>
            <w:r>
              <w:rPr>
                <w:rFonts w:hint="default" w:ascii="Times New Roman" w:hAnsi="Times New Roman" w:eastAsia="方正仿宋_GBK" w:cs="Times New Roman"/>
                <w:color w:val="000000"/>
                <w:kern w:val="0"/>
                <w:sz w:val="24"/>
                <w:szCs w:val="24"/>
                <w:highlight w:val="none"/>
                <w:vertAlign w:val="baseline"/>
                <w:lang w:val="en-US" w:eastAsia="zh-CN" w:bidi="ar"/>
              </w:rPr>
              <w:t>《城口县优化营商环境促进民营经济发展十条措施》</w:t>
            </w:r>
            <w:r>
              <w:rPr>
                <w:rFonts w:hint="eastAsia" w:ascii="Times New Roman" w:hAnsi="Times New Roman" w:eastAsia="方正仿宋_GBK" w:cs="Times New Roman"/>
                <w:color w:val="000000"/>
                <w:kern w:val="0"/>
                <w:sz w:val="24"/>
                <w:szCs w:val="24"/>
                <w:highlight w:val="none"/>
                <w:vertAlign w:val="baseline"/>
                <w:lang w:val="en-US" w:eastAsia="zh-CN" w:bidi="ar"/>
              </w:rPr>
              <w:t>落地，加强跟踪问效</w:t>
            </w:r>
            <w:r>
              <w:rPr>
                <w:rFonts w:hint="default" w:ascii="Times New Roman" w:hAnsi="Times New Roman" w:eastAsia="方正仿宋_GBK" w:cs="Times New Roman"/>
                <w:color w:val="000000"/>
                <w:kern w:val="0"/>
                <w:sz w:val="24"/>
                <w:szCs w:val="24"/>
                <w:highlight w:val="none"/>
                <w:vertAlign w:val="baseline"/>
                <w:lang w:val="en-US" w:eastAsia="zh-CN" w:bidi="ar"/>
              </w:rPr>
              <w:t>。</w:t>
            </w:r>
          </w:p>
        </w:tc>
        <w:tc>
          <w:tcPr>
            <w:tcW w:w="1719" w:type="dxa"/>
            <w:noWrap w:val="0"/>
            <w:vAlign w:val="center"/>
          </w:tcPr>
          <w:p w14:paraId="750F976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县发展改革委</w:t>
            </w:r>
          </w:p>
          <w:p w14:paraId="4DD2E13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县</w:t>
            </w:r>
            <w:r>
              <w:rPr>
                <w:rFonts w:hint="eastAsia" w:ascii="Times New Roman" w:hAnsi="Times New Roman" w:eastAsia="方正仿宋_GBK" w:cs="Times New Roman"/>
                <w:color w:val="000000"/>
                <w:kern w:val="0"/>
                <w:sz w:val="24"/>
                <w:szCs w:val="24"/>
                <w:lang w:val="en-US" w:eastAsia="zh-CN" w:bidi="ar"/>
              </w:rPr>
              <w:t>级有关部门</w:t>
            </w:r>
          </w:p>
        </w:tc>
        <w:tc>
          <w:tcPr>
            <w:tcW w:w="967" w:type="dxa"/>
            <w:noWrap w:val="0"/>
            <w:vAlign w:val="center"/>
          </w:tcPr>
          <w:p w14:paraId="1F60870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杨玉亭</w:t>
            </w:r>
          </w:p>
        </w:tc>
        <w:tc>
          <w:tcPr>
            <w:tcW w:w="1654" w:type="dxa"/>
            <w:noWrap w:val="0"/>
            <w:vAlign w:val="center"/>
          </w:tcPr>
          <w:p w14:paraId="2F33FC1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15826330010</w:t>
            </w:r>
          </w:p>
        </w:tc>
        <w:tc>
          <w:tcPr>
            <w:tcW w:w="2888" w:type="dxa"/>
            <w:noWrap w:val="0"/>
            <w:vAlign w:val="center"/>
          </w:tcPr>
          <w:p w14:paraId="219D080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《关于促进民营经济高质量发展的实施意见》《重庆市优化营商环境条例》《城口县优化营商环境专项行动方案（2024-2027年）》（城府办发〔2024〕66号）</w:t>
            </w:r>
          </w:p>
        </w:tc>
      </w:tr>
      <w:tr w14:paraId="3956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827" w:type="dxa"/>
            <w:noWrap w:val="0"/>
            <w:vAlign w:val="center"/>
          </w:tcPr>
          <w:p w14:paraId="5C68F2CE">
            <w:pPr>
              <w:keepNext w:val="0"/>
              <w:keepLines w:val="0"/>
              <w:pageBreakBefore w:val="0"/>
              <w:widowControl/>
              <w:suppressLineNumbers w:val="0"/>
              <w:kinsoku/>
              <w:wordWrap/>
              <w:overflowPunct/>
              <w:topLinePunct w:val="0"/>
              <w:autoSpaceDE/>
              <w:autoSpaceDN/>
              <w:bidi w:val="0"/>
              <w:adjustRightInd/>
              <w:snapToGrid/>
              <w:spacing w:line="579"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11</w:t>
            </w:r>
          </w:p>
        </w:tc>
        <w:tc>
          <w:tcPr>
            <w:tcW w:w="1298" w:type="dxa"/>
            <w:noWrap w:val="0"/>
            <w:vAlign w:val="center"/>
          </w:tcPr>
          <w:p w14:paraId="0A8BE3B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严格规范涉企行政执法</w:t>
            </w:r>
          </w:p>
        </w:tc>
        <w:tc>
          <w:tcPr>
            <w:tcW w:w="5686" w:type="dxa"/>
            <w:noWrap w:val="0"/>
            <w:vAlign w:val="center"/>
          </w:tcPr>
          <w:p w14:paraId="27DFB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vertAlign w:val="baseline"/>
                <w:lang w:val="en-US" w:eastAsia="zh-CN" w:bidi="ar"/>
              </w:rPr>
              <w:t>（23）</w:t>
            </w:r>
            <w:r>
              <w:rPr>
                <w:rFonts w:hint="default" w:ascii="Times New Roman" w:hAnsi="Times New Roman" w:eastAsia="方正仿宋_GBK" w:cs="Times New Roman"/>
                <w:color w:val="auto"/>
                <w:kern w:val="0"/>
                <w:sz w:val="24"/>
                <w:szCs w:val="24"/>
                <w:vertAlign w:val="baseline"/>
                <w:lang w:val="en-US" w:eastAsia="zh-CN" w:bidi="ar"/>
              </w:rPr>
              <w:t>建立涉企</w:t>
            </w:r>
            <w:r>
              <w:rPr>
                <w:rFonts w:hint="eastAsia" w:ascii="Times New Roman" w:hAnsi="Times New Roman" w:eastAsia="方正仿宋_GBK" w:cs="方正仿宋_GBK"/>
                <w:color w:val="auto"/>
                <w:kern w:val="0"/>
                <w:sz w:val="24"/>
                <w:szCs w:val="24"/>
                <w:vertAlign w:val="baseline"/>
                <w:lang w:val="en-US" w:eastAsia="zh-CN" w:bidi="ar"/>
              </w:rPr>
              <w:t>行政检查事项清单，实行清单之外无检查。持续实施“大综合一体化”行政执法改革，综合集成跨部门跨领域执法监管事项，构建更多“综合查一次”组团式执法场景，减少行政检查数量和频次。</w:t>
            </w:r>
            <w:r>
              <w:rPr>
                <w:rFonts w:hint="eastAsia" w:ascii="Times New Roman" w:hAnsi="Times New Roman" w:eastAsia="方正仿宋_GBK" w:cs="方正仿宋_GBK"/>
                <w:color w:val="000000"/>
                <w:kern w:val="0"/>
                <w:sz w:val="24"/>
                <w:szCs w:val="24"/>
                <w:highlight w:val="none"/>
                <w:vertAlign w:val="baseline"/>
                <w:lang w:val="en-US" w:eastAsia="zh-CN" w:bidi="ar"/>
              </w:rPr>
              <w:t>开展规范涉企执法专项行动，排查整治乱收费、乱罚款、乱检查、乱查封等突出问题。规范实施涉企行政强制，依法慎用查封、扣押、冻结等强制措施，尽可能减少对企业正常生产经营的影响。</w:t>
            </w:r>
          </w:p>
        </w:tc>
        <w:tc>
          <w:tcPr>
            <w:tcW w:w="1719" w:type="dxa"/>
            <w:noWrap w:val="0"/>
            <w:vAlign w:val="center"/>
          </w:tcPr>
          <w:p w14:paraId="142423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县司法局</w:t>
            </w:r>
          </w:p>
          <w:p w14:paraId="517DA4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县市场监管局</w:t>
            </w:r>
          </w:p>
          <w:p w14:paraId="73F9D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lang w:val="en-US" w:eastAsia="zh-CN" w:bidi="ar"/>
              </w:rPr>
              <w:t>县级有关部门</w:t>
            </w:r>
          </w:p>
        </w:tc>
        <w:tc>
          <w:tcPr>
            <w:tcW w:w="967" w:type="dxa"/>
            <w:noWrap w:val="0"/>
            <w:vAlign w:val="center"/>
          </w:tcPr>
          <w:p w14:paraId="129502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罗泽运</w:t>
            </w:r>
          </w:p>
        </w:tc>
        <w:tc>
          <w:tcPr>
            <w:tcW w:w="1654" w:type="dxa"/>
            <w:noWrap w:val="0"/>
            <w:vAlign w:val="center"/>
          </w:tcPr>
          <w:p w14:paraId="7A708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17782380081</w:t>
            </w:r>
          </w:p>
        </w:tc>
        <w:tc>
          <w:tcPr>
            <w:tcW w:w="2888" w:type="dxa"/>
            <w:noWrap w:val="0"/>
            <w:vAlign w:val="center"/>
          </w:tcPr>
          <w:p w14:paraId="744D7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6768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827" w:type="dxa"/>
            <w:vMerge w:val="restart"/>
            <w:noWrap w:val="0"/>
            <w:vAlign w:val="center"/>
          </w:tcPr>
          <w:p w14:paraId="134FF99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12</w:t>
            </w:r>
          </w:p>
        </w:tc>
        <w:tc>
          <w:tcPr>
            <w:tcW w:w="1298" w:type="dxa"/>
            <w:vMerge w:val="restart"/>
            <w:noWrap w:val="0"/>
            <w:vAlign w:val="center"/>
          </w:tcPr>
          <w:p w14:paraId="34C3CD7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加强民营企业产权和企业家权益保护</w:t>
            </w:r>
          </w:p>
        </w:tc>
        <w:tc>
          <w:tcPr>
            <w:tcW w:w="5686" w:type="dxa"/>
            <w:noWrap w:val="0"/>
            <w:vAlign w:val="center"/>
          </w:tcPr>
          <w:p w14:paraId="0D56C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lang w:val="en-US" w:eastAsia="zh-CN" w:bidi="ar"/>
              </w:rPr>
              <w:t>（24）</w:t>
            </w:r>
            <w:r>
              <w:rPr>
                <w:rFonts w:hint="default" w:ascii="Times New Roman" w:hAnsi="Times New Roman" w:eastAsia="方正仿宋_GBK" w:cs="Times New Roman"/>
                <w:color w:val="000000"/>
                <w:kern w:val="0"/>
                <w:sz w:val="24"/>
                <w:szCs w:val="24"/>
                <w:lang w:val="en-US" w:eastAsia="zh-CN" w:bidi="ar"/>
              </w:rPr>
              <w:t>开展防范和打击侵害企业合法权益经济犯罪专项工作，依法打击合同诈骗、职务侵占等犯罪行为。</w:t>
            </w:r>
          </w:p>
        </w:tc>
        <w:tc>
          <w:tcPr>
            <w:tcW w:w="1719" w:type="dxa"/>
            <w:noWrap w:val="0"/>
            <w:vAlign w:val="center"/>
          </w:tcPr>
          <w:p w14:paraId="2B5B31D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lang w:val="en-US" w:eastAsia="zh-CN" w:bidi="ar"/>
              </w:rPr>
              <w:t>县委政法委</w:t>
            </w:r>
          </w:p>
        </w:tc>
        <w:tc>
          <w:tcPr>
            <w:tcW w:w="967" w:type="dxa"/>
            <w:noWrap w:val="0"/>
            <w:vAlign w:val="center"/>
          </w:tcPr>
          <w:p w14:paraId="1204534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宋鹏霄</w:t>
            </w:r>
          </w:p>
        </w:tc>
        <w:tc>
          <w:tcPr>
            <w:tcW w:w="1654" w:type="dxa"/>
            <w:noWrap w:val="0"/>
            <w:vAlign w:val="center"/>
          </w:tcPr>
          <w:p w14:paraId="1AA0B27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18996611377</w:t>
            </w:r>
          </w:p>
        </w:tc>
        <w:tc>
          <w:tcPr>
            <w:tcW w:w="2888" w:type="dxa"/>
            <w:vMerge w:val="restart"/>
            <w:noWrap w:val="0"/>
            <w:vAlign w:val="center"/>
          </w:tcPr>
          <w:p w14:paraId="4ED9ED3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6FC4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827" w:type="dxa"/>
            <w:vMerge w:val="continue"/>
            <w:noWrap w:val="0"/>
            <w:vAlign w:val="center"/>
          </w:tcPr>
          <w:p w14:paraId="3713D23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6398AC5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p>
        </w:tc>
        <w:tc>
          <w:tcPr>
            <w:tcW w:w="5686" w:type="dxa"/>
            <w:noWrap w:val="0"/>
            <w:vAlign w:val="center"/>
          </w:tcPr>
          <w:p w14:paraId="40DB887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（25）</w:t>
            </w:r>
            <w:r>
              <w:rPr>
                <w:rFonts w:hint="default" w:ascii="Times New Roman" w:hAnsi="Times New Roman" w:eastAsia="方正仿宋_GBK" w:cs="Times New Roman"/>
                <w:color w:val="000000"/>
                <w:kern w:val="0"/>
                <w:sz w:val="24"/>
                <w:szCs w:val="24"/>
                <w:lang w:val="en-US" w:eastAsia="zh-CN" w:bidi="ar"/>
              </w:rPr>
              <w:t>依法打击敲诈勒索、盗抢生产设施等影响企业和投资者安全感的违法犯罪行为；依法打击合同诈骗、金融诈骗等扰乱市场经济秩序</w:t>
            </w:r>
            <w:r>
              <w:rPr>
                <w:rFonts w:hint="eastAsia" w:ascii="Times New Roman" w:hAnsi="Times New Roman" w:eastAsia="方正仿宋_GBK" w:cs="Times New Roman"/>
                <w:color w:val="000000"/>
                <w:kern w:val="0"/>
                <w:sz w:val="24"/>
                <w:szCs w:val="24"/>
                <w:lang w:val="en-US" w:eastAsia="zh-CN" w:bidi="ar"/>
              </w:rPr>
              <w:t>的</w:t>
            </w:r>
            <w:r>
              <w:rPr>
                <w:rFonts w:hint="default" w:ascii="Times New Roman" w:hAnsi="Times New Roman" w:eastAsia="方正仿宋_GBK" w:cs="Times New Roman"/>
                <w:color w:val="000000"/>
                <w:kern w:val="0"/>
                <w:sz w:val="24"/>
                <w:szCs w:val="24"/>
                <w:lang w:val="en-US" w:eastAsia="zh-CN" w:bidi="ar"/>
              </w:rPr>
              <w:t>违法犯罪行为。</w:t>
            </w:r>
          </w:p>
        </w:tc>
        <w:tc>
          <w:tcPr>
            <w:tcW w:w="1719" w:type="dxa"/>
            <w:noWrap w:val="0"/>
            <w:vAlign w:val="center"/>
          </w:tcPr>
          <w:p w14:paraId="77844C0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lang w:val="en-US" w:eastAsia="zh-CN" w:bidi="ar"/>
              </w:rPr>
              <w:t>县公安局</w:t>
            </w:r>
          </w:p>
        </w:tc>
        <w:tc>
          <w:tcPr>
            <w:tcW w:w="967" w:type="dxa"/>
            <w:noWrap w:val="0"/>
            <w:vAlign w:val="center"/>
          </w:tcPr>
          <w:p w14:paraId="4CF29CF2">
            <w:pPr>
              <w:keepNext w:val="0"/>
              <w:keepLines w:val="0"/>
              <w:pageBreakBefore w:val="0"/>
              <w:widowControl/>
              <w:kinsoku/>
              <w:wordWrap/>
              <w:overflowPunct/>
              <w:topLinePunct w:val="0"/>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rPr>
            </w:pPr>
            <w:r>
              <w:rPr>
                <w:rFonts w:hint="default" w:ascii="Times New Roman" w:hAnsi="Times New Roman" w:eastAsia="方正仿宋_GBK" w:cs="Times New Roman"/>
                <w:color w:val="000000"/>
                <w:kern w:val="0"/>
                <w:sz w:val="24"/>
              </w:rPr>
              <w:t>覃毅</w:t>
            </w:r>
          </w:p>
          <w:p w14:paraId="56BDB363">
            <w:pPr>
              <w:keepNext w:val="0"/>
              <w:keepLines w:val="0"/>
              <w:pageBreakBefore w:val="0"/>
              <w:widowControl/>
              <w:kinsoku/>
              <w:wordWrap/>
              <w:overflowPunct/>
              <w:topLinePunct w:val="0"/>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rPr>
              <w:t>曾艳</w:t>
            </w:r>
          </w:p>
        </w:tc>
        <w:tc>
          <w:tcPr>
            <w:tcW w:w="1654" w:type="dxa"/>
            <w:noWrap w:val="0"/>
            <w:vAlign w:val="center"/>
          </w:tcPr>
          <w:p w14:paraId="76970344">
            <w:pPr>
              <w:keepNext w:val="0"/>
              <w:keepLines w:val="0"/>
              <w:pageBreakBefore w:val="0"/>
              <w:widowControl/>
              <w:kinsoku/>
              <w:wordWrap/>
              <w:overflowPunct/>
              <w:topLinePunct w:val="0"/>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rPr>
            </w:pPr>
            <w:r>
              <w:rPr>
                <w:rFonts w:hint="default" w:ascii="Times New Roman" w:hAnsi="Times New Roman" w:eastAsia="方正仿宋_GBK" w:cs="Times New Roman"/>
                <w:color w:val="000000"/>
                <w:kern w:val="0"/>
                <w:sz w:val="24"/>
              </w:rPr>
              <w:t>13609449218</w:t>
            </w:r>
          </w:p>
          <w:p w14:paraId="0D475F50">
            <w:pPr>
              <w:keepNext w:val="0"/>
              <w:keepLines w:val="0"/>
              <w:pageBreakBefore w:val="0"/>
              <w:widowControl/>
              <w:kinsoku/>
              <w:wordWrap/>
              <w:overflowPunct/>
              <w:topLinePunct w:val="0"/>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rPr>
              <w:t>15023851581</w:t>
            </w:r>
          </w:p>
        </w:tc>
        <w:tc>
          <w:tcPr>
            <w:tcW w:w="2888" w:type="dxa"/>
            <w:vMerge w:val="continue"/>
            <w:noWrap w:val="0"/>
            <w:vAlign w:val="center"/>
          </w:tcPr>
          <w:p w14:paraId="410377F4">
            <w:pPr>
              <w:keepNext w:val="0"/>
              <w:keepLines w:val="0"/>
              <w:pageBreakBefore w:val="0"/>
              <w:widowControl/>
              <w:kinsoku/>
              <w:wordWrap/>
              <w:overflowPunct/>
              <w:topLinePunct w:val="0"/>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rPr>
            </w:pPr>
          </w:p>
        </w:tc>
      </w:tr>
      <w:tr w14:paraId="5EFB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827" w:type="dxa"/>
            <w:vMerge w:val="continue"/>
            <w:noWrap w:val="0"/>
            <w:vAlign w:val="center"/>
          </w:tcPr>
          <w:p w14:paraId="7B9A31F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04CC771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37A7694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（26）</w:t>
            </w:r>
            <w:r>
              <w:rPr>
                <w:rFonts w:hint="default" w:ascii="Times New Roman" w:hAnsi="Times New Roman" w:eastAsia="方正仿宋_GBK" w:cs="方正仿宋_GBK"/>
                <w:color w:val="000000"/>
                <w:kern w:val="0"/>
                <w:sz w:val="24"/>
                <w:szCs w:val="24"/>
                <w:vertAlign w:val="baseline"/>
                <w:lang w:val="en-US" w:eastAsia="zh-CN" w:bidi="ar"/>
              </w:rPr>
              <w:t>规范财产保全工作，防止超权限、超范围、超数额、超时限查封扣押冻结财产。</w:t>
            </w:r>
          </w:p>
        </w:tc>
        <w:tc>
          <w:tcPr>
            <w:tcW w:w="1719" w:type="dxa"/>
            <w:noWrap w:val="0"/>
            <w:vAlign w:val="center"/>
          </w:tcPr>
          <w:p w14:paraId="2E8F91A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lang w:eastAsia="zh-CN"/>
              </w:rPr>
              <w:t>县法院</w:t>
            </w:r>
          </w:p>
        </w:tc>
        <w:tc>
          <w:tcPr>
            <w:tcW w:w="967" w:type="dxa"/>
            <w:noWrap w:val="0"/>
            <w:vAlign w:val="center"/>
          </w:tcPr>
          <w:p w14:paraId="3F08566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rPr>
            </w:pPr>
            <w:r>
              <w:rPr>
                <w:rFonts w:hint="default" w:ascii="Times New Roman" w:hAnsi="Times New Roman" w:eastAsia="方正仿宋_GBK" w:cs="Times New Roman"/>
                <w:color w:val="auto"/>
                <w:kern w:val="0"/>
                <w:sz w:val="24"/>
                <w:lang w:val="en-US" w:eastAsia="zh-CN"/>
              </w:rPr>
              <w:t>张雷</w:t>
            </w:r>
          </w:p>
        </w:tc>
        <w:tc>
          <w:tcPr>
            <w:tcW w:w="1654" w:type="dxa"/>
            <w:noWrap w:val="0"/>
            <w:vAlign w:val="center"/>
          </w:tcPr>
          <w:p w14:paraId="20C1BE7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rPr>
            </w:pPr>
            <w:r>
              <w:rPr>
                <w:rFonts w:hint="default" w:ascii="Times New Roman" w:hAnsi="Times New Roman" w:eastAsia="方正仿宋_GBK" w:cs="Times New Roman"/>
                <w:color w:val="auto"/>
                <w:kern w:val="0"/>
                <w:sz w:val="24"/>
                <w:lang w:val="en-US" w:eastAsia="zh-CN"/>
              </w:rPr>
              <w:t>13996644140</w:t>
            </w:r>
          </w:p>
        </w:tc>
        <w:tc>
          <w:tcPr>
            <w:tcW w:w="2888" w:type="dxa"/>
            <w:vMerge w:val="continue"/>
            <w:noWrap w:val="0"/>
            <w:vAlign w:val="center"/>
          </w:tcPr>
          <w:p w14:paraId="75F27A0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FF0000"/>
                <w:kern w:val="0"/>
                <w:sz w:val="24"/>
                <w:lang w:val="en-US" w:eastAsia="zh-CN"/>
              </w:rPr>
            </w:pPr>
          </w:p>
        </w:tc>
      </w:tr>
      <w:tr w14:paraId="6A52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27" w:type="dxa"/>
            <w:vMerge w:val="continue"/>
            <w:noWrap w:val="0"/>
            <w:vAlign w:val="center"/>
          </w:tcPr>
          <w:p w14:paraId="5E345B7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1D87993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5E87DB5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（27）</w:t>
            </w:r>
            <w:r>
              <w:rPr>
                <w:rFonts w:hint="default" w:ascii="Times New Roman" w:hAnsi="Times New Roman" w:eastAsia="方正仿宋_GBK" w:cs="Times New Roman"/>
                <w:color w:val="000000"/>
                <w:kern w:val="0"/>
                <w:sz w:val="24"/>
                <w:szCs w:val="24"/>
                <w:lang w:val="en-US" w:eastAsia="zh-CN" w:bidi="ar"/>
              </w:rPr>
              <w:t>持续开展“护企兴商”专项行动，规范财产保全和执行工作，保障涉企执行案件各方的合法权益。</w:t>
            </w:r>
          </w:p>
        </w:tc>
        <w:tc>
          <w:tcPr>
            <w:tcW w:w="1719" w:type="dxa"/>
            <w:noWrap w:val="0"/>
            <w:vAlign w:val="center"/>
          </w:tcPr>
          <w:p w14:paraId="7CD867C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highlight w:val="none"/>
                <w:lang w:val="en-US" w:eastAsia="zh-CN" w:bidi="ar"/>
              </w:rPr>
              <w:t>县检察院</w:t>
            </w:r>
          </w:p>
        </w:tc>
        <w:tc>
          <w:tcPr>
            <w:tcW w:w="967" w:type="dxa"/>
            <w:noWrap w:val="0"/>
            <w:vAlign w:val="center"/>
          </w:tcPr>
          <w:p w14:paraId="325B7CA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rPr>
            </w:pPr>
            <w:r>
              <w:rPr>
                <w:rFonts w:hint="eastAsia" w:ascii="Times New Roman" w:hAnsi="Times New Roman" w:eastAsia="方正仿宋_GBK" w:cs="方正仿宋_GBK"/>
                <w:color w:val="000000"/>
                <w:kern w:val="0"/>
                <w:sz w:val="24"/>
                <w:szCs w:val="24"/>
                <w:vertAlign w:val="baseline"/>
                <w:lang w:val="en-US" w:eastAsia="zh-CN" w:bidi="ar"/>
              </w:rPr>
              <w:t>朱光</w:t>
            </w:r>
          </w:p>
        </w:tc>
        <w:tc>
          <w:tcPr>
            <w:tcW w:w="1654" w:type="dxa"/>
            <w:noWrap w:val="0"/>
            <w:vAlign w:val="center"/>
          </w:tcPr>
          <w:p w14:paraId="668276F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000000"/>
                <w:kern w:val="0"/>
                <w:sz w:val="24"/>
                <w:szCs w:val="24"/>
                <w:vertAlign w:val="baseline"/>
                <w:lang w:val="en-US" w:eastAsia="zh-CN" w:bidi="ar"/>
              </w:rPr>
              <w:t>59227387</w:t>
            </w:r>
          </w:p>
        </w:tc>
        <w:tc>
          <w:tcPr>
            <w:tcW w:w="2888" w:type="dxa"/>
            <w:vMerge w:val="continue"/>
            <w:noWrap w:val="0"/>
            <w:vAlign w:val="center"/>
          </w:tcPr>
          <w:p w14:paraId="3CB12B4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p>
        </w:tc>
      </w:tr>
      <w:tr w14:paraId="3773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27" w:type="dxa"/>
            <w:vMerge w:val="continue"/>
            <w:noWrap w:val="0"/>
            <w:vAlign w:val="center"/>
          </w:tcPr>
          <w:p w14:paraId="5A959E9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1157402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14B4DCB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（28）</w:t>
            </w:r>
            <w:r>
              <w:rPr>
                <w:rFonts w:hint="default" w:ascii="Times New Roman" w:hAnsi="Times New Roman" w:eastAsia="方正仿宋_GBK" w:cs="Times New Roman"/>
                <w:color w:val="000000"/>
                <w:kern w:val="0"/>
                <w:sz w:val="24"/>
                <w:szCs w:val="24"/>
                <w:lang w:val="en-US" w:eastAsia="zh-CN" w:bidi="ar"/>
              </w:rPr>
              <w:t>完善知识产权保护联席会议制度，加强部门执法联动，依法查处知识产权领域违法行为。</w:t>
            </w:r>
          </w:p>
        </w:tc>
        <w:tc>
          <w:tcPr>
            <w:tcW w:w="1719" w:type="dxa"/>
            <w:noWrap w:val="0"/>
            <w:vAlign w:val="center"/>
          </w:tcPr>
          <w:p w14:paraId="0402D7C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val="en-US" w:eastAsia="zh-CN" w:bidi="ar"/>
              </w:rPr>
              <w:t>县市场监管局</w:t>
            </w:r>
          </w:p>
        </w:tc>
        <w:tc>
          <w:tcPr>
            <w:tcW w:w="967" w:type="dxa"/>
            <w:noWrap w:val="0"/>
            <w:vAlign w:val="center"/>
          </w:tcPr>
          <w:p w14:paraId="11374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段美巧</w:t>
            </w:r>
          </w:p>
        </w:tc>
        <w:tc>
          <w:tcPr>
            <w:tcW w:w="1654" w:type="dxa"/>
            <w:noWrap w:val="0"/>
            <w:vAlign w:val="center"/>
          </w:tcPr>
          <w:p w14:paraId="63ECB3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000000"/>
                <w:kern w:val="0"/>
                <w:sz w:val="24"/>
                <w:szCs w:val="24"/>
                <w:vertAlign w:val="baseline"/>
                <w:lang w:val="en-US" w:eastAsia="zh-CN" w:bidi="ar"/>
              </w:rPr>
              <w:t>59226776</w:t>
            </w:r>
          </w:p>
        </w:tc>
        <w:tc>
          <w:tcPr>
            <w:tcW w:w="2888" w:type="dxa"/>
            <w:vMerge w:val="continue"/>
            <w:noWrap w:val="0"/>
            <w:vAlign w:val="center"/>
          </w:tcPr>
          <w:p w14:paraId="5453B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p>
        </w:tc>
      </w:tr>
      <w:tr w14:paraId="4EFB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827" w:type="dxa"/>
            <w:vMerge w:val="restart"/>
            <w:noWrap w:val="0"/>
            <w:vAlign w:val="center"/>
          </w:tcPr>
          <w:p w14:paraId="73E5754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13</w:t>
            </w:r>
          </w:p>
        </w:tc>
        <w:tc>
          <w:tcPr>
            <w:tcW w:w="1298" w:type="dxa"/>
            <w:vMerge w:val="restart"/>
            <w:noWrap w:val="0"/>
            <w:vAlign w:val="center"/>
          </w:tcPr>
          <w:p w14:paraId="0E17650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构建防范化解拖欠企业账款长效机制</w:t>
            </w:r>
          </w:p>
        </w:tc>
        <w:tc>
          <w:tcPr>
            <w:tcW w:w="5686" w:type="dxa"/>
            <w:noWrap w:val="0"/>
            <w:vAlign w:val="center"/>
          </w:tcPr>
          <w:p w14:paraId="4F6ADDD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（29）</w:t>
            </w:r>
            <w:r>
              <w:rPr>
                <w:rFonts w:hint="default" w:ascii="Times New Roman" w:hAnsi="Times New Roman" w:eastAsia="方正仿宋_GBK" w:cs="Times New Roman"/>
                <w:color w:val="000000"/>
                <w:kern w:val="0"/>
                <w:sz w:val="24"/>
                <w:szCs w:val="24"/>
                <w:vertAlign w:val="baseline"/>
                <w:lang w:val="en-US" w:eastAsia="zh-CN" w:bidi="ar"/>
              </w:rPr>
              <w:t>建立健全机关、事业单位采购货物、工程、服务预算管理机制，提高政府采购预算管理水平和执行效率，按时足额支付民营企业参与的政府采购项目资金。</w:t>
            </w:r>
          </w:p>
        </w:tc>
        <w:tc>
          <w:tcPr>
            <w:tcW w:w="1719" w:type="dxa"/>
            <w:noWrap w:val="0"/>
            <w:vAlign w:val="center"/>
          </w:tcPr>
          <w:p w14:paraId="7F26596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县财政局</w:t>
            </w:r>
          </w:p>
          <w:p w14:paraId="21580A9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县</w:t>
            </w:r>
            <w:r>
              <w:rPr>
                <w:rFonts w:hint="eastAsia" w:ascii="Times New Roman" w:hAnsi="Times New Roman" w:eastAsia="方正仿宋_GBK" w:cs="Times New Roman"/>
                <w:color w:val="000000"/>
                <w:kern w:val="0"/>
                <w:sz w:val="24"/>
                <w:szCs w:val="24"/>
                <w:lang w:val="en-US" w:eastAsia="zh-CN" w:bidi="ar"/>
              </w:rPr>
              <w:t>级有关部门</w:t>
            </w:r>
          </w:p>
        </w:tc>
        <w:tc>
          <w:tcPr>
            <w:tcW w:w="967" w:type="dxa"/>
            <w:noWrap w:val="0"/>
            <w:vAlign w:val="center"/>
          </w:tcPr>
          <w:p w14:paraId="23AF5AC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李燕婉</w:t>
            </w:r>
          </w:p>
        </w:tc>
        <w:tc>
          <w:tcPr>
            <w:tcW w:w="1654" w:type="dxa"/>
            <w:noWrap w:val="0"/>
            <w:vAlign w:val="center"/>
          </w:tcPr>
          <w:p w14:paraId="7A366DA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000000"/>
                <w:kern w:val="0"/>
                <w:sz w:val="24"/>
                <w:szCs w:val="24"/>
                <w:vertAlign w:val="baseline"/>
                <w:lang w:val="en-US" w:eastAsia="zh-CN" w:bidi="ar"/>
              </w:rPr>
              <w:t>59224352</w:t>
            </w:r>
          </w:p>
        </w:tc>
        <w:tc>
          <w:tcPr>
            <w:tcW w:w="2888" w:type="dxa"/>
            <w:vMerge w:val="restart"/>
            <w:noWrap w:val="0"/>
            <w:vAlign w:val="center"/>
          </w:tcPr>
          <w:p w14:paraId="4A77E87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690C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827" w:type="dxa"/>
            <w:vMerge w:val="continue"/>
            <w:noWrap w:val="0"/>
            <w:vAlign w:val="center"/>
          </w:tcPr>
          <w:p w14:paraId="5DE46F5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18B9D73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599B48F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（30）</w:t>
            </w:r>
            <w:r>
              <w:rPr>
                <w:rFonts w:hint="default" w:ascii="Times New Roman" w:hAnsi="Times New Roman" w:eastAsia="方正仿宋_GBK" w:cs="Times New Roman"/>
                <w:color w:val="000000"/>
                <w:kern w:val="0"/>
                <w:sz w:val="24"/>
                <w:szCs w:val="24"/>
                <w:highlight w:val="none"/>
                <w:vertAlign w:val="baseline"/>
                <w:lang w:val="en-US" w:eastAsia="zh-CN" w:bidi="ar"/>
              </w:rPr>
              <w:t>全面清理机关、事业单位和国有企业拖欠民营企业账款情况，建立违约拖欠企业款项登记（投诉）平台，完善拖欠中小企业账款投诉管理流程，明确投诉受理范围和职责，提升办理质效。</w:t>
            </w:r>
          </w:p>
        </w:tc>
        <w:tc>
          <w:tcPr>
            <w:tcW w:w="1719" w:type="dxa"/>
            <w:noWrap w:val="0"/>
            <w:vAlign w:val="center"/>
          </w:tcPr>
          <w:p w14:paraId="419A1AD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县经济信息委</w:t>
            </w:r>
          </w:p>
          <w:p w14:paraId="3C3D49E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县发展改革委</w:t>
            </w:r>
          </w:p>
          <w:p w14:paraId="3DC732B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县</w:t>
            </w:r>
            <w:r>
              <w:rPr>
                <w:rFonts w:hint="eastAsia" w:ascii="Times New Roman" w:hAnsi="Times New Roman" w:eastAsia="方正仿宋_GBK" w:cs="Times New Roman"/>
                <w:color w:val="000000"/>
                <w:kern w:val="0"/>
                <w:sz w:val="24"/>
                <w:szCs w:val="24"/>
                <w:lang w:val="en-US" w:eastAsia="zh-CN" w:bidi="ar"/>
              </w:rPr>
              <w:t>级有关部门</w:t>
            </w:r>
          </w:p>
        </w:tc>
        <w:tc>
          <w:tcPr>
            <w:tcW w:w="967" w:type="dxa"/>
            <w:noWrap w:val="0"/>
            <w:vAlign w:val="center"/>
          </w:tcPr>
          <w:p w14:paraId="6CC824A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余静</w:t>
            </w:r>
          </w:p>
          <w:p w14:paraId="11C3E8DD">
            <w:pPr>
              <w:pStyle w:val="2"/>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lang w:val="en-US" w:eastAsia="zh-CN"/>
              </w:rPr>
            </w:pPr>
            <w:r>
              <w:rPr>
                <w:rFonts w:hint="default" w:ascii="Times New Roman" w:hAnsi="Times New Roman" w:eastAsia="方正仿宋_GBK" w:cs="Times New Roman"/>
                <w:color w:val="000000"/>
                <w:kern w:val="0"/>
                <w:sz w:val="24"/>
                <w:szCs w:val="24"/>
                <w:vertAlign w:val="baseline"/>
                <w:lang w:val="en-US" w:eastAsia="zh-CN" w:bidi="ar"/>
              </w:rPr>
              <w:t>杨玉亭</w:t>
            </w:r>
          </w:p>
        </w:tc>
        <w:tc>
          <w:tcPr>
            <w:tcW w:w="1654" w:type="dxa"/>
            <w:noWrap w:val="0"/>
            <w:vAlign w:val="center"/>
          </w:tcPr>
          <w:p w14:paraId="7CC50A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15023464780</w:t>
            </w:r>
          </w:p>
          <w:p w14:paraId="3D164385">
            <w:pPr>
              <w:pStyle w:val="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lang w:val="en-US" w:eastAsia="zh-CN"/>
              </w:rPr>
            </w:pPr>
            <w:r>
              <w:rPr>
                <w:rFonts w:hint="default" w:ascii="Times New Roman" w:hAnsi="Times New Roman" w:eastAsia="方正仿宋_GBK" w:cs="Times New Roman"/>
                <w:color w:val="000000"/>
                <w:kern w:val="0"/>
                <w:sz w:val="24"/>
                <w:szCs w:val="24"/>
                <w:highlight w:val="none"/>
                <w:vertAlign w:val="baseline"/>
                <w:lang w:val="en-US" w:eastAsia="zh-CN" w:bidi="ar"/>
              </w:rPr>
              <w:t>15826330010</w:t>
            </w:r>
          </w:p>
        </w:tc>
        <w:tc>
          <w:tcPr>
            <w:tcW w:w="2888" w:type="dxa"/>
            <w:vMerge w:val="continue"/>
            <w:noWrap w:val="0"/>
            <w:vAlign w:val="center"/>
          </w:tcPr>
          <w:p w14:paraId="3E8F523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p>
        </w:tc>
      </w:tr>
      <w:tr w14:paraId="0CBC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827" w:type="dxa"/>
            <w:vMerge w:val="continue"/>
            <w:noWrap w:val="0"/>
            <w:vAlign w:val="center"/>
          </w:tcPr>
          <w:p w14:paraId="58FD046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518325D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p>
        </w:tc>
        <w:tc>
          <w:tcPr>
            <w:tcW w:w="5686" w:type="dxa"/>
            <w:noWrap w:val="0"/>
            <w:vAlign w:val="center"/>
          </w:tcPr>
          <w:p w14:paraId="4D49A71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（31）</w:t>
            </w:r>
            <w:r>
              <w:rPr>
                <w:rFonts w:hint="default" w:ascii="Times New Roman" w:hAnsi="Times New Roman" w:eastAsia="方正仿宋_GBK" w:cs="Times New Roman"/>
                <w:color w:val="000000"/>
                <w:kern w:val="0"/>
                <w:sz w:val="24"/>
                <w:szCs w:val="24"/>
                <w:vertAlign w:val="baseline"/>
                <w:lang w:val="en-US" w:eastAsia="zh-CN" w:bidi="ar"/>
              </w:rPr>
              <w:t>将大型企业拖欠中小企业款项信息纳入企业年报公示信息披露，将处理拖欠企业账款维权投诉线索情况纳入信用状况监测和政务诚信综合评价体系。</w:t>
            </w:r>
          </w:p>
        </w:tc>
        <w:tc>
          <w:tcPr>
            <w:tcW w:w="1719" w:type="dxa"/>
            <w:noWrap w:val="0"/>
            <w:vAlign w:val="center"/>
          </w:tcPr>
          <w:p w14:paraId="1650AAB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县发展改革委</w:t>
            </w:r>
          </w:p>
          <w:p w14:paraId="057BE48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县</w:t>
            </w:r>
            <w:r>
              <w:rPr>
                <w:rFonts w:hint="eastAsia" w:ascii="Times New Roman" w:hAnsi="Times New Roman" w:eastAsia="方正仿宋_GBK" w:cs="Times New Roman"/>
                <w:color w:val="000000"/>
                <w:kern w:val="0"/>
                <w:sz w:val="24"/>
                <w:szCs w:val="24"/>
                <w:lang w:val="en-US" w:eastAsia="zh-CN" w:bidi="ar"/>
              </w:rPr>
              <w:t>级有关部门</w:t>
            </w:r>
          </w:p>
        </w:tc>
        <w:tc>
          <w:tcPr>
            <w:tcW w:w="967" w:type="dxa"/>
            <w:noWrap w:val="0"/>
            <w:vAlign w:val="center"/>
          </w:tcPr>
          <w:p w14:paraId="67B62E4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庞宇</w:t>
            </w:r>
          </w:p>
        </w:tc>
        <w:tc>
          <w:tcPr>
            <w:tcW w:w="1654" w:type="dxa"/>
            <w:noWrap w:val="0"/>
            <w:vAlign w:val="center"/>
          </w:tcPr>
          <w:p w14:paraId="58884B2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17783221690</w:t>
            </w:r>
          </w:p>
        </w:tc>
        <w:tc>
          <w:tcPr>
            <w:tcW w:w="2888" w:type="dxa"/>
            <w:vMerge w:val="continue"/>
            <w:noWrap w:val="0"/>
            <w:vAlign w:val="center"/>
          </w:tcPr>
          <w:p w14:paraId="3EA3F77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p>
        </w:tc>
      </w:tr>
      <w:tr w14:paraId="1835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5039" w:type="dxa"/>
            <w:gridSpan w:val="7"/>
            <w:noWrap w:val="0"/>
            <w:vAlign w:val="center"/>
          </w:tcPr>
          <w:p w14:paraId="0F76B11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黑体_GBK" w:cs="方正黑体_GBK"/>
                <w:color w:val="000000"/>
                <w:kern w:val="0"/>
                <w:sz w:val="24"/>
                <w:szCs w:val="24"/>
                <w:highlight w:val="none"/>
                <w:vertAlign w:val="baseline"/>
                <w:lang w:val="en-US" w:eastAsia="zh-CN" w:bidi="ar"/>
              </w:rPr>
              <w:t>四、优化民营经济发展环境</w:t>
            </w:r>
          </w:p>
        </w:tc>
      </w:tr>
      <w:tr w14:paraId="247E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827" w:type="dxa"/>
            <w:vMerge w:val="restart"/>
            <w:noWrap w:val="0"/>
            <w:vAlign w:val="center"/>
          </w:tcPr>
          <w:p w14:paraId="4C46AA2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14</w:t>
            </w:r>
          </w:p>
        </w:tc>
        <w:tc>
          <w:tcPr>
            <w:tcW w:w="1298" w:type="dxa"/>
            <w:vMerge w:val="restart"/>
            <w:noWrap w:val="0"/>
            <w:vAlign w:val="center"/>
          </w:tcPr>
          <w:p w14:paraId="4DB26B1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严格落实公平竞争政策</w:t>
            </w:r>
          </w:p>
        </w:tc>
        <w:tc>
          <w:tcPr>
            <w:tcW w:w="5686" w:type="dxa"/>
            <w:noWrap w:val="0"/>
            <w:vAlign w:val="center"/>
          </w:tcPr>
          <w:p w14:paraId="4F8B9A9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（32）</w:t>
            </w:r>
            <w:r>
              <w:rPr>
                <w:rFonts w:hint="default" w:ascii="Times New Roman" w:hAnsi="Times New Roman" w:eastAsia="方正仿宋_GBK" w:cs="Times New Roman"/>
                <w:color w:val="000000"/>
                <w:kern w:val="0"/>
                <w:sz w:val="24"/>
                <w:szCs w:val="24"/>
                <w:vertAlign w:val="baseline"/>
                <w:lang w:val="en-US" w:eastAsia="zh-CN" w:bidi="ar"/>
              </w:rPr>
              <w:t>实施统一的市场准入负面清单制度，深化市场准入效能评估，持续推进基础设施竞争性领域向各类经营主体公平开放，依法保障民营企业平等参与市场竞争的权益。</w:t>
            </w:r>
          </w:p>
        </w:tc>
        <w:tc>
          <w:tcPr>
            <w:tcW w:w="1719" w:type="dxa"/>
            <w:noWrap w:val="0"/>
            <w:vAlign w:val="center"/>
          </w:tcPr>
          <w:p w14:paraId="7495CCA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县发展改革委</w:t>
            </w:r>
          </w:p>
          <w:p w14:paraId="1F4B0EE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lang w:val="en-US" w:eastAsia="zh-CN" w:bidi="ar"/>
              </w:rPr>
              <w:t>县级有关部门</w:t>
            </w:r>
          </w:p>
        </w:tc>
        <w:tc>
          <w:tcPr>
            <w:tcW w:w="967" w:type="dxa"/>
            <w:noWrap w:val="0"/>
            <w:vAlign w:val="center"/>
          </w:tcPr>
          <w:p w14:paraId="4FB813C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杨玉亭</w:t>
            </w:r>
          </w:p>
        </w:tc>
        <w:tc>
          <w:tcPr>
            <w:tcW w:w="1654" w:type="dxa"/>
            <w:noWrap w:val="0"/>
            <w:vAlign w:val="center"/>
          </w:tcPr>
          <w:p w14:paraId="08FB9C6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15826330010</w:t>
            </w:r>
          </w:p>
        </w:tc>
        <w:tc>
          <w:tcPr>
            <w:tcW w:w="2888" w:type="dxa"/>
            <w:vMerge w:val="restart"/>
            <w:noWrap w:val="0"/>
            <w:vAlign w:val="center"/>
          </w:tcPr>
          <w:p w14:paraId="4AF04B6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6EE0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827" w:type="dxa"/>
            <w:vMerge w:val="continue"/>
            <w:noWrap w:val="0"/>
            <w:vAlign w:val="center"/>
          </w:tcPr>
          <w:p w14:paraId="07E4B62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776090C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5858341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（33）</w:t>
            </w:r>
            <w:r>
              <w:rPr>
                <w:rFonts w:hint="default" w:ascii="Times New Roman" w:hAnsi="Times New Roman" w:eastAsia="方正仿宋_GBK" w:cs="Times New Roman"/>
                <w:color w:val="000000"/>
                <w:kern w:val="0"/>
                <w:sz w:val="24"/>
                <w:szCs w:val="24"/>
                <w:vertAlign w:val="baseline"/>
                <w:lang w:val="en-US" w:eastAsia="zh-CN" w:bidi="ar"/>
              </w:rPr>
              <w:t>严格履行公平竞争审查程序，深化川渝公平竞争交叉互评，探索建立成渝地区区域市场一体化评价机制，推动市场准入实行“异地同标”，为民营企业营造公平竞争的市场环境。</w:t>
            </w:r>
          </w:p>
        </w:tc>
        <w:tc>
          <w:tcPr>
            <w:tcW w:w="1719" w:type="dxa"/>
            <w:noWrap w:val="0"/>
            <w:vAlign w:val="center"/>
          </w:tcPr>
          <w:p w14:paraId="0865E6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县市场监管局</w:t>
            </w:r>
          </w:p>
          <w:p w14:paraId="026DDE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lang w:val="en-US" w:eastAsia="zh-CN"/>
              </w:rPr>
            </w:pPr>
            <w:r>
              <w:rPr>
                <w:rFonts w:hint="default" w:ascii="Times New Roman" w:hAnsi="Times New Roman" w:eastAsia="方正仿宋_GBK" w:cs="Times New Roman"/>
                <w:color w:val="000000"/>
                <w:kern w:val="0"/>
                <w:sz w:val="24"/>
                <w:szCs w:val="24"/>
                <w:vertAlign w:val="baseline"/>
                <w:lang w:val="en-US" w:eastAsia="zh-CN" w:bidi="ar"/>
              </w:rPr>
              <w:t>县财政局</w:t>
            </w:r>
          </w:p>
        </w:tc>
        <w:tc>
          <w:tcPr>
            <w:tcW w:w="967" w:type="dxa"/>
            <w:noWrap w:val="0"/>
            <w:vAlign w:val="center"/>
          </w:tcPr>
          <w:p w14:paraId="6A2A14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谭铭睿汪明</w:t>
            </w:r>
          </w:p>
        </w:tc>
        <w:tc>
          <w:tcPr>
            <w:tcW w:w="1654" w:type="dxa"/>
            <w:noWrap w:val="0"/>
            <w:vAlign w:val="center"/>
          </w:tcPr>
          <w:p w14:paraId="785E5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17784756982</w:t>
            </w:r>
          </w:p>
          <w:p w14:paraId="0B9AF4E8">
            <w:pPr>
              <w:pStyle w:val="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lang w:val="en-US" w:eastAsia="zh-CN"/>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000000"/>
                <w:kern w:val="0"/>
                <w:sz w:val="24"/>
                <w:szCs w:val="24"/>
                <w:vertAlign w:val="baseline"/>
                <w:lang w:val="en-US" w:eastAsia="zh-CN" w:bidi="ar"/>
              </w:rPr>
              <w:t>59224352</w:t>
            </w:r>
          </w:p>
        </w:tc>
        <w:tc>
          <w:tcPr>
            <w:tcW w:w="2888" w:type="dxa"/>
            <w:vMerge w:val="continue"/>
            <w:noWrap w:val="0"/>
            <w:vAlign w:val="center"/>
          </w:tcPr>
          <w:p w14:paraId="20E50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p>
        </w:tc>
      </w:tr>
      <w:tr w14:paraId="59FA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4" w:hRule="atLeast"/>
          <w:jc w:val="center"/>
        </w:trPr>
        <w:tc>
          <w:tcPr>
            <w:tcW w:w="827" w:type="dxa"/>
            <w:vMerge w:val="restart"/>
            <w:noWrap w:val="0"/>
            <w:vAlign w:val="center"/>
          </w:tcPr>
          <w:p w14:paraId="4B02055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15</w:t>
            </w:r>
          </w:p>
        </w:tc>
        <w:tc>
          <w:tcPr>
            <w:tcW w:w="1298" w:type="dxa"/>
            <w:vMerge w:val="restart"/>
            <w:noWrap w:val="0"/>
            <w:vAlign w:val="center"/>
          </w:tcPr>
          <w:p w14:paraId="692832C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优化信用体系建设</w:t>
            </w:r>
          </w:p>
        </w:tc>
        <w:tc>
          <w:tcPr>
            <w:tcW w:w="5686" w:type="dxa"/>
            <w:noWrap w:val="0"/>
            <w:vAlign w:val="center"/>
          </w:tcPr>
          <w:p w14:paraId="3A5FCE7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（34）</w:t>
            </w:r>
            <w:r>
              <w:rPr>
                <w:rFonts w:hint="default" w:ascii="Times New Roman" w:hAnsi="Times New Roman" w:eastAsia="方正仿宋_GBK" w:cs="Times New Roman"/>
                <w:color w:val="000000"/>
                <w:kern w:val="0"/>
                <w:sz w:val="24"/>
                <w:szCs w:val="24"/>
                <w:vertAlign w:val="baseline"/>
                <w:lang w:val="en-US" w:eastAsia="zh-CN" w:bidi="ar"/>
              </w:rPr>
              <w:t>建立健全公共信用评价体系，争取“信用+行政审批”等场景应用实现贯通，为民营企业提供信用评价结果认证查询和授权查询服务，</w:t>
            </w:r>
            <w:r>
              <w:rPr>
                <w:rFonts w:hint="default" w:ascii="Times New Roman" w:hAnsi="Times New Roman" w:eastAsia="方正仿宋_GBK" w:cs="Times New Roman"/>
                <w:color w:val="000000"/>
                <w:kern w:val="0"/>
                <w:sz w:val="24"/>
                <w:szCs w:val="24"/>
                <w:highlight w:val="none"/>
                <w:vertAlign w:val="baseline"/>
                <w:lang w:val="en-US" w:eastAsia="zh-CN" w:bidi="ar"/>
              </w:rPr>
              <w:t>方便交易各方互相了解信用状况。探索以信用评价为基础的融资增信模式，帮助无抵押、无担保的小微企业以信用资产换取融资便利。</w:t>
            </w:r>
            <w:r>
              <w:rPr>
                <w:rFonts w:hint="eastAsia" w:ascii="Times New Roman" w:hAnsi="Times New Roman" w:eastAsia="方正仿宋_GBK" w:cs="Times New Roman"/>
                <w:color w:val="000000"/>
                <w:kern w:val="0"/>
                <w:sz w:val="24"/>
                <w:szCs w:val="24"/>
                <w:highlight w:val="none"/>
                <w:vertAlign w:val="baseline"/>
                <w:lang w:val="en-US" w:eastAsia="zh-CN" w:bidi="ar"/>
              </w:rPr>
              <w:t>积极对接</w:t>
            </w:r>
            <w:r>
              <w:rPr>
                <w:rFonts w:hint="default" w:ascii="Times New Roman" w:hAnsi="Times New Roman" w:eastAsia="方正仿宋_GBK" w:cs="Times New Roman"/>
                <w:color w:val="000000"/>
                <w:kern w:val="0"/>
                <w:sz w:val="24"/>
                <w:szCs w:val="24"/>
                <w:highlight w:val="none"/>
                <w:vertAlign w:val="baseline"/>
                <w:lang w:val="en-US" w:eastAsia="zh-CN" w:bidi="ar"/>
              </w:rPr>
              <w:t>信用修</w:t>
            </w:r>
            <w:r>
              <w:rPr>
                <w:rFonts w:hint="eastAsia" w:ascii="Times New Roman" w:hAnsi="Times New Roman" w:eastAsia="方正仿宋_GBK" w:cs="方正仿宋_GBK"/>
                <w:color w:val="000000"/>
                <w:kern w:val="0"/>
                <w:sz w:val="24"/>
                <w:szCs w:val="24"/>
                <w:highlight w:val="none"/>
                <w:vertAlign w:val="baseline"/>
                <w:lang w:val="en-US" w:eastAsia="zh-CN" w:bidi="ar"/>
              </w:rPr>
              <w:t>复“一件事一次办”贯通工作，</w:t>
            </w:r>
            <w:r>
              <w:rPr>
                <w:rFonts w:hint="eastAsia" w:ascii="Times New Roman" w:hAnsi="Times New Roman" w:eastAsia="方正仿宋_GBK" w:cs="方正仿宋_GBK"/>
                <w:color w:val="000000"/>
                <w:kern w:val="0"/>
                <w:sz w:val="24"/>
                <w:szCs w:val="24"/>
                <w:vertAlign w:val="baseline"/>
                <w:lang w:val="en-US" w:eastAsia="zh-CN" w:bidi="ar"/>
              </w:rPr>
              <w:t>快速办理符合条件的信用修复诉求，重塑企业信用</w:t>
            </w:r>
            <w:r>
              <w:rPr>
                <w:rFonts w:hint="default" w:ascii="Times New Roman" w:hAnsi="Times New Roman" w:eastAsia="方正仿宋_GBK" w:cs="Times New Roman"/>
                <w:color w:val="000000"/>
                <w:kern w:val="0"/>
                <w:sz w:val="24"/>
                <w:szCs w:val="24"/>
                <w:vertAlign w:val="baseline"/>
                <w:lang w:val="en-US" w:eastAsia="zh-CN" w:bidi="ar"/>
              </w:rPr>
              <w:t>。</w:t>
            </w:r>
          </w:p>
        </w:tc>
        <w:tc>
          <w:tcPr>
            <w:tcW w:w="1719" w:type="dxa"/>
            <w:noWrap w:val="0"/>
            <w:vAlign w:val="center"/>
          </w:tcPr>
          <w:p w14:paraId="01DE59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县发展改革委</w:t>
            </w:r>
          </w:p>
          <w:p w14:paraId="4FD8CB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县级有关</w:t>
            </w:r>
            <w:r>
              <w:rPr>
                <w:rFonts w:hint="eastAsia" w:ascii="Times New Roman" w:hAnsi="Times New Roman" w:eastAsia="方正仿宋_GBK" w:cs="Times New Roman"/>
                <w:color w:val="000000"/>
                <w:kern w:val="0"/>
                <w:sz w:val="24"/>
                <w:szCs w:val="24"/>
                <w:lang w:val="en-US" w:eastAsia="zh-CN" w:bidi="ar"/>
              </w:rPr>
              <w:t>部门</w:t>
            </w:r>
          </w:p>
        </w:tc>
        <w:tc>
          <w:tcPr>
            <w:tcW w:w="967" w:type="dxa"/>
            <w:noWrap w:val="0"/>
            <w:vAlign w:val="center"/>
          </w:tcPr>
          <w:p w14:paraId="333C338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庞宇</w:t>
            </w:r>
          </w:p>
        </w:tc>
        <w:tc>
          <w:tcPr>
            <w:tcW w:w="1654" w:type="dxa"/>
            <w:noWrap w:val="0"/>
            <w:vAlign w:val="center"/>
          </w:tcPr>
          <w:p w14:paraId="36468CD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17783221690</w:t>
            </w:r>
          </w:p>
        </w:tc>
        <w:tc>
          <w:tcPr>
            <w:tcW w:w="2888" w:type="dxa"/>
            <w:vMerge w:val="restart"/>
            <w:noWrap w:val="0"/>
            <w:vAlign w:val="center"/>
          </w:tcPr>
          <w:p w14:paraId="3EDF046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79F0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27" w:type="dxa"/>
            <w:vMerge w:val="continue"/>
            <w:noWrap w:val="0"/>
            <w:vAlign w:val="center"/>
          </w:tcPr>
          <w:p w14:paraId="513835C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438AEDE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23B6723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（35）</w:t>
            </w:r>
            <w:r>
              <w:rPr>
                <w:rFonts w:hint="default" w:ascii="Times New Roman" w:hAnsi="Times New Roman" w:eastAsia="方正仿宋_GBK" w:cs="Times New Roman"/>
                <w:color w:val="000000"/>
                <w:kern w:val="0"/>
                <w:sz w:val="24"/>
                <w:szCs w:val="24"/>
                <w:vertAlign w:val="baseline"/>
                <w:lang w:val="en-US" w:eastAsia="zh-CN" w:bidi="ar"/>
              </w:rPr>
              <w:t>依法依规做好经营异常名录管理和信用修复，符合条件依法移出快速办理。</w:t>
            </w:r>
          </w:p>
        </w:tc>
        <w:tc>
          <w:tcPr>
            <w:tcW w:w="1719" w:type="dxa"/>
            <w:noWrap w:val="0"/>
            <w:vAlign w:val="center"/>
          </w:tcPr>
          <w:p w14:paraId="3870979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县市场监管局</w:t>
            </w:r>
          </w:p>
        </w:tc>
        <w:tc>
          <w:tcPr>
            <w:tcW w:w="967" w:type="dxa"/>
            <w:noWrap w:val="0"/>
            <w:vAlign w:val="center"/>
          </w:tcPr>
          <w:p w14:paraId="6DDA59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郑虹</w:t>
            </w:r>
          </w:p>
        </w:tc>
        <w:tc>
          <w:tcPr>
            <w:tcW w:w="1654" w:type="dxa"/>
            <w:noWrap w:val="0"/>
            <w:vAlign w:val="center"/>
          </w:tcPr>
          <w:p w14:paraId="2C3081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000000"/>
                <w:kern w:val="0"/>
                <w:sz w:val="24"/>
                <w:szCs w:val="24"/>
                <w:vertAlign w:val="baseline"/>
                <w:lang w:val="en-US" w:eastAsia="zh-CN" w:bidi="ar"/>
              </w:rPr>
              <w:t>59223678</w:t>
            </w:r>
          </w:p>
        </w:tc>
        <w:tc>
          <w:tcPr>
            <w:tcW w:w="2888" w:type="dxa"/>
            <w:vMerge w:val="continue"/>
            <w:noWrap w:val="0"/>
            <w:vAlign w:val="center"/>
          </w:tcPr>
          <w:p w14:paraId="2E1934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p>
        </w:tc>
      </w:tr>
      <w:tr w14:paraId="2FEF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827" w:type="dxa"/>
            <w:vMerge w:val="restart"/>
            <w:noWrap w:val="0"/>
            <w:vAlign w:val="center"/>
          </w:tcPr>
          <w:p w14:paraId="43D43E3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highlight w:val="none"/>
                <w:vertAlign w:val="baseline"/>
                <w:lang w:val="en-US" w:eastAsia="zh-CN" w:bidi="ar"/>
              </w:rPr>
            </w:pPr>
            <w:r>
              <w:rPr>
                <w:rFonts w:hint="eastAsia" w:ascii="Times New Roman" w:hAnsi="Times New Roman" w:eastAsia="方正黑体_GBK" w:cs="Times New Roman"/>
                <w:color w:val="000000"/>
                <w:kern w:val="0"/>
                <w:sz w:val="24"/>
                <w:szCs w:val="24"/>
                <w:highlight w:val="none"/>
                <w:vertAlign w:val="baseline"/>
                <w:lang w:val="en-US" w:eastAsia="zh-CN" w:bidi="ar"/>
              </w:rPr>
              <w:t>16</w:t>
            </w:r>
          </w:p>
        </w:tc>
        <w:tc>
          <w:tcPr>
            <w:tcW w:w="1298" w:type="dxa"/>
            <w:vMerge w:val="restart"/>
            <w:noWrap w:val="0"/>
            <w:vAlign w:val="center"/>
          </w:tcPr>
          <w:p w14:paraId="24FCBB3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highlight w:val="none"/>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完善招标投标及政府采购支持机制</w:t>
            </w:r>
          </w:p>
        </w:tc>
        <w:tc>
          <w:tcPr>
            <w:tcW w:w="5686" w:type="dxa"/>
            <w:vMerge w:val="restart"/>
            <w:noWrap w:val="0"/>
            <w:vAlign w:val="center"/>
          </w:tcPr>
          <w:p w14:paraId="57ADAC7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（36）</w:t>
            </w:r>
            <w:r>
              <w:rPr>
                <w:rFonts w:hint="default" w:ascii="Times New Roman" w:hAnsi="Times New Roman" w:eastAsia="方正仿宋_GBK" w:cs="Times New Roman"/>
                <w:color w:val="000000"/>
                <w:kern w:val="0"/>
                <w:sz w:val="24"/>
                <w:szCs w:val="24"/>
                <w:highlight w:val="none"/>
                <w:vertAlign w:val="baseline"/>
                <w:lang w:val="en-US" w:eastAsia="zh-CN" w:bidi="ar"/>
              </w:rPr>
              <w:t>鼓励大型企业与中小企业在招标投标领域加强合作，促进各类经营主体优势互补、资源融合。在采用招标投标方式的政府采购工程项目中落实预留份额支持中小企业发展的政策，预留项目预算总额的30%以上面向中小企业采购，其中预留给小微企业的比例不得低于60%，提高中小企业在政府采购招标投标领域的参与度和竞争力。</w:t>
            </w:r>
          </w:p>
        </w:tc>
        <w:tc>
          <w:tcPr>
            <w:tcW w:w="1719" w:type="dxa"/>
            <w:noWrap w:val="0"/>
            <w:vAlign w:val="center"/>
          </w:tcPr>
          <w:p w14:paraId="70A743E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县发展改革委</w:t>
            </w:r>
          </w:p>
        </w:tc>
        <w:tc>
          <w:tcPr>
            <w:tcW w:w="967" w:type="dxa"/>
            <w:noWrap w:val="0"/>
            <w:vAlign w:val="center"/>
          </w:tcPr>
          <w:p w14:paraId="4086A1D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杨玉亭</w:t>
            </w:r>
          </w:p>
        </w:tc>
        <w:tc>
          <w:tcPr>
            <w:tcW w:w="1654" w:type="dxa"/>
            <w:noWrap w:val="0"/>
            <w:vAlign w:val="center"/>
          </w:tcPr>
          <w:p w14:paraId="4EEBAE9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15826330010</w:t>
            </w:r>
          </w:p>
        </w:tc>
        <w:tc>
          <w:tcPr>
            <w:tcW w:w="2888" w:type="dxa"/>
            <w:vMerge w:val="restart"/>
            <w:noWrap w:val="0"/>
            <w:vAlign w:val="center"/>
          </w:tcPr>
          <w:p w14:paraId="208B5B6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关于适用招标投标法的政府采购工程项目落实支持中小企业政策的通知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w:t>
            </w:r>
            <w:r>
              <w:rPr>
                <w:rFonts w:hint="eastAsia" w:ascii="Times New Roman" w:hAnsi="Times New Roman" w:eastAsia="方正仿宋_GBK" w:cs="Times New Roman"/>
                <w:color w:val="000000"/>
                <w:kern w:val="0"/>
                <w:sz w:val="24"/>
                <w:szCs w:val="24"/>
                <w:highlight w:val="none"/>
                <w:vertAlign w:val="baseline"/>
                <w:lang w:val="en-US" w:eastAsia="zh-CN" w:bidi="ar"/>
              </w:rPr>
              <w:t>财采购</w:t>
            </w:r>
            <w:r>
              <w:rPr>
                <w:rFonts w:hint="default" w:ascii="Times New Roman" w:hAnsi="Times New Roman" w:eastAsia="方正仿宋_GBK" w:cs="Times New Roman"/>
                <w:color w:val="000000"/>
                <w:kern w:val="0"/>
                <w:sz w:val="24"/>
                <w:szCs w:val="24"/>
                <w:highlight w:val="none"/>
                <w:vertAlign w:val="baseline"/>
                <w:lang w:val="en-US" w:eastAsia="zh-CN" w:bidi="ar"/>
              </w:rPr>
              <w:t>〔202</w:t>
            </w:r>
            <w:r>
              <w:rPr>
                <w:rFonts w:hint="eastAsia" w:ascii="Times New Roman" w:hAnsi="Times New Roman" w:eastAsia="方正仿宋_GBK" w:cs="Times New Roman"/>
                <w:color w:val="000000"/>
                <w:kern w:val="0"/>
                <w:sz w:val="24"/>
                <w:szCs w:val="24"/>
                <w:highlight w:val="none"/>
                <w:vertAlign w:val="baseline"/>
                <w:lang w:val="en-US" w:eastAsia="zh-CN" w:bidi="ar"/>
              </w:rPr>
              <w:t>4</w:t>
            </w:r>
            <w:r>
              <w:rPr>
                <w:rFonts w:hint="default" w:ascii="Times New Roman" w:hAnsi="Times New Roman" w:eastAsia="方正仿宋_GBK" w:cs="Times New Roman"/>
                <w:color w:val="000000"/>
                <w:kern w:val="0"/>
                <w:sz w:val="24"/>
                <w:szCs w:val="24"/>
                <w:highlight w:val="none"/>
                <w:vertAlign w:val="baseline"/>
                <w:lang w:val="en-US" w:eastAsia="zh-CN" w:bidi="ar"/>
              </w:rPr>
              <w:t>〕</w:t>
            </w:r>
            <w:r>
              <w:rPr>
                <w:rFonts w:hint="eastAsia" w:ascii="Times New Roman" w:hAnsi="Times New Roman" w:eastAsia="方正仿宋_GBK" w:cs="Times New Roman"/>
                <w:color w:val="000000"/>
                <w:kern w:val="0"/>
                <w:sz w:val="24"/>
                <w:szCs w:val="24"/>
                <w:highlight w:val="none"/>
                <w:vertAlign w:val="baseline"/>
                <w:lang w:val="en-US" w:eastAsia="zh-CN" w:bidi="ar"/>
              </w:rPr>
              <w:t>17</w:t>
            </w:r>
            <w:r>
              <w:rPr>
                <w:rFonts w:hint="default" w:ascii="Times New Roman" w:hAnsi="Times New Roman" w:eastAsia="方正仿宋_GBK" w:cs="Times New Roman"/>
                <w:color w:val="000000"/>
                <w:kern w:val="0"/>
                <w:sz w:val="24"/>
                <w:szCs w:val="24"/>
                <w:highlight w:val="none"/>
                <w:vertAlign w:val="baseline"/>
                <w:lang w:val="en-US" w:eastAsia="zh-CN" w:bidi="ar"/>
              </w:rPr>
              <w:t>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7EBB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827" w:type="dxa"/>
            <w:vMerge w:val="continue"/>
            <w:noWrap w:val="0"/>
            <w:vAlign w:val="center"/>
          </w:tcPr>
          <w:p w14:paraId="043798D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p>
        </w:tc>
        <w:tc>
          <w:tcPr>
            <w:tcW w:w="1298" w:type="dxa"/>
            <w:vMerge w:val="continue"/>
            <w:noWrap w:val="0"/>
            <w:vAlign w:val="center"/>
          </w:tcPr>
          <w:p w14:paraId="2278A45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vMerge w:val="continue"/>
            <w:noWrap w:val="0"/>
            <w:vAlign w:val="center"/>
          </w:tcPr>
          <w:p w14:paraId="1705489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p>
        </w:tc>
        <w:tc>
          <w:tcPr>
            <w:tcW w:w="1719" w:type="dxa"/>
            <w:noWrap w:val="0"/>
            <w:vAlign w:val="center"/>
          </w:tcPr>
          <w:p w14:paraId="3888EC5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县财政局</w:t>
            </w:r>
          </w:p>
        </w:tc>
        <w:tc>
          <w:tcPr>
            <w:tcW w:w="967" w:type="dxa"/>
            <w:noWrap w:val="0"/>
            <w:vAlign w:val="center"/>
          </w:tcPr>
          <w:p w14:paraId="56D7BD8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汪明</w:t>
            </w:r>
          </w:p>
        </w:tc>
        <w:tc>
          <w:tcPr>
            <w:tcW w:w="1654" w:type="dxa"/>
            <w:noWrap w:val="0"/>
            <w:vAlign w:val="center"/>
          </w:tcPr>
          <w:p w14:paraId="4DFBAAD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000000"/>
                <w:kern w:val="0"/>
                <w:sz w:val="24"/>
                <w:szCs w:val="24"/>
                <w:highlight w:val="none"/>
                <w:vertAlign w:val="baseline"/>
                <w:lang w:val="en-US" w:eastAsia="zh-CN" w:bidi="ar"/>
              </w:rPr>
              <w:t>59224352</w:t>
            </w:r>
          </w:p>
        </w:tc>
        <w:tc>
          <w:tcPr>
            <w:tcW w:w="2888" w:type="dxa"/>
            <w:vMerge w:val="continue"/>
            <w:noWrap w:val="0"/>
            <w:vAlign w:val="center"/>
          </w:tcPr>
          <w:p w14:paraId="36077AF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p>
        </w:tc>
      </w:tr>
      <w:tr w14:paraId="4A83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27" w:type="dxa"/>
            <w:noWrap w:val="0"/>
            <w:vAlign w:val="center"/>
          </w:tcPr>
          <w:p w14:paraId="3E7491C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17</w:t>
            </w:r>
          </w:p>
        </w:tc>
        <w:tc>
          <w:tcPr>
            <w:tcW w:w="1298" w:type="dxa"/>
            <w:noWrap w:val="0"/>
            <w:vAlign w:val="center"/>
          </w:tcPr>
          <w:p w14:paraId="49D55AA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提高政务服务效能</w:t>
            </w:r>
          </w:p>
        </w:tc>
        <w:tc>
          <w:tcPr>
            <w:tcW w:w="5686" w:type="dxa"/>
            <w:noWrap w:val="0"/>
            <w:vAlign w:val="center"/>
          </w:tcPr>
          <w:p w14:paraId="1237A683">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（37）</w:t>
            </w:r>
            <w:r>
              <w:rPr>
                <w:rFonts w:hint="default" w:ascii="Times New Roman" w:hAnsi="Times New Roman" w:eastAsia="方正仿宋_GBK" w:cs="Times New Roman"/>
                <w:color w:val="000000"/>
                <w:kern w:val="0"/>
                <w:sz w:val="24"/>
                <w:szCs w:val="24"/>
                <w:vertAlign w:val="baseline"/>
                <w:lang w:val="en-US" w:eastAsia="zh-CN" w:bidi="ar"/>
              </w:rPr>
              <w:t>搭建县级涉企政策一站式服务平台，推动惠企惠民政策文件一站式汇聚。拓展企业全生命周期“一件事一次办”应用场景，梳理县级涉企高频服务事项，提升企业群众办事便利度。</w:t>
            </w:r>
            <w:r>
              <w:rPr>
                <w:rFonts w:hint="eastAsia" w:ascii="Times New Roman" w:hAnsi="Times New Roman" w:eastAsia="方正仿宋_GBK" w:cs="Times New Roman"/>
                <w:color w:val="000000"/>
                <w:kern w:val="0"/>
                <w:sz w:val="24"/>
                <w:szCs w:val="24"/>
                <w:vertAlign w:val="baseline"/>
                <w:lang w:val="en-US" w:eastAsia="zh-CN" w:bidi="ar"/>
              </w:rPr>
              <w:t>持续发挥</w:t>
            </w:r>
            <w:r>
              <w:rPr>
                <w:rFonts w:hint="default" w:ascii="Times New Roman" w:hAnsi="Times New Roman" w:eastAsia="方正仿宋_GBK" w:cs="Times New Roman"/>
                <w:color w:val="000000"/>
                <w:kern w:val="0"/>
                <w:sz w:val="24"/>
                <w:szCs w:val="24"/>
                <w:vertAlign w:val="baseline"/>
                <w:lang w:val="en-US" w:eastAsia="zh-CN" w:bidi="ar"/>
              </w:rPr>
              <w:t>“帮办代办”“导询台”窗口的作用，提升企业群众办事便利度。</w:t>
            </w:r>
          </w:p>
        </w:tc>
        <w:tc>
          <w:tcPr>
            <w:tcW w:w="1719" w:type="dxa"/>
            <w:noWrap w:val="0"/>
            <w:vAlign w:val="center"/>
          </w:tcPr>
          <w:p w14:paraId="2D14EF3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yellow"/>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县政府办公室</w:t>
            </w:r>
          </w:p>
          <w:p w14:paraId="2B92E04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lang w:val="en-US" w:eastAsia="zh-CN"/>
              </w:rPr>
            </w:pPr>
            <w:r>
              <w:rPr>
                <w:rFonts w:hint="default" w:ascii="Times New Roman" w:hAnsi="Times New Roman" w:eastAsia="方正仿宋_GBK" w:cs="Times New Roman"/>
                <w:color w:val="000000"/>
                <w:kern w:val="0"/>
                <w:sz w:val="24"/>
                <w:szCs w:val="24"/>
                <w:highlight w:val="none"/>
                <w:vertAlign w:val="baseline"/>
                <w:lang w:val="en-US" w:eastAsia="zh-CN" w:bidi="ar"/>
              </w:rPr>
              <w:t>县行政事务管理中心</w:t>
            </w:r>
          </w:p>
        </w:tc>
        <w:tc>
          <w:tcPr>
            <w:tcW w:w="967" w:type="dxa"/>
            <w:noWrap w:val="0"/>
            <w:vAlign w:val="center"/>
          </w:tcPr>
          <w:p w14:paraId="2C66E91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曾合州</w:t>
            </w:r>
          </w:p>
          <w:p w14:paraId="0F47EBC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刘志</w:t>
            </w:r>
          </w:p>
        </w:tc>
        <w:tc>
          <w:tcPr>
            <w:tcW w:w="1654" w:type="dxa"/>
            <w:noWrap w:val="0"/>
            <w:vAlign w:val="center"/>
          </w:tcPr>
          <w:p w14:paraId="7C8779A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19115281623</w:t>
            </w:r>
          </w:p>
          <w:p w14:paraId="7012962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15723375284</w:t>
            </w:r>
          </w:p>
        </w:tc>
        <w:tc>
          <w:tcPr>
            <w:tcW w:w="2888" w:type="dxa"/>
            <w:noWrap w:val="0"/>
            <w:vAlign w:val="center"/>
          </w:tcPr>
          <w:p w14:paraId="784C2AD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2DE1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27" w:type="dxa"/>
            <w:vMerge w:val="restart"/>
            <w:noWrap w:val="0"/>
            <w:vAlign w:val="center"/>
          </w:tcPr>
          <w:p w14:paraId="56FEB3A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18</w:t>
            </w:r>
          </w:p>
        </w:tc>
        <w:tc>
          <w:tcPr>
            <w:tcW w:w="1298" w:type="dxa"/>
            <w:vMerge w:val="restart"/>
            <w:noWrap w:val="0"/>
            <w:vAlign w:val="center"/>
          </w:tcPr>
          <w:p w14:paraId="71E2E4B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highlight w:val="none"/>
                <w:lang w:val="en-US" w:eastAsia="zh-CN" w:bidi="ar"/>
              </w:rPr>
              <w:t>迭代政企沟通交流机制</w:t>
            </w:r>
          </w:p>
        </w:tc>
        <w:tc>
          <w:tcPr>
            <w:tcW w:w="5686" w:type="dxa"/>
            <w:noWrap w:val="0"/>
            <w:vAlign w:val="center"/>
          </w:tcPr>
          <w:p w14:paraId="54CCDF7C">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（3</w:t>
            </w:r>
            <w:r>
              <w:rPr>
                <w:rFonts w:hint="eastAsia" w:ascii="Times New Roman" w:hAnsi="Times New Roman" w:eastAsia="方正仿宋_GBK" w:cs="Times New Roman"/>
                <w:color w:val="000000"/>
                <w:kern w:val="0"/>
                <w:sz w:val="24"/>
                <w:szCs w:val="24"/>
                <w:highlight w:val="none"/>
                <w:vertAlign w:val="baseline"/>
                <w:lang w:val="en-US" w:eastAsia="zh-CN" w:bidi="ar"/>
              </w:rPr>
              <w:t>8</w:t>
            </w:r>
            <w:r>
              <w:rPr>
                <w:rFonts w:hint="default" w:ascii="Times New Roman" w:hAnsi="Times New Roman" w:eastAsia="方正仿宋_GBK" w:cs="Times New Roman"/>
                <w:color w:val="000000"/>
                <w:kern w:val="0"/>
                <w:sz w:val="24"/>
                <w:szCs w:val="24"/>
                <w:highlight w:val="none"/>
                <w:vertAlign w:val="baseline"/>
                <w:lang w:val="en-US" w:eastAsia="zh-CN" w:bidi="ar"/>
              </w:rPr>
              <w:t>）</w:t>
            </w:r>
            <w:r>
              <w:rPr>
                <w:rFonts w:hint="eastAsia" w:ascii="Times New Roman" w:hAnsi="Times New Roman" w:eastAsia="方正仿宋_GBK" w:cs="方正仿宋_GBK"/>
                <w:color w:val="000000"/>
                <w:kern w:val="0"/>
                <w:sz w:val="24"/>
                <w:szCs w:val="24"/>
                <w:highlight w:val="none"/>
                <w:vertAlign w:val="baseline"/>
                <w:lang w:val="en-US" w:eastAsia="zh-CN" w:bidi="ar"/>
              </w:rPr>
              <w:t>深化“三服务”工作机制运用，强化各行业部门协作，整合利用各涉企服务平台线上线下渠道，常态化开展政企沟通、政策解读、项目推介等多维度服务活动，切实帮助解决民营企业的急难愁盼。</w:t>
            </w:r>
          </w:p>
        </w:tc>
        <w:tc>
          <w:tcPr>
            <w:tcW w:w="1719" w:type="dxa"/>
            <w:noWrap w:val="0"/>
            <w:vAlign w:val="center"/>
          </w:tcPr>
          <w:p w14:paraId="3DCF59D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县政府办公室</w:t>
            </w:r>
          </w:p>
          <w:p w14:paraId="1F64CCE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highlight w:val="none"/>
                <w:lang w:val="en-US" w:eastAsia="zh-CN"/>
              </w:rPr>
            </w:pPr>
            <w:r>
              <w:rPr>
                <w:rFonts w:hint="default" w:ascii="Times New Roman" w:hAnsi="Times New Roman" w:eastAsia="方正仿宋_GBK" w:cs="Times New Roman"/>
                <w:color w:val="000000"/>
                <w:kern w:val="0"/>
                <w:sz w:val="24"/>
                <w:szCs w:val="24"/>
                <w:highlight w:val="none"/>
                <w:vertAlign w:val="baseline"/>
                <w:lang w:val="en-US" w:eastAsia="zh-CN" w:bidi="ar"/>
              </w:rPr>
              <w:t>县发展改革委</w:t>
            </w:r>
          </w:p>
        </w:tc>
        <w:tc>
          <w:tcPr>
            <w:tcW w:w="967" w:type="dxa"/>
            <w:noWrap w:val="0"/>
            <w:vAlign w:val="center"/>
          </w:tcPr>
          <w:p w14:paraId="01CEC76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曾合州杨</w:t>
            </w:r>
            <w:r>
              <w:rPr>
                <w:rFonts w:hint="default" w:ascii="Times New Roman" w:hAnsi="Times New Roman" w:eastAsia="方正仿宋_GBK" w:cs="Times New Roman"/>
                <w:color w:val="000000"/>
                <w:kern w:val="0"/>
                <w:sz w:val="24"/>
                <w:szCs w:val="24"/>
                <w:highlight w:val="none"/>
                <w:vertAlign w:val="baseline"/>
                <w:lang w:val="en-US" w:eastAsia="zh-CN" w:bidi="ar"/>
              </w:rPr>
              <w:t>玉亭</w:t>
            </w:r>
          </w:p>
        </w:tc>
        <w:tc>
          <w:tcPr>
            <w:tcW w:w="1654" w:type="dxa"/>
            <w:noWrap w:val="0"/>
            <w:vAlign w:val="center"/>
          </w:tcPr>
          <w:p w14:paraId="48CD57B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19115281623</w:t>
            </w:r>
          </w:p>
          <w:p w14:paraId="6AD6CD9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15826330010</w:t>
            </w:r>
          </w:p>
        </w:tc>
        <w:tc>
          <w:tcPr>
            <w:tcW w:w="2888" w:type="dxa"/>
            <w:noWrap w:val="0"/>
            <w:vAlign w:val="center"/>
          </w:tcPr>
          <w:p w14:paraId="24B8528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6AE1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7" w:type="dxa"/>
            <w:vMerge w:val="continue"/>
            <w:noWrap w:val="0"/>
            <w:vAlign w:val="center"/>
          </w:tcPr>
          <w:p w14:paraId="7531549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3316CE8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1BFB5CED">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Times New Roman" w:hAnsi="Times New Roman" w:eastAsia="方正仿宋_GBK" w:cs="方正仿宋_GBK"/>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（3</w:t>
            </w:r>
            <w:r>
              <w:rPr>
                <w:rFonts w:hint="eastAsia" w:ascii="Times New Roman" w:hAnsi="Times New Roman" w:eastAsia="方正仿宋_GBK" w:cs="Times New Roman"/>
                <w:color w:val="000000"/>
                <w:kern w:val="0"/>
                <w:sz w:val="24"/>
                <w:szCs w:val="24"/>
                <w:vertAlign w:val="baseline"/>
                <w:lang w:val="en-US" w:eastAsia="zh-CN" w:bidi="ar"/>
              </w:rPr>
              <w:t>9</w:t>
            </w:r>
            <w:r>
              <w:rPr>
                <w:rFonts w:hint="default" w:ascii="Times New Roman" w:hAnsi="Times New Roman" w:eastAsia="方正仿宋_GBK" w:cs="Times New Roman"/>
                <w:color w:val="000000"/>
                <w:kern w:val="0"/>
                <w:sz w:val="24"/>
                <w:szCs w:val="24"/>
                <w:vertAlign w:val="baseline"/>
                <w:lang w:val="en-US" w:eastAsia="zh-CN" w:bidi="ar"/>
              </w:rPr>
              <w:t>）</w:t>
            </w:r>
            <w:r>
              <w:rPr>
                <w:rFonts w:hint="eastAsia" w:ascii="Times New Roman" w:hAnsi="Times New Roman" w:eastAsia="方正仿宋_GBK" w:cs="方正仿宋_GBK"/>
                <w:color w:val="000000"/>
                <w:kern w:val="0"/>
                <w:sz w:val="24"/>
                <w:szCs w:val="24"/>
                <w:vertAlign w:val="baseline"/>
                <w:lang w:val="en-US" w:eastAsia="zh-CN" w:bidi="ar"/>
              </w:rPr>
              <w:t>深化市管领导和县管正职联系民营企业制度，实现重点企业联系全覆盖。</w:t>
            </w:r>
          </w:p>
        </w:tc>
        <w:tc>
          <w:tcPr>
            <w:tcW w:w="1719" w:type="dxa"/>
            <w:noWrap w:val="0"/>
            <w:vAlign w:val="center"/>
          </w:tcPr>
          <w:p w14:paraId="19CA484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县委统战部</w:t>
            </w:r>
          </w:p>
          <w:p w14:paraId="00F2498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yellow"/>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县工商联</w:t>
            </w:r>
          </w:p>
        </w:tc>
        <w:tc>
          <w:tcPr>
            <w:tcW w:w="967" w:type="dxa"/>
            <w:noWrap w:val="0"/>
            <w:vAlign w:val="center"/>
          </w:tcPr>
          <w:p w14:paraId="5AF176A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肖川</w:t>
            </w:r>
          </w:p>
          <w:p w14:paraId="6D792F4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吴浪</w:t>
            </w:r>
          </w:p>
        </w:tc>
        <w:tc>
          <w:tcPr>
            <w:tcW w:w="1654" w:type="dxa"/>
            <w:noWrap w:val="0"/>
            <w:vAlign w:val="center"/>
          </w:tcPr>
          <w:p w14:paraId="50563A0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18102363010</w:t>
            </w:r>
          </w:p>
          <w:p w14:paraId="2A89D14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13896204205</w:t>
            </w:r>
          </w:p>
        </w:tc>
        <w:tc>
          <w:tcPr>
            <w:tcW w:w="2888" w:type="dxa"/>
            <w:noWrap w:val="0"/>
            <w:vAlign w:val="center"/>
          </w:tcPr>
          <w:p w14:paraId="2E36061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《关于印发进一步完善城口县市管领导和县管正职联系民营企业制度的通知》</w:t>
            </w:r>
            <w:r>
              <w:rPr>
                <w:rFonts w:hint="eastAsia" w:ascii="Times New Roman" w:hAnsi="Times New Roman" w:eastAsia="方正仿宋_GBK" w:cs="Times New Roman"/>
                <w:color w:val="000000"/>
                <w:kern w:val="0"/>
                <w:sz w:val="24"/>
                <w:szCs w:val="24"/>
                <w:vertAlign w:val="baseline"/>
                <w:lang w:val="en-US" w:eastAsia="zh-CN" w:bidi="ar"/>
              </w:rPr>
              <w:t>（</w:t>
            </w:r>
            <w:r>
              <w:rPr>
                <w:rFonts w:hint="default" w:ascii="Times New Roman" w:hAnsi="Times New Roman" w:eastAsia="方正仿宋_GBK" w:cs="Times New Roman"/>
                <w:color w:val="000000"/>
                <w:kern w:val="0"/>
                <w:sz w:val="24"/>
                <w:szCs w:val="24"/>
                <w:vertAlign w:val="baseline"/>
                <w:lang w:val="en-US" w:eastAsia="zh-CN" w:bidi="ar"/>
              </w:rPr>
              <w:t>城委办〔2025〕93</w:t>
            </w:r>
            <w:r>
              <w:rPr>
                <w:rFonts w:hint="eastAsia" w:ascii="Times New Roman" w:hAnsi="Times New Roman" w:eastAsia="方正仿宋_GBK" w:cs="Times New Roman"/>
                <w:color w:val="000000"/>
                <w:kern w:val="0"/>
                <w:sz w:val="24"/>
                <w:szCs w:val="24"/>
                <w:vertAlign w:val="baseline"/>
                <w:lang w:val="en-US" w:eastAsia="zh-CN" w:bidi="ar"/>
              </w:rPr>
              <w:t>号）</w:t>
            </w:r>
          </w:p>
        </w:tc>
      </w:tr>
      <w:tr w14:paraId="77E8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continue"/>
            <w:noWrap w:val="0"/>
            <w:vAlign w:val="center"/>
          </w:tcPr>
          <w:p w14:paraId="39744BB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1D0EF6A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p>
        </w:tc>
        <w:tc>
          <w:tcPr>
            <w:tcW w:w="5686" w:type="dxa"/>
            <w:noWrap w:val="0"/>
            <w:vAlign w:val="center"/>
          </w:tcPr>
          <w:p w14:paraId="2A3F55FF">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w:t>
            </w:r>
            <w:r>
              <w:rPr>
                <w:rFonts w:hint="eastAsia" w:ascii="Times New Roman" w:hAnsi="Times New Roman" w:eastAsia="方正仿宋_GBK" w:cs="Times New Roman"/>
                <w:color w:val="000000"/>
                <w:kern w:val="0"/>
                <w:sz w:val="24"/>
                <w:szCs w:val="24"/>
                <w:highlight w:val="none"/>
                <w:vertAlign w:val="baseline"/>
                <w:lang w:val="en-US" w:eastAsia="zh-CN" w:bidi="ar"/>
              </w:rPr>
              <w:t>40</w:t>
            </w:r>
            <w:r>
              <w:rPr>
                <w:rFonts w:hint="default" w:ascii="Times New Roman" w:hAnsi="Times New Roman" w:eastAsia="方正仿宋_GBK" w:cs="Times New Roman"/>
                <w:color w:val="000000"/>
                <w:kern w:val="0"/>
                <w:sz w:val="24"/>
                <w:szCs w:val="24"/>
                <w:highlight w:val="none"/>
                <w:vertAlign w:val="baseline"/>
                <w:lang w:val="en-US" w:eastAsia="zh-CN" w:bidi="ar"/>
              </w:rPr>
              <w:t>）</w:t>
            </w:r>
            <w:r>
              <w:rPr>
                <w:rFonts w:hint="eastAsia" w:ascii="Times New Roman" w:hAnsi="Times New Roman" w:eastAsia="方正仿宋_GBK" w:cs="方正仿宋_GBK"/>
                <w:color w:val="000000"/>
                <w:kern w:val="0"/>
                <w:sz w:val="24"/>
                <w:szCs w:val="24"/>
                <w:highlight w:val="none"/>
                <w:vertAlign w:val="baseline"/>
                <w:lang w:val="en-US" w:eastAsia="zh-CN" w:bidi="ar"/>
              </w:rPr>
              <w:t>迭代“民呼我为”工作机制，升级“渝企办难事”“渝企来维权”和“渝企找专员”模块，对企业诉求事项交办体系与“民呼我为”交办系统共享为推广使用线上服务平台。</w:t>
            </w:r>
          </w:p>
        </w:tc>
        <w:tc>
          <w:tcPr>
            <w:tcW w:w="1719" w:type="dxa"/>
            <w:noWrap w:val="0"/>
            <w:vAlign w:val="center"/>
          </w:tcPr>
          <w:p w14:paraId="37F2CEB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县经济信息委</w:t>
            </w:r>
          </w:p>
          <w:p w14:paraId="421A2B4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县行政事务管理中心</w:t>
            </w:r>
          </w:p>
          <w:p w14:paraId="33E4C1D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县级有关部门</w:t>
            </w:r>
          </w:p>
        </w:tc>
        <w:tc>
          <w:tcPr>
            <w:tcW w:w="967" w:type="dxa"/>
            <w:noWrap w:val="0"/>
            <w:vAlign w:val="center"/>
          </w:tcPr>
          <w:p w14:paraId="4F95B3D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余静</w:t>
            </w:r>
          </w:p>
          <w:p w14:paraId="01FFCEF1">
            <w:pPr>
              <w:pStyle w:val="2"/>
              <w:keepNext w:val="0"/>
              <w:keepLines w:val="0"/>
              <w:pageBreakBefore w:val="0"/>
              <w:widowControl w:val="0"/>
              <w:kinsoku/>
              <w:wordWrap/>
              <w:overflowPunct/>
              <w:topLinePunct w:val="0"/>
              <w:autoSpaceDE/>
              <w:autoSpaceDN/>
              <w:bidi w:val="0"/>
              <w:adjustRightInd/>
              <w:snapToGrid/>
              <w:spacing w:line="320" w:lineRule="exact"/>
              <w:ind w:left="0" w:firstLine="0" w:firstLineChars="0"/>
              <w:jc w:val="both"/>
              <w:textAlignment w:val="auto"/>
              <w:rPr>
                <w:rFonts w:hint="default" w:ascii="Times New Roman" w:hAnsi="Times New Roman"/>
                <w:highlight w:val="none"/>
                <w:lang w:val="en-US" w:eastAsia="zh-CN"/>
              </w:rPr>
            </w:pPr>
            <w:r>
              <w:rPr>
                <w:rFonts w:hint="eastAsia" w:ascii="Times New Roman" w:hAnsi="Times New Roman" w:eastAsia="方正仿宋_GBK" w:cs="方正仿宋_GBK"/>
                <w:sz w:val="24"/>
                <w:szCs w:val="24"/>
                <w:highlight w:val="none"/>
                <w:lang w:val="en-US" w:eastAsia="zh-CN"/>
              </w:rPr>
              <w:t>付少松</w:t>
            </w:r>
          </w:p>
        </w:tc>
        <w:tc>
          <w:tcPr>
            <w:tcW w:w="1654" w:type="dxa"/>
            <w:noWrap w:val="0"/>
            <w:vAlign w:val="center"/>
          </w:tcPr>
          <w:p w14:paraId="1B31985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15023464780</w:t>
            </w:r>
          </w:p>
          <w:p w14:paraId="412BB9C1">
            <w:pPr>
              <w:pStyle w:val="2"/>
              <w:keepNext w:val="0"/>
              <w:keepLines w:val="0"/>
              <w:pageBreakBefore w:val="0"/>
              <w:kinsoku/>
              <w:wordWrap/>
              <w:overflowPunct/>
              <w:topLinePunct w:val="0"/>
              <w:autoSpaceDN/>
              <w:bidi w:val="0"/>
              <w:adjustRightInd/>
              <w:snapToGrid/>
              <w:ind w:firstLine="0" w:firstLineChars="0"/>
              <w:jc w:val="center"/>
              <w:textAlignment w:val="auto"/>
              <w:rPr>
                <w:rFonts w:hint="default" w:ascii="Times New Roman" w:hAnsi="Times New Roman"/>
                <w:highlight w:val="none"/>
                <w:lang w:val="en-US" w:eastAsia="zh-CN"/>
              </w:rPr>
            </w:pPr>
            <w:r>
              <w:rPr>
                <w:rFonts w:hint="default" w:ascii="Times New Roman" w:hAnsi="Times New Roman" w:eastAsia="方正仿宋_GBK" w:cs="Times New Roman"/>
                <w:color w:val="000000"/>
                <w:kern w:val="0"/>
                <w:sz w:val="24"/>
                <w:szCs w:val="24"/>
                <w:highlight w:val="none"/>
                <w:vertAlign w:val="baseline"/>
                <w:lang w:val="en-US" w:eastAsia="zh-CN" w:bidi="ar"/>
              </w:rPr>
              <w:t>13657685411</w:t>
            </w:r>
          </w:p>
        </w:tc>
        <w:tc>
          <w:tcPr>
            <w:tcW w:w="2888" w:type="dxa"/>
            <w:noWrap w:val="0"/>
            <w:vAlign w:val="center"/>
          </w:tcPr>
          <w:p w14:paraId="377349FA">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kern w:val="0"/>
                <w:sz w:val="24"/>
                <w:szCs w:val="24"/>
                <w:highlight w:val="yellow"/>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1ECB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039" w:type="dxa"/>
            <w:gridSpan w:val="7"/>
            <w:noWrap w:val="0"/>
            <w:vAlign w:val="center"/>
          </w:tcPr>
          <w:p w14:paraId="419DD48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lang w:val="en-US" w:eastAsia="zh-CN"/>
              </w:rPr>
            </w:pPr>
            <w:r>
              <w:rPr>
                <w:rFonts w:hint="eastAsia" w:ascii="Times New Roman" w:hAnsi="Times New Roman" w:eastAsia="方正黑体_GBK" w:cs="方正黑体_GBK"/>
                <w:sz w:val="24"/>
                <w:szCs w:val="24"/>
                <w:lang w:val="en-US" w:eastAsia="zh-CN"/>
              </w:rPr>
              <w:t>五、强化民营经济要素供给</w:t>
            </w:r>
          </w:p>
        </w:tc>
      </w:tr>
      <w:tr w14:paraId="4638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27" w:type="dxa"/>
            <w:vMerge w:val="restart"/>
            <w:noWrap w:val="0"/>
            <w:vAlign w:val="center"/>
          </w:tcPr>
          <w:p w14:paraId="691BDDA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r>
              <w:rPr>
                <w:rFonts w:hint="eastAsia" w:ascii="Times New Roman" w:hAnsi="Times New Roman" w:eastAsia="方正黑体_GBK" w:cs="Times New Roman"/>
                <w:color w:val="000000"/>
                <w:kern w:val="0"/>
                <w:sz w:val="24"/>
                <w:szCs w:val="24"/>
                <w:highlight w:val="none"/>
                <w:vertAlign w:val="baseline"/>
                <w:lang w:val="en-US" w:eastAsia="zh-CN" w:bidi="ar"/>
              </w:rPr>
              <w:t>19</w:t>
            </w:r>
          </w:p>
        </w:tc>
        <w:tc>
          <w:tcPr>
            <w:tcW w:w="1298" w:type="dxa"/>
            <w:vMerge w:val="restart"/>
            <w:noWrap w:val="0"/>
            <w:vAlign w:val="center"/>
          </w:tcPr>
          <w:p w14:paraId="675D5F3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r>
              <w:rPr>
                <w:rFonts w:hint="default" w:ascii="Times New Roman" w:hAnsi="Times New Roman" w:eastAsia="方正仿宋_GBK" w:cs="Times New Roman"/>
                <w:b/>
                <w:bCs/>
                <w:color w:val="000000"/>
                <w:kern w:val="0"/>
                <w:sz w:val="24"/>
                <w:szCs w:val="24"/>
                <w:lang w:val="en-US" w:eastAsia="zh-CN" w:bidi="ar"/>
              </w:rPr>
              <w:t>提供多元化金融服务</w:t>
            </w:r>
          </w:p>
        </w:tc>
        <w:tc>
          <w:tcPr>
            <w:tcW w:w="5686" w:type="dxa"/>
            <w:noWrap w:val="0"/>
            <w:vAlign w:val="center"/>
          </w:tcPr>
          <w:p w14:paraId="7892FF1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（41）</w:t>
            </w:r>
            <w:r>
              <w:rPr>
                <w:rFonts w:hint="default" w:ascii="Times New Roman" w:hAnsi="Times New Roman" w:eastAsia="方正仿宋_GBK" w:cs="Times New Roman"/>
                <w:color w:val="000000"/>
                <w:kern w:val="0"/>
                <w:sz w:val="24"/>
                <w:szCs w:val="24"/>
                <w:highlight w:val="none"/>
                <w:vertAlign w:val="baseline"/>
                <w:lang w:val="en-US" w:eastAsia="zh-CN" w:bidi="ar"/>
              </w:rPr>
              <w:t>扩</w:t>
            </w:r>
            <w:r>
              <w:rPr>
                <w:rFonts w:hint="eastAsia" w:ascii="Times New Roman" w:hAnsi="Times New Roman" w:eastAsia="方正仿宋_GBK" w:cs="方正仿宋_GBK"/>
                <w:color w:val="000000"/>
                <w:kern w:val="0"/>
                <w:sz w:val="24"/>
                <w:szCs w:val="24"/>
                <w:highlight w:val="none"/>
                <w:vertAlign w:val="baseline"/>
                <w:lang w:val="en-US" w:eastAsia="zh-CN" w:bidi="ar"/>
              </w:rPr>
              <w:t>大“无还本续贷”政</w:t>
            </w:r>
            <w:r>
              <w:rPr>
                <w:rFonts w:hint="default" w:ascii="Times New Roman" w:hAnsi="Times New Roman" w:eastAsia="方正仿宋_GBK" w:cs="Times New Roman"/>
                <w:color w:val="000000"/>
                <w:kern w:val="0"/>
                <w:sz w:val="24"/>
                <w:szCs w:val="24"/>
                <w:highlight w:val="none"/>
                <w:vertAlign w:val="baseline"/>
                <w:lang w:val="en-US" w:eastAsia="zh-CN" w:bidi="ar"/>
              </w:rPr>
              <w:t>策覆盖面，推动续贷对象扩展至所有小微企业、阶段性扩大到中型企业。</w:t>
            </w:r>
          </w:p>
        </w:tc>
        <w:tc>
          <w:tcPr>
            <w:tcW w:w="1719" w:type="dxa"/>
            <w:noWrap w:val="0"/>
            <w:vAlign w:val="center"/>
          </w:tcPr>
          <w:p w14:paraId="6D3E6F0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城口金融监管支局</w:t>
            </w:r>
          </w:p>
        </w:tc>
        <w:tc>
          <w:tcPr>
            <w:tcW w:w="967" w:type="dxa"/>
            <w:noWrap w:val="0"/>
            <w:vAlign w:val="center"/>
          </w:tcPr>
          <w:p w14:paraId="3014FF7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方正仿宋_GBK"/>
                <w:color w:val="000000"/>
                <w:kern w:val="0"/>
                <w:sz w:val="24"/>
                <w:szCs w:val="24"/>
                <w:highlight w:val="none"/>
                <w:vertAlign w:val="baseline"/>
                <w:lang w:val="en" w:eastAsia="zh-CN" w:bidi="ar"/>
              </w:rPr>
            </w:pPr>
            <w:r>
              <w:rPr>
                <w:rFonts w:hint="eastAsia" w:ascii="Times New Roman" w:hAnsi="Times New Roman" w:eastAsia="方正仿宋_GBK" w:cs="方正仿宋_GBK"/>
                <w:color w:val="000000"/>
                <w:kern w:val="0"/>
                <w:sz w:val="24"/>
                <w:szCs w:val="24"/>
                <w:highlight w:val="none"/>
                <w:vertAlign w:val="baseline"/>
                <w:lang w:val="en" w:eastAsia="zh-CN" w:bidi="ar"/>
              </w:rPr>
              <w:t>李方雄</w:t>
            </w:r>
          </w:p>
        </w:tc>
        <w:tc>
          <w:tcPr>
            <w:tcW w:w="1654" w:type="dxa"/>
            <w:noWrap w:val="0"/>
            <w:vAlign w:val="center"/>
          </w:tcPr>
          <w:p w14:paraId="3F87D24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auto"/>
                <w:kern w:val="0"/>
                <w:sz w:val="24"/>
                <w:szCs w:val="24"/>
                <w:highlight w:val="none"/>
                <w:vertAlign w:val="baseline"/>
                <w:lang w:val="en-US" w:eastAsia="zh-CN" w:bidi="ar"/>
              </w:rPr>
            </w:pPr>
            <w:r>
              <w:rPr>
                <w:rFonts w:hint="eastAsia" w:ascii="Times New Roman" w:hAnsi="Times New Roman" w:eastAsia="方正仿宋_GBK" w:cs="Times New Roman"/>
                <w:color w:val="auto"/>
                <w:kern w:val="0"/>
                <w:sz w:val="24"/>
                <w:szCs w:val="24"/>
                <w:highlight w:val="none"/>
                <w:vertAlign w:val="baseline"/>
                <w:lang w:val="en-US" w:eastAsia="zh-CN" w:bidi="ar"/>
              </w:rPr>
              <w:t>18523689133</w:t>
            </w:r>
          </w:p>
        </w:tc>
        <w:tc>
          <w:tcPr>
            <w:tcW w:w="2888" w:type="dxa"/>
            <w:vMerge w:val="restart"/>
            <w:noWrap w:val="0"/>
            <w:vAlign w:val="center"/>
          </w:tcPr>
          <w:p w14:paraId="028F9A3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0E88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827" w:type="dxa"/>
            <w:vMerge w:val="continue"/>
            <w:noWrap w:val="0"/>
            <w:vAlign w:val="center"/>
          </w:tcPr>
          <w:p w14:paraId="20B75F2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p>
        </w:tc>
        <w:tc>
          <w:tcPr>
            <w:tcW w:w="1298" w:type="dxa"/>
            <w:vMerge w:val="continue"/>
            <w:noWrap w:val="0"/>
            <w:vAlign w:val="center"/>
          </w:tcPr>
          <w:p w14:paraId="753E8BC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44890CF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（42）</w:t>
            </w:r>
            <w:r>
              <w:rPr>
                <w:rFonts w:hint="default" w:ascii="Times New Roman" w:hAnsi="Times New Roman" w:eastAsia="方正仿宋_GBK" w:cs="Times New Roman"/>
                <w:color w:val="000000"/>
                <w:kern w:val="0"/>
                <w:sz w:val="24"/>
                <w:szCs w:val="24"/>
                <w:highlight w:val="none"/>
                <w:vertAlign w:val="baseline"/>
                <w:lang w:val="en-US" w:eastAsia="zh-CN" w:bidi="ar"/>
              </w:rPr>
              <w:t>鼓励银行机构综合运用企业创新积分等多方信息，加大信用贷款投放力度，提升科技型企业“首贷率”。推广运用“长江渝融通”线上服务平台功能，实现民营企业金融服务一件事智能办、一次办、高效办。</w:t>
            </w:r>
          </w:p>
        </w:tc>
        <w:tc>
          <w:tcPr>
            <w:tcW w:w="1719" w:type="dxa"/>
            <w:noWrap w:val="0"/>
            <w:vAlign w:val="center"/>
          </w:tcPr>
          <w:p w14:paraId="359587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人行万州分行城口营管部</w:t>
            </w:r>
          </w:p>
        </w:tc>
        <w:tc>
          <w:tcPr>
            <w:tcW w:w="967" w:type="dxa"/>
            <w:noWrap w:val="0"/>
            <w:vAlign w:val="center"/>
          </w:tcPr>
          <w:p w14:paraId="244C1E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李鸿垚</w:t>
            </w:r>
          </w:p>
        </w:tc>
        <w:tc>
          <w:tcPr>
            <w:tcW w:w="1654" w:type="dxa"/>
            <w:noWrap w:val="0"/>
            <w:vAlign w:val="center"/>
          </w:tcPr>
          <w:p w14:paraId="6E31EC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auto"/>
                <w:kern w:val="0"/>
                <w:sz w:val="24"/>
                <w:szCs w:val="24"/>
                <w:highlight w:val="none"/>
                <w:lang w:val="en-US" w:eastAsia="zh-CN" w:bidi="ar"/>
              </w:rPr>
              <w:t>59</w:t>
            </w:r>
            <w:r>
              <w:rPr>
                <w:rFonts w:hint="eastAsia" w:ascii="Times New Roman" w:hAnsi="Times New Roman" w:eastAsia="方正仿宋_GBK" w:cs="Times New Roman"/>
                <w:color w:val="auto"/>
                <w:kern w:val="0"/>
                <w:sz w:val="24"/>
                <w:szCs w:val="24"/>
                <w:highlight w:val="none"/>
                <w:lang w:val="en-US" w:eastAsia="zh-CN" w:bidi="ar"/>
              </w:rPr>
              <w:t>5</w:t>
            </w:r>
            <w:r>
              <w:rPr>
                <w:rFonts w:hint="default" w:ascii="Times New Roman" w:hAnsi="Times New Roman" w:eastAsia="方正仿宋_GBK" w:cs="Times New Roman"/>
                <w:color w:val="auto"/>
                <w:kern w:val="0"/>
                <w:sz w:val="24"/>
                <w:szCs w:val="24"/>
                <w:highlight w:val="none"/>
                <w:lang w:val="en-US" w:eastAsia="zh-CN" w:bidi="ar"/>
              </w:rPr>
              <w:t>00955</w:t>
            </w:r>
          </w:p>
        </w:tc>
        <w:tc>
          <w:tcPr>
            <w:tcW w:w="2888" w:type="dxa"/>
            <w:vMerge w:val="continue"/>
            <w:noWrap w:val="0"/>
            <w:vAlign w:val="center"/>
          </w:tcPr>
          <w:p w14:paraId="4552AA9B">
            <w:pPr>
              <w:pStyle w:val="2"/>
              <w:keepNext w:val="0"/>
              <w:keepLines w:val="0"/>
              <w:pageBreakBefore w:val="0"/>
              <w:kinsoku/>
              <w:wordWrap/>
              <w:overflowPunct/>
              <w:topLinePunct w:val="0"/>
              <w:autoSpaceDN/>
              <w:bidi w:val="0"/>
              <w:adjustRightInd/>
              <w:snapToGrid/>
              <w:ind w:firstLine="0" w:firstLineChars="0"/>
              <w:jc w:val="center"/>
              <w:textAlignment w:val="auto"/>
              <w:rPr>
                <w:rFonts w:hint="default" w:ascii="Times New Roman" w:hAnsi="Times New Roman"/>
                <w:lang w:val="en-US" w:eastAsia="zh-CN"/>
              </w:rPr>
            </w:pPr>
          </w:p>
        </w:tc>
      </w:tr>
      <w:tr w14:paraId="3A56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27" w:type="dxa"/>
            <w:vMerge w:val="restart"/>
            <w:noWrap w:val="0"/>
            <w:vAlign w:val="center"/>
          </w:tcPr>
          <w:p w14:paraId="01C0D81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r>
              <w:rPr>
                <w:rFonts w:hint="eastAsia" w:ascii="Times New Roman" w:hAnsi="Times New Roman" w:eastAsia="方正黑体_GBK" w:cs="Times New Roman"/>
                <w:color w:val="000000"/>
                <w:kern w:val="0"/>
                <w:sz w:val="24"/>
                <w:szCs w:val="24"/>
                <w:highlight w:val="none"/>
                <w:vertAlign w:val="baseline"/>
                <w:lang w:val="en-US" w:eastAsia="zh-CN" w:bidi="ar"/>
              </w:rPr>
              <w:t>20</w:t>
            </w:r>
          </w:p>
          <w:p w14:paraId="62E22C6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highlight w:val="none"/>
                <w:vertAlign w:val="baseline"/>
                <w:lang w:val="en-US" w:eastAsia="zh-CN" w:bidi="ar"/>
              </w:rPr>
            </w:pPr>
            <w:r>
              <w:rPr>
                <w:rFonts w:hint="eastAsia" w:ascii="Times New Roman" w:hAnsi="Times New Roman" w:eastAsia="方正黑体_GBK" w:cs="Times New Roman"/>
                <w:color w:val="000000"/>
                <w:kern w:val="0"/>
                <w:sz w:val="24"/>
                <w:szCs w:val="24"/>
                <w:highlight w:val="none"/>
                <w:vertAlign w:val="baseline"/>
                <w:lang w:val="en-US" w:eastAsia="zh-CN" w:bidi="ar"/>
              </w:rPr>
              <w:t>新增</w:t>
            </w:r>
          </w:p>
        </w:tc>
        <w:tc>
          <w:tcPr>
            <w:tcW w:w="1298" w:type="dxa"/>
            <w:vMerge w:val="restart"/>
            <w:noWrap w:val="0"/>
            <w:vAlign w:val="center"/>
          </w:tcPr>
          <w:p w14:paraId="48FF293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sz w:val="24"/>
                <w:szCs w:val="24"/>
              </w:rPr>
            </w:pPr>
            <w:r>
              <w:rPr>
                <w:rFonts w:hint="eastAsia" w:ascii="Times New Roman" w:hAnsi="Times New Roman" w:eastAsia="方正仿宋_GBK" w:cs="Times New Roman"/>
                <w:b/>
                <w:bCs/>
                <w:color w:val="000000"/>
                <w:kern w:val="0"/>
                <w:sz w:val="24"/>
                <w:szCs w:val="24"/>
                <w:lang w:val="en-US" w:eastAsia="zh-CN" w:bidi="ar"/>
              </w:rPr>
              <w:t>减轻企业税费负担</w:t>
            </w:r>
          </w:p>
        </w:tc>
        <w:tc>
          <w:tcPr>
            <w:tcW w:w="5686" w:type="dxa"/>
            <w:noWrap w:val="0"/>
            <w:vAlign w:val="center"/>
          </w:tcPr>
          <w:p w14:paraId="1B006F4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bCs/>
                <w:color w:val="000000"/>
                <w:kern w:val="0"/>
                <w:sz w:val="24"/>
                <w:szCs w:val="24"/>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（43）加大增值税期末留抵退税力度，</w:t>
            </w:r>
            <w:r>
              <w:rPr>
                <w:rFonts w:hint="default" w:ascii="Times New Roman" w:hAnsi="Times New Roman" w:eastAsia="方正仿宋_GBK" w:cs="Times New Roman"/>
                <w:color w:val="000000"/>
                <w:kern w:val="0"/>
                <w:sz w:val="24"/>
                <w:szCs w:val="24"/>
                <w:highlight w:val="none"/>
                <w:vertAlign w:val="baseline"/>
                <w:lang w:val="en-US" w:eastAsia="zh-CN" w:bidi="ar"/>
              </w:rPr>
              <w:t>符合条件的“农、林、牧、渔业”</w:t>
            </w:r>
            <w:r>
              <w:rPr>
                <w:rFonts w:hint="eastAsia" w:ascii="Times New Roman" w:hAnsi="Times New Roman" w:eastAsia="方正仿宋_GBK" w:cs="Times New Roman"/>
                <w:color w:val="000000"/>
                <w:kern w:val="0"/>
                <w:sz w:val="24"/>
                <w:szCs w:val="24"/>
                <w:highlight w:val="none"/>
                <w:vertAlign w:val="baseline"/>
                <w:lang w:val="en-US" w:eastAsia="zh-CN" w:bidi="ar"/>
              </w:rPr>
              <w:t>“制造业”“</w:t>
            </w:r>
            <w:r>
              <w:rPr>
                <w:rFonts w:hint="default" w:ascii="Times New Roman" w:hAnsi="Times New Roman" w:eastAsia="方正仿宋_GBK" w:cs="Times New Roman"/>
                <w:color w:val="000000"/>
                <w:kern w:val="0"/>
                <w:sz w:val="24"/>
                <w:szCs w:val="24"/>
                <w:highlight w:val="none"/>
                <w:vertAlign w:val="baseline"/>
                <w:lang w:val="en-US" w:eastAsia="zh-CN" w:bidi="ar"/>
              </w:rPr>
              <w:t>批发零售业</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等行业</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按月全额退还增值税增量留抵税额、一次性退还存量留抵税额</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c>
          <w:tcPr>
            <w:tcW w:w="1719" w:type="dxa"/>
            <w:vMerge w:val="restart"/>
            <w:noWrap w:val="0"/>
            <w:vAlign w:val="center"/>
          </w:tcPr>
          <w:p w14:paraId="60727C6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县税务局</w:t>
            </w:r>
          </w:p>
        </w:tc>
        <w:tc>
          <w:tcPr>
            <w:tcW w:w="967" w:type="dxa"/>
            <w:vMerge w:val="restart"/>
            <w:noWrap w:val="0"/>
            <w:vAlign w:val="center"/>
          </w:tcPr>
          <w:p w14:paraId="32A33AC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方正仿宋_GBK" w:cs="Times New Roman"/>
                <w:sz w:val="24"/>
                <w:szCs w:val="24"/>
                <w:vertAlign w:val="baseline"/>
                <w:lang w:eastAsia="zh-CN"/>
              </w:rPr>
            </w:pPr>
            <w:r>
              <w:rPr>
                <w:rFonts w:hint="eastAsia" w:ascii="Times New Roman" w:hAnsi="Times New Roman" w:eastAsia="方正仿宋_GBK" w:cs="Times New Roman"/>
                <w:sz w:val="24"/>
                <w:szCs w:val="24"/>
                <w:vertAlign w:val="baseline"/>
                <w:lang w:eastAsia="zh-CN"/>
              </w:rPr>
              <w:t>王翔</w:t>
            </w:r>
          </w:p>
          <w:p w14:paraId="022E499B">
            <w:pPr>
              <w:pStyle w:val="2"/>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lang w:val="en-US" w:eastAsia="zh-CN"/>
              </w:rPr>
            </w:pPr>
            <w:r>
              <w:rPr>
                <w:rFonts w:hint="default" w:ascii="Times New Roman" w:hAnsi="Times New Roman" w:eastAsia="方正仿宋_GBK" w:cs="Times New Roman"/>
                <w:kern w:val="2"/>
                <w:sz w:val="24"/>
                <w:szCs w:val="24"/>
                <w:vertAlign w:val="baseline"/>
                <w:lang w:val="en-US" w:eastAsia="zh-CN" w:bidi="ar-SA"/>
              </w:rPr>
              <w:t>李毅</w:t>
            </w:r>
          </w:p>
        </w:tc>
        <w:tc>
          <w:tcPr>
            <w:tcW w:w="1654" w:type="dxa"/>
            <w:vMerge w:val="restart"/>
            <w:noWrap w:val="0"/>
            <w:vAlign w:val="center"/>
          </w:tcPr>
          <w:p w14:paraId="2438D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13896383182</w:t>
            </w:r>
          </w:p>
          <w:p w14:paraId="13E37263">
            <w:pPr>
              <w:pStyle w:val="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lang w:val="en-US" w:eastAsia="zh-CN"/>
              </w:rPr>
            </w:pPr>
            <w:r>
              <w:rPr>
                <w:rFonts w:hint="default" w:ascii="Times New Roman" w:hAnsi="Times New Roman" w:eastAsia="方正仿宋_GBK" w:cs="Times New Roman"/>
                <w:color w:val="auto"/>
                <w:kern w:val="0"/>
                <w:sz w:val="24"/>
                <w:szCs w:val="24"/>
                <w:highlight w:val="none"/>
                <w:vertAlign w:val="baseline"/>
                <w:lang w:val="en-US" w:eastAsia="zh-CN" w:bidi="ar"/>
              </w:rPr>
              <w:t>13594100086</w:t>
            </w:r>
          </w:p>
        </w:tc>
        <w:tc>
          <w:tcPr>
            <w:tcW w:w="2888" w:type="dxa"/>
            <w:vMerge w:val="restart"/>
            <w:noWrap w:val="0"/>
            <w:vAlign w:val="center"/>
          </w:tcPr>
          <w:p w14:paraId="215BC4B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根据《支持民营经济发展若干政策措施》（城府办发〔2022〕71号）迭代</w:t>
            </w:r>
          </w:p>
        </w:tc>
      </w:tr>
      <w:tr w14:paraId="0ECD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27" w:type="dxa"/>
            <w:vMerge w:val="continue"/>
            <w:noWrap w:val="0"/>
            <w:vAlign w:val="center"/>
          </w:tcPr>
          <w:p w14:paraId="47E8CCE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p>
        </w:tc>
        <w:tc>
          <w:tcPr>
            <w:tcW w:w="1298" w:type="dxa"/>
            <w:vMerge w:val="continue"/>
            <w:noWrap w:val="0"/>
            <w:vAlign w:val="center"/>
          </w:tcPr>
          <w:p w14:paraId="41A86F7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1581D67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44）实施“六税两费”优惠政策，自2023年1月1日至2027年12月31日，对增值税小规模纳税人、小型微利企业和个体工商户减半征收资源税（不含水资源税）、城市维护建设税、房产税、城镇土地使用税、印花税（不含证券交易印花税）、耕地占用税和教育费附加、地方教育附加。</w:t>
            </w:r>
          </w:p>
        </w:tc>
        <w:tc>
          <w:tcPr>
            <w:tcW w:w="1719" w:type="dxa"/>
            <w:vMerge w:val="continue"/>
            <w:noWrap w:val="0"/>
            <w:vAlign w:val="center"/>
          </w:tcPr>
          <w:p w14:paraId="2CD5F6E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p>
        </w:tc>
        <w:tc>
          <w:tcPr>
            <w:tcW w:w="967" w:type="dxa"/>
            <w:vMerge w:val="continue"/>
            <w:noWrap w:val="0"/>
            <w:vAlign w:val="center"/>
          </w:tcPr>
          <w:p w14:paraId="5CF6F36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p>
        </w:tc>
        <w:tc>
          <w:tcPr>
            <w:tcW w:w="1654" w:type="dxa"/>
            <w:vMerge w:val="continue"/>
            <w:noWrap w:val="0"/>
            <w:vAlign w:val="center"/>
          </w:tcPr>
          <w:p w14:paraId="1B2374D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p>
        </w:tc>
        <w:tc>
          <w:tcPr>
            <w:tcW w:w="2888" w:type="dxa"/>
            <w:vMerge w:val="continue"/>
            <w:noWrap w:val="0"/>
            <w:vAlign w:val="center"/>
          </w:tcPr>
          <w:p w14:paraId="5EF02BD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p>
        </w:tc>
      </w:tr>
      <w:tr w14:paraId="4CB5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27" w:type="dxa"/>
            <w:vMerge w:val="restart"/>
            <w:noWrap w:val="0"/>
            <w:vAlign w:val="center"/>
          </w:tcPr>
          <w:p w14:paraId="2A0D288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r>
              <w:rPr>
                <w:rFonts w:hint="eastAsia" w:ascii="Times New Roman" w:hAnsi="Times New Roman" w:eastAsia="方正黑体_GBK" w:cs="Times New Roman"/>
                <w:color w:val="000000"/>
                <w:kern w:val="0"/>
                <w:sz w:val="24"/>
                <w:szCs w:val="24"/>
                <w:highlight w:val="none"/>
                <w:vertAlign w:val="baseline"/>
                <w:lang w:val="en-US" w:eastAsia="zh-CN" w:bidi="ar"/>
              </w:rPr>
              <w:t>20</w:t>
            </w:r>
          </w:p>
          <w:p w14:paraId="5F5E961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r>
              <w:rPr>
                <w:rFonts w:hint="eastAsia" w:ascii="Times New Roman" w:hAnsi="Times New Roman" w:eastAsia="方正黑体_GBK" w:cs="Times New Roman"/>
                <w:color w:val="000000"/>
                <w:kern w:val="0"/>
                <w:sz w:val="24"/>
                <w:szCs w:val="24"/>
                <w:highlight w:val="none"/>
                <w:vertAlign w:val="baseline"/>
                <w:lang w:val="en-US" w:eastAsia="zh-CN" w:bidi="ar"/>
              </w:rPr>
              <w:t>新增</w:t>
            </w:r>
          </w:p>
        </w:tc>
        <w:tc>
          <w:tcPr>
            <w:tcW w:w="1298" w:type="dxa"/>
            <w:vMerge w:val="restart"/>
            <w:noWrap w:val="0"/>
            <w:vAlign w:val="center"/>
          </w:tcPr>
          <w:p w14:paraId="4B92DA4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b/>
                <w:bCs/>
                <w:color w:val="000000"/>
                <w:kern w:val="0"/>
                <w:sz w:val="24"/>
                <w:szCs w:val="24"/>
                <w:lang w:val="en-US" w:eastAsia="zh-CN" w:bidi="ar"/>
              </w:rPr>
            </w:pPr>
            <w:r>
              <w:rPr>
                <w:rFonts w:hint="eastAsia" w:ascii="Times New Roman" w:hAnsi="Times New Roman" w:eastAsia="方正仿宋_GBK" w:cs="Times New Roman"/>
                <w:b/>
                <w:bCs/>
                <w:color w:val="000000"/>
                <w:kern w:val="0"/>
                <w:sz w:val="24"/>
                <w:szCs w:val="24"/>
                <w:lang w:val="en-US" w:eastAsia="zh-CN" w:bidi="ar"/>
              </w:rPr>
              <w:t>减轻企业税费负担</w:t>
            </w:r>
          </w:p>
        </w:tc>
        <w:tc>
          <w:tcPr>
            <w:tcW w:w="5686" w:type="dxa"/>
            <w:noWrap w:val="0"/>
            <w:vAlign w:val="center"/>
          </w:tcPr>
          <w:p w14:paraId="304452A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（45）</w:t>
            </w:r>
            <w:r>
              <w:rPr>
                <w:rFonts w:hint="default" w:ascii="Times New Roman" w:hAnsi="Times New Roman" w:eastAsia="方正仿宋_GBK" w:cs="Times New Roman"/>
                <w:color w:val="000000"/>
                <w:kern w:val="0"/>
                <w:sz w:val="24"/>
                <w:szCs w:val="24"/>
                <w:highlight w:val="none"/>
                <w:vertAlign w:val="baseline"/>
                <w:lang w:val="en-US" w:eastAsia="zh-CN" w:bidi="ar"/>
              </w:rPr>
              <w:t>对招用符合条件的高校毕业生、脱贫人口、就业困难人员，与其签订劳动合同并按规定缴纳社会保险费的用人单位，按规定给予社会保险补贴。</w:t>
            </w:r>
          </w:p>
        </w:tc>
        <w:tc>
          <w:tcPr>
            <w:tcW w:w="1719" w:type="dxa"/>
            <w:vMerge w:val="restart"/>
            <w:noWrap w:val="0"/>
            <w:vAlign w:val="center"/>
          </w:tcPr>
          <w:p w14:paraId="370B477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县人力社保局</w:t>
            </w:r>
          </w:p>
        </w:tc>
        <w:tc>
          <w:tcPr>
            <w:tcW w:w="967" w:type="dxa"/>
            <w:vMerge w:val="restart"/>
            <w:noWrap w:val="0"/>
            <w:vAlign w:val="center"/>
          </w:tcPr>
          <w:p w14:paraId="1D8BFBC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auto"/>
                <w:sz w:val="24"/>
                <w:szCs w:val="24"/>
                <w:vertAlign w:val="baseline"/>
              </w:rPr>
              <w:t>文泽玲</w:t>
            </w:r>
          </w:p>
        </w:tc>
        <w:tc>
          <w:tcPr>
            <w:tcW w:w="1654" w:type="dxa"/>
            <w:vMerge w:val="restart"/>
            <w:noWrap w:val="0"/>
            <w:vAlign w:val="center"/>
          </w:tcPr>
          <w:p w14:paraId="7EB68A9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023-</w:t>
            </w:r>
            <w:r>
              <w:rPr>
                <w:rFonts w:hint="default" w:ascii="Times New Roman" w:hAnsi="Times New Roman" w:eastAsia="方正仿宋_GBK" w:cs="Times New Roman"/>
                <w:color w:val="auto"/>
                <w:sz w:val="24"/>
                <w:szCs w:val="24"/>
                <w:vertAlign w:val="baseline"/>
              </w:rPr>
              <w:t>59222635</w:t>
            </w:r>
          </w:p>
        </w:tc>
        <w:tc>
          <w:tcPr>
            <w:tcW w:w="2888" w:type="dxa"/>
            <w:vMerge w:val="restart"/>
            <w:noWrap w:val="0"/>
            <w:vAlign w:val="center"/>
          </w:tcPr>
          <w:p w14:paraId="7656301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sz w:val="24"/>
                <w:szCs w:val="24"/>
                <w:highlight w:val="yellow"/>
                <w:vertAlign w:val="baseline"/>
              </w:rPr>
            </w:pPr>
            <w:r>
              <w:rPr>
                <w:rFonts w:hint="eastAsia" w:ascii="Times New Roman" w:hAnsi="Times New Roman" w:eastAsia="方正仿宋_GBK" w:cs="Times New Roman"/>
                <w:color w:val="000000"/>
                <w:kern w:val="0"/>
                <w:sz w:val="24"/>
                <w:szCs w:val="24"/>
                <w:highlight w:val="none"/>
                <w:vertAlign w:val="baseline"/>
                <w:lang w:val="en-US" w:eastAsia="zh-CN" w:bidi="ar"/>
              </w:rPr>
              <w:t>根据《支持民营经济发展若干政策措施》（城府办发〔2022〕71号）迭代</w:t>
            </w:r>
          </w:p>
        </w:tc>
      </w:tr>
      <w:tr w14:paraId="3380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27" w:type="dxa"/>
            <w:vMerge w:val="continue"/>
            <w:noWrap w:val="0"/>
            <w:vAlign w:val="center"/>
          </w:tcPr>
          <w:p w14:paraId="6B04B56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highlight w:val="none"/>
                <w:vertAlign w:val="baseline"/>
                <w:lang w:val="en-US" w:eastAsia="zh-CN" w:bidi="ar"/>
              </w:rPr>
            </w:pPr>
          </w:p>
        </w:tc>
        <w:tc>
          <w:tcPr>
            <w:tcW w:w="1298" w:type="dxa"/>
            <w:vMerge w:val="continue"/>
            <w:noWrap w:val="0"/>
            <w:vAlign w:val="center"/>
          </w:tcPr>
          <w:p w14:paraId="538D88B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15C3231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（46）</w:t>
            </w:r>
            <w:r>
              <w:rPr>
                <w:rFonts w:hint="default" w:ascii="Times New Roman" w:hAnsi="Times New Roman" w:eastAsia="方正仿宋_GBK" w:cs="Times New Roman"/>
                <w:color w:val="000000"/>
                <w:kern w:val="0"/>
                <w:sz w:val="24"/>
                <w:szCs w:val="24"/>
                <w:highlight w:val="none"/>
                <w:vertAlign w:val="baseline"/>
                <w:lang w:val="en-US" w:eastAsia="zh-CN" w:bidi="ar"/>
              </w:rPr>
              <w:t>对招用我市</w:t>
            </w:r>
            <w:r>
              <w:rPr>
                <w:rFonts w:hint="eastAsia" w:ascii="Times New Roman" w:hAnsi="Times New Roman" w:eastAsia="方正仿宋_GBK" w:cs="Times New Roman"/>
                <w:color w:val="000000"/>
                <w:kern w:val="0"/>
                <w:sz w:val="24"/>
                <w:szCs w:val="24"/>
                <w:highlight w:val="none"/>
                <w:vertAlign w:val="baseline"/>
                <w:lang w:val="en-US" w:eastAsia="zh-CN" w:bidi="ar"/>
              </w:rPr>
              <w:t>核实</w:t>
            </w:r>
            <w:r>
              <w:rPr>
                <w:rFonts w:hint="default" w:ascii="Times New Roman" w:hAnsi="Times New Roman" w:eastAsia="方正仿宋_GBK" w:cs="Times New Roman"/>
                <w:color w:val="000000"/>
                <w:kern w:val="0"/>
                <w:sz w:val="24"/>
                <w:szCs w:val="24"/>
                <w:highlight w:val="none"/>
                <w:vertAlign w:val="baseline"/>
                <w:lang w:val="en-US" w:eastAsia="zh-CN" w:bidi="ar"/>
              </w:rPr>
              <w:t>户籍登记失业的就业困难人员、登记失业离校5年内高校毕业生，与其签订劳动合同，并按规定连续缴纳1年以上且仍在缴纳社会保险费的各类企业，按规定给予一次性吸纳就业补贴。</w:t>
            </w:r>
          </w:p>
        </w:tc>
        <w:tc>
          <w:tcPr>
            <w:tcW w:w="1719" w:type="dxa"/>
            <w:vMerge w:val="continue"/>
            <w:noWrap w:val="0"/>
            <w:vAlign w:val="center"/>
          </w:tcPr>
          <w:p w14:paraId="6AF82E6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p>
        </w:tc>
        <w:tc>
          <w:tcPr>
            <w:tcW w:w="967" w:type="dxa"/>
            <w:vMerge w:val="continue"/>
            <w:noWrap w:val="0"/>
            <w:vAlign w:val="center"/>
          </w:tcPr>
          <w:p w14:paraId="75431AA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p>
        </w:tc>
        <w:tc>
          <w:tcPr>
            <w:tcW w:w="1654" w:type="dxa"/>
            <w:vMerge w:val="continue"/>
            <w:noWrap w:val="0"/>
            <w:vAlign w:val="center"/>
          </w:tcPr>
          <w:p w14:paraId="0DF7BD8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p>
        </w:tc>
        <w:tc>
          <w:tcPr>
            <w:tcW w:w="2888" w:type="dxa"/>
            <w:vMerge w:val="continue"/>
            <w:noWrap w:val="0"/>
            <w:vAlign w:val="center"/>
          </w:tcPr>
          <w:p w14:paraId="15A070F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sz w:val="24"/>
                <w:szCs w:val="24"/>
                <w:highlight w:val="yellow"/>
                <w:vertAlign w:val="baseline"/>
              </w:rPr>
            </w:pPr>
          </w:p>
        </w:tc>
      </w:tr>
      <w:tr w14:paraId="6736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27" w:type="dxa"/>
            <w:vMerge w:val="restart"/>
            <w:noWrap w:val="0"/>
            <w:vAlign w:val="center"/>
          </w:tcPr>
          <w:p w14:paraId="5E1BF20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21</w:t>
            </w:r>
          </w:p>
        </w:tc>
        <w:tc>
          <w:tcPr>
            <w:tcW w:w="1298" w:type="dxa"/>
            <w:vMerge w:val="restart"/>
            <w:noWrap w:val="0"/>
            <w:vAlign w:val="center"/>
          </w:tcPr>
          <w:p w14:paraId="2B3AEAF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提高人才用工支持</w:t>
            </w:r>
          </w:p>
        </w:tc>
        <w:tc>
          <w:tcPr>
            <w:tcW w:w="5686" w:type="dxa"/>
            <w:noWrap w:val="0"/>
            <w:vAlign w:val="center"/>
          </w:tcPr>
          <w:p w14:paraId="72D656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Chars="0" w:right="0" w:rightChars="0"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vertAlign w:val="baseline"/>
                <w:lang w:val="en-US" w:eastAsia="zh-CN" w:bidi="ar"/>
              </w:rPr>
              <w:t>（47）</w:t>
            </w:r>
            <w:r>
              <w:rPr>
                <w:rFonts w:hint="default" w:ascii="Times New Roman" w:hAnsi="Times New Roman" w:eastAsia="方正仿宋_GBK" w:cs="Times New Roman"/>
                <w:color w:val="auto"/>
                <w:kern w:val="0"/>
                <w:sz w:val="24"/>
                <w:szCs w:val="24"/>
                <w:vertAlign w:val="baseline"/>
                <w:lang w:val="en-US" w:eastAsia="zh-CN" w:bidi="ar"/>
              </w:rPr>
              <w:t>优</w:t>
            </w:r>
            <w:r>
              <w:rPr>
                <w:rFonts w:hint="eastAsia" w:ascii="Times New Roman" w:hAnsi="Times New Roman" w:eastAsia="方正仿宋_GBK" w:cs="方正仿宋_GBK"/>
                <w:color w:val="auto"/>
                <w:kern w:val="0"/>
                <w:sz w:val="24"/>
                <w:szCs w:val="24"/>
                <w:vertAlign w:val="baseline"/>
                <w:lang w:val="en-US" w:eastAsia="zh-CN" w:bidi="ar"/>
              </w:rPr>
              <w:t>化“渝悦·就业”公共</w:t>
            </w:r>
            <w:r>
              <w:rPr>
                <w:rFonts w:hint="default" w:ascii="Times New Roman" w:hAnsi="Times New Roman" w:eastAsia="方正仿宋_GBK" w:cs="Times New Roman"/>
                <w:color w:val="auto"/>
                <w:kern w:val="0"/>
                <w:sz w:val="24"/>
                <w:szCs w:val="24"/>
                <w:vertAlign w:val="baseline"/>
                <w:lang w:val="en-US" w:eastAsia="zh-CN" w:bidi="ar"/>
              </w:rPr>
              <w:t>招聘平台大数据技术运用，实现人岗、政策、培训等智能匹配和精准推送，方便民营企业线上发布用工需求。</w:t>
            </w:r>
          </w:p>
        </w:tc>
        <w:tc>
          <w:tcPr>
            <w:tcW w:w="1719" w:type="dxa"/>
            <w:noWrap w:val="0"/>
            <w:vAlign w:val="center"/>
          </w:tcPr>
          <w:p w14:paraId="20CAE6B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县人力社保局</w:t>
            </w:r>
          </w:p>
        </w:tc>
        <w:tc>
          <w:tcPr>
            <w:tcW w:w="967" w:type="dxa"/>
            <w:noWrap w:val="0"/>
            <w:vAlign w:val="center"/>
          </w:tcPr>
          <w:p w14:paraId="417D04F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冉希</w:t>
            </w:r>
          </w:p>
        </w:tc>
        <w:tc>
          <w:tcPr>
            <w:tcW w:w="1654" w:type="dxa"/>
            <w:noWrap w:val="0"/>
            <w:vAlign w:val="center"/>
          </w:tcPr>
          <w:p w14:paraId="6172E3B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17388269705</w:t>
            </w:r>
          </w:p>
        </w:tc>
        <w:tc>
          <w:tcPr>
            <w:tcW w:w="2888" w:type="dxa"/>
            <w:vMerge w:val="restart"/>
            <w:noWrap w:val="0"/>
            <w:vAlign w:val="center"/>
          </w:tcPr>
          <w:p w14:paraId="5C66424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775A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27" w:type="dxa"/>
            <w:vMerge w:val="continue"/>
            <w:noWrap w:val="0"/>
            <w:vAlign w:val="center"/>
          </w:tcPr>
          <w:p w14:paraId="1133D58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57CC83F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390913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Chars="0" w:right="0" w:rightChars="0"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vertAlign w:val="baseline"/>
                <w:lang w:val="en-US" w:eastAsia="zh-CN" w:bidi="ar"/>
              </w:rPr>
              <w:t>（48）</w:t>
            </w:r>
            <w:r>
              <w:rPr>
                <w:rFonts w:hint="default" w:ascii="Times New Roman" w:hAnsi="Times New Roman" w:eastAsia="方正仿宋_GBK" w:cs="Times New Roman"/>
                <w:color w:val="auto"/>
                <w:kern w:val="0"/>
                <w:sz w:val="24"/>
                <w:szCs w:val="24"/>
                <w:vertAlign w:val="baseline"/>
                <w:lang w:val="en-US" w:eastAsia="zh-CN" w:bidi="ar"/>
              </w:rPr>
              <w:t>搭建产教融合信息服务平台，利用公共实训基地，推进县域产教联合体建设，支持校企联合开展人才培养。</w:t>
            </w:r>
          </w:p>
        </w:tc>
        <w:tc>
          <w:tcPr>
            <w:tcW w:w="1719" w:type="dxa"/>
            <w:noWrap w:val="0"/>
            <w:vAlign w:val="center"/>
          </w:tcPr>
          <w:p w14:paraId="3A1C60F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县教委</w:t>
            </w:r>
          </w:p>
        </w:tc>
        <w:tc>
          <w:tcPr>
            <w:tcW w:w="967" w:type="dxa"/>
            <w:noWrap w:val="0"/>
            <w:vAlign w:val="center"/>
          </w:tcPr>
          <w:p w14:paraId="7260EEE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eastAsia="zh-CN" w:bidi="ar"/>
              </w:rPr>
              <w:t>秦克科</w:t>
            </w:r>
          </w:p>
        </w:tc>
        <w:tc>
          <w:tcPr>
            <w:tcW w:w="1654" w:type="dxa"/>
            <w:noWrap w:val="0"/>
            <w:vAlign w:val="center"/>
          </w:tcPr>
          <w:p w14:paraId="2044326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15823794322</w:t>
            </w:r>
          </w:p>
        </w:tc>
        <w:tc>
          <w:tcPr>
            <w:tcW w:w="2888" w:type="dxa"/>
            <w:vMerge w:val="continue"/>
            <w:noWrap w:val="0"/>
            <w:vAlign w:val="center"/>
          </w:tcPr>
          <w:p w14:paraId="33CDD86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p>
        </w:tc>
      </w:tr>
      <w:tr w14:paraId="331D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27" w:type="dxa"/>
            <w:vMerge w:val="continue"/>
            <w:noWrap w:val="0"/>
            <w:vAlign w:val="center"/>
          </w:tcPr>
          <w:p w14:paraId="443F0E5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09B80FB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2FD03B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Chars="0" w:right="0" w:rightChars="0"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vertAlign w:val="baseline"/>
                <w:lang w:val="en-US" w:eastAsia="zh-CN" w:bidi="ar"/>
              </w:rPr>
              <w:t>（49）</w:t>
            </w:r>
            <w:r>
              <w:rPr>
                <w:rFonts w:hint="default" w:ascii="Times New Roman" w:hAnsi="Times New Roman" w:eastAsia="方正仿宋_GBK" w:cs="Times New Roman"/>
                <w:color w:val="auto"/>
                <w:kern w:val="0"/>
                <w:sz w:val="24"/>
                <w:szCs w:val="24"/>
                <w:vertAlign w:val="baseline"/>
                <w:lang w:val="en-US" w:eastAsia="zh-CN" w:bidi="ar"/>
              </w:rPr>
              <w:t>实</w:t>
            </w:r>
            <w:r>
              <w:rPr>
                <w:rFonts w:hint="eastAsia" w:ascii="Times New Roman" w:hAnsi="Times New Roman" w:eastAsia="方正仿宋_GBK" w:cs="方正仿宋_GBK"/>
                <w:color w:val="auto"/>
                <w:kern w:val="0"/>
                <w:sz w:val="24"/>
                <w:szCs w:val="24"/>
                <w:vertAlign w:val="baseline"/>
                <w:lang w:val="en-US" w:eastAsia="zh-CN" w:bidi="ar"/>
              </w:rPr>
              <w:t>施“校企合作”，按需开展培训</w:t>
            </w:r>
            <w:r>
              <w:rPr>
                <w:rFonts w:hint="default" w:ascii="Times New Roman" w:hAnsi="Times New Roman" w:eastAsia="方正仿宋_GBK" w:cs="Times New Roman"/>
                <w:color w:val="auto"/>
                <w:kern w:val="0"/>
                <w:sz w:val="24"/>
                <w:szCs w:val="24"/>
                <w:vertAlign w:val="baseline"/>
                <w:lang w:val="en-US" w:eastAsia="zh-CN" w:bidi="ar"/>
              </w:rPr>
              <w:t>，畅通技能人才职业发展渠道，支持民营企业技术技能人才梯度培育。</w:t>
            </w:r>
          </w:p>
        </w:tc>
        <w:tc>
          <w:tcPr>
            <w:tcW w:w="1719" w:type="dxa"/>
            <w:noWrap w:val="0"/>
            <w:vAlign w:val="center"/>
          </w:tcPr>
          <w:p w14:paraId="1090D2E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县经济信息委</w:t>
            </w:r>
          </w:p>
        </w:tc>
        <w:tc>
          <w:tcPr>
            <w:tcW w:w="967" w:type="dxa"/>
            <w:noWrap w:val="0"/>
            <w:vAlign w:val="center"/>
          </w:tcPr>
          <w:p w14:paraId="6DB0F44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eastAsia="zh-CN" w:bidi="ar"/>
              </w:rPr>
              <w:t>段雨诗</w:t>
            </w:r>
          </w:p>
        </w:tc>
        <w:tc>
          <w:tcPr>
            <w:tcW w:w="1654" w:type="dxa"/>
            <w:noWrap w:val="0"/>
            <w:vAlign w:val="center"/>
          </w:tcPr>
          <w:p w14:paraId="17B6B79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eastAsia="zh-CN" w:bidi="ar"/>
              </w:rPr>
              <w:t>15213520086</w:t>
            </w:r>
          </w:p>
        </w:tc>
        <w:tc>
          <w:tcPr>
            <w:tcW w:w="2888" w:type="dxa"/>
            <w:vMerge w:val="continue"/>
            <w:noWrap w:val="0"/>
            <w:vAlign w:val="center"/>
          </w:tcPr>
          <w:p w14:paraId="76505A7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eastAsia="zh-CN" w:bidi="ar"/>
              </w:rPr>
            </w:pPr>
          </w:p>
        </w:tc>
      </w:tr>
      <w:tr w14:paraId="5E6B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27" w:type="dxa"/>
            <w:vMerge w:val="restart"/>
            <w:noWrap w:val="0"/>
            <w:vAlign w:val="center"/>
          </w:tcPr>
          <w:p w14:paraId="38AEB38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22</w:t>
            </w:r>
          </w:p>
        </w:tc>
        <w:tc>
          <w:tcPr>
            <w:tcW w:w="1298" w:type="dxa"/>
            <w:vMerge w:val="restart"/>
            <w:noWrap w:val="0"/>
            <w:vAlign w:val="center"/>
          </w:tcPr>
          <w:p w14:paraId="7D8F22F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提高用能用地保障</w:t>
            </w:r>
          </w:p>
        </w:tc>
        <w:tc>
          <w:tcPr>
            <w:tcW w:w="5686" w:type="dxa"/>
            <w:noWrap w:val="0"/>
            <w:vAlign w:val="center"/>
          </w:tcPr>
          <w:p w14:paraId="5396316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（50）</w:t>
            </w:r>
            <w:r>
              <w:rPr>
                <w:rFonts w:hint="default" w:ascii="Times New Roman" w:hAnsi="Times New Roman" w:eastAsia="方正仿宋_GBK" w:cs="Times New Roman"/>
                <w:color w:val="000000"/>
                <w:kern w:val="0"/>
                <w:sz w:val="24"/>
                <w:szCs w:val="24"/>
                <w:vertAlign w:val="baseline"/>
                <w:lang w:val="en-US" w:eastAsia="zh-CN" w:bidi="ar"/>
              </w:rPr>
              <w:t>加快推动渝西高铁城口境内外部供电工程，力争早日建成投运。</w:t>
            </w:r>
          </w:p>
        </w:tc>
        <w:tc>
          <w:tcPr>
            <w:tcW w:w="1719" w:type="dxa"/>
            <w:noWrap w:val="0"/>
            <w:vAlign w:val="center"/>
          </w:tcPr>
          <w:p w14:paraId="48AF60C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县发展改革委</w:t>
            </w:r>
          </w:p>
        </w:tc>
        <w:tc>
          <w:tcPr>
            <w:tcW w:w="967" w:type="dxa"/>
            <w:noWrap w:val="0"/>
            <w:vAlign w:val="center"/>
          </w:tcPr>
          <w:p w14:paraId="3102A60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王清</w:t>
            </w:r>
          </w:p>
        </w:tc>
        <w:tc>
          <w:tcPr>
            <w:tcW w:w="1654" w:type="dxa"/>
            <w:noWrap w:val="0"/>
            <w:vAlign w:val="center"/>
          </w:tcPr>
          <w:p w14:paraId="7B9EFDF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15023062516</w:t>
            </w:r>
          </w:p>
        </w:tc>
        <w:tc>
          <w:tcPr>
            <w:tcW w:w="2888" w:type="dxa"/>
            <w:vMerge w:val="restart"/>
            <w:noWrap w:val="0"/>
            <w:vAlign w:val="center"/>
          </w:tcPr>
          <w:p w14:paraId="6D9D65D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338A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827" w:type="dxa"/>
            <w:vMerge w:val="continue"/>
            <w:noWrap w:val="0"/>
            <w:vAlign w:val="center"/>
          </w:tcPr>
          <w:p w14:paraId="611B6C8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700F55D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p>
        </w:tc>
        <w:tc>
          <w:tcPr>
            <w:tcW w:w="5686" w:type="dxa"/>
            <w:noWrap w:val="0"/>
            <w:vAlign w:val="center"/>
          </w:tcPr>
          <w:p w14:paraId="10725BB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（51）</w:t>
            </w:r>
            <w:r>
              <w:rPr>
                <w:rFonts w:hint="default" w:ascii="Times New Roman" w:hAnsi="Times New Roman" w:eastAsia="方正仿宋_GBK" w:cs="Times New Roman"/>
                <w:color w:val="000000"/>
                <w:kern w:val="0"/>
                <w:sz w:val="24"/>
                <w:szCs w:val="24"/>
                <w:vertAlign w:val="baseline"/>
                <w:lang w:val="en-US" w:eastAsia="zh-CN" w:bidi="ar"/>
              </w:rPr>
              <w:t>支持民间资本建设养老、社会福利等项目，对养老、普惠托育服务机构等用气价格执行居民类价格。</w:t>
            </w:r>
          </w:p>
        </w:tc>
        <w:tc>
          <w:tcPr>
            <w:tcW w:w="1719" w:type="dxa"/>
            <w:noWrap w:val="0"/>
            <w:vAlign w:val="center"/>
          </w:tcPr>
          <w:p w14:paraId="55F4167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县经济信息委</w:t>
            </w:r>
          </w:p>
        </w:tc>
        <w:tc>
          <w:tcPr>
            <w:tcW w:w="967" w:type="dxa"/>
            <w:noWrap w:val="0"/>
            <w:vAlign w:val="center"/>
          </w:tcPr>
          <w:p w14:paraId="13DB975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eastAsia="zh-CN" w:bidi="ar"/>
              </w:rPr>
              <w:t>徐香焦</w:t>
            </w:r>
          </w:p>
        </w:tc>
        <w:tc>
          <w:tcPr>
            <w:tcW w:w="1654" w:type="dxa"/>
            <w:noWrap w:val="0"/>
            <w:vAlign w:val="center"/>
          </w:tcPr>
          <w:p w14:paraId="39AF86F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eastAsia="zh-CN" w:bidi="ar"/>
              </w:rPr>
              <w:t>15330488686</w:t>
            </w:r>
          </w:p>
        </w:tc>
        <w:tc>
          <w:tcPr>
            <w:tcW w:w="2888" w:type="dxa"/>
            <w:vMerge w:val="continue"/>
            <w:noWrap w:val="0"/>
            <w:vAlign w:val="center"/>
          </w:tcPr>
          <w:p w14:paraId="1B18E6E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eastAsia="zh-CN" w:bidi="ar"/>
              </w:rPr>
            </w:pPr>
          </w:p>
        </w:tc>
      </w:tr>
      <w:tr w14:paraId="6C3F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827" w:type="dxa"/>
            <w:vMerge w:val="continue"/>
            <w:noWrap w:val="0"/>
            <w:vAlign w:val="center"/>
          </w:tcPr>
          <w:p w14:paraId="09F51BB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11BAD20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798D212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（52）</w:t>
            </w:r>
            <w:r>
              <w:rPr>
                <w:rFonts w:hint="default" w:ascii="Times New Roman" w:hAnsi="Times New Roman" w:eastAsia="方正仿宋_GBK" w:cs="Times New Roman"/>
                <w:color w:val="000000"/>
                <w:kern w:val="0"/>
                <w:sz w:val="24"/>
                <w:szCs w:val="24"/>
                <w:vertAlign w:val="baseline"/>
                <w:lang w:val="en-US" w:eastAsia="zh-CN" w:bidi="ar"/>
              </w:rPr>
              <w:t>提前主动介入空间要素保障，对民营企业合理的新增项目用地需求应保尽保。通过合作开发、作价出资或入股等方式，持续引导民营企业参与盘活存量国有土地资产，探索民营企业新型用地供应方式。</w:t>
            </w:r>
          </w:p>
        </w:tc>
        <w:tc>
          <w:tcPr>
            <w:tcW w:w="1719" w:type="dxa"/>
            <w:noWrap w:val="0"/>
            <w:vAlign w:val="center"/>
          </w:tcPr>
          <w:p w14:paraId="0E549B5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县规划自然资源局</w:t>
            </w:r>
          </w:p>
        </w:tc>
        <w:tc>
          <w:tcPr>
            <w:tcW w:w="967" w:type="dxa"/>
            <w:noWrap w:val="0"/>
            <w:vAlign w:val="center"/>
          </w:tcPr>
          <w:p w14:paraId="3BA0834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丁亚</w:t>
            </w:r>
          </w:p>
        </w:tc>
        <w:tc>
          <w:tcPr>
            <w:tcW w:w="1654" w:type="dxa"/>
            <w:noWrap w:val="0"/>
            <w:vAlign w:val="center"/>
          </w:tcPr>
          <w:p w14:paraId="02DCEE1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18996528820</w:t>
            </w:r>
          </w:p>
        </w:tc>
        <w:tc>
          <w:tcPr>
            <w:tcW w:w="2888" w:type="dxa"/>
            <w:vMerge w:val="continue"/>
            <w:noWrap w:val="0"/>
            <w:vAlign w:val="center"/>
          </w:tcPr>
          <w:p w14:paraId="66B2ED0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p>
        </w:tc>
      </w:tr>
      <w:tr w14:paraId="0E6C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827" w:type="dxa"/>
            <w:noWrap w:val="0"/>
            <w:vAlign w:val="center"/>
          </w:tcPr>
          <w:p w14:paraId="2853F19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23</w:t>
            </w:r>
          </w:p>
        </w:tc>
        <w:tc>
          <w:tcPr>
            <w:tcW w:w="1298" w:type="dxa"/>
            <w:noWrap w:val="0"/>
            <w:vAlign w:val="center"/>
          </w:tcPr>
          <w:p w14:paraId="4CDEC0C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提升物流运输效率</w:t>
            </w:r>
          </w:p>
        </w:tc>
        <w:tc>
          <w:tcPr>
            <w:tcW w:w="5686" w:type="dxa"/>
            <w:noWrap w:val="0"/>
            <w:vAlign w:val="center"/>
          </w:tcPr>
          <w:p w14:paraId="674E3A58">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vertAlign w:val="baseline"/>
                <w:lang w:val="en-US" w:eastAsia="zh-CN" w:bidi="ar"/>
              </w:rPr>
              <w:t>（53）</w:t>
            </w:r>
            <w:r>
              <w:rPr>
                <w:rFonts w:hint="default" w:ascii="Times New Roman" w:hAnsi="Times New Roman" w:eastAsia="方正仿宋_GBK" w:cs="Times New Roman"/>
                <w:color w:val="auto"/>
                <w:kern w:val="0"/>
                <w:sz w:val="24"/>
                <w:szCs w:val="24"/>
                <w:vertAlign w:val="baseline"/>
                <w:lang w:val="en-US" w:eastAsia="zh-CN" w:bidi="ar"/>
              </w:rPr>
              <w:t>依托高速高铁沿线可利用土地，引进社会资本，建设物流仓储设施、分拣中心和信息平台，建设覆盖渝川陕毗邻区县市物流枢纽。加快建设G69银</w:t>
            </w:r>
            <w:r>
              <w:rPr>
                <w:rFonts w:hint="eastAsia" w:ascii="Times New Roman" w:hAnsi="Times New Roman" w:eastAsia="方正仿宋_GBK" w:cs="Times New Roman"/>
                <w:color w:val="auto"/>
                <w:kern w:val="0"/>
                <w:sz w:val="24"/>
                <w:szCs w:val="24"/>
                <w:vertAlign w:val="baseline"/>
                <w:lang w:val="en-US" w:eastAsia="zh-CN" w:bidi="ar"/>
              </w:rPr>
              <w:t>百</w:t>
            </w:r>
            <w:r>
              <w:rPr>
                <w:rFonts w:hint="default" w:ascii="Times New Roman" w:hAnsi="Times New Roman" w:eastAsia="方正仿宋_GBK" w:cs="Times New Roman"/>
                <w:color w:val="auto"/>
                <w:kern w:val="0"/>
                <w:sz w:val="24"/>
                <w:szCs w:val="24"/>
                <w:vertAlign w:val="baseline"/>
                <w:lang w:val="en-US" w:eastAsia="zh-CN" w:bidi="ar"/>
              </w:rPr>
              <w:t>高速城口至陕西岚皋段，打通向北大通道，提升交通便利度。完善三级物流网络，创新交邮融合发展，</w:t>
            </w:r>
            <w:r>
              <w:rPr>
                <w:rFonts w:hint="default" w:ascii="Times New Roman" w:hAnsi="Times New Roman" w:eastAsia="方正仿宋_GBK" w:cs="Times New Roman"/>
                <w:color w:val="000000"/>
                <w:kern w:val="0"/>
                <w:sz w:val="24"/>
                <w:szCs w:val="24"/>
                <w:highlight w:val="none"/>
                <w:lang w:val="en-US" w:eastAsia="zh-CN" w:bidi="ar"/>
              </w:rPr>
              <w:t>有效提高物流效率</w:t>
            </w:r>
            <w:r>
              <w:rPr>
                <w:rFonts w:hint="default" w:ascii="Times New Roman" w:hAnsi="Times New Roman" w:eastAsia="方正仿宋_GBK" w:cs="Times New Roman"/>
                <w:color w:val="auto"/>
                <w:kern w:val="0"/>
                <w:sz w:val="24"/>
                <w:szCs w:val="24"/>
                <w:highlight w:val="none"/>
                <w:vertAlign w:val="baseline"/>
                <w:lang w:val="en-US" w:eastAsia="zh-CN" w:bidi="ar"/>
              </w:rPr>
              <w:t>。</w:t>
            </w:r>
          </w:p>
        </w:tc>
        <w:tc>
          <w:tcPr>
            <w:tcW w:w="1719" w:type="dxa"/>
            <w:noWrap w:val="0"/>
            <w:vAlign w:val="center"/>
          </w:tcPr>
          <w:p w14:paraId="06D233B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县交通运输委</w:t>
            </w:r>
          </w:p>
          <w:p w14:paraId="2A2DC6E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县商务委</w:t>
            </w:r>
          </w:p>
          <w:p w14:paraId="2F6638B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highlight w:val="none"/>
                <w:vertAlign w:val="baseline"/>
                <w:lang w:val="en-US" w:eastAsia="zh-CN" w:bidi="ar"/>
              </w:rPr>
              <w:t>县级相关部门</w:t>
            </w:r>
          </w:p>
        </w:tc>
        <w:tc>
          <w:tcPr>
            <w:tcW w:w="967" w:type="dxa"/>
            <w:noWrap w:val="0"/>
            <w:vAlign w:val="center"/>
          </w:tcPr>
          <w:p w14:paraId="5143331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袁野</w:t>
            </w:r>
          </w:p>
        </w:tc>
        <w:tc>
          <w:tcPr>
            <w:tcW w:w="1654" w:type="dxa"/>
            <w:noWrap w:val="0"/>
            <w:vAlign w:val="center"/>
          </w:tcPr>
          <w:p w14:paraId="0651E20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auto"/>
                <w:kern w:val="0"/>
                <w:sz w:val="24"/>
                <w:szCs w:val="24"/>
                <w:vertAlign w:val="baseline"/>
                <w:lang w:val="en-US" w:eastAsia="zh-CN" w:bidi="ar"/>
              </w:rPr>
              <w:t>15923096161</w:t>
            </w:r>
          </w:p>
        </w:tc>
        <w:tc>
          <w:tcPr>
            <w:tcW w:w="2888" w:type="dxa"/>
            <w:noWrap w:val="0"/>
            <w:vAlign w:val="center"/>
          </w:tcPr>
          <w:p w14:paraId="686082C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auto"/>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6CEB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827" w:type="dxa"/>
            <w:noWrap w:val="0"/>
            <w:vAlign w:val="center"/>
          </w:tcPr>
          <w:p w14:paraId="1380DB0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24</w:t>
            </w:r>
          </w:p>
        </w:tc>
        <w:tc>
          <w:tcPr>
            <w:tcW w:w="1298" w:type="dxa"/>
            <w:noWrap w:val="0"/>
            <w:vAlign w:val="center"/>
          </w:tcPr>
          <w:p w14:paraId="4DA0D68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强化数据要素赋能</w:t>
            </w:r>
          </w:p>
        </w:tc>
        <w:tc>
          <w:tcPr>
            <w:tcW w:w="5686" w:type="dxa"/>
            <w:noWrap w:val="0"/>
            <w:vAlign w:val="center"/>
          </w:tcPr>
          <w:p w14:paraId="7078265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b w:val="0"/>
                <w:bCs w:val="0"/>
                <w:color w:val="000000"/>
                <w:kern w:val="0"/>
                <w:sz w:val="24"/>
                <w:szCs w:val="24"/>
                <w:highlight w:val="none"/>
                <w:lang w:val="en-US" w:eastAsia="zh-CN" w:bidi="ar"/>
              </w:rPr>
              <w:t>（54）</w:t>
            </w:r>
            <w:r>
              <w:rPr>
                <w:rFonts w:hint="default" w:ascii="Times New Roman" w:hAnsi="Times New Roman" w:eastAsia="方正仿宋_GBK" w:cs="Times New Roman"/>
                <w:b w:val="0"/>
                <w:bCs w:val="0"/>
                <w:color w:val="000000"/>
                <w:kern w:val="0"/>
                <w:sz w:val="24"/>
                <w:szCs w:val="24"/>
                <w:highlight w:val="none"/>
                <w:lang w:val="en-US" w:eastAsia="zh-CN" w:bidi="ar"/>
              </w:rPr>
              <w:t>加</w:t>
            </w:r>
            <w:r>
              <w:rPr>
                <w:rFonts w:hint="default" w:ascii="Times New Roman" w:hAnsi="Times New Roman" w:eastAsia="方正仿宋_GBK" w:cs="Times New Roman"/>
                <w:color w:val="000000"/>
                <w:kern w:val="0"/>
                <w:sz w:val="24"/>
                <w:szCs w:val="24"/>
                <w:highlight w:val="none"/>
                <w:vertAlign w:val="baseline"/>
                <w:lang w:val="en-US" w:eastAsia="zh-CN" w:bidi="ar"/>
              </w:rPr>
              <w:t>快推进县内重点应用场景数据共享赋能，推动居民服务、交通等领域数据开放、安全使用，为民营企业开发数据产品和打造“数据要素×”场景提供数据支撑。鼓励民营企业在一体化智能化公共数据平台上架能力组件，以市场化模式推广使用。</w:t>
            </w:r>
          </w:p>
        </w:tc>
        <w:tc>
          <w:tcPr>
            <w:tcW w:w="1719" w:type="dxa"/>
            <w:noWrap w:val="0"/>
            <w:vAlign w:val="center"/>
          </w:tcPr>
          <w:p w14:paraId="4F40C22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lang w:val="en-US" w:eastAsia="zh-CN"/>
              </w:rPr>
            </w:pPr>
            <w:r>
              <w:rPr>
                <w:rFonts w:hint="eastAsia" w:ascii="Times New Roman" w:hAnsi="Times New Roman" w:eastAsia="方正仿宋_GBK" w:cs="Times New Roman"/>
                <w:color w:val="000000"/>
                <w:kern w:val="0"/>
                <w:sz w:val="24"/>
                <w:szCs w:val="24"/>
                <w:highlight w:val="none"/>
                <w:vertAlign w:val="baseline"/>
                <w:lang w:val="en-US" w:eastAsia="zh-CN" w:bidi="ar"/>
              </w:rPr>
              <w:t>县数建专班</w:t>
            </w:r>
          </w:p>
          <w:p w14:paraId="7FC7AB72">
            <w:pPr>
              <w:pStyle w:val="2"/>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highlight w:val="none"/>
                <w:lang w:val="en-US" w:eastAsia="zh-CN"/>
              </w:rPr>
            </w:pPr>
            <w:r>
              <w:rPr>
                <w:rFonts w:hint="eastAsia" w:ascii="Times New Roman" w:hAnsi="Times New Roman" w:eastAsia="方正仿宋_GBK" w:cs="Times New Roman"/>
                <w:color w:val="000000"/>
                <w:kern w:val="0"/>
                <w:sz w:val="24"/>
                <w:szCs w:val="24"/>
                <w:highlight w:val="none"/>
                <w:vertAlign w:val="baseline"/>
                <w:lang w:val="en-US" w:eastAsia="zh-CN" w:bidi="ar"/>
              </w:rPr>
              <w:t>县发展改革委</w:t>
            </w:r>
            <w:r>
              <w:rPr>
                <w:rFonts w:hint="eastAsia" w:ascii="Times New Roman" w:hAnsi="Times New Roman" w:eastAsia="方正仿宋_GBK" w:cs="Times New Roman"/>
                <w:color w:val="auto"/>
                <w:kern w:val="0"/>
                <w:sz w:val="24"/>
                <w:szCs w:val="24"/>
                <w:highlight w:val="none"/>
                <w:vertAlign w:val="baseline"/>
                <w:lang w:val="en-US" w:eastAsia="zh-CN" w:bidi="ar"/>
              </w:rPr>
              <w:t>县级相关部门</w:t>
            </w:r>
          </w:p>
        </w:tc>
        <w:tc>
          <w:tcPr>
            <w:tcW w:w="967" w:type="dxa"/>
            <w:noWrap w:val="0"/>
            <w:vAlign w:val="center"/>
          </w:tcPr>
          <w:p w14:paraId="4214DD9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马发珊</w:t>
            </w:r>
          </w:p>
        </w:tc>
        <w:tc>
          <w:tcPr>
            <w:tcW w:w="1654" w:type="dxa"/>
            <w:noWrap w:val="0"/>
            <w:vAlign w:val="center"/>
          </w:tcPr>
          <w:p w14:paraId="576841E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18183177061</w:t>
            </w:r>
          </w:p>
        </w:tc>
        <w:tc>
          <w:tcPr>
            <w:tcW w:w="2888" w:type="dxa"/>
            <w:noWrap w:val="0"/>
            <w:vAlign w:val="center"/>
          </w:tcPr>
          <w:p w14:paraId="7640657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64F0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5039" w:type="dxa"/>
            <w:gridSpan w:val="7"/>
            <w:noWrap w:val="0"/>
            <w:vAlign w:val="center"/>
          </w:tcPr>
          <w:p w14:paraId="3C5091E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黑体_GBK" w:cs="方正黑体_GBK"/>
                <w:color w:val="000000"/>
                <w:kern w:val="0"/>
                <w:sz w:val="24"/>
                <w:szCs w:val="24"/>
                <w:highlight w:val="none"/>
                <w:vertAlign w:val="baseline"/>
                <w:lang w:val="en-US" w:eastAsia="zh-CN" w:bidi="ar"/>
              </w:rPr>
              <w:t>六、促进民营经济人士健康成长</w:t>
            </w:r>
          </w:p>
        </w:tc>
      </w:tr>
      <w:tr w14:paraId="0CCD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827" w:type="dxa"/>
            <w:vMerge w:val="restart"/>
            <w:noWrap w:val="0"/>
            <w:vAlign w:val="center"/>
          </w:tcPr>
          <w:p w14:paraId="0DAC53D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25</w:t>
            </w:r>
          </w:p>
        </w:tc>
        <w:tc>
          <w:tcPr>
            <w:tcW w:w="1298" w:type="dxa"/>
            <w:vMerge w:val="restart"/>
            <w:noWrap w:val="0"/>
            <w:vAlign w:val="center"/>
          </w:tcPr>
          <w:p w14:paraId="0AEC0CD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强化思想政治引领</w:t>
            </w:r>
          </w:p>
        </w:tc>
        <w:tc>
          <w:tcPr>
            <w:tcW w:w="5686" w:type="dxa"/>
            <w:noWrap w:val="0"/>
            <w:vAlign w:val="center"/>
          </w:tcPr>
          <w:p w14:paraId="18BFCF9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lang w:val="en-US" w:eastAsia="zh-CN" w:bidi="ar"/>
              </w:rPr>
              <w:t>（55）</w:t>
            </w:r>
            <w:r>
              <w:rPr>
                <w:rFonts w:hint="default" w:ascii="Times New Roman" w:hAnsi="Times New Roman" w:eastAsia="方正仿宋_GBK" w:cs="Times New Roman"/>
                <w:color w:val="000000"/>
                <w:kern w:val="0"/>
                <w:sz w:val="24"/>
                <w:szCs w:val="24"/>
                <w:lang w:val="en-US" w:eastAsia="zh-CN" w:bidi="ar"/>
              </w:rPr>
              <w:t>推动具备建立党组织条件的民营企业实现党的组织覆盖，对暂不具备建立党组织条件的民营企业实现党的工作全覆盖。提高民营企业党建工作标准化规范化水平，</w:t>
            </w:r>
            <w:r>
              <w:rPr>
                <w:rFonts w:hint="eastAsia" w:ascii="Times New Roman" w:hAnsi="Times New Roman" w:eastAsia="方正仿宋_GBK" w:cs="Times New Roman"/>
                <w:color w:val="000000"/>
                <w:kern w:val="0"/>
                <w:sz w:val="24"/>
                <w:szCs w:val="24"/>
                <w:lang w:val="en-US" w:eastAsia="zh-CN" w:bidi="ar"/>
              </w:rPr>
              <w:t>指导民营企业</w:t>
            </w:r>
            <w:r>
              <w:rPr>
                <w:rFonts w:hint="default" w:ascii="Times New Roman" w:hAnsi="Times New Roman" w:eastAsia="方正仿宋_GBK" w:cs="Times New Roman"/>
                <w:color w:val="000000"/>
                <w:kern w:val="0"/>
                <w:sz w:val="24"/>
                <w:szCs w:val="24"/>
                <w:lang w:val="en-US" w:eastAsia="zh-CN" w:bidi="ar"/>
              </w:rPr>
              <w:t>建立党建工作标准化清单</w:t>
            </w:r>
            <w:r>
              <w:rPr>
                <w:rFonts w:hint="eastAsia" w:ascii="Times New Roman" w:hAnsi="Times New Roman" w:eastAsia="方正仿宋_GBK" w:cs="Times New Roman"/>
                <w:color w:val="000000"/>
                <w:kern w:val="0"/>
                <w:sz w:val="24"/>
                <w:szCs w:val="24"/>
                <w:lang w:val="en-US" w:eastAsia="zh-CN" w:bidi="ar"/>
              </w:rPr>
              <w:t>。</w:t>
            </w:r>
          </w:p>
        </w:tc>
        <w:tc>
          <w:tcPr>
            <w:tcW w:w="1719" w:type="dxa"/>
            <w:noWrap w:val="0"/>
            <w:vAlign w:val="center"/>
          </w:tcPr>
          <w:p w14:paraId="30A1CE1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县委组织部</w:t>
            </w:r>
          </w:p>
        </w:tc>
        <w:tc>
          <w:tcPr>
            <w:tcW w:w="967" w:type="dxa"/>
            <w:noWrap w:val="0"/>
            <w:vAlign w:val="center"/>
          </w:tcPr>
          <w:p w14:paraId="756AA70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朱窈琪</w:t>
            </w:r>
          </w:p>
        </w:tc>
        <w:tc>
          <w:tcPr>
            <w:tcW w:w="1654" w:type="dxa"/>
            <w:noWrap w:val="0"/>
            <w:vAlign w:val="center"/>
          </w:tcPr>
          <w:p w14:paraId="74ECC71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13114014270</w:t>
            </w:r>
          </w:p>
        </w:tc>
        <w:tc>
          <w:tcPr>
            <w:tcW w:w="2888" w:type="dxa"/>
            <w:vMerge w:val="restart"/>
            <w:noWrap w:val="0"/>
            <w:vAlign w:val="center"/>
          </w:tcPr>
          <w:p w14:paraId="5DA7D2E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2594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827" w:type="dxa"/>
            <w:vMerge w:val="continue"/>
            <w:noWrap w:val="0"/>
            <w:vAlign w:val="center"/>
          </w:tcPr>
          <w:p w14:paraId="09B73BB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7AAA143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40FCAAC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highlight w:val="none"/>
                <w:lang w:val="en-US" w:eastAsia="zh-CN" w:bidi="ar"/>
              </w:rPr>
              <w:t>（56）</w:t>
            </w:r>
            <w:r>
              <w:rPr>
                <w:rFonts w:hint="default" w:ascii="Times New Roman" w:hAnsi="Times New Roman" w:eastAsia="方正仿宋_GBK" w:cs="Times New Roman"/>
                <w:color w:val="000000"/>
                <w:kern w:val="0"/>
                <w:sz w:val="24"/>
                <w:szCs w:val="24"/>
                <w:highlight w:val="none"/>
                <w:lang w:val="en-US" w:eastAsia="zh-CN" w:bidi="ar"/>
              </w:rPr>
              <w:t>开</w:t>
            </w:r>
            <w:r>
              <w:rPr>
                <w:rFonts w:hint="eastAsia" w:ascii="Times New Roman" w:hAnsi="Times New Roman" w:eastAsia="方正仿宋_GBK" w:cs="方正仿宋_GBK"/>
                <w:color w:val="000000"/>
                <w:kern w:val="0"/>
                <w:sz w:val="24"/>
                <w:szCs w:val="24"/>
                <w:highlight w:val="none"/>
                <w:lang w:val="en-US" w:eastAsia="zh-CN" w:bidi="ar"/>
              </w:rPr>
              <w:t>展“两化一创”规</w:t>
            </w:r>
            <w:r>
              <w:rPr>
                <w:rFonts w:hint="default" w:ascii="Times New Roman" w:hAnsi="Times New Roman" w:eastAsia="方正仿宋_GBK" w:cs="Times New Roman"/>
                <w:color w:val="000000"/>
                <w:kern w:val="0"/>
                <w:sz w:val="24"/>
                <w:szCs w:val="24"/>
                <w:highlight w:val="none"/>
                <w:lang w:val="en-US" w:eastAsia="zh-CN" w:bidi="ar"/>
              </w:rPr>
              <w:t>范赋能，培育1-2个行业协会商会深化改革典型案例。</w:t>
            </w:r>
          </w:p>
        </w:tc>
        <w:tc>
          <w:tcPr>
            <w:tcW w:w="1719" w:type="dxa"/>
            <w:noWrap w:val="0"/>
            <w:vAlign w:val="center"/>
          </w:tcPr>
          <w:p w14:paraId="00C2FC2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县委社会工作部</w:t>
            </w:r>
          </w:p>
        </w:tc>
        <w:tc>
          <w:tcPr>
            <w:tcW w:w="967" w:type="dxa"/>
            <w:noWrap w:val="0"/>
            <w:vAlign w:val="center"/>
          </w:tcPr>
          <w:p w14:paraId="079D386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肖嘉伦</w:t>
            </w:r>
          </w:p>
        </w:tc>
        <w:tc>
          <w:tcPr>
            <w:tcW w:w="1654" w:type="dxa"/>
            <w:noWrap w:val="0"/>
            <w:vAlign w:val="center"/>
          </w:tcPr>
          <w:p w14:paraId="6AB1A32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17830235822</w:t>
            </w:r>
          </w:p>
        </w:tc>
        <w:tc>
          <w:tcPr>
            <w:tcW w:w="2888" w:type="dxa"/>
            <w:vMerge w:val="continue"/>
            <w:noWrap w:val="0"/>
            <w:vAlign w:val="center"/>
          </w:tcPr>
          <w:p w14:paraId="0C08F15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p>
        </w:tc>
      </w:tr>
      <w:tr w14:paraId="5610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827" w:type="dxa"/>
            <w:vMerge w:val="continue"/>
            <w:noWrap w:val="0"/>
            <w:vAlign w:val="center"/>
          </w:tcPr>
          <w:p w14:paraId="3BD8AC7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1D34FD6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56ACB40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eastAsia" w:ascii="Times New Roman" w:hAnsi="Times New Roman" w:eastAsia="方正仿宋_GBK" w:cs="Times New Roman"/>
                <w:color w:val="000000"/>
                <w:kern w:val="0"/>
                <w:sz w:val="24"/>
                <w:szCs w:val="24"/>
                <w:lang w:val="en-US" w:eastAsia="zh-CN" w:bidi="ar"/>
              </w:rPr>
              <w:t>（57）</w:t>
            </w:r>
            <w:r>
              <w:rPr>
                <w:rFonts w:hint="default" w:ascii="Times New Roman" w:hAnsi="Times New Roman" w:eastAsia="方正仿宋_GBK" w:cs="Times New Roman"/>
                <w:color w:val="000000"/>
                <w:kern w:val="0"/>
                <w:sz w:val="24"/>
                <w:szCs w:val="24"/>
                <w:lang w:val="en-US" w:eastAsia="zh-CN" w:bidi="ar"/>
              </w:rPr>
              <w:t>加强对民营经济人士思想引导、政治培训、联系服务，鼓励民营企业家争做爱国敬业、守法经营、创业创新、回报社会的典范。</w:t>
            </w:r>
          </w:p>
        </w:tc>
        <w:tc>
          <w:tcPr>
            <w:tcW w:w="1719" w:type="dxa"/>
            <w:noWrap w:val="0"/>
            <w:vAlign w:val="center"/>
          </w:tcPr>
          <w:p w14:paraId="3704797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县委统战部</w:t>
            </w:r>
          </w:p>
          <w:p w14:paraId="39306B0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县工商联</w:t>
            </w:r>
          </w:p>
        </w:tc>
        <w:tc>
          <w:tcPr>
            <w:tcW w:w="967" w:type="dxa"/>
            <w:noWrap w:val="0"/>
            <w:vAlign w:val="center"/>
          </w:tcPr>
          <w:p w14:paraId="226A855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肖川</w:t>
            </w:r>
          </w:p>
          <w:p w14:paraId="4BC6F69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吴浪</w:t>
            </w:r>
          </w:p>
        </w:tc>
        <w:tc>
          <w:tcPr>
            <w:tcW w:w="1654" w:type="dxa"/>
            <w:noWrap w:val="0"/>
            <w:vAlign w:val="center"/>
          </w:tcPr>
          <w:p w14:paraId="1B45F04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18102363010</w:t>
            </w:r>
          </w:p>
          <w:p w14:paraId="332681F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13896204205</w:t>
            </w:r>
          </w:p>
        </w:tc>
        <w:tc>
          <w:tcPr>
            <w:tcW w:w="2888" w:type="dxa"/>
            <w:vMerge w:val="continue"/>
            <w:noWrap w:val="0"/>
            <w:vAlign w:val="center"/>
          </w:tcPr>
          <w:p w14:paraId="199698F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p>
        </w:tc>
      </w:tr>
      <w:tr w14:paraId="57B8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jc w:val="center"/>
        </w:trPr>
        <w:tc>
          <w:tcPr>
            <w:tcW w:w="827" w:type="dxa"/>
            <w:noWrap w:val="0"/>
            <w:vAlign w:val="center"/>
          </w:tcPr>
          <w:p w14:paraId="133E9A7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26</w:t>
            </w:r>
          </w:p>
        </w:tc>
        <w:tc>
          <w:tcPr>
            <w:tcW w:w="1298" w:type="dxa"/>
            <w:noWrap w:val="0"/>
            <w:vAlign w:val="center"/>
          </w:tcPr>
          <w:p w14:paraId="170A439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加强新时代城商培养</w:t>
            </w:r>
          </w:p>
        </w:tc>
        <w:tc>
          <w:tcPr>
            <w:tcW w:w="5686" w:type="dxa"/>
            <w:noWrap w:val="0"/>
            <w:vAlign w:val="center"/>
          </w:tcPr>
          <w:p w14:paraId="32B21BB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lang w:val="en-US" w:eastAsia="zh-CN" w:bidi="ar"/>
              </w:rPr>
              <w:t>（58）</w:t>
            </w:r>
            <w:r>
              <w:rPr>
                <w:rFonts w:hint="default" w:ascii="Times New Roman" w:hAnsi="Times New Roman" w:eastAsia="方正仿宋_GBK" w:cs="Times New Roman"/>
                <w:color w:val="000000"/>
                <w:kern w:val="0"/>
                <w:sz w:val="24"/>
                <w:szCs w:val="24"/>
                <w:lang w:val="en-US" w:eastAsia="zh-CN" w:bidi="ar"/>
              </w:rPr>
              <w:t>建立个体工商户分型分类精准帮扶机制，提升个体工商户发展质量。持续深化优质中小企业梯度培育工作，推动中小企业孵化生成和成长。深化民营经济人士理想信念教育，定期举办民营企业负责人主体培训班</w:t>
            </w:r>
            <w:r>
              <w:rPr>
                <w:rFonts w:hint="eastAsia" w:ascii="Times New Roman" w:hAnsi="Times New Roman" w:eastAsia="方正仿宋_GBK" w:cs="Times New Roman"/>
                <w:color w:val="000000"/>
                <w:kern w:val="0"/>
                <w:sz w:val="24"/>
                <w:szCs w:val="24"/>
                <w:lang w:val="en-US" w:eastAsia="zh-CN" w:bidi="ar"/>
              </w:rPr>
              <w:t>，召开民营经济高质量发展大会，选树</w:t>
            </w:r>
            <w:r>
              <w:rPr>
                <w:rFonts w:hint="default" w:ascii="Times New Roman" w:hAnsi="Times New Roman" w:eastAsia="方正仿宋_GBK" w:cs="Times New Roman"/>
                <w:color w:val="000000"/>
                <w:kern w:val="0"/>
                <w:sz w:val="24"/>
                <w:szCs w:val="24"/>
                <w:lang w:val="en-US" w:eastAsia="zh-CN" w:bidi="ar"/>
              </w:rPr>
              <w:t>优秀民营企业和优秀民营企业家。推进年轻一代民营</w:t>
            </w:r>
            <w:r>
              <w:rPr>
                <w:rFonts w:hint="eastAsia" w:ascii="Times New Roman" w:hAnsi="Times New Roman" w:eastAsia="方正仿宋_GBK" w:cs="Times New Roman"/>
                <w:color w:val="000000"/>
                <w:kern w:val="0"/>
                <w:sz w:val="24"/>
                <w:szCs w:val="24"/>
                <w:lang w:val="en-US" w:eastAsia="zh-CN" w:bidi="ar"/>
              </w:rPr>
              <w:t>经济人士“十百千万”培育工程，</w:t>
            </w:r>
            <w:r>
              <w:rPr>
                <w:rFonts w:hint="default" w:ascii="Times New Roman" w:hAnsi="Times New Roman" w:eastAsia="方正仿宋_GBK" w:cs="Times New Roman"/>
                <w:color w:val="000000"/>
                <w:kern w:val="0"/>
                <w:sz w:val="24"/>
                <w:szCs w:val="24"/>
                <w:lang w:val="en-US" w:eastAsia="zh-CN" w:bidi="ar"/>
              </w:rPr>
              <w:t>加强民营经济领域人才培育</w:t>
            </w:r>
            <w:r>
              <w:rPr>
                <w:rFonts w:hint="eastAsia" w:ascii="Times New Roman" w:hAnsi="Times New Roman" w:eastAsia="方正仿宋_GBK" w:cs="Times New Roman"/>
                <w:color w:val="000000"/>
                <w:kern w:val="0"/>
                <w:sz w:val="24"/>
                <w:szCs w:val="24"/>
                <w:lang w:val="en-US" w:eastAsia="zh-CN" w:bidi="ar"/>
              </w:rPr>
              <w:t>。</w:t>
            </w:r>
            <w:r>
              <w:rPr>
                <w:rFonts w:hint="default" w:ascii="Times New Roman" w:hAnsi="Times New Roman" w:eastAsia="方正仿宋_GBK" w:cs="Times New Roman"/>
                <w:color w:val="000000"/>
                <w:kern w:val="0"/>
                <w:sz w:val="24"/>
                <w:szCs w:val="24"/>
                <w:lang w:val="en-US" w:eastAsia="zh-CN" w:bidi="ar"/>
              </w:rPr>
              <w:t>引导民营企业完善法人治理结构、规范股东行为、强化内部监督，鼓励有条件的民营企业</w:t>
            </w:r>
            <w:r>
              <w:rPr>
                <w:rFonts w:hint="default" w:ascii="Times New Roman" w:hAnsi="Times New Roman" w:eastAsia="方正仿宋_GBK" w:cs="Times New Roman"/>
                <w:color w:val="000000"/>
                <w:kern w:val="0"/>
                <w:sz w:val="24"/>
                <w:szCs w:val="24"/>
                <w:highlight w:val="none"/>
                <w:lang w:val="en-US" w:eastAsia="zh-CN" w:bidi="ar"/>
              </w:rPr>
              <w:t>建立现代企业制度</w:t>
            </w:r>
          </w:p>
        </w:tc>
        <w:tc>
          <w:tcPr>
            <w:tcW w:w="1719" w:type="dxa"/>
            <w:noWrap w:val="0"/>
            <w:vAlign w:val="center"/>
          </w:tcPr>
          <w:p w14:paraId="510DF3E5">
            <w:pPr>
              <w:keepNext w:val="0"/>
              <w:keepLines w:val="0"/>
              <w:pageBreakBefore w:val="0"/>
              <w:widowControl/>
              <w:suppressLineNumbers w:val="0"/>
              <w:kinsoku/>
              <w:wordWrap/>
              <w:overflowPunct/>
              <w:topLinePunct w:val="0"/>
              <w:autoSpaceDE/>
              <w:autoSpaceDN/>
              <w:bidi w:val="0"/>
              <w:adjustRightInd/>
              <w:snapToGrid/>
              <w:spacing w:line="300" w:lineRule="exact"/>
              <w:ind w:left="0" w:firstLine="0" w:firstLineChars="0"/>
              <w:jc w:val="center"/>
              <w:textAlignment w:val="auto"/>
              <w:rPr>
                <w:rFonts w:hint="eastAsia" w:ascii="Times New Roman" w:hAnsi="Times New Roman" w:eastAsia="方正仿宋_GBK" w:cs="Times New Roman"/>
                <w:color w:val="000000"/>
                <w:kern w:val="0"/>
                <w:sz w:val="24"/>
                <w:szCs w:val="24"/>
                <w:highlight w:val="none"/>
                <w:lang w:val="en-US" w:eastAsia="zh-CN" w:bidi="ar"/>
              </w:rPr>
            </w:pPr>
            <w:r>
              <w:rPr>
                <w:rFonts w:hint="eastAsia" w:ascii="Times New Roman" w:hAnsi="Times New Roman" w:eastAsia="方正仿宋_GBK" w:cs="Times New Roman"/>
                <w:color w:val="000000"/>
                <w:kern w:val="0"/>
                <w:sz w:val="24"/>
                <w:szCs w:val="24"/>
                <w:highlight w:val="none"/>
                <w:lang w:val="en-US" w:eastAsia="zh-CN" w:bidi="ar"/>
              </w:rPr>
              <w:t>县工商联</w:t>
            </w:r>
          </w:p>
          <w:p w14:paraId="7FE2E246">
            <w:pPr>
              <w:keepNext w:val="0"/>
              <w:keepLines w:val="0"/>
              <w:pageBreakBefore w:val="0"/>
              <w:widowControl/>
              <w:suppressLineNumbers w:val="0"/>
              <w:kinsoku/>
              <w:wordWrap/>
              <w:overflowPunct/>
              <w:topLinePunct w:val="0"/>
              <w:autoSpaceDE/>
              <w:autoSpaceDN/>
              <w:bidi w:val="0"/>
              <w:adjustRightInd/>
              <w:snapToGrid/>
              <w:spacing w:line="300" w:lineRule="exact"/>
              <w:ind w:left="0" w:firstLine="0" w:firstLineChars="0"/>
              <w:jc w:val="center"/>
              <w:textAlignment w:val="auto"/>
              <w:rPr>
                <w:rFonts w:hint="eastAsia" w:ascii="Times New Roman" w:hAnsi="Times New Roman" w:eastAsia="方正仿宋_GBK" w:cs="Times New Roman"/>
                <w:color w:val="auto"/>
                <w:kern w:val="0"/>
                <w:sz w:val="24"/>
                <w:szCs w:val="24"/>
                <w:highlight w:val="no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县经济信息委</w:t>
            </w:r>
          </w:p>
          <w:p w14:paraId="4DDC4F1C">
            <w:pPr>
              <w:keepNext w:val="0"/>
              <w:keepLines w:val="0"/>
              <w:pageBreakBefore w:val="0"/>
              <w:widowControl/>
              <w:suppressLineNumbers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县</w:t>
            </w:r>
            <w:r>
              <w:rPr>
                <w:rFonts w:hint="default" w:ascii="Times New Roman" w:hAnsi="Times New Roman" w:eastAsia="方正仿宋_GBK" w:cs="Times New Roman"/>
                <w:color w:val="auto"/>
                <w:kern w:val="0"/>
                <w:sz w:val="24"/>
                <w:szCs w:val="24"/>
                <w:highlight w:val="none"/>
                <w:lang w:val="en-US" w:eastAsia="zh-CN" w:bidi="ar"/>
              </w:rPr>
              <w:t>市场监管局</w:t>
            </w:r>
          </w:p>
          <w:p w14:paraId="5FB0121E">
            <w:pPr>
              <w:keepNext w:val="0"/>
              <w:keepLines w:val="0"/>
              <w:pageBreakBefore w:val="0"/>
              <w:widowControl/>
              <w:suppressLineNumbers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auto"/>
                <w:kern w:val="0"/>
                <w:sz w:val="24"/>
                <w:szCs w:val="24"/>
                <w:highlight w:val="none"/>
                <w:lang w:val="en-US" w:eastAsia="zh-CN" w:bidi="ar"/>
              </w:rPr>
              <w:t>县发展改革委</w:t>
            </w:r>
          </w:p>
        </w:tc>
        <w:tc>
          <w:tcPr>
            <w:tcW w:w="967" w:type="dxa"/>
            <w:noWrap w:val="0"/>
            <w:vAlign w:val="center"/>
          </w:tcPr>
          <w:p w14:paraId="05476B58">
            <w:pPr>
              <w:keepNext w:val="0"/>
              <w:keepLines w:val="0"/>
              <w:pageBreakBefore w:val="0"/>
              <w:widowControl/>
              <w:suppressLineNumbers w:val="0"/>
              <w:kinsoku/>
              <w:wordWrap/>
              <w:overflowPunct/>
              <w:topLinePunct w:val="0"/>
              <w:autoSpaceDE/>
              <w:autoSpaceDN/>
              <w:bidi w:val="0"/>
              <w:adjustRightInd/>
              <w:snapToGrid/>
              <w:spacing w:line="320" w:lineRule="exact"/>
              <w:ind w:left="0"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p>
          <w:p w14:paraId="08BED99A">
            <w:pPr>
              <w:keepNext w:val="0"/>
              <w:keepLines w:val="0"/>
              <w:pageBreakBefore w:val="0"/>
              <w:widowControl/>
              <w:suppressLineNumbers w:val="0"/>
              <w:kinsoku/>
              <w:wordWrap/>
              <w:overflowPunct/>
              <w:topLinePunct w:val="0"/>
              <w:autoSpaceDE/>
              <w:autoSpaceDN/>
              <w:bidi w:val="0"/>
              <w:adjustRightInd/>
              <w:snapToGrid/>
              <w:spacing w:line="240" w:lineRule="exact"/>
              <w:ind w:left="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吴浪</w:t>
            </w:r>
          </w:p>
          <w:p w14:paraId="1626544A">
            <w:pPr>
              <w:pStyle w:val="2"/>
              <w:keepNext w:val="0"/>
              <w:keepLines w:val="0"/>
              <w:pageBreakBefore w:val="0"/>
              <w:kinsoku/>
              <w:wordWrap/>
              <w:overflowPunct/>
              <w:topLinePunct w:val="0"/>
              <w:autoSpaceDE/>
              <w:autoSpaceDN/>
              <w:bidi w:val="0"/>
              <w:adjustRightInd/>
              <w:snapToGrid/>
              <w:spacing w:line="240" w:lineRule="exact"/>
              <w:ind w:left="0" w:firstLine="0" w:firstLineChars="0"/>
              <w:jc w:val="center"/>
              <w:textAlignment w:val="auto"/>
              <w:rPr>
                <w:rFonts w:hint="eastAsia"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张桢</w:t>
            </w:r>
          </w:p>
          <w:p w14:paraId="055FAA51">
            <w:pPr>
              <w:pStyle w:val="2"/>
              <w:keepNext w:val="0"/>
              <w:keepLines w:val="0"/>
              <w:pageBreakBefore w:val="0"/>
              <w:kinsoku/>
              <w:wordWrap/>
              <w:overflowPunct/>
              <w:topLinePunct w:val="0"/>
              <w:autoSpaceDE/>
              <w:autoSpaceDN/>
              <w:bidi w:val="0"/>
              <w:adjustRightInd/>
              <w:snapToGrid/>
              <w:spacing w:line="240" w:lineRule="exact"/>
              <w:ind w:left="0" w:firstLine="0" w:firstLineChars="0"/>
              <w:jc w:val="center"/>
              <w:textAlignment w:val="auto"/>
              <w:rPr>
                <w:rFonts w:hint="eastAsia"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梁涛</w:t>
            </w:r>
          </w:p>
          <w:p w14:paraId="34E77283">
            <w:pPr>
              <w:pStyle w:val="2"/>
              <w:keepNext w:val="0"/>
              <w:keepLines w:val="0"/>
              <w:pageBreakBefore w:val="0"/>
              <w:kinsoku/>
              <w:wordWrap/>
              <w:overflowPunct/>
              <w:topLinePunct w:val="0"/>
              <w:autoSpaceDE/>
              <w:autoSpaceDN/>
              <w:bidi w:val="0"/>
              <w:adjustRightInd/>
              <w:snapToGrid/>
              <w:spacing w:line="240" w:lineRule="exact"/>
              <w:ind w:left="0" w:firstLine="0" w:firstLineChars="0"/>
              <w:jc w:val="center"/>
              <w:textAlignment w:val="auto"/>
              <w:rPr>
                <w:rFonts w:hint="eastAsia"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熊向令</w:t>
            </w:r>
          </w:p>
          <w:p w14:paraId="1C503163">
            <w:pPr>
              <w:pStyle w:val="3"/>
              <w:keepNext w:val="0"/>
              <w:keepLines w:val="0"/>
              <w:pageBreakBefore w:val="0"/>
              <w:kinsoku/>
              <w:wordWrap/>
              <w:overflowPunct/>
              <w:topLinePunct w:val="0"/>
              <w:autoSpaceDE/>
              <w:autoSpaceDN/>
              <w:bidi w:val="0"/>
              <w:adjustRightInd/>
              <w:snapToGrid/>
              <w:ind w:left="0" w:firstLine="0" w:firstLineChars="0"/>
              <w:jc w:val="both"/>
              <w:textAlignment w:val="auto"/>
              <w:rPr>
                <w:rFonts w:hint="default" w:ascii="Times New Roman" w:hAnsi="Times New Roman"/>
                <w:lang w:val="en-US" w:eastAsia="zh-CN"/>
              </w:rPr>
            </w:pPr>
          </w:p>
        </w:tc>
        <w:tc>
          <w:tcPr>
            <w:tcW w:w="1654" w:type="dxa"/>
            <w:noWrap w:val="0"/>
            <w:vAlign w:val="center"/>
          </w:tcPr>
          <w:p w14:paraId="1C46B0E8">
            <w:pPr>
              <w:keepNext w:val="0"/>
              <w:keepLines w:val="0"/>
              <w:pageBreakBefore w:val="0"/>
              <w:widowControl/>
              <w:suppressLineNumbers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13896204205</w:t>
            </w:r>
          </w:p>
          <w:p w14:paraId="2FC66842">
            <w:pPr>
              <w:keepNext w:val="0"/>
              <w:keepLines w:val="0"/>
              <w:pageBreakBefore w:val="0"/>
              <w:widowControl/>
              <w:suppressLineNumbers w:val="0"/>
              <w:kinsoku/>
              <w:wordWrap/>
              <w:overflowPunct/>
              <w:topLinePunct w:val="0"/>
              <w:autoSpaceDE/>
              <w:autoSpaceDN/>
              <w:bidi w:val="0"/>
              <w:adjustRightInd/>
              <w:snapToGrid/>
              <w:spacing w:line="300" w:lineRule="exact"/>
              <w:ind w:left="0" w:firstLine="0" w:firstLineChars="0"/>
              <w:jc w:val="center"/>
              <w:textAlignment w:val="auto"/>
              <w:rPr>
                <w:rFonts w:hint="eastAsia"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18523248599</w:t>
            </w:r>
          </w:p>
          <w:p w14:paraId="73CD4996">
            <w:pPr>
              <w:keepNext w:val="0"/>
              <w:keepLines w:val="0"/>
              <w:pageBreakBefore w:val="0"/>
              <w:widowControl/>
              <w:suppressLineNumbers w:val="0"/>
              <w:kinsoku/>
              <w:wordWrap/>
              <w:overflowPunct/>
              <w:topLinePunct w:val="0"/>
              <w:autoSpaceDE/>
              <w:autoSpaceDN/>
              <w:bidi w:val="0"/>
              <w:adjustRightInd/>
              <w:snapToGrid/>
              <w:spacing w:line="300" w:lineRule="exact"/>
              <w:ind w:left="0" w:firstLine="0" w:firstLineChars="0"/>
              <w:jc w:val="center"/>
              <w:textAlignment w:val="auto"/>
              <w:rPr>
                <w:rFonts w:hint="eastAsia"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13896215436</w:t>
            </w:r>
          </w:p>
          <w:p w14:paraId="55E535AD">
            <w:pPr>
              <w:keepNext w:val="0"/>
              <w:keepLines w:val="0"/>
              <w:pageBreakBefore w:val="0"/>
              <w:widowControl/>
              <w:suppressLineNumbers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lang w:val="en-US" w:eastAsia="zh-CN"/>
              </w:rPr>
            </w:pPr>
            <w:r>
              <w:rPr>
                <w:rFonts w:hint="eastAsia" w:ascii="Times New Roman" w:hAnsi="Times New Roman" w:eastAsia="方正仿宋_GBK" w:cs="Times New Roman"/>
                <w:color w:val="000000"/>
                <w:kern w:val="0"/>
                <w:sz w:val="24"/>
                <w:szCs w:val="24"/>
                <w:vertAlign w:val="baseline"/>
                <w:lang w:val="en-US" w:eastAsia="zh-CN" w:bidi="ar"/>
              </w:rPr>
              <w:t>17383138663</w:t>
            </w:r>
          </w:p>
        </w:tc>
        <w:tc>
          <w:tcPr>
            <w:tcW w:w="2888" w:type="dxa"/>
            <w:noWrap w:val="0"/>
            <w:vAlign w:val="center"/>
          </w:tcPr>
          <w:p w14:paraId="3D037F93">
            <w:pPr>
              <w:keepNext w:val="0"/>
              <w:keepLines w:val="0"/>
              <w:pageBreakBefore w:val="0"/>
              <w:widowControl/>
              <w:suppressLineNumbers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7500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restart"/>
            <w:noWrap w:val="0"/>
            <w:vAlign w:val="center"/>
          </w:tcPr>
          <w:p w14:paraId="4072080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27</w:t>
            </w:r>
          </w:p>
        </w:tc>
        <w:tc>
          <w:tcPr>
            <w:tcW w:w="1298" w:type="dxa"/>
            <w:vMerge w:val="restart"/>
            <w:noWrap w:val="0"/>
            <w:vAlign w:val="center"/>
          </w:tcPr>
          <w:p w14:paraId="6D9B5F3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构建亲清政商关系</w:t>
            </w:r>
          </w:p>
        </w:tc>
        <w:tc>
          <w:tcPr>
            <w:tcW w:w="5686" w:type="dxa"/>
            <w:noWrap w:val="0"/>
            <w:vAlign w:val="center"/>
          </w:tcPr>
          <w:p w14:paraId="7306839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lang w:val="en-US" w:eastAsia="zh-CN" w:bidi="ar"/>
              </w:rPr>
              <w:t>（59）按照《重庆市</w:t>
            </w:r>
            <w:r>
              <w:rPr>
                <w:rFonts w:hint="default" w:ascii="Times New Roman" w:hAnsi="Times New Roman" w:eastAsia="方正仿宋_GBK" w:cs="Times New Roman"/>
                <w:color w:val="000000"/>
                <w:kern w:val="0"/>
                <w:sz w:val="24"/>
                <w:szCs w:val="24"/>
                <w:lang w:val="en-US" w:eastAsia="zh-CN" w:bidi="ar"/>
              </w:rPr>
              <w:t>构建亲清政商关系行为清单</w:t>
            </w:r>
            <w:r>
              <w:rPr>
                <w:rFonts w:hint="eastAsia" w:ascii="Times New Roman" w:hAnsi="Times New Roman" w:eastAsia="方正仿宋_GBK" w:cs="Times New Roman"/>
                <w:color w:val="000000"/>
                <w:kern w:val="0"/>
                <w:sz w:val="24"/>
                <w:szCs w:val="24"/>
                <w:lang w:val="en-US" w:eastAsia="zh-CN" w:bidi="ar"/>
              </w:rPr>
              <w:t>》要求</w:t>
            </w:r>
            <w:r>
              <w:rPr>
                <w:rFonts w:hint="default" w:ascii="Times New Roman" w:hAnsi="Times New Roman" w:eastAsia="方正仿宋_GBK" w:cs="Times New Roman"/>
                <w:color w:val="000000"/>
                <w:kern w:val="0"/>
                <w:sz w:val="24"/>
                <w:szCs w:val="24"/>
                <w:lang w:val="en-US" w:eastAsia="zh-CN" w:bidi="ar"/>
              </w:rPr>
              <w:t>，规范有序开展政商面对面活动。</w:t>
            </w:r>
            <w:r>
              <w:rPr>
                <w:rFonts w:hint="default" w:ascii="Times New Roman" w:hAnsi="Times New Roman" w:eastAsia="方正仿宋_GBK" w:cs="Times New Roman"/>
                <w:color w:val="000000"/>
                <w:kern w:val="0"/>
                <w:sz w:val="24"/>
                <w:szCs w:val="24"/>
                <w:highlight w:val="none"/>
                <w:lang w:val="en-US" w:eastAsia="zh-CN" w:bidi="ar"/>
              </w:rPr>
              <w:t>持续推动清廉民企建设，推动商会企业开展清廉自律活动，推动清廉思想、清廉制度、清廉文化融入民营企业发展。</w:t>
            </w:r>
          </w:p>
        </w:tc>
        <w:tc>
          <w:tcPr>
            <w:tcW w:w="1719" w:type="dxa"/>
            <w:noWrap w:val="0"/>
            <w:vAlign w:val="center"/>
          </w:tcPr>
          <w:p w14:paraId="0E77DBDF">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val="en-US" w:eastAsia="zh-CN" w:bidi="ar"/>
              </w:rPr>
              <w:t>县委统战部</w:t>
            </w:r>
          </w:p>
          <w:p w14:paraId="7CBDC40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val="en-US" w:eastAsia="zh-CN" w:bidi="ar"/>
              </w:rPr>
              <w:t>县工商联</w:t>
            </w:r>
          </w:p>
        </w:tc>
        <w:tc>
          <w:tcPr>
            <w:tcW w:w="967" w:type="dxa"/>
            <w:noWrap w:val="0"/>
            <w:vAlign w:val="center"/>
          </w:tcPr>
          <w:p w14:paraId="0F925A5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肖川</w:t>
            </w:r>
          </w:p>
          <w:p w14:paraId="1490730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吴浪</w:t>
            </w:r>
          </w:p>
        </w:tc>
        <w:tc>
          <w:tcPr>
            <w:tcW w:w="1654" w:type="dxa"/>
            <w:noWrap w:val="0"/>
            <w:vAlign w:val="center"/>
          </w:tcPr>
          <w:p w14:paraId="6195D28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18102363010</w:t>
            </w:r>
          </w:p>
          <w:p w14:paraId="3DA3741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13896204205</w:t>
            </w:r>
          </w:p>
        </w:tc>
        <w:tc>
          <w:tcPr>
            <w:tcW w:w="2888" w:type="dxa"/>
            <w:vMerge w:val="restart"/>
            <w:noWrap w:val="0"/>
            <w:vAlign w:val="center"/>
          </w:tcPr>
          <w:p w14:paraId="192F8BD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36F5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827" w:type="dxa"/>
            <w:vMerge w:val="continue"/>
            <w:noWrap w:val="0"/>
            <w:vAlign w:val="center"/>
          </w:tcPr>
          <w:p w14:paraId="33CBF8D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08F4CA5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3119460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（60）</w:t>
            </w:r>
            <w:r>
              <w:rPr>
                <w:rFonts w:hint="default" w:ascii="Times New Roman" w:hAnsi="Times New Roman" w:eastAsia="方正仿宋_GBK" w:cs="Times New Roman"/>
                <w:color w:val="000000"/>
                <w:w w:val="97"/>
                <w:kern w:val="0"/>
                <w:sz w:val="24"/>
                <w:szCs w:val="24"/>
                <w:lang w:val="en-US" w:eastAsia="zh-CN" w:bidi="ar"/>
              </w:rPr>
              <w:t>推进清廉重庆建设提质扩面，健全完善清廉单元建设干部领衔、联建联创工作机制，从严查处滥用职权、玩忽职守、权力寻租、吃拿卡要等影响民营经济发展的腐败和作风问题，积极营造风清气正的营商环境。</w:t>
            </w:r>
          </w:p>
        </w:tc>
        <w:tc>
          <w:tcPr>
            <w:tcW w:w="1719" w:type="dxa"/>
            <w:noWrap w:val="0"/>
            <w:vAlign w:val="center"/>
          </w:tcPr>
          <w:p w14:paraId="10BE667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lang w:val="en-US" w:eastAsia="zh-CN" w:bidi="ar"/>
              </w:rPr>
              <w:t>县纪委监委机关</w:t>
            </w:r>
          </w:p>
        </w:tc>
        <w:tc>
          <w:tcPr>
            <w:tcW w:w="967" w:type="dxa"/>
            <w:noWrap w:val="0"/>
            <w:vAlign w:val="center"/>
          </w:tcPr>
          <w:p w14:paraId="3E9DD76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冉远丽</w:t>
            </w:r>
          </w:p>
        </w:tc>
        <w:tc>
          <w:tcPr>
            <w:tcW w:w="1654" w:type="dxa"/>
            <w:noWrap w:val="0"/>
            <w:vAlign w:val="center"/>
          </w:tcPr>
          <w:p w14:paraId="497B371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13527395206</w:t>
            </w:r>
          </w:p>
        </w:tc>
        <w:tc>
          <w:tcPr>
            <w:tcW w:w="2888" w:type="dxa"/>
            <w:vMerge w:val="continue"/>
            <w:noWrap w:val="0"/>
            <w:vAlign w:val="center"/>
          </w:tcPr>
          <w:p w14:paraId="4680BCE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p>
        </w:tc>
      </w:tr>
      <w:tr w14:paraId="046E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27" w:type="dxa"/>
            <w:vMerge w:val="restart"/>
            <w:noWrap w:val="0"/>
            <w:vAlign w:val="center"/>
          </w:tcPr>
          <w:p w14:paraId="569E7026">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28</w:t>
            </w:r>
          </w:p>
        </w:tc>
        <w:tc>
          <w:tcPr>
            <w:tcW w:w="1298" w:type="dxa"/>
            <w:vMerge w:val="restart"/>
            <w:noWrap w:val="0"/>
            <w:vAlign w:val="center"/>
          </w:tcPr>
          <w:p w14:paraId="50F746D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加强宣传引导</w:t>
            </w:r>
          </w:p>
        </w:tc>
        <w:tc>
          <w:tcPr>
            <w:tcW w:w="5686" w:type="dxa"/>
            <w:noWrap w:val="0"/>
            <w:vAlign w:val="center"/>
          </w:tcPr>
          <w:p w14:paraId="5E62AB2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lang w:val="en-US" w:eastAsia="zh-CN" w:bidi="ar"/>
              </w:rPr>
              <w:t>（61）</w:t>
            </w:r>
            <w:r>
              <w:rPr>
                <w:rFonts w:hint="default" w:ascii="Times New Roman" w:hAnsi="Times New Roman" w:eastAsia="方正仿宋_GBK" w:cs="Times New Roman"/>
                <w:color w:val="000000"/>
                <w:kern w:val="0"/>
                <w:sz w:val="24"/>
                <w:szCs w:val="24"/>
                <w:highlight w:val="none"/>
                <w:lang w:val="en-US" w:eastAsia="zh-CN" w:bidi="ar"/>
              </w:rPr>
              <w:t>引导全社会客观正确全面认识民营经济和民营经济人士，把握好正确舆论导向氛围。</w:t>
            </w:r>
          </w:p>
        </w:tc>
        <w:tc>
          <w:tcPr>
            <w:tcW w:w="1719" w:type="dxa"/>
            <w:noWrap w:val="0"/>
            <w:vAlign w:val="center"/>
          </w:tcPr>
          <w:p w14:paraId="0D82FA9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lang w:val="en-US" w:eastAsia="zh-CN" w:bidi="ar"/>
              </w:rPr>
            </w:pPr>
            <w:r>
              <w:rPr>
                <w:rFonts w:hint="eastAsia" w:ascii="Times New Roman" w:hAnsi="Times New Roman" w:eastAsia="方正仿宋_GBK" w:cs="Times New Roman"/>
                <w:color w:val="000000"/>
                <w:kern w:val="0"/>
                <w:sz w:val="24"/>
                <w:szCs w:val="24"/>
                <w:lang w:val="en-US" w:eastAsia="zh-CN" w:bidi="ar"/>
              </w:rPr>
              <w:t>县委统战部</w:t>
            </w:r>
          </w:p>
          <w:p w14:paraId="5E69047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eastAsia" w:ascii="Times New Roman" w:hAnsi="Times New Roman" w:eastAsia="方正仿宋_GBK" w:cs="Times New Roman"/>
                <w:color w:val="000000"/>
                <w:kern w:val="0"/>
                <w:sz w:val="24"/>
                <w:szCs w:val="24"/>
                <w:lang w:val="en-US" w:eastAsia="zh-CN" w:bidi="ar"/>
              </w:rPr>
              <w:t>县工商联</w:t>
            </w:r>
          </w:p>
        </w:tc>
        <w:tc>
          <w:tcPr>
            <w:tcW w:w="967" w:type="dxa"/>
            <w:noWrap w:val="0"/>
            <w:vAlign w:val="center"/>
          </w:tcPr>
          <w:p w14:paraId="67374F1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肖川</w:t>
            </w:r>
          </w:p>
          <w:p w14:paraId="624FEF1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吴浪</w:t>
            </w:r>
          </w:p>
        </w:tc>
        <w:tc>
          <w:tcPr>
            <w:tcW w:w="1654" w:type="dxa"/>
            <w:noWrap w:val="0"/>
            <w:vAlign w:val="center"/>
          </w:tcPr>
          <w:p w14:paraId="3625AED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eastAsia" w:ascii="Times New Roman" w:hAnsi="Times New Roman" w:eastAsia="方正仿宋_GBK" w:cs="Times New Roman"/>
                <w:color w:val="000000"/>
                <w:kern w:val="0"/>
                <w:sz w:val="24"/>
                <w:szCs w:val="24"/>
                <w:vertAlign w:val="baseline"/>
                <w:lang w:val="en-US" w:eastAsia="zh-CN" w:bidi="ar"/>
              </w:rPr>
              <w:t>18102363010</w:t>
            </w:r>
          </w:p>
          <w:p w14:paraId="41BEAB9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vertAlign w:val="baseline"/>
                <w:lang w:val="en-US" w:eastAsia="zh-CN" w:bidi="ar"/>
              </w:rPr>
              <w:t>13896204205</w:t>
            </w:r>
          </w:p>
        </w:tc>
        <w:tc>
          <w:tcPr>
            <w:tcW w:w="2888" w:type="dxa"/>
            <w:vMerge w:val="restart"/>
            <w:noWrap w:val="0"/>
            <w:vAlign w:val="center"/>
          </w:tcPr>
          <w:p w14:paraId="29FA6AC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r w14:paraId="38D6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7" w:type="dxa"/>
            <w:vMerge w:val="continue"/>
            <w:noWrap w:val="0"/>
            <w:vAlign w:val="center"/>
          </w:tcPr>
          <w:p w14:paraId="5E40708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5706128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6B0D9D2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eastAsia" w:ascii="Times New Roman" w:hAnsi="Times New Roman" w:eastAsia="方正仿宋_GBK" w:cs="Times New Roman"/>
                <w:color w:val="000000"/>
                <w:kern w:val="0"/>
                <w:sz w:val="24"/>
                <w:szCs w:val="24"/>
                <w:highlight w:val="none"/>
                <w:lang w:val="en-US" w:eastAsia="zh-CN" w:bidi="ar"/>
              </w:rPr>
              <w:t>（62）</w:t>
            </w:r>
            <w:r>
              <w:rPr>
                <w:rFonts w:hint="default" w:ascii="Times New Roman" w:hAnsi="Times New Roman" w:eastAsia="方正仿宋_GBK" w:cs="Times New Roman"/>
                <w:color w:val="000000"/>
                <w:kern w:val="0"/>
                <w:sz w:val="24"/>
                <w:szCs w:val="24"/>
                <w:highlight w:val="none"/>
                <w:lang w:val="en-US" w:eastAsia="zh-CN" w:bidi="ar"/>
              </w:rPr>
              <w:t>开</w:t>
            </w:r>
            <w:r>
              <w:rPr>
                <w:rFonts w:hint="eastAsia" w:ascii="Times New Roman" w:hAnsi="Times New Roman" w:eastAsia="方正仿宋_GBK" w:cs="方正仿宋_GBK"/>
                <w:color w:val="000000"/>
                <w:kern w:val="0"/>
                <w:sz w:val="24"/>
                <w:szCs w:val="24"/>
                <w:highlight w:val="none"/>
                <w:lang w:val="en-US" w:eastAsia="zh-CN" w:bidi="ar"/>
              </w:rPr>
              <w:t>展“支持民营经济高质量发展”主题宣</w:t>
            </w:r>
            <w:r>
              <w:rPr>
                <w:rFonts w:hint="default" w:ascii="Times New Roman" w:hAnsi="Times New Roman" w:eastAsia="方正仿宋_GBK" w:cs="Times New Roman"/>
                <w:color w:val="000000"/>
                <w:kern w:val="0"/>
                <w:sz w:val="24"/>
                <w:szCs w:val="24"/>
                <w:highlight w:val="none"/>
                <w:lang w:val="en-US" w:eastAsia="zh-CN" w:bidi="ar"/>
              </w:rPr>
              <w:t>传，营造创新创业良好环境。</w:t>
            </w:r>
          </w:p>
        </w:tc>
        <w:tc>
          <w:tcPr>
            <w:tcW w:w="1719" w:type="dxa"/>
            <w:noWrap w:val="0"/>
            <w:vAlign w:val="center"/>
          </w:tcPr>
          <w:p w14:paraId="3BC3110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lang w:val="en-US" w:eastAsia="zh-CN" w:bidi="ar"/>
              </w:rPr>
            </w:pPr>
            <w:r>
              <w:rPr>
                <w:rFonts w:hint="default" w:ascii="Times New Roman" w:hAnsi="Times New Roman" w:eastAsia="方正仿宋_GBK" w:cs="Times New Roman"/>
                <w:color w:val="000000"/>
                <w:kern w:val="0"/>
                <w:sz w:val="24"/>
                <w:szCs w:val="24"/>
                <w:highlight w:val="none"/>
                <w:lang w:val="en-US" w:eastAsia="zh-CN" w:bidi="ar"/>
              </w:rPr>
              <w:t>县委宣传部</w:t>
            </w:r>
          </w:p>
        </w:tc>
        <w:tc>
          <w:tcPr>
            <w:tcW w:w="967" w:type="dxa"/>
            <w:noWrap w:val="0"/>
            <w:vAlign w:val="center"/>
          </w:tcPr>
          <w:p w14:paraId="1D199419">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李官</w:t>
            </w:r>
            <w:r>
              <w:rPr>
                <w:rFonts w:hint="default" w:ascii="Times New Roman" w:hAnsi="Times New Roman" w:eastAsia="方正仿宋_GBK" w:cs="Times New Roman"/>
                <w:color w:val="000000"/>
                <w:kern w:val="0"/>
                <w:sz w:val="24"/>
                <w:szCs w:val="24"/>
                <w:highlight w:val="none"/>
                <w:shd w:val="clear" w:color="auto" w:fill="auto"/>
                <w:vertAlign w:val="baseline"/>
                <w:lang w:val="en-US" w:eastAsia="zh-CN" w:bidi="ar"/>
              </w:rPr>
              <w:t>芮</w:t>
            </w:r>
          </w:p>
        </w:tc>
        <w:tc>
          <w:tcPr>
            <w:tcW w:w="1654" w:type="dxa"/>
            <w:noWrap w:val="0"/>
            <w:vAlign w:val="center"/>
          </w:tcPr>
          <w:p w14:paraId="1B52732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13896323133</w:t>
            </w:r>
          </w:p>
        </w:tc>
        <w:tc>
          <w:tcPr>
            <w:tcW w:w="2888" w:type="dxa"/>
            <w:vMerge w:val="continue"/>
            <w:noWrap w:val="0"/>
            <w:vAlign w:val="center"/>
          </w:tcPr>
          <w:p w14:paraId="00EBCA1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p>
        </w:tc>
      </w:tr>
      <w:tr w14:paraId="1D3E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7" w:type="dxa"/>
            <w:vMerge w:val="continue"/>
            <w:noWrap w:val="0"/>
            <w:vAlign w:val="center"/>
          </w:tcPr>
          <w:p w14:paraId="46B2F87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Times New Roman"/>
                <w:color w:val="000000"/>
                <w:kern w:val="0"/>
                <w:sz w:val="24"/>
                <w:szCs w:val="24"/>
                <w:vertAlign w:val="baseline"/>
                <w:lang w:val="en-US" w:eastAsia="zh-CN" w:bidi="ar"/>
              </w:rPr>
            </w:pPr>
          </w:p>
        </w:tc>
        <w:tc>
          <w:tcPr>
            <w:tcW w:w="1298" w:type="dxa"/>
            <w:vMerge w:val="continue"/>
            <w:noWrap w:val="0"/>
            <w:vAlign w:val="center"/>
          </w:tcPr>
          <w:p w14:paraId="060B280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bCs/>
                <w:color w:val="000000"/>
                <w:kern w:val="0"/>
                <w:sz w:val="24"/>
                <w:szCs w:val="24"/>
                <w:lang w:val="en-US" w:eastAsia="zh-CN" w:bidi="ar"/>
              </w:rPr>
            </w:pPr>
          </w:p>
        </w:tc>
        <w:tc>
          <w:tcPr>
            <w:tcW w:w="5686" w:type="dxa"/>
            <w:noWrap w:val="0"/>
            <w:vAlign w:val="center"/>
          </w:tcPr>
          <w:p w14:paraId="5811FBE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eastAsia" w:ascii="Times New Roman" w:hAnsi="Times New Roman" w:eastAsia="方正仿宋_GBK" w:cs="Times New Roman"/>
                <w:color w:val="000000"/>
                <w:kern w:val="0"/>
                <w:sz w:val="24"/>
                <w:szCs w:val="24"/>
                <w:highlight w:val="none"/>
                <w:lang w:val="en-US" w:eastAsia="zh-CN" w:bidi="ar"/>
              </w:rPr>
              <w:t>（63）</w:t>
            </w:r>
            <w:r>
              <w:rPr>
                <w:rFonts w:hint="default" w:ascii="Times New Roman" w:hAnsi="Times New Roman" w:eastAsia="方正仿宋_GBK" w:cs="Times New Roman"/>
                <w:color w:val="000000"/>
                <w:kern w:val="0"/>
                <w:sz w:val="24"/>
                <w:szCs w:val="24"/>
                <w:highlight w:val="none"/>
                <w:lang w:val="en-US" w:eastAsia="zh-CN" w:bidi="ar"/>
              </w:rPr>
              <w:t>大力</w:t>
            </w:r>
            <w:r>
              <w:rPr>
                <w:rFonts w:hint="eastAsia" w:ascii="Times New Roman" w:hAnsi="Times New Roman" w:eastAsia="方正仿宋_GBK" w:cs="方正仿宋_GBK"/>
                <w:color w:val="000000"/>
                <w:kern w:val="0"/>
                <w:sz w:val="24"/>
                <w:szCs w:val="24"/>
                <w:highlight w:val="none"/>
                <w:lang w:val="en-US" w:eastAsia="zh-CN" w:bidi="ar"/>
              </w:rPr>
              <w:t>推进“清朗”系列专</w:t>
            </w:r>
            <w:r>
              <w:rPr>
                <w:rFonts w:hint="default" w:ascii="Times New Roman" w:hAnsi="Times New Roman" w:eastAsia="方正仿宋_GBK" w:cs="Times New Roman"/>
                <w:color w:val="000000"/>
                <w:kern w:val="0"/>
                <w:sz w:val="24"/>
                <w:szCs w:val="24"/>
                <w:highlight w:val="none"/>
                <w:lang w:val="en-US" w:eastAsia="zh-CN" w:bidi="ar"/>
              </w:rPr>
              <w:t>项行动，设置乡镇（街道）营商环境观察员</w:t>
            </w:r>
            <w:r>
              <w:rPr>
                <w:rFonts w:hint="eastAsia" w:ascii="Times New Roman" w:hAnsi="Times New Roman" w:eastAsia="方正仿宋_GBK" w:cs="Times New Roman"/>
                <w:color w:val="000000"/>
                <w:kern w:val="0"/>
                <w:sz w:val="24"/>
                <w:szCs w:val="24"/>
                <w:highlight w:val="none"/>
                <w:lang w:val="en-US" w:eastAsia="zh-CN" w:bidi="ar"/>
              </w:rPr>
              <w:t>，不定期</w:t>
            </w:r>
            <w:r>
              <w:rPr>
                <w:rFonts w:hint="default" w:ascii="Times New Roman" w:hAnsi="Times New Roman" w:eastAsia="方正仿宋_GBK" w:cs="Times New Roman"/>
                <w:color w:val="000000"/>
                <w:kern w:val="0"/>
                <w:sz w:val="24"/>
                <w:szCs w:val="24"/>
                <w:highlight w:val="none"/>
                <w:lang w:val="en-US" w:eastAsia="zh-CN" w:bidi="ar"/>
              </w:rPr>
              <w:t>跟踪问效</w:t>
            </w:r>
            <w:r>
              <w:rPr>
                <w:rFonts w:hint="eastAsia" w:ascii="Times New Roman" w:hAnsi="Times New Roman" w:eastAsia="方正仿宋_GBK" w:cs="Times New Roman"/>
                <w:color w:val="000000"/>
                <w:kern w:val="0"/>
                <w:sz w:val="24"/>
                <w:szCs w:val="24"/>
                <w:highlight w:val="none"/>
                <w:lang w:val="en-US" w:eastAsia="zh-CN" w:bidi="ar"/>
              </w:rPr>
              <w:t>，</w:t>
            </w:r>
            <w:r>
              <w:rPr>
                <w:rFonts w:hint="default" w:ascii="Times New Roman" w:hAnsi="Times New Roman" w:eastAsia="方正仿宋_GBK" w:cs="Times New Roman"/>
                <w:color w:val="000000"/>
                <w:kern w:val="0"/>
                <w:sz w:val="24"/>
                <w:szCs w:val="24"/>
                <w:highlight w:val="none"/>
                <w:lang w:val="en-US" w:eastAsia="zh-CN" w:bidi="ar"/>
              </w:rPr>
              <w:t>营造清朗舆论</w:t>
            </w:r>
            <w:r>
              <w:rPr>
                <w:rFonts w:hint="eastAsia" w:ascii="Times New Roman" w:hAnsi="Times New Roman" w:eastAsia="方正仿宋_GBK" w:cs="Times New Roman"/>
                <w:color w:val="000000"/>
                <w:kern w:val="0"/>
                <w:sz w:val="24"/>
                <w:szCs w:val="24"/>
                <w:highlight w:val="none"/>
                <w:lang w:val="en-US" w:eastAsia="zh-CN" w:bidi="ar"/>
              </w:rPr>
              <w:t>。</w:t>
            </w:r>
          </w:p>
        </w:tc>
        <w:tc>
          <w:tcPr>
            <w:tcW w:w="1719" w:type="dxa"/>
            <w:noWrap w:val="0"/>
            <w:vAlign w:val="center"/>
          </w:tcPr>
          <w:p w14:paraId="3E58CEB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lang w:val="en-US" w:eastAsia="zh-CN" w:bidi="ar"/>
              </w:rPr>
            </w:pPr>
            <w:r>
              <w:rPr>
                <w:rFonts w:hint="eastAsia" w:ascii="Times New Roman" w:hAnsi="Times New Roman" w:eastAsia="方正仿宋_GBK" w:cs="Times New Roman"/>
                <w:color w:val="000000"/>
                <w:kern w:val="0"/>
                <w:sz w:val="24"/>
                <w:szCs w:val="24"/>
                <w:highlight w:val="none"/>
                <w:lang w:val="en-US" w:eastAsia="zh-CN" w:bidi="ar"/>
              </w:rPr>
              <w:t>县网信中心</w:t>
            </w:r>
          </w:p>
          <w:p w14:paraId="1AD8954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lang w:val="en-US" w:eastAsia="zh-CN" w:bidi="ar"/>
              </w:rPr>
            </w:pPr>
            <w:r>
              <w:rPr>
                <w:rFonts w:hint="eastAsia" w:ascii="Times New Roman" w:hAnsi="Times New Roman" w:eastAsia="方正仿宋_GBK" w:cs="Times New Roman"/>
                <w:color w:val="000000"/>
                <w:kern w:val="0"/>
                <w:sz w:val="24"/>
                <w:szCs w:val="24"/>
                <w:highlight w:val="none"/>
                <w:lang w:val="en-US" w:eastAsia="zh-CN" w:bidi="ar"/>
              </w:rPr>
              <w:t>县发展改革委</w:t>
            </w:r>
          </w:p>
        </w:tc>
        <w:tc>
          <w:tcPr>
            <w:tcW w:w="967" w:type="dxa"/>
            <w:noWrap w:val="0"/>
            <w:vAlign w:val="center"/>
          </w:tcPr>
          <w:p w14:paraId="2B21CA4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王进波</w:t>
            </w:r>
          </w:p>
          <w:p w14:paraId="7B558CA9">
            <w:pPr>
              <w:pStyle w:val="2"/>
              <w:keepNext w:val="0"/>
              <w:keepLines w:val="0"/>
              <w:pageBreakBefore w:val="0"/>
              <w:widowControl w:val="0"/>
              <w:kinsoku/>
              <w:wordWrap/>
              <w:overflowPunct/>
              <w:topLinePunct w:val="0"/>
              <w:autoSpaceDE/>
              <w:autoSpaceDN/>
              <w:bidi w:val="0"/>
              <w:adjustRightInd/>
              <w:snapToGrid/>
              <w:spacing w:afterLines="0" w:line="300" w:lineRule="exact"/>
              <w:ind w:left="0" w:firstLine="0" w:firstLineChars="0"/>
              <w:jc w:val="center"/>
              <w:textAlignment w:val="auto"/>
              <w:rPr>
                <w:rFonts w:hint="default" w:ascii="Times New Roman" w:hAnsi="Times New Roman"/>
                <w:highlight w:val="none"/>
                <w:lang w:val="en-US" w:eastAsia="zh-CN"/>
              </w:rPr>
            </w:pPr>
            <w:r>
              <w:rPr>
                <w:rFonts w:hint="eastAsia" w:ascii="Times New Roman" w:hAnsi="Times New Roman" w:eastAsia="方正仿宋_GBK" w:cs="Times New Roman"/>
                <w:color w:val="000000"/>
                <w:kern w:val="0"/>
                <w:sz w:val="24"/>
                <w:szCs w:val="24"/>
                <w:highlight w:val="none"/>
                <w:vertAlign w:val="baseline"/>
                <w:lang w:val="en-US" w:eastAsia="zh-CN" w:bidi="ar"/>
              </w:rPr>
              <w:t>杨玉亭</w:t>
            </w:r>
          </w:p>
        </w:tc>
        <w:tc>
          <w:tcPr>
            <w:tcW w:w="1654" w:type="dxa"/>
            <w:noWrap w:val="0"/>
            <w:vAlign w:val="center"/>
          </w:tcPr>
          <w:p w14:paraId="3ADDECF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15826063374</w:t>
            </w:r>
          </w:p>
          <w:p w14:paraId="4C1F85B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lang w:val="en-US" w:eastAsia="zh-CN"/>
              </w:rPr>
            </w:pPr>
            <w:r>
              <w:rPr>
                <w:rFonts w:hint="eastAsia" w:ascii="Times New Roman" w:hAnsi="Times New Roman" w:eastAsia="方正仿宋_GBK" w:cs="Times New Roman"/>
                <w:color w:val="000000"/>
                <w:kern w:val="0"/>
                <w:sz w:val="24"/>
                <w:szCs w:val="24"/>
                <w:highlight w:val="none"/>
                <w:vertAlign w:val="baseline"/>
                <w:lang w:val="en-US" w:eastAsia="zh-CN" w:bidi="ar"/>
              </w:rPr>
              <w:t>15826330010</w:t>
            </w:r>
          </w:p>
        </w:tc>
        <w:tc>
          <w:tcPr>
            <w:tcW w:w="2888" w:type="dxa"/>
            <w:vMerge w:val="continue"/>
            <w:noWrap w:val="0"/>
            <w:vAlign w:val="center"/>
          </w:tcPr>
          <w:p w14:paraId="48E4485D">
            <w:pPr>
              <w:pStyle w:val="2"/>
              <w:keepNext w:val="0"/>
              <w:keepLines w:val="0"/>
              <w:pageBreakBefore w:val="0"/>
              <w:kinsoku/>
              <w:wordWrap/>
              <w:overflowPunct/>
              <w:topLinePunct w:val="0"/>
              <w:autoSpaceDN/>
              <w:bidi w:val="0"/>
              <w:adjustRightInd/>
              <w:snapToGrid/>
              <w:ind w:firstLine="0" w:firstLineChars="0"/>
              <w:textAlignment w:val="auto"/>
              <w:rPr>
                <w:rFonts w:hint="default" w:ascii="Times New Roman" w:hAnsi="Times New Roman"/>
                <w:lang w:val="en-US" w:eastAsia="zh-CN"/>
              </w:rPr>
            </w:pPr>
          </w:p>
        </w:tc>
      </w:tr>
      <w:tr w14:paraId="50A2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27" w:type="dxa"/>
            <w:noWrap w:val="0"/>
            <w:vAlign w:val="center"/>
          </w:tcPr>
          <w:p w14:paraId="08708A6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kern w:val="0"/>
                <w:sz w:val="24"/>
                <w:szCs w:val="24"/>
                <w:vertAlign w:val="baseline"/>
                <w:lang w:val="en-US" w:eastAsia="zh-CN" w:bidi="ar"/>
              </w:rPr>
            </w:pPr>
            <w:r>
              <w:rPr>
                <w:rFonts w:hint="eastAsia" w:ascii="Times New Roman" w:hAnsi="Times New Roman" w:eastAsia="方正黑体_GBK" w:cs="Times New Roman"/>
                <w:color w:val="000000"/>
                <w:kern w:val="0"/>
                <w:sz w:val="24"/>
                <w:szCs w:val="24"/>
                <w:vertAlign w:val="baseline"/>
                <w:lang w:val="en-US" w:eastAsia="zh-CN" w:bidi="ar"/>
              </w:rPr>
              <w:t>29</w:t>
            </w:r>
          </w:p>
        </w:tc>
        <w:tc>
          <w:tcPr>
            <w:tcW w:w="1298" w:type="dxa"/>
            <w:noWrap w:val="0"/>
            <w:vAlign w:val="center"/>
          </w:tcPr>
          <w:p w14:paraId="35DBB02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黑体_GBK" w:cs="方正黑体_GBK"/>
                <w:color w:val="000000"/>
                <w:kern w:val="0"/>
                <w:sz w:val="24"/>
                <w:szCs w:val="24"/>
                <w:vertAlign w:val="baseline"/>
                <w:lang w:val="en-US" w:eastAsia="zh-CN" w:bidi="ar"/>
              </w:rPr>
            </w:pPr>
            <w:r>
              <w:rPr>
                <w:rFonts w:hint="default" w:ascii="Times New Roman" w:hAnsi="Times New Roman" w:eastAsia="方正仿宋_GBK" w:cs="Times New Roman"/>
                <w:b/>
                <w:bCs/>
                <w:color w:val="000000"/>
                <w:kern w:val="0"/>
                <w:sz w:val="24"/>
                <w:szCs w:val="24"/>
                <w:lang w:val="en-US" w:eastAsia="zh-CN" w:bidi="ar"/>
              </w:rPr>
              <w:t>加强组织保障</w:t>
            </w:r>
          </w:p>
        </w:tc>
        <w:tc>
          <w:tcPr>
            <w:tcW w:w="5686" w:type="dxa"/>
            <w:noWrap w:val="0"/>
            <w:vAlign w:val="center"/>
          </w:tcPr>
          <w:p w14:paraId="76AB6B21">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（64）</w:t>
            </w:r>
            <w:r>
              <w:rPr>
                <w:rFonts w:hint="default" w:ascii="Times New Roman" w:hAnsi="Times New Roman" w:eastAsia="方正仿宋_GBK" w:cs="Times New Roman"/>
                <w:color w:val="000000"/>
                <w:kern w:val="0"/>
                <w:sz w:val="24"/>
                <w:szCs w:val="24"/>
                <w:highlight w:val="none"/>
                <w:vertAlign w:val="baseline"/>
                <w:lang w:val="en-US" w:eastAsia="zh-CN" w:bidi="ar"/>
              </w:rPr>
              <w:t>建立支持民营经济高质量发展工作协调机制，县发展改革委牵头抓总，分解任务、持续调度、定期评估、统筹推进。县级有关部门要细化工作举措，强化协作配合，加强政策解读、政策兑现，围绕经营主体需求及时迭代升级支持政策，定期推送至县发展改革委更新动态涉企政策库。要压实工作责任，创新工作方式，加强对经营主体的主动沟通和服务，确保工作任务落实落细</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c>
          <w:tcPr>
            <w:tcW w:w="1719" w:type="dxa"/>
            <w:noWrap w:val="0"/>
            <w:vAlign w:val="center"/>
          </w:tcPr>
          <w:p w14:paraId="1778734B">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县</w:t>
            </w:r>
            <w:r>
              <w:rPr>
                <w:rFonts w:hint="default" w:ascii="Times New Roman" w:hAnsi="Times New Roman" w:eastAsia="方正仿宋_GBK" w:cs="Times New Roman"/>
                <w:color w:val="000000"/>
                <w:kern w:val="0"/>
                <w:sz w:val="24"/>
                <w:szCs w:val="24"/>
                <w:highlight w:val="none"/>
                <w:vertAlign w:val="baseline"/>
                <w:lang w:val="en-US" w:eastAsia="zh-CN" w:bidi="ar"/>
              </w:rPr>
              <w:t>发展改革委</w:t>
            </w:r>
          </w:p>
          <w:p w14:paraId="0B80B75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县</w:t>
            </w:r>
            <w:r>
              <w:rPr>
                <w:rFonts w:hint="default" w:ascii="Times New Roman" w:hAnsi="Times New Roman" w:eastAsia="方正仿宋_GBK" w:cs="Times New Roman"/>
                <w:color w:val="000000"/>
                <w:kern w:val="0"/>
                <w:sz w:val="24"/>
                <w:szCs w:val="24"/>
                <w:highlight w:val="none"/>
                <w:vertAlign w:val="baseline"/>
                <w:lang w:val="en-US" w:eastAsia="zh-CN" w:bidi="ar"/>
              </w:rPr>
              <w:t>级有关部门</w:t>
            </w:r>
          </w:p>
        </w:tc>
        <w:tc>
          <w:tcPr>
            <w:tcW w:w="967" w:type="dxa"/>
            <w:noWrap w:val="0"/>
            <w:vAlign w:val="center"/>
          </w:tcPr>
          <w:p w14:paraId="1D4C6800">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熊向令</w:t>
            </w:r>
          </w:p>
        </w:tc>
        <w:tc>
          <w:tcPr>
            <w:tcW w:w="1654" w:type="dxa"/>
            <w:noWrap w:val="0"/>
            <w:vAlign w:val="center"/>
          </w:tcPr>
          <w:p w14:paraId="07271F2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kern w:val="0"/>
                <w:sz w:val="24"/>
                <w:szCs w:val="24"/>
                <w:highlight w:val="none"/>
                <w:vertAlign w:val="baseline"/>
                <w:lang w:val="en-US" w:eastAsia="zh-CN" w:bidi="ar"/>
              </w:rPr>
            </w:pPr>
            <w:r>
              <w:rPr>
                <w:rFonts w:hint="eastAsia" w:ascii="Times New Roman" w:hAnsi="Times New Roman" w:eastAsia="方正仿宋_GBK" w:cs="Times New Roman"/>
                <w:color w:val="000000"/>
                <w:kern w:val="0"/>
                <w:sz w:val="24"/>
                <w:szCs w:val="24"/>
                <w:highlight w:val="none"/>
                <w:vertAlign w:val="baseline"/>
                <w:lang w:val="en-US" w:eastAsia="zh-CN" w:bidi="ar"/>
              </w:rPr>
              <w:t>17383138663</w:t>
            </w:r>
          </w:p>
        </w:tc>
        <w:tc>
          <w:tcPr>
            <w:tcW w:w="2888" w:type="dxa"/>
            <w:noWrap w:val="0"/>
            <w:vAlign w:val="center"/>
          </w:tcPr>
          <w:p w14:paraId="02FBC44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方正仿宋_GBK" w:cs="Times New Roman"/>
                <w:color w:val="000000"/>
                <w:kern w:val="0"/>
                <w:sz w:val="24"/>
                <w:szCs w:val="24"/>
                <w:highlight w:val="none"/>
                <w:vertAlign w:val="baseline"/>
                <w:lang w:val="en-US" w:eastAsia="zh-CN" w:bidi="ar"/>
              </w:rPr>
            </w:pPr>
            <w:r>
              <w:rPr>
                <w:rFonts w:hint="default" w:ascii="Times New Roman" w:hAnsi="Times New Roman" w:eastAsia="方正仿宋_GBK" w:cs="Times New Roman"/>
                <w:color w:val="000000"/>
                <w:kern w:val="0"/>
                <w:sz w:val="24"/>
                <w:szCs w:val="24"/>
                <w:highlight w:val="none"/>
                <w:vertAlign w:val="baseline"/>
                <w:lang w:val="en-US" w:eastAsia="zh-CN" w:bidi="ar"/>
              </w:rPr>
              <w:t>《关于印发重庆市打造民营经济发展高地若干措施的通知》</w:t>
            </w:r>
            <w:r>
              <w:rPr>
                <w:rFonts w:hint="eastAsia" w:ascii="Times New Roman" w:hAnsi="Times New Roman" w:eastAsia="方正仿宋_GBK" w:cs="Times New Roman"/>
                <w:color w:val="000000"/>
                <w:kern w:val="0"/>
                <w:sz w:val="24"/>
                <w:szCs w:val="24"/>
                <w:highlight w:val="none"/>
                <w:vertAlign w:val="baseline"/>
                <w:lang w:val="en-US" w:eastAsia="zh-CN" w:bidi="ar"/>
              </w:rPr>
              <w:t>（</w:t>
            </w:r>
            <w:r>
              <w:rPr>
                <w:rFonts w:hint="default" w:ascii="Times New Roman" w:hAnsi="Times New Roman" w:eastAsia="方正仿宋_GBK" w:cs="Times New Roman"/>
                <w:color w:val="000000"/>
                <w:kern w:val="0"/>
                <w:sz w:val="24"/>
                <w:szCs w:val="24"/>
                <w:highlight w:val="none"/>
                <w:vertAlign w:val="baseline"/>
                <w:lang w:val="en-US" w:eastAsia="zh-CN" w:bidi="ar"/>
              </w:rPr>
              <w:t>渝府办发〔2025〕12号</w:t>
            </w:r>
            <w:r>
              <w:rPr>
                <w:rFonts w:hint="eastAsia" w:ascii="Times New Roman" w:hAnsi="Times New Roman" w:eastAsia="方正仿宋_GBK" w:cs="Times New Roman"/>
                <w:color w:val="000000"/>
                <w:kern w:val="0"/>
                <w:sz w:val="24"/>
                <w:szCs w:val="24"/>
                <w:highlight w:val="none"/>
                <w:vertAlign w:val="baseline"/>
                <w:lang w:val="en-US" w:eastAsia="zh-CN" w:bidi="ar"/>
              </w:rPr>
              <w:t>）</w:t>
            </w:r>
          </w:p>
        </w:tc>
      </w:tr>
    </w:tbl>
    <w:p w14:paraId="5B06D927">
      <w:pPr>
        <w:pStyle w:val="2"/>
      </w:pPr>
    </w:p>
    <w:bookmarkEnd w:id="0"/>
    <w:p w14:paraId="1D7822A1">
      <w:pPr>
        <w:spacing w:line="560" w:lineRule="exact"/>
        <w:ind w:left="0" w:leftChars="0" w:firstLine="0" w:firstLineChars="0"/>
        <w:jc w:val="both"/>
        <w:rPr>
          <w:rFonts w:hint="eastAsia" w:ascii="Times New Roman" w:hAnsi="Times New Roman"/>
        </w:rPr>
      </w:pPr>
      <w:bookmarkStart w:id="1" w:name="zw"/>
      <w:bookmarkEnd w:id="1"/>
    </w:p>
    <w:sectPr>
      <w:pgSz w:w="16838" w:h="11906" w:orient="landscape"/>
      <w:pgMar w:top="1588" w:right="2098" w:bottom="1474" w:left="1985"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8ABEBCF-A648-4C71-BE34-0B5A03696DFB}"/>
  </w:font>
  <w:font w:name="Arial">
    <w:panose1 w:val="020B0604020202020204"/>
    <w:charset w:val="01"/>
    <w:family w:val="swiss"/>
    <w:pitch w:val="default"/>
    <w:sig w:usb0="E0002EFF" w:usb1="C000785B" w:usb2="00000009" w:usb3="00000000" w:csb0="400001FF" w:csb1="FFFF0000"/>
    <w:embedRegular r:id="rId2" w:fontKey="{40F66BF2-61DD-4A97-877C-761BD331A77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E7E5854-52D9-41B5-8526-3DE57661F59A}"/>
  </w:font>
  <w:font w:name="Symbol">
    <w:panose1 w:val="05050102010706020507"/>
    <w:charset w:val="02"/>
    <w:family w:val="roman"/>
    <w:pitch w:val="default"/>
    <w:sig w:usb0="00000000" w:usb1="00000000" w:usb2="00000000" w:usb3="00000000" w:csb0="80000000" w:csb1="00000000"/>
    <w:embedRegular r:id="rId4" w:fontKey="{7C8D6EB5-29DB-410F-A9D7-FBAD30E8FDE2}"/>
  </w:font>
  <w:font w:name="Calibri">
    <w:panose1 w:val="020F0502020204030204"/>
    <w:charset w:val="00"/>
    <w:family w:val="swiss"/>
    <w:pitch w:val="default"/>
    <w:sig w:usb0="E4002EFF" w:usb1="C200247B" w:usb2="00000009" w:usb3="00000000" w:csb0="200001FF" w:csb1="00000000"/>
    <w:embedRegular r:id="rId5" w:fontKey="{36B3E959-34B7-4F04-B0CB-9C642BC72D20}"/>
  </w:font>
  <w:font w:name="仿宋_GB2312">
    <w:panose1 w:val="02010609030101010101"/>
    <w:charset w:val="86"/>
    <w:family w:val="modern"/>
    <w:pitch w:val="default"/>
    <w:sig w:usb0="00000001" w:usb1="080E0000" w:usb2="00000000" w:usb3="00000000" w:csb0="00040000" w:csb1="00000000"/>
    <w:embedRegular r:id="rId6" w:fontKey="{DD32AE57-681E-425A-A32C-68C0092A1585}"/>
  </w:font>
  <w:font w:name="方正黑体_GBK">
    <w:panose1 w:val="03000509000000000000"/>
    <w:charset w:val="86"/>
    <w:family w:val="script"/>
    <w:pitch w:val="default"/>
    <w:sig w:usb0="00000001" w:usb1="080E0000" w:usb2="00000000" w:usb3="00000000" w:csb0="00040000" w:csb1="00000000"/>
    <w:embedRegular r:id="rId7" w:fontKey="{CA45C70D-1586-4D22-83BC-F6EA6EC53042}"/>
  </w:font>
  <w:font w:name="方正仿宋_GBK">
    <w:panose1 w:val="03000509000000000000"/>
    <w:charset w:val="86"/>
    <w:family w:val="auto"/>
    <w:pitch w:val="default"/>
    <w:sig w:usb0="00000001" w:usb1="080E0000" w:usb2="00000000" w:usb3="00000000" w:csb0="00040000" w:csb1="00000000"/>
    <w:embedRegular r:id="rId8" w:fontKey="{FDAB1D52-BFBE-4520-AD9F-1BBFD016D317}"/>
  </w:font>
  <w:font w:name="方正楷体_GBK">
    <w:panose1 w:val="03000509000000000000"/>
    <w:charset w:val="86"/>
    <w:family w:val="script"/>
    <w:pitch w:val="default"/>
    <w:sig w:usb0="00000001" w:usb1="080E0000" w:usb2="00000000" w:usb3="00000000" w:csb0="00040000" w:csb1="00000000"/>
    <w:embedRegular r:id="rId9" w:fontKey="{F3AF15F9-6B84-472D-A415-3916C609878D}"/>
  </w:font>
  <w:font w:name="方正小标宋_GBK">
    <w:panose1 w:val="03000509000000000000"/>
    <w:charset w:val="86"/>
    <w:family w:val="script"/>
    <w:pitch w:val="default"/>
    <w:sig w:usb0="00000001" w:usb1="080E0000" w:usb2="00000000" w:usb3="00000000" w:csb0="00040000" w:csb1="00000000"/>
    <w:embedRegular r:id="rId10" w:fontKey="{57C023BE-F569-48DB-9DC1-C54D0E7193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503CA">
    <w:pPr>
      <w:pStyle w:val="20"/>
      <w:framePr w:wrap="around" w:vAnchor="text" w:hAnchor="margin" w:xAlign="outside" w:y="1"/>
      <w:tabs>
        <w:tab w:val="clear" w:pos="4153"/>
      </w:tabs>
      <w:snapToGrid/>
      <w:ind w:right="280" w:rightChars="100" w:firstLine="560"/>
      <w:jc w:val="righ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p w14:paraId="59E398F0">
    <w:pPr>
      <w:pStyle w:val="20"/>
      <w:ind w:right="360" w:firstLine="360"/>
      <w:jc w:val="center"/>
      <w:rPr>
        <w:rFonts w:hint="eastAsia" w:ascii="宋体" w:hAnsi="宋体" w:eastAsia="宋体" w:cs="宋体"/>
        <w:b/>
        <w:bCs/>
        <w:color w:val="005192"/>
        <w:sz w:val="28"/>
        <w:szCs w:val="44"/>
        <w:lang w:eastAsia="zh-CN"/>
      </w:rPr>
    </w:pPr>
  </w:p>
  <w:p w14:paraId="3C9ADAC7">
    <w:pPr>
      <w:pStyle w:val="20"/>
      <w:ind w:right="360" w:firstLine="360"/>
      <w:jc w:val="right"/>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11430</wp:posOffset>
              </wp:positionV>
              <wp:extent cx="5605780" cy="0"/>
              <wp:effectExtent l="0" t="10795" r="4445" b="17780"/>
              <wp:wrapNone/>
              <wp:docPr id="41" name="直接连接符 41"/>
              <wp:cNvGraphicFramePr/>
              <a:graphic xmlns:a="http://schemas.openxmlformats.org/drawingml/2006/main">
                <a:graphicData uri="http://schemas.microsoft.com/office/word/2010/wordprocessingShape">
                  <wps:wsp>
                    <wps:cNvCnPr/>
                    <wps:spPr>
                      <a:xfrm>
                        <a:off x="0" y="0"/>
                        <a:ext cx="5605780" cy="0"/>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3pt;margin-top:0.9pt;height:0pt;width:441.4pt;z-index:251660288;mso-width-relative:page;mso-height-relative:page;" filled="f" stroked="t" coordsize="21600,21600" o:gfxdata="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6JlVzPAAAA&#10;BQEAAA8AAAAAAAAAAQAgAAAAIgAAAGRycy9kb3ducmV2LnhtbFBLAQIUABQAAAAIAIdO4kDLYHYD&#10;7QEAAMIDAAAOAAAAAAAAAAEAIAAAAB4BAABkcnMvZTJvRG9jLnhtbFBLBQYAAAAABgAGAFkBAAB9&#10;BQAAAAA=&#10;">
              <v:fill on="f" focussize="0,0"/>
              <v:stroke weight="1.75pt" color="#005192" miterlimit="8" joinstyle="miter"/>
              <v:imagedata o:title=""/>
              <o:lock v:ext="edit" aspectratio="f"/>
            </v:line>
          </w:pict>
        </mc:Fallback>
      </mc:AlternateContent>
    </w:r>
    <w:r>
      <w:rPr>
        <w:rFonts w:hint="eastAsia" w:ascii="宋体" w:hAnsi="宋体" w:eastAsia="宋体" w:cs="宋体"/>
        <w:b/>
        <w:bCs/>
        <w:color w:val="005192"/>
        <w:sz w:val="28"/>
        <w:szCs w:val="44"/>
        <w:lang w:eastAsia="zh-CN"/>
      </w:rPr>
      <w:t>重庆市</w:t>
    </w:r>
    <w:r>
      <w:rPr>
        <w:rFonts w:hint="eastAsia" w:ascii="宋体" w:hAnsi="宋体" w:eastAsia="宋体" w:cs="宋体"/>
        <w:b/>
        <w:bCs/>
        <w:color w:val="005192"/>
        <w:sz w:val="28"/>
        <w:szCs w:val="44"/>
        <w:lang w:val="en-US" w:eastAsia="zh-CN"/>
      </w:rPr>
      <w:t>城口县</w:t>
    </w:r>
    <w:r>
      <w:rPr>
        <w:rFonts w:hint="eastAsia" w:ascii="宋体" w:hAnsi="宋体" w:eastAsia="宋体" w:cs="宋体"/>
        <w:b/>
        <w:bCs/>
        <w:color w:val="005192"/>
        <w:sz w:val="28"/>
        <w:szCs w:val="44"/>
        <w:lang w:eastAsia="zh-CN"/>
      </w:rPr>
      <w:t>人民政府</w:t>
    </w:r>
    <w:r>
      <w:rPr>
        <w:rFonts w:hint="eastAsia" w:ascii="宋体" w:hAnsi="宋体" w:eastAsia="宋体" w:cs="宋体"/>
        <w:b/>
        <w:bCs/>
        <w:color w:val="005192"/>
        <w:sz w:val="28"/>
        <w:szCs w:val="44"/>
        <w:lang w:val="en-US" w:eastAsia="zh-CN"/>
      </w:rPr>
      <w:t>办公室</w:t>
    </w:r>
    <w:r>
      <w:rPr>
        <w:rFonts w:hint="eastAsia" w:ascii="宋体" w:hAnsi="宋体" w:eastAsia="宋体" w:cs="宋体"/>
        <w:b/>
        <w:bCs/>
        <w:color w:val="005192"/>
        <w:sz w:val="28"/>
        <w:szCs w:val="44"/>
        <w:lang w:eastAsia="zh-CN"/>
      </w:rPr>
      <w:t>发布</w:t>
    </w:r>
    <w:r>
      <w:rPr>
        <w:rFonts w:hint="eastAsia" w:ascii="宋体" w:hAnsi="宋体" w:eastAsia="宋体" w:cs="宋体"/>
        <w:b/>
        <w:bCs/>
        <w:color w:val="005192"/>
        <w:sz w:val="28"/>
        <w:szCs w:val="44"/>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9AE7C">
    <w:pPr>
      <w:pStyle w:val="20"/>
      <w:framePr w:wrap="around" w:vAnchor="text" w:hAnchor="page" w:x="1049" w:y="42"/>
      <w:snapToGrid/>
      <w:ind w:left="280" w:leftChars="100" w:firstLine="560"/>
      <w:rPr>
        <w:rFonts w:ascii="宋体" w:hAnsi="宋体"/>
        <w:sz w:val="28"/>
      </w:rPr>
    </w:pPr>
    <w:r>
      <w:rPr>
        <w:rFonts w:ascii="宋体" w:hAnsi="宋体"/>
        <w:sz w:val="28"/>
      </w:rPr>
      <w:t xml:space="preserve">— </w:t>
    </w:r>
    <w:r>
      <w:rPr>
        <w:sz w:val="28"/>
      </w:rPr>
      <w:fldChar w:fldCharType="begin"/>
    </w:r>
    <w:r>
      <w:rPr>
        <w:sz w:val="28"/>
      </w:rPr>
      <w:instrText xml:space="preserve"> PAGE Page \* MERGEFORMAT </w:instrText>
    </w:r>
    <w:r>
      <w:rPr>
        <w:sz w:val="28"/>
      </w:rPr>
      <w:fldChar w:fldCharType="separate"/>
    </w:r>
    <w:r>
      <w:rPr>
        <w:sz w:val="28"/>
      </w:rPr>
      <w:t>30</w:t>
    </w:r>
    <w:r>
      <w:rPr>
        <w:sz w:val="28"/>
      </w:rPr>
      <w:fldChar w:fldCharType="end"/>
    </w:r>
    <w:r>
      <w:rPr>
        <w:rFonts w:ascii="宋体" w:hAnsi="宋体"/>
        <w:sz w:val="28"/>
      </w:rPr>
      <w:t xml:space="preserve"> —</w:t>
    </w:r>
  </w:p>
  <w:p w14:paraId="6E134B5A">
    <w:pPr>
      <w:pStyle w:val="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2E6D3">
    <w:pPr>
      <w:pStyle w:val="21"/>
      <w:keepNext w:val="0"/>
      <w:keepLines w:val="0"/>
      <w:pageBreakBefore w:val="0"/>
      <w:widowControl w:val="0"/>
      <w:pBdr>
        <w:bottom w:val="none" w:color="auto" w:sz="0" w:space="1"/>
      </w:pBdr>
      <w:kinsoku/>
      <w:wordWrap/>
      <w:overflowPunct/>
      <w:topLinePunct w:val="0"/>
      <w:autoSpaceDE/>
      <w:autoSpaceDN/>
      <w:bidi w:val="0"/>
      <w:adjustRightInd/>
      <w:snapToGrid w:val="0"/>
      <w:jc w:val="left"/>
      <w:textAlignment w:val="center"/>
      <w:rPr>
        <w:rFonts w:hint="eastAsia"/>
        <w:lang w:val="en-US" w:eastAsia="zh-CN"/>
      </w:rPr>
    </w:pPr>
    <w:r>
      <w:rPr>
        <w:rFonts w:hint="eastAsia" w:ascii="宋体" w:hAnsi="宋体" w:eastAsia="宋体" w:cs="宋体"/>
        <w:b/>
        <w:bCs/>
        <w:color w:val="005192"/>
        <w:sz w:val="32"/>
      </w:rPr>
      <w:drawing>
        <wp:inline distT="0" distB="0" distL="114300" distR="114300">
          <wp:extent cx="308610" cy="308610"/>
          <wp:effectExtent l="0" t="0" r="0" b="0"/>
          <wp:docPr id="2"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城口县人民政府办公室</w:t>
    </w:r>
    <w:r>
      <w:rPr>
        <w:rFonts w:hint="eastAsia" w:ascii="宋体" w:hAnsi="宋体" w:eastAsia="宋体" w:cs="宋体"/>
        <w:b/>
        <w:bCs/>
        <w:color w:val="005192"/>
        <w:sz w:val="32"/>
        <w:szCs w:val="32"/>
        <w:lang w:val="en-US" w:eastAsia="zh-Hans"/>
      </w:rPr>
      <w:t>文件</w:t>
    </w:r>
  </w:p>
  <w:p w14:paraId="6D0AFDD9">
    <w:pPr>
      <w:pStyle w:val="21"/>
      <w:pBdr>
        <w:bottom w:val="none" w:color="auto" w:sz="0" w:space="0"/>
      </w:pBdr>
      <w:ind w:firstLine="360"/>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19685</wp:posOffset>
              </wp:positionV>
              <wp:extent cx="5620385" cy="0"/>
              <wp:effectExtent l="0" t="0" r="0" b="0"/>
              <wp:wrapNone/>
              <wp:docPr id="38" name="直接连接符 38"/>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1.15pt;margin-top:1.55pt;height:0pt;width:442.55pt;z-index:251659264;mso-width-relative:page;mso-height-relative:page;" filled="f" stroked="t" coordsize="21600,21600" o:gfxdata="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1Nz09EAAAAFAQAADwAAAAAAAAABACAAAAAiAAAAZHJzL2Rvd25yZXYu&#10;eG1sUEsBAhQAFAAAAAgAh07iQO2sF3ICAgAA/wMAAA4AAAAAAAAAAQAgAAAAIAEAAGRycy9lMm9E&#10;b2MueG1sUEsFBgAAAAAGAAYAWQEAAJQFAAAAAA==&#10;">
              <v:fill on="f" focussize="0,0"/>
              <v:stroke weight="1.75pt" color="#0070C0"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3FD43">
    <w:pPr>
      <w:pStyle w:val="2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082C90"/>
    <w:multiLevelType w:val="singleLevel"/>
    <w:tmpl w:val="39082C90"/>
    <w:lvl w:ilvl="0" w:tentative="0">
      <w:start w:val="4"/>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TrueType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noLineBreaksAfter w:lang="zh-CN" w:val="([{·‘“〈《「『【〔〖（．［｛￡￥"/>
  <w:noLineBreaksBefore w:lang="zh-CN" w:val="!),.:;?]}¨·ˇˉ―‖’”…∶、。〃々〉》」』】〕〗！＂＇），．：；？］｀｜｝～￠"/>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NDgyNmE1NDM0YWMwNDU0Zjg0MGEwNDkyMDg0M2EifQ=="/>
  </w:docVars>
  <w:rsids>
    <w:rsidRoot w:val="00457E13"/>
    <w:rsid w:val="00000085"/>
    <w:rsid w:val="000003A1"/>
    <w:rsid w:val="00000AC4"/>
    <w:rsid w:val="00001056"/>
    <w:rsid w:val="000019D0"/>
    <w:rsid w:val="000041BE"/>
    <w:rsid w:val="000054AB"/>
    <w:rsid w:val="00005551"/>
    <w:rsid w:val="00006720"/>
    <w:rsid w:val="000078EB"/>
    <w:rsid w:val="0001002C"/>
    <w:rsid w:val="00010982"/>
    <w:rsid w:val="000114E8"/>
    <w:rsid w:val="00012201"/>
    <w:rsid w:val="0001231C"/>
    <w:rsid w:val="00012DDD"/>
    <w:rsid w:val="00014297"/>
    <w:rsid w:val="00014BA5"/>
    <w:rsid w:val="00015344"/>
    <w:rsid w:val="00015765"/>
    <w:rsid w:val="00015EE2"/>
    <w:rsid w:val="00016368"/>
    <w:rsid w:val="00016A6D"/>
    <w:rsid w:val="00016BA0"/>
    <w:rsid w:val="00016CA8"/>
    <w:rsid w:val="00017740"/>
    <w:rsid w:val="0001776B"/>
    <w:rsid w:val="00017C9A"/>
    <w:rsid w:val="00020197"/>
    <w:rsid w:val="000216CB"/>
    <w:rsid w:val="000221DF"/>
    <w:rsid w:val="00022E6D"/>
    <w:rsid w:val="00023505"/>
    <w:rsid w:val="00024CB1"/>
    <w:rsid w:val="00025AE9"/>
    <w:rsid w:val="00025B6F"/>
    <w:rsid w:val="00026159"/>
    <w:rsid w:val="000262F2"/>
    <w:rsid w:val="0002703D"/>
    <w:rsid w:val="000320FA"/>
    <w:rsid w:val="00032845"/>
    <w:rsid w:val="00032E3B"/>
    <w:rsid w:val="000340F1"/>
    <w:rsid w:val="0003442E"/>
    <w:rsid w:val="0003445F"/>
    <w:rsid w:val="000361AD"/>
    <w:rsid w:val="00036362"/>
    <w:rsid w:val="00036AC2"/>
    <w:rsid w:val="00037130"/>
    <w:rsid w:val="00040478"/>
    <w:rsid w:val="000413F0"/>
    <w:rsid w:val="0004210E"/>
    <w:rsid w:val="000422B6"/>
    <w:rsid w:val="00042356"/>
    <w:rsid w:val="00042407"/>
    <w:rsid w:val="00043637"/>
    <w:rsid w:val="0004385B"/>
    <w:rsid w:val="00043ECD"/>
    <w:rsid w:val="00044737"/>
    <w:rsid w:val="00045DED"/>
    <w:rsid w:val="00046411"/>
    <w:rsid w:val="00046524"/>
    <w:rsid w:val="0004669F"/>
    <w:rsid w:val="000469FB"/>
    <w:rsid w:val="00046C8B"/>
    <w:rsid w:val="00047C95"/>
    <w:rsid w:val="00050978"/>
    <w:rsid w:val="00050B45"/>
    <w:rsid w:val="00050CA2"/>
    <w:rsid w:val="000515B4"/>
    <w:rsid w:val="0005162E"/>
    <w:rsid w:val="00052797"/>
    <w:rsid w:val="00054026"/>
    <w:rsid w:val="0005459D"/>
    <w:rsid w:val="00054999"/>
    <w:rsid w:val="000554C4"/>
    <w:rsid w:val="00056093"/>
    <w:rsid w:val="0005709E"/>
    <w:rsid w:val="000578E5"/>
    <w:rsid w:val="00061890"/>
    <w:rsid w:val="000640FA"/>
    <w:rsid w:val="000645EE"/>
    <w:rsid w:val="000650F7"/>
    <w:rsid w:val="00065345"/>
    <w:rsid w:val="00065F4F"/>
    <w:rsid w:val="000660A0"/>
    <w:rsid w:val="000662B2"/>
    <w:rsid w:val="00070332"/>
    <w:rsid w:val="00070432"/>
    <w:rsid w:val="000710F5"/>
    <w:rsid w:val="000714B5"/>
    <w:rsid w:val="000718AB"/>
    <w:rsid w:val="00071987"/>
    <w:rsid w:val="0007275D"/>
    <w:rsid w:val="0007406F"/>
    <w:rsid w:val="000740CF"/>
    <w:rsid w:val="00075207"/>
    <w:rsid w:val="0007711E"/>
    <w:rsid w:val="0008029B"/>
    <w:rsid w:val="000802E4"/>
    <w:rsid w:val="00080A59"/>
    <w:rsid w:val="00081A03"/>
    <w:rsid w:val="00081C31"/>
    <w:rsid w:val="00082E59"/>
    <w:rsid w:val="00083532"/>
    <w:rsid w:val="000838F6"/>
    <w:rsid w:val="00083BDB"/>
    <w:rsid w:val="0008400C"/>
    <w:rsid w:val="000842B8"/>
    <w:rsid w:val="00085938"/>
    <w:rsid w:val="0008624C"/>
    <w:rsid w:val="0008762D"/>
    <w:rsid w:val="00087AAB"/>
    <w:rsid w:val="00087F64"/>
    <w:rsid w:val="00091C9F"/>
    <w:rsid w:val="00092376"/>
    <w:rsid w:val="00094601"/>
    <w:rsid w:val="00095461"/>
    <w:rsid w:val="00097230"/>
    <w:rsid w:val="00097DFD"/>
    <w:rsid w:val="00097ECD"/>
    <w:rsid w:val="000A0747"/>
    <w:rsid w:val="000A244B"/>
    <w:rsid w:val="000A25CB"/>
    <w:rsid w:val="000A2DED"/>
    <w:rsid w:val="000A3505"/>
    <w:rsid w:val="000A4840"/>
    <w:rsid w:val="000A530F"/>
    <w:rsid w:val="000A57E0"/>
    <w:rsid w:val="000A6FF9"/>
    <w:rsid w:val="000A7C20"/>
    <w:rsid w:val="000A7E05"/>
    <w:rsid w:val="000B134A"/>
    <w:rsid w:val="000B1727"/>
    <w:rsid w:val="000B2072"/>
    <w:rsid w:val="000B26F3"/>
    <w:rsid w:val="000B324E"/>
    <w:rsid w:val="000B4BD1"/>
    <w:rsid w:val="000B4FF5"/>
    <w:rsid w:val="000B532B"/>
    <w:rsid w:val="000B5D9B"/>
    <w:rsid w:val="000B5FA8"/>
    <w:rsid w:val="000B60A0"/>
    <w:rsid w:val="000B6602"/>
    <w:rsid w:val="000B6D1C"/>
    <w:rsid w:val="000C01D5"/>
    <w:rsid w:val="000C0A80"/>
    <w:rsid w:val="000C0CA9"/>
    <w:rsid w:val="000C152A"/>
    <w:rsid w:val="000C17E4"/>
    <w:rsid w:val="000C300B"/>
    <w:rsid w:val="000C3A9F"/>
    <w:rsid w:val="000C3DAC"/>
    <w:rsid w:val="000C4787"/>
    <w:rsid w:val="000C4C8B"/>
    <w:rsid w:val="000C4E61"/>
    <w:rsid w:val="000C5A8B"/>
    <w:rsid w:val="000C66D9"/>
    <w:rsid w:val="000C6832"/>
    <w:rsid w:val="000C696F"/>
    <w:rsid w:val="000C7578"/>
    <w:rsid w:val="000C7B34"/>
    <w:rsid w:val="000D06CB"/>
    <w:rsid w:val="000D0F01"/>
    <w:rsid w:val="000D1068"/>
    <w:rsid w:val="000D15DB"/>
    <w:rsid w:val="000D509B"/>
    <w:rsid w:val="000D545B"/>
    <w:rsid w:val="000D57C8"/>
    <w:rsid w:val="000E1636"/>
    <w:rsid w:val="000E19F9"/>
    <w:rsid w:val="000E21FA"/>
    <w:rsid w:val="000E2296"/>
    <w:rsid w:val="000E2BCA"/>
    <w:rsid w:val="000E2BE5"/>
    <w:rsid w:val="000E2FEE"/>
    <w:rsid w:val="000E3BA4"/>
    <w:rsid w:val="000E5187"/>
    <w:rsid w:val="000E6AD3"/>
    <w:rsid w:val="000E7781"/>
    <w:rsid w:val="000E791C"/>
    <w:rsid w:val="000F0646"/>
    <w:rsid w:val="000F19F7"/>
    <w:rsid w:val="000F22E5"/>
    <w:rsid w:val="000F30B8"/>
    <w:rsid w:val="000F30FF"/>
    <w:rsid w:val="000F3864"/>
    <w:rsid w:val="000F428B"/>
    <w:rsid w:val="000F624D"/>
    <w:rsid w:val="000F71EE"/>
    <w:rsid w:val="000F7400"/>
    <w:rsid w:val="000F75E9"/>
    <w:rsid w:val="000F7A4D"/>
    <w:rsid w:val="001000C8"/>
    <w:rsid w:val="001005D8"/>
    <w:rsid w:val="00102D7B"/>
    <w:rsid w:val="00102D9B"/>
    <w:rsid w:val="0010325A"/>
    <w:rsid w:val="0010351A"/>
    <w:rsid w:val="00104B4F"/>
    <w:rsid w:val="00104E39"/>
    <w:rsid w:val="0010615F"/>
    <w:rsid w:val="00106A7D"/>
    <w:rsid w:val="00107732"/>
    <w:rsid w:val="00107C8B"/>
    <w:rsid w:val="00107D41"/>
    <w:rsid w:val="00111E7A"/>
    <w:rsid w:val="001120F7"/>
    <w:rsid w:val="0011258E"/>
    <w:rsid w:val="00113161"/>
    <w:rsid w:val="0011374F"/>
    <w:rsid w:val="00113C78"/>
    <w:rsid w:val="001150D5"/>
    <w:rsid w:val="00115CA2"/>
    <w:rsid w:val="00115DDC"/>
    <w:rsid w:val="001169D8"/>
    <w:rsid w:val="001178AA"/>
    <w:rsid w:val="00120333"/>
    <w:rsid w:val="00120DD0"/>
    <w:rsid w:val="00121352"/>
    <w:rsid w:val="0012170F"/>
    <w:rsid w:val="00122708"/>
    <w:rsid w:val="00122FD4"/>
    <w:rsid w:val="001240C5"/>
    <w:rsid w:val="00124417"/>
    <w:rsid w:val="00124708"/>
    <w:rsid w:val="00124764"/>
    <w:rsid w:val="00124CDD"/>
    <w:rsid w:val="0012553B"/>
    <w:rsid w:val="00125A0E"/>
    <w:rsid w:val="00125BC9"/>
    <w:rsid w:val="00125D51"/>
    <w:rsid w:val="00125DDC"/>
    <w:rsid w:val="0012647C"/>
    <w:rsid w:val="00126EE7"/>
    <w:rsid w:val="001279CB"/>
    <w:rsid w:val="00127F27"/>
    <w:rsid w:val="00131794"/>
    <w:rsid w:val="001326A3"/>
    <w:rsid w:val="00133067"/>
    <w:rsid w:val="00133114"/>
    <w:rsid w:val="001337BC"/>
    <w:rsid w:val="00135055"/>
    <w:rsid w:val="0013638D"/>
    <w:rsid w:val="00136BC1"/>
    <w:rsid w:val="001409EC"/>
    <w:rsid w:val="00140B67"/>
    <w:rsid w:val="001410CC"/>
    <w:rsid w:val="00141ABD"/>
    <w:rsid w:val="00141F0B"/>
    <w:rsid w:val="0014331F"/>
    <w:rsid w:val="001449FF"/>
    <w:rsid w:val="00144C34"/>
    <w:rsid w:val="00144F71"/>
    <w:rsid w:val="0014605C"/>
    <w:rsid w:val="00146104"/>
    <w:rsid w:val="00146F81"/>
    <w:rsid w:val="0014733A"/>
    <w:rsid w:val="00147829"/>
    <w:rsid w:val="00147882"/>
    <w:rsid w:val="00147EC7"/>
    <w:rsid w:val="00151B77"/>
    <w:rsid w:val="00151DBD"/>
    <w:rsid w:val="0015271F"/>
    <w:rsid w:val="001539C6"/>
    <w:rsid w:val="00153FBB"/>
    <w:rsid w:val="001556A2"/>
    <w:rsid w:val="001567B5"/>
    <w:rsid w:val="001567C9"/>
    <w:rsid w:val="00156A74"/>
    <w:rsid w:val="0015704D"/>
    <w:rsid w:val="001608C9"/>
    <w:rsid w:val="00161216"/>
    <w:rsid w:val="00163278"/>
    <w:rsid w:val="0016424E"/>
    <w:rsid w:val="00165D25"/>
    <w:rsid w:val="001667AF"/>
    <w:rsid w:val="00166CCA"/>
    <w:rsid w:val="00167401"/>
    <w:rsid w:val="001674AF"/>
    <w:rsid w:val="001679D9"/>
    <w:rsid w:val="001717D1"/>
    <w:rsid w:val="001752F7"/>
    <w:rsid w:val="00175583"/>
    <w:rsid w:val="0017560B"/>
    <w:rsid w:val="0017581E"/>
    <w:rsid w:val="00175F2F"/>
    <w:rsid w:val="00176EF4"/>
    <w:rsid w:val="001821A6"/>
    <w:rsid w:val="00182486"/>
    <w:rsid w:val="001842A9"/>
    <w:rsid w:val="00184847"/>
    <w:rsid w:val="00185499"/>
    <w:rsid w:val="00185AC0"/>
    <w:rsid w:val="00186071"/>
    <w:rsid w:val="00186B53"/>
    <w:rsid w:val="00186C7F"/>
    <w:rsid w:val="00190D87"/>
    <w:rsid w:val="001911F6"/>
    <w:rsid w:val="001911FB"/>
    <w:rsid w:val="00191999"/>
    <w:rsid w:val="00192218"/>
    <w:rsid w:val="0019259D"/>
    <w:rsid w:val="00192ABA"/>
    <w:rsid w:val="00192CF2"/>
    <w:rsid w:val="00193562"/>
    <w:rsid w:val="00194112"/>
    <w:rsid w:val="00194E0B"/>
    <w:rsid w:val="0019569F"/>
    <w:rsid w:val="001960A2"/>
    <w:rsid w:val="00196154"/>
    <w:rsid w:val="00196308"/>
    <w:rsid w:val="001968CC"/>
    <w:rsid w:val="001A0292"/>
    <w:rsid w:val="001A0CE0"/>
    <w:rsid w:val="001A0D82"/>
    <w:rsid w:val="001A194A"/>
    <w:rsid w:val="001A5087"/>
    <w:rsid w:val="001A5504"/>
    <w:rsid w:val="001A55E4"/>
    <w:rsid w:val="001A7943"/>
    <w:rsid w:val="001A79FE"/>
    <w:rsid w:val="001B1128"/>
    <w:rsid w:val="001B2102"/>
    <w:rsid w:val="001B2119"/>
    <w:rsid w:val="001B27A0"/>
    <w:rsid w:val="001B3CCD"/>
    <w:rsid w:val="001B5438"/>
    <w:rsid w:val="001B5907"/>
    <w:rsid w:val="001B65A6"/>
    <w:rsid w:val="001B700D"/>
    <w:rsid w:val="001B7A11"/>
    <w:rsid w:val="001C02FB"/>
    <w:rsid w:val="001C0E98"/>
    <w:rsid w:val="001C11E2"/>
    <w:rsid w:val="001C1DB2"/>
    <w:rsid w:val="001C24AA"/>
    <w:rsid w:val="001C2E47"/>
    <w:rsid w:val="001C4600"/>
    <w:rsid w:val="001C5904"/>
    <w:rsid w:val="001C68D6"/>
    <w:rsid w:val="001C7475"/>
    <w:rsid w:val="001C7FAA"/>
    <w:rsid w:val="001D0A9F"/>
    <w:rsid w:val="001D1AC7"/>
    <w:rsid w:val="001D2EB7"/>
    <w:rsid w:val="001D3586"/>
    <w:rsid w:val="001D3632"/>
    <w:rsid w:val="001D3D25"/>
    <w:rsid w:val="001D4B6E"/>
    <w:rsid w:val="001D5174"/>
    <w:rsid w:val="001D51D8"/>
    <w:rsid w:val="001D6792"/>
    <w:rsid w:val="001D6B70"/>
    <w:rsid w:val="001E02F7"/>
    <w:rsid w:val="001E1146"/>
    <w:rsid w:val="001E123C"/>
    <w:rsid w:val="001E12FA"/>
    <w:rsid w:val="001E1CA2"/>
    <w:rsid w:val="001E4BE7"/>
    <w:rsid w:val="001E4EF7"/>
    <w:rsid w:val="001E542A"/>
    <w:rsid w:val="001E57D9"/>
    <w:rsid w:val="001E7501"/>
    <w:rsid w:val="001F01DE"/>
    <w:rsid w:val="001F0C6F"/>
    <w:rsid w:val="001F0F50"/>
    <w:rsid w:val="001F1177"/>
    <w:rsid w:val="001F11CA"/>
    <w:rsid w:val="001F12C7"/>
    <w:rsid w:val="001F2AD5"/>
    <w:rsid w:val="001F39DA"/>
    <w:rsid w:val="001F41FC"/>
    <w:rsid w:val="001F45E3"/>
    <w:rsid w:val="001F499E"/>
    <w:rsid w:val="001F7E3C"/>
    <w:rsid w:val="001F7F7E"/>
    <w:rsid w:val="0020036B"/>
    <w:rsid w:val="0020061C"/>
    <w:rsid w:val="002007B4"/>
    <w:rsid w:val="002008EC"/>
    <w:rsid w:val="00200A4F"/>
    <w:rsid w:val="00200DCB"/>
    <w:rsid w:val="00202D87"/>
    <w:rsid w:val="0020401F"/>
    <w:rsid w:val="00205210"/>
    <w:rsid w:val="002052E7"/>
    <w:rsid w:val="00205524"/>
    <w:rsid w:val="002078DF"/>
    <w:rsid w:val="00207BAC"/>
    <w:rsid w:val="00207F3D"/>
    <w:rsid w:val="00210812"/>
    <w:rsid w:val="00210C04"/>
    <w:rsid w:val="00212348"/>
    <w:rsid w:val="00212616"/>
    <w:rsid w:val="002130E7"/>
    <w:rsid w:val="002149C2"/>
    <w:rsid w:val="002152B3"/>
    <w:rsid w:val="002152EA"/>
    <w:rsid w:val="002159E4"/>
    <w:rsid w:val="002160FA"/>
    <w:rsid w:val="00216D45"/>
    <w:rsid w:val="0022043C"/>
    <w:rsid w:val="00220479"/>
    <w:rsid w:val="002211C9"/>
    <w:rsid w:val="002225A2"/>
    <w:rsid w:val="00223FC4"/>
    <w:rsid w:val="0022402A"/>
    <w:rsid w:val="002251E8"/>
    <w:rsid w:val="0022582B"/>
    <w:rsid w:val="00226992"/>
    <w:rsid w:val="00227385"/>
    <w:rsid w:val="002276EB"/>
    <w:rsid w:val="00227820"/>
    <w:rsid w:val="00230075"/>
    <w:rsid w:val="00230101"/>
    <w:rsid w:val="00230C5A"/>
    <w:rsid w:val="0023148D"/>
    <w:rsid w:val="00231751"/>
    <w:rsid w:val="002323AD"/>
    <w:rsid w:val="00233265"/>
    <w:rsid w:val="00233B73"/>
    <w:rsid w:val="00234EFC"/>
    <w:rsid w:val="0023549F"/>
    <w:rsid w:val="00236181"/>
    <w:rsid w:val="0023654A"/>
    <w:rsid w:val="00236B0A"/>
    <w:rsid w:val="002377BC"/>
    <w:rsid w:val="00237CD5"/>
    <w:rsid w:val="00237F27"/>
    <w:rsid w:val="002408CD"/>
    <w:rsid w:val="002421C0"/>
    <w:rsid w:val="002425CB"/>
    <w:rsid w:val="002426EF"/>
    <w:rsid w:val="0024270A"/>
    <w:rsid w:val="00242B97"/>
    <w:rsid w:val="0024335D"/>
    <w:rsid w:val="002440FB"/>
    <w:rsid w:val="00244F60"/>
    <w:rsid w:val="00245594"/>
    <w:rsid w:val="002462B8"/>
    <w:rsid w:val="00247B10"/>
    <w:rsid w:val="00251538"/>
    <w:rsid w:val="002524E5"/>
    <w:rsid w:val="00252545"/>
    <w:rsid w:val="002534E7"/>
    <w:rsid w:val="00253658"/>
    <w:rsid w:val="00254310"/>
    <w:rsid w:val="002546FF"/>
    <w:rsid w:val="00254E8A"/>
    <w:rsid w:val="00255539"/>
    <w:rsid w:val="00255F52"/>
    <w:rsid w:val="00256326"/>
    <w:rsid w:val="00256675"/>
    <w:rsid w:val="00256939"/>
    <w:rsid w:val="0025778D"/>
    <w:rsid w:val="00257DB8"/>
    <w:rsid w:val="00257E1F"/>
    <w:rsid w:val="0026050C"/>
    <w:rsid w:val="002605EE"/>
    <w:rsid w:val="002621DF"/>
    <w:rsid w:val="00262B0B"/>
    <w:rsid w:val="00262C02"/>
    <w:rsid w:val="00263DC1"/>
    <w:rsid w:val="0026564E"/>
    <w:rsid w:val="002656C1"/>
    <w:rsid w:val="00266B4B"/>
    <w:rsid w:val="00266F8E"/>
    <w:rsid w:val="0026738D"/>
    <w:rsid w:val="00267568"/>
    <w:rsid w:val="0026777D"/>
    <w:rsid w:val="00267B6E"/>
    <w:rsid w:val="0027315C"/>
    <w:rsid w:val="0027389C"/>
    <w:rsid w:val="0027467E"/>
    <w:rsid w:val="0027539B"/>
    <w:rsid w:val="00275EEA"/>
    <w:rsid w:val="0027652E"/>
    <w:rsid w:val="00280379"/>
    <w:rsid w:val="00281C9A"/>
    <w:rsid w:val="002825A0"/>
    <w:rsid w:val="002825A2"/>
    <w:rsid w:val="00282F53"/>
    <w:rsid w:val="002834D3"/>
    <w:rsid w:val="00283EBD"/>
    <w:rsid w:val="00284861"/>
    <w:rsid w:val="002848E4"/>
    <w:rsid w:val="00285A4F"/>
    <w:rsid w:val="00285D24"/>
    <w:rsid w:val="00285FFA"/>
    <w:rsid w:val="002870EA"/>
    <w:rsid w:val="00287AEA"/>
    <w:rsid w:val="00290533"/>
    <w:rsid w:val="00293580"/>
    <w:rsid w:val="00293B91"/>
    <w:rsid w:val="002942CD"/>
    <w:rsid w:val="002943F1"/>
    <w:rsid w:val="00294BA4"/>
    <w:rsid w:val="0029568E"/>
    <w:rsid w:val="00295766"/>
    <w:rsid w:val="00296347"/>
    <w:rsid w:val="002969A0"/>
    <w:rsid w:val="0029780F"/>
    <w:rsid w:val="00297C42"/>
    <w:rsid w:val="00297E1F"/>
    <w:rsid w:val="002A0843"/>
    <w:rsid w:val="002A0AD8"/>
    <w:rsid w:val="002A13DD"/>
    <w:rsid w:val="002A25E7"/>
    <w:rsid w:val="002A2C80"/>
    <w:rsid w:val="002A4D48"/>
    <w:rsid w:val="002A53AC"/>
    <w:rsid w:val="002A7183"/>
    <w:rsid w:val="002A7FE3"/>
    <w:rsid w:val="002B2A03"/>
    <w:rsid w:val="002B2B5B"/>
    <w:rsid w:val="002B3BAD"/>
    <w:rsid w:val="002B412E"/>
    <w:rsid w:val="002B4390"/>
    <w:rsid w:val="002B5BE7"/>
    <w:rsid w:val="002B5F18"/>
    <w:rsid w:val="002B669C"/>
    <w:rsid w:val="002B66ED"/>
    <w:rsid w:val="002B7100"/>
    <w:rsid w:val="002B7F12"/>
    <w:rsid w:val="002B7FC5"/>
    <w:rsid w:val="002C027D"/>
    <w:rsid w:val="002C0B76"/>
    <w:rsid w:val="002C1AAD"/>
    <w:rsid w:val="002C1DEF"/>
    <w:rsid w:val="002C234A"/>
    <w:rsid w:val="002C36A2"/>
    <w:rsid w:val="002C3E2E"/>
    <w:rsid w:val="002C43C6"/>
    <w:rsid w:val="002C4DBF"/>
    <w:rsid w:val="002C4EB6"/>
    <w:rsid w:val="002C67F2"/>
    <w:rsid w:val="002C7872"/>
    <w:rsid w:val="002C7B0C"/>
    <w:rsid w:val="002D03E0"/>
    <w:rsid w:val="002D112D"/>
    <w:rsid w:val="002D1F2E"/>
    <w:rsid w:val="002D2B81"/>
    <w:rsid w:val="002D3561"/>
    <w:rsid w:val="002D4FD2"/>
    <w:rsid w:val="002D5EE7"/>
    <w:rsid w:val="002D6741"/>
    <w:rsid w:val="002D68CE"/>
    <w:rsid w:val="002E0AB4"/>
    <w:rsid w:val="002E1D9D"/>
    <w:rsid w:val="002E4971"/>
    <w:rsid w:val="002E5288"/>
    <w:rsid w:val="002E62D2"/>
    <w:rsid w:val="002F14E5"/>
    <w:rsid w:val="002F2205"/>
    <w:rsid w:val="002F26D3"/>
    <w:rsid w:val="002F37F7"/>
    <w:rsid w:val="002F3B40"/>
    <w:rsid w:val="002F4902"/>
    <w:rsid w:val="002F518C"/>
    <w:rsid w:val="002F5979"/>
    <w:rsid w:val="002F79FD"/>
    <w:rsid w:val="0030053E"/>
    <w:rsid w:val="0030095F"/>
    <w:rsid w:val="003013D4"/>
    <w:rsid w:val="00301609"/>
    <w:rsid w:val="00302052"/>
    <w:rsid w:val="003026AD"/>
    <w:rsid w:val="0030340E"/>
    <w:rsid w:val="00303BEE"/>
    <w:rsid w:val="00307127"/>
    <w:rsid w:val="00307ABF"/>
    <w:rsid w:val="003102CC"/>
    <w:rsid w:val="00310C57"/>
    <w:rsid w:val="00310CDB"/>
    <w:rsid w:val="003112B9"/>
    <w:rsid w:val="003113DD"/>
    <w:rsid w:val="00311D5B"/>
    <w:rsid w:val="003121EE"/>
    <w:rsid w:val="003126E8"/>
    <w:rsid w:val="003130F6"/>
    <w:rsid w:val="003135DB"/>
    <w:rsid w:val="00313DA0"/>
    <w:rsid w:val="00314BCF"/>
    <w:rsid w:val="00314CD2"/>
    <w:rsid w:val="00314FD7"/>
    <w:rsid w:val="0031507F"/>
    <w:rsid w:val="003159D8"/>
    <w:rsid w:val="0031694D"/>
    <w:rsid w:val="00321626"/>
    <w:rsid w:val="003218A8"/>
    <w:rsid w:val="00322C61"/>
    <w:rsid w:val="00324865"/>
    <w:rsid w:val="00324ADB"/>
    <w:rsid w:val="00324D78"/>
    <w:rsid w:val="00325B3D"/>
    <w:rsid w:val="003263BC"/>
    <w:rsid w:val="00326DCE"/>
    <w:rsid w:val="003273B7"/>
    <w:rsid w:val="00327A0F"/>
    <w:rsid w:val="00327F5C"/>
    <w:rsid w:val="003328A4"/>
    <w:rsid w:val="003332A4"/>
    <w:rsid w:val="00333989"/>
    <w:rsid w:val="00333C6B"/>
    <w:rsid w:val="003345FC"/>
    <w:rsid w:val="00334CEF"/>
    <w:rsid w:val="00335041"/>
    <w:rsid w:val="00336456"/>
    <w:rsid w:val="00336F34"/>
    <w:rsid w:val="0034093B"/>
    <w:rsid w:val="00340A63"/>
    <w:rsid w:val="00340C53"/>
    <w:rsid w:val="00341A58"/>
    <w:rsid w:val="00342DFF"/>
    <w:rsid w:val="003431F2"/>
    <w:rsid w:val="00343CF4"/>
    <w:rsid w:val="00343FDB"/>
    <w:rsid w:val="00344689"/>
    <w:rsid w:val="00345B17"/>
    <w:rsid w:val="00345EE5"/>
    <w:rsid w:val="00346F17"/>
    <w:rsid w:val="003475C0"/>
    <w:rsid w:val="003519B6"/>
    <w:rsid w:val="00351CA4"/>
    <w:rsid w:val="00352BC2"/>
    <w:rsid w:val="00353446"/>
    <w:rsid w:val="003552C9"/>
    <w:rsid w:val="003559F8"/>
    <w:rsid w:val="00355D97"/>
    <w:rsid w:val="0035646C"/>
    <w:rsid w:val="0035720D"/>
    <w:rsid w:val="003576D1"/>
    <w:rsid w:val="00357AF8"/>
    <w:rsid w:val="00360133"/>
    <w:rsid w:val="0036015C"/>
    <w:rsid w:val="00361471"/>
    <w:rsid w:val="003629EA"/>
    <w:rsid w:val="00362D40"/>
    <w:rsid w:val="003630C2"/>
    <w:rsid w:val="00363B92"/>
    <w:rsid w:val="00363C4C"/>
    <w:rsid w:val="00364FD3"/>
    <w:rsid w:val="003654A9"/>
    <w:rsid w:val="00365CEA"/>
    <w:rsid w:val="003667C3"/>
    <w:rsid w:val="003670F8"/>
    <w:rsid w:val="003671FB"/>
    <w:rsid w:val="0036779F"/>
    <w:rsid w:val="00370C88"/>
    <w:rsid w:val="0037278F"/>
    <w:rsid w:val="00372AF6"/>
    <w:rsid w:val="00372CB9"/>
    <w:rsid w:val="00373096"/>
    <w:rsid w:val="00373B13"/>
    <w:rsid w:val="00374611"/>
    <w:rsid w:val="00375422"/>
    <w:rsid w:val="003756B6"/>
    <w:rsid w:val="00375BC4"/>
    <w:rsid w:val="00375BCD"/>
    <w:rsid w:val="00375C55"/>
    <w:rsid w:val="003761EB"/>
    <w:rsid w:val="00376572"/>
    <w:rsid w:val="00380167"/>
    <w:rsid w:val="00380D90"/>
    <w:rsid w:val="003814BB"/>
    <w:rsid w:val="003814C7"/>
    <w:rsid w:val="00381F9E"/>
    <w:rsid w:val="00381FE5"/>
    <w:rsid w:val="00383861"/>
    <w:rsid w:val="003839B5"/>
    <w:rsid w:val="00384186"/>
    <w:rsid w:val="0038430C"/>
    <w:rsid w:val="0038433C"/>
    <w:rsid w:val="00384DF0"/>
    <w:rsid w:val="003850A5"/>
    <w:rsid w:val="0038552C"/>
    <w:rsid w:val="00385B82"/>
    <w:rsid w:val="00385C3D"/>
    <w:rsid w:val="0038624F"/>
    <w:rsid w:val="0038781A"/>
    <w:rsid w:val="00390669"/>
    <w:rsid w:val="00390E65"/>
    <w:rsid w:val="00391A97"/>
    <w:rsid w:val="00392290"/>
    <w:rsid w:val="003922E7"/>
    <w:rsid w:val="00392E39"/>
    <w:rsid w:val="00393232"/>
    <w:rsid w:val="003935FA"/>
    <w:rsid w:val="0039365B"/>
    <w:rsid w:val="00393B3F"/>
    <w:rsid w:val="00394376"/>
    <w:rsid w:val="003959CD"/>
    <w:rsid w:val="00396C2B"/>
    <w:rsid w:val="00397737"/>
    <w:rsid w:val="00397DD3"/>
    <w:rsid w:val="003A2293"/>
    <w:rsid w:val="003A2F3B"/>
    <w:rsid w:val="003A328C"/>
    <w:rsid w:val="003A35BA"/>
    <w:rsid w:val="003A430A"/>
    <w:rsid w:val="003A5BF5"/>
    <w:rsid w:val="003A5ECB"/>
    <w:rsid w:val="003A6099"/>
    <w:rsid w:val="003A6146"/>
    <w:rsid w:val="003B0833"/>
    <w:rsid w:val="003B0F86"/>
    <w:rsid w:val="003B15E3"/>
    <w:rsid w:val="003B2E4B"/>
    <w:rsid w:val="003B31E0"/>
    <w:rsid w:val="003B39E1"/>
    <w:rsid w:val="003B424F"/>
    <w:rsid w:val="003B4478"/>
    <w:rsid w:val="003B44A4"/>
    <w:rsid w:val="003B4AA3"/>
    <w:rsid w:val="003B51AE"/>
    <w:rsid w:val="003B5794"/>
    <w:rsid w:val="003B67F4"/>
    <w:rsid w:val="003B72F5"/>
    <w:rsid w:val="003C0666"/>
    <w:rsid w:val="003C0857"/>
    <w:rsid w:val="003C138E"/>
    <w:rsid w:val="003C228A"/>
    <w:rsid w:val="003C53D1"/>
    <w:rsid w:val="003C54D9"/>
    <w:rsid w:val="003C55C6"/>
    <w:rsid w:val="003C5C0A"/>
    <w:rsid w:val="003C710F"/>
    <w:rsid w:val="003C78BE"/>
    <w:rsid w:val="003D00E9"/>
    <w:rsid w:val="003D136F"/>
    <w:rsid w:val="003D1B85"/>
    <w:rsid w:val="003D1E11"/>
    <w:rsid w:val="003D2A89"/>
    <w:rsid w:val="003D377E"/>
    <w:rsid w:val="003D4D88"/>
    <w:rsid w:val="003D5D10"/>
    <w:rsid w:val="003D6F66"/>
    <w:rsid w:val="003D7EA6"/>
    <w:rsid w:val="003E1DE2"/>
    <w:rsid w:val="003E3556"/>
    <w:rsid w:val="003E3F8B"/>
    <w:rsid w:val="003E4EC5"/>
    <w:rsid w:val="003E51D7"/>
    <w:rsid w:val="003E5C2B"/>
    <w:rsid w:val="003E76D2"/>
    <w:rsid w:val="003E7AF7"/>
    <w:rsid w:val="003F014D"/>
    <w:rsid w:val="003F1367"/>
    <w:rsid w:val="003F21DD"/>
    <w:rsid w:val="003F23A8"/>
    <w:rsid w:val="003F2564"/>
    <w:rsid w:val="003F2F74"/>
    <w:rsid w:val="003F4C9C"/>
    <w:rsid w:val="003F5B30"/>
    <w:rsid w:val="003F68CD"/>
    <w:rsid w:val="004002B4"/>
    <w:rsid w:val="00400365"/>
    <w:rsid w:val="004014E0"/>
    <w:rsid w:val="00401EDC"/>
    <w:rsid w:val="0040280F"/>
    <w:rsid w:val="00403988"/>
    <w:rsid w:val="00405279"/>
    <w:rsid w:val="004073EE"/>
    <w:rsid w:val="004110D8"/>
    <w:rsid w:val="00411AF0"/>
    <w:rsid w:val="00411BD4"/>
    <w:rsid w:val="00411C33"/>
    <w:rsid w:val="00411EA5"/>
    <w:rsid w:val="004121BF"/>
    <w:rsid w:val="004127E5"/>
    <w:rsid w:val="00412DEC"/>
    <w:rsid w:val="00412EB4"/>
    <w:rsid w:val="00413ACC"/>
    <w:rsid w:val="00413E9B"/>
    <w:rsid w:val="00414E48"/>
    <w:rsid w:val="00414FAF"/>
    <w:rsid w:val="0041514B"/>
    <w:rsid w:val="00416685"/>
    <w:rsid w:val="004178CF"/>
    <w:rsid w:val="00421F0F"/>
    <w:rsid w:val="00422097"/>
    <w:rsid w:val="00422742"/>
    <w:rsid w:val="00424BF8"/>
    <w:rsid w:val="00424C7D"/>
    <w:rsid w:val="00426C2E"/>
    <w:rsid w:val="004275EF"/>
    <w:rsid w:val="00430470"/>
    <w:rsid w:val="00430525"/>
    <w:rsid w:val="004313E2"/>
    <w:rsid w:val="00431714"/>
    <w:rsid w:val="00431C81"/>
    <w:rsid w:val="00431D32"/>
    <w:rsid w:val="00431DB1"/>
    <w:rsid w:val="00433B7A"/>
    <w:rsid w:val="00434125"/>
    <w:rsid w:val="00436288"/>
    <w:rsid w:val="00436AAA"/>
    <w:rsid w:val="0044056D"/>
    <w:rsid w:val="00440578"/>
    <w:rsid w:val="00442E4D"/>
    <w:rsid w:val="00444144"/>
    <w:rsid w:val="00444D5D"/>
    <w:rsid w:val="00445077"/>
    <w:rsid w:val="00445F9F"/>
    <w:rsid w:val="00445FE6"/>
    <w:rsid w:val="004460A2"/>
    <w:rsid w:val="00446A4F"/>
    <w:rsid w:val="00447145"/>
    <w:rsid w:val="004474BC"/>
    <w:rsid w:val="0044764C"/>
    <w:rsid w:val="00447773"/>
    <w:rsid w:val="0044788C"/>
    <w:rsid w:val="0045144D"/>
    <w:rsid w:val="00452C16"/>
    <w:rsid w:val="00454C67"/>
    <w:rsid w:val="00454CBE"/>
    <w:rsid w:val="00455BC3"/>
    <w:rsid w:val="00456057"/>
    <w:rsid w:val="004567E7"/>
    <w:rsid w:val="00456EE2"/>
    <w:rsid w:val="00457772"/>
    <w:rsid w:val="00457C00"/>
    <w:rsid w:val="00457E13"/>
    <w:rsid w:val="00460B55"/>
    <w:rsid w:val="00460EDF"/>
    <w:rsid w:val="004616FD"/>
    <w:rsid w:val="00462E28"/>
    <w:rsid w:val="004637AD"/>
    <w:rsid w:val="0046486C"/>
    <w:rsid w:val="00464A59"/>
    <w:rsid w:val="0046549A"/>
    <w:rsid w:val="00465716"/>
    <w:rsid w:val="00465863"/>
    <w:rsid w:val="00465E6F"/>
    <w:rsid w:val="00466135"/>
    <w:rsid w:val="0046644C"/>
    <w:rsid w:val="0046681D"/>
    <w:rsid w:val="0046709B"/>
    <w:rsid w:val="00467A84"/>
    <w:rsid w:val="00470066"/>
    <w:rsid w:val="004713A0"/>
    <w:rsid w:val="00472479"/>
    <w:rsid w:val="0047248C"/>
    <w:rsid w:val="00472669"/>
    <w:rsid w:val="0047332D"/>
    <w:rsid w:val="00474D7C"/>
    <w:rsid w:val="00475757"/>
    <w:rsid w:val="0047619E"/>
    <w:rsid w:val="0047651E"/>
    <w:rsid w:val="0047671E"/>
    <w:rsid w:val="0047674C"/>
    <w:rsid w:val="0048034A"/>
    <w:rsid w:val="0048073A"/>
    <w:rsid w:val="00480B57"/>
    <w:rsid w:val="004811D4"/>
    <w:rsid w:val="00481457"/>
    <w:rsid w:val="0048298D"/>
    <w:rsid w:val="00482D1C"/>
    <w:rsid w:val="00483746"/>
    <w:rsid w:val="00483912"/>
    <w:rsid w:val="00483D01"/>
    <w:rsid w:val="00484265"/>
    <w:rsid w:val="00484896"/>
    <w:rsid w:val="004853F8"/>
    <w:rsid w:val="004868A3"/>
    <w:rsid w:val="004868DC"/>
    <w:rsid w:val="00487718"/>
    <w:rsid w:val="0049005E"/>
    <w:rsid w:val="00490889"/>
    <w:rsid w:val="00490E5F"/>
    <w:rsid w:val="00492113"/>
    <w:rsid w:val="004921C2"/>
    <w:rsid w:val="004932C5"/>
    <w:rsid w:val="004944AB"/>
    <w:rsid w:val="004945C0"/>
    <w:rsid w:val="0049499A"/>
    <w:rsid w:val="00495180"/>
    <w:rsid w:val="004960C7"/>
    <w:rsid w:val="00496D91"/>
    <w:rsid w:val="00497281"/>
    <w:rsid w:val="0049734D"/>
    <w:rsid w:val="004A0F4A"/>
    <w:rsid w:val="004A1109"/>
    <w:rsid w:val="004A151C"/>
    <w:rsid w:val="004A152A"/>
    <w:rsid w:val="004A458C"/>
    <w:rsid w:val="004A4872"/>
    <w:rsid w:val="004A4F2F"/>
    <w:rsid w:val="004A4FA6"/>
    <w:rsid w:val="004A56B1"/>
    <w:rsid w:val="004A5865"/>
    <w:rsid w:val="004A632F"/>
    <w:rsid w:val="004B049F"/>
    <w:rsid w:val="004B1ACD"/>
    <w:rsid w:val="004B243A"/>
    <w:rsid w:val="004B24DE"/>
    <w:rsid w:val="004B2CC8"/>
    <w:rsid w:val="004B3497"/>
    <w:rsid w:val="004B34EB"/>
    <w:rsid w:val="004B3607"/>
    <w:rsid w:val="004B4A23"/>
    <w:rsid w:val="004B4C09"/>
    <w:rsid w:val="004B4D6B"/>
    <w:rsid w:val="004B4F05"/>
    <w:rsid w:val="004B4F13"/>
    <w:rsid w:val="004B5E4B"/>
    <w:rsid w:val="004B697F"/>
    <w:rsid w:val="004B6C48"/>
    <w:rsid w:val="004B72B1"/>
    <w:rsid w:val="004C00AA"/>
    <w:rsid w:val="004C091B"/>
    <w:rsid w:val="004C0F17"/>
    <w:rsid w:val="004C1072"/>
    <w:rsid w:val="004C2091"/>
    <w:rsid w:val="004C20A3"/>
    <w:rsid w:val="004C26CF"/>
    <w:rsid w:val="004C27D0"/>
    <w:rsid w:val="004C377F"/>
    <w:rsid w:val="004C48F1"/>
    <w:rsid w:val="004C4A37"/>
    <w:rsid w:val="004C4DD0"/>
    <w:rsid w:val="004C58C5"/>
    <w:rsid w:val="004C5C3E"/>
    <w:rsid w:val="004C61D8"/>
    <w:rsid w:val="004C6397"/>
    <w:rsid w:val="004C6A69"/>
    <w:rsid w:val="004C6E64"/>
    <w:rsid w:val="004C7AE8"/>
    <w:rsid w:val="004C7F2D"/>
    <w:rsid w:val="004D12F2"/>
    <w:rsid w:val="004D279C"/>
    <w:rsid w:val="004D2C85"/>
    <w:rsid w:val="004D2DEC"/>
    <w:rsid w:val="004D2E5A"/>
    <w:rsid w:val="004D5D79"/>
    <w:rsid w:val="004D66B7"/>
    <w:rsid w:val="004D7645"/>
    <w:rsid w:val="004D7819"/>
    <w:rsid w:val="004D7B48"/>
    <w:rsid w:val="004D7EA5"/>
    <w:rsid w:val="004E031B"/>
    <w:rsid w:val="004E0C36"/>
    <w:rsid w:val="004E0C89"/>
    <w:rsid w:val="004E1383"/>
    <w:rsid w:val="004E2F65"/>
    <w:rsid w:val="004E353E"/>
    <w:rsid w:val="004E39D2"/>
    <w:rsid w:val="004E48E0"/>
    <w:rsid w:val="004E4B78"/>
    <w:rsid w:val="004E5269"/>
    <w:rsid w:val="004E6AF2"/>
    <w:rsid w:val="004E71DC"/>
    <w:rsid w:val="004E750C"/>
    <w:rsid w:val="004E759D"/>
    <w:rsid w:val="004F101A"/>
    <w:rsid w:val="004F24DA"/>
    <w:rsid w:val="004F4241"/>
    <w:rsid w:val="004F4489"/>
    <w:rsid w:val="004F4A37"/>
    <w:rsid w:val="004F5508"/>
    <w:rsid w:val="004F6264"/>
    <w:rsid w:val="004F6AF8"/>
    <w:rsid w:val="004F6EED"/>
    <w:rsid w:val="004F79A0"/>
    <w:rsid w:val="00500905"/>
    <w:rsid w:val="00500F35"/>
    <w:rsid w:val="00501C11"/>
    <w:rsid w:val="00503608"/>
    <w:rsid w:val="00503B1F"/>
    <w:rsid w:val="005046ED"/>
    <w:rsid w:val="0050471F"/>
    <w:rsid w:val="005050FB"/>
    <w:rsid w:val="005052BA"/>
    <w:rsid w:val="0050572A"/>
    <w:rsid w:val="00505ACD"/>
    <w:rsid w:val="00510DE3"/>
    <w:rsid w:val="005110C5"/>
    <w:rsid w:val="00511D40"/>
    <w:rsid w:val="00512BB9"/>
    <w:rsid w:val="00512EA1"/>
    <w:rsid w:val="005141FE"/>
    <w:rsid w:val="00516223"/>
    <w:rsid w:val="00516D91"/>
    <w:rsid w:val="005179D2"/>
    <w:rsid w:val="00520FE1"/>
    <w:rsid w:val="00521F66"/>
    <w:rsid w:val="005224F7"/>
    <w:rsid w:val="0052269B"/>
    <w:rsid w:val="005231C5"/>
    <w:rsid w:val="005243F4"/>
    <w:rsid w:val="00526839"/>
    <w:rsid w:val="0052790D"/>
    <w:rsid w:val="00531109"/>
    <w:rsid w:val="00532301"/>
    <w:rsid w:val="005326EE"/>
    <w:rsid w:val="00532C33"/>
    <w:rsid w:val="00533690"/>
    <w:rsid w:val="0053452B"/>
    <w:rsid w:val="00534E00"/>
    <w:rsid w:val="00535667"/>
    <w:rsid w:val="00536282"/>
    <w:rsid w:val="00536323"/>
    <w:rsid w:val="00536360"/>
    <w:rsid w:val="0053798F"/>
    <w:rsid w:val="00540AC5"/>
    <w:rsid w:val="00540BFE"/>
    <w:rsid w:val="00542B47"/>
    <w:rsid w:val="00542B67"/>
    <w:rsid w:val="00545378"/>
    <w:rsid w:val="00545EEC"/>
    <w:rsid w:val="00546605"/>
    <w:rsid w:val="00551EA5"/>
    <w:rsid w:val="00553C54"/>
    <w:rsid w:val="00555832"/>
    <w:rsid w:val="005563CC"/>
    <w:rsid w:val="0055666D"/>
    <w:rsid w:val="00556F7E"/>
    <w:rsid w:val="00560183"/>
    <w:rsid w:val="00561128"/>
    <w:rsid w:val="005613DF"/>
    <w:rsid w:val="00561684"/>
    <w:rsid w:val="00561D97"/>
    <w:rsid w:val="00562303"/>
    <w:rsid w:val="0056279F"/>
    <w:rsid w:val="00564278"/>
    <w:rsid w:val="00565A7D"/>
    <w:rsid w:val="00566871"/>
    <w:rsid w:val="00566E09"/>
    <w:rsid w:val="00566FB5"/>
    <w:rsid w:val="0056738A"/>
    <w:rsid w:val="005677CC"/>
    <w:rsid w:val="00567EB0"/>
    <w:rsid w:val="00567EFD"/>
    <w:rsid w:val="00570802"/>
    <w:rsid w:val="0057152E"/>
    <w:rsid w:val="00571E75"/>
    <w:rsid w:val="00572781"/>
    <w:rsid w:val="00572956"/>
    <w:rsid w:val="00572D37"/>
    <w:rsid w:val="00573505"/>
    <w:rsid w:val="005736F8"/>
    <w:rsid w:val="005737C0"/>
    <w:rsid w:val="00573F5F"/>
    <w:rsid w:val="00574297"/>
    <w:rsid w:val="00574B00"/>
    <w:rsid w:val="00576432"/>
    <w:rsid w:val="005772A8"/>
    <w:rsid w:val="00577D01"/>
    <w:rsid w:val="005804DC"/>
    <w:rsid w:val="00581C8C"/>
    <w:rsid w:val="00581E1D"/>
    <w:rsid w:val="00582D22"/>
    <w:rsid w:val="0058395F"/>
    <w:rsid w:val="00584589"/>
    <w:rsid w:val="00585DAE"/>
    <w:rsid w:val="00586436"/>
    <w:rsid w:val="005865D2"/>
    <w:rsid w:val="005869E0"/>
    <w:rsid w:val="00587744"/>
    <w:rsid w:val="00587D39"/>
    <w:rsid w:val="005902B5"/>
    <w:rsid w:val="00591FD3"/>
    <w:rsid w:val="00593F16"/>
    <w:rsid w:val="005949E8"/>
    <w:rsid w:val="00595712"/>
    <w:rsid w:val="00597777"/>
    <w:rsid w:val="00597C56"/>
    <w:rsid w:val="005A006D"/>
    <w:rsid w:val="005A0E71"/>
    <w:rsid w:val="005A1FAF"/>
    <w:rsid w:val="005A2727"/>
    <w:rsid w:val="005A2B29"/>
    <w:rsid w:val="005A2BBF"/>
    <w:rsid w:val="005A2D64"/>
    <w:rsid w:val="005A331C"/>
    <w:rsid w:val="005A35FE"/>
    <w:rsid w:val="005A3716"/>
    <w:rsid w:val="005A4AD5"/>
    <w:rsid w:val="005A5EAE"/>
    <w:rsid w:val="005A67E5"/>
    <w:rsid w:val="005A681C"/>
    <w:rsid w:val="005A743D"/>
    <w:rsid w:val="005A789E"/>
    <w:rsid w:val="005A7991"/>
    <w:rsid w:val="005B103C"/>
    <w:rsid w:val="005B168F"/>
    <w:rsid w:val="005B1CAB"/>
    <w:rsid w:val="005B1FF0"/>
    <w:rsid w:val="005B2873"/>
    <w:rsid w:val="005B2E18"/>
    <w:rsid w:val="005B443C"/>
    <w:rsid w:val="005B4C83"/>
    <w:rsid w:val="005B57A3"/>
    <w:rsid w:val="005B5A03"/>
    <w:rsid w:val="005B5BC6"/>
    <w:rsid w:val="005B5BF6"/>
    <w:rsid w:val="005B647A"/>
    <w:rsid w:val="005B7F05"/>
    <w:rsid w:val="005C0804"/>
    <w:rsid w:val="005C0A47"/>
    <w:rsid w:val="005C15D9"/>
    <w:rsid w:val="005C1F00"/>
    <w:rsid w:val="005C29FF"/>
    <w:rsid w:val="005C2B5D"/>
    <w:rsid w:val="005C2F5D"/>
    <w:rsid w:val="005C55DA"/>
    <w:rsid w:val="005C57AA"/>
    <w:rsid w:val="005C65A7"/>
    <w:rsid w:val="005D04E3"/>
    <w:rsid w:val="005D0904"/>
    <w:rsid w:val="005D1F7F"/>
    <w:rsid w:val="005D3059"/>
    <w:rsid w:val="005D428C"/>
    <w:rsid w:val="005D4B28"/>
    <w:rsid w:val="005D5476"/>
    <w:rsid w:val="005D6001"/>
    <w:rsid w:val="005D7D74"/>
    <w:rsid w:val="005E12FF"/>
    <w:rsid w:val="005E153E"/>
    <w:rsid w:val="005E15C1"/>
    <w:rsid w:val="005E15DE"/>
    <w:rsid w:val="005E21FA"/>
    <w:rsid w:val="005E26C9"/>
    <w:rsid w:val="005E292F"/>
    <w:rsid w:val="005E29F5"/>
    <w:rsid w:val="005E393D"/>
    <w:rsid w:val="005E3F9B"/>
    <w:rsid w:val="005E5942"/>
    <w:rsid w:val="005E5F57"/>
    <w:rsid w:val="005E661D"/>
    <w:rsid w:val="005E7441"/>
    <w:rsid w:val="005E7692"/>
    <w:rsid w:val="005E7938"/>
    <w:rsid w:val="005F0256"/>
    <w:rsid w:val="005F0360"/>
    <w:rsid w:val="005F1E67"/>
    <w:rsid w:val="005F1EBB"/>
    <w:rsid w:val="005F236B"/>
    <w:rsid w:val="005F32E3"/>
    <w:rsid w:val="005F34AD"/>
    <w:rsid w:val="005F38A2"/>
    <w:rsid w:val="005F498E"/>
    <w:rsid w:val="005F4ACC"/>
    <w:rsid w:val="005F4CFD"/>
    <w:rsid w:val="005F4DE1"/>
    <w:rsid w:val="005F72EE"/>
    <w:rsid w:val="005F7CF5"/>
    <w:rsid w:val="0060452E"/>
    <w:rsid w:val="006047B5"/>
    <w:rsid w:val="006055E3"/>
    <w:rsid w:val="006074DF"/>
    <w:rsid w:val="00607FA6"/>
    <w:rsid w:val="006101E6"/>
    <w:rsid w:val="00610D13"/>
    <w:rsid w:val="0061166D"/>
    <w:rsid w:val="00611835"/>
    <w:rsid w:val="00614BF5"/>
    <w:rsid w:val="00615161"/>
    <w:rsid w:val="00615289"/>
    <w:rsid w:val="00615909"/>
    <w:rsid w:val="00615917"/>
    <w:rsid w:val="00615DC3"/>
    <w:rsid w:val="006177CF"/>
    <w:rsid w:val="00617CE9"/>
    <w:rsid w:val="00620F5E"/>
    <w:rsid w:val="00621857"/>
    <w:rsid w:val="00621B0B"/>
    <w:rsid w:val="00622346"/>
    <w:rsid w:val="006223FE"/>
    <w:rsid w:val="0062249B"/>
    <w:rsid w:val="0062441E"/>
    <w:rsid w:val="00624425"/>
    <w:rsid w:val="00624A0D"/>
    <w:rsid w:val="00624CA1"/>
    <w:rsid w:val="00624D09"/>
    <w:rsid w:val="00625145"/>
    <w:rsid w:val="006261F4"/>
    <w:rsid w:val="00630229"/>
    <w:rsid w:val="00632029"/>
    <w:rsid w:val="00634780"/>
    <w:rsid w:val="00634DC8"/>
    <w:rsid w:val="0063542B"/>
    <w:rsid w:val="00635B35"/>
    <w:rsid w:val="00635B5F"/>
    <w:rsid w:val="006366CB"/>
    <w:rsid w:val="00636DCD"/>
    <w:rsid w:val="006414B2"/>
    <w:rsid w:val="006426A7"/>
    <w:rsid w:val="00642E0F"/>
    <w:rsid w:val="006437EF"/>
    <w:rsid w:val="00643D5B"/>
    <w:rsid w:val="00644C1B"/>
    <w:rsid w:val="006458CB"/>
    <w:rsid w:val="00646DD1"/>
    <w:rsid w:val="00652921"/>
    <w:rsid w:val="00652E1C"/>
    <w:rsid w:val="00654374"/>
    <w:rsid w:val="006553E9"/>
    <w:rsid w:val="006561B9"/>
    <w:rsid w:val="00656972"/>
    <w:rsid w:val="006569A6"/>
    <w:rsid w:val="00656D07"/>
    <w:rsid w:val="00657D97"/>
    <w:rsid w:val="00660F36"/>
    <w:rsid w:val="00661AFF"/>
    <w:rsid w:val="00661B5F"/>
    <w:rsid w:val="00662A7B"/>
    <w:rsid w:val="00662B82"/>
    <w:rsid w:val="00662FDD"/>
    <w:rsid w:val="006652C9"/>
    <w:rsid w:val="0066576A"/>
    <w:rsid w:val="00666055"/>
    <w:rsid w:val="006660CE"/>
    <w:rsid w:val="006704A9"/>
    <w:rsid w:val="006719CC"/>
    <w:rsid w:val="00671C26"/>
    <w:rsid w:val="00673B08"/>
    <w:rsid w:val="00673B3D"/>
    <w:rsid w:val="00673B5C"/>
    <w:rsid w:val="00673DB3"/>
    <w:rsid w:val="006742EF"/>
    <w:rsid w:val="0067434C"/>
    <w:rsid w:val="006745F6"/>
    <w:rsid w:val="00675324"/>
    <w:rsid w:val="00675ADD"/>
    <w:rsid w:val="00675AF9"/>
    <w:rsid w:val="00675DBC"/>
    <w:rsid w:val="00675E6B"/>
    <w:rsid w:val="006765C5"/>
    <w:rsid w:val="00677FC9"/>
    <w:rsid w:val="00681361"/>
    <w:rsid w:val="00681404"/>
    <w:rsid w:val="00681595"/>
    <w:rsid w:val="006819EE"/>
    <w:rsid w:val="0068295B"/>
    <w:rsid w:val="00682A7B"/>
    <w:rsid w:val="006833A1"/>
    <w:rsid w:val="00683420"/>
    <w:rsid w:val="0068397C"/>
    <w:rsid w:val="00683A4A"/>
    <w:rsid w:val="00684338"/>
    <w:rsid w:val="00684364"/>
    <w:rsid w:val="0068586A"/>
    <w:rsid w:val="00686271"/>
    <w:rsid w:val="0068643F"/>
    <w:rsid w:val="00687B82"/>
    <w:rsid w:val="00690150"/>
    <w:rsid w:val="00690DC6"/>
    <w:rsid w:val="00690FCB"/>
    <w:rsid w:val="0069320E"/>
    <w:rsid w:val="006933E4"/>
    <w:rsid w:val="006942AA"/>
    <w:rsid w:val="0069459C"/>
    <w:rsid w:val="00694762"/>
    <w:rsid w:val="0069550C"/>
    <w:rsid w:val="006956F4"/>
    <w:rsid w:val="006964DC"/>
    <w:rsid w:val="00696977"/>
    <w:rsid w:val="006A0126"/>
    <w:rsid w:val="006A19D8"/>
    <w:rsid w:val="006A26E2"/>
    <w:rsid w:val="006A276B"/>
    <w:rsid w:val="006A2A7A"/>
    <w:rsid w:val="006A2B9E"/>
    <w:rsid w:val="006A2DA0"/>
    <w:rsid w:val="006A2F77"/>
    <w:rsid w:val="006A3AE2"/>
    <w:rsid w:val="006A4EA3"/>
    <w:rsid w:val="006A56A7"/>
    <w:rsid w:val="006A792A"/>
    <w:rsid w:val="006A7939"/>
    <w:rsid w:val="006A7C24"/>
    <w:rsid w:val="006B0591"/>
    <w:rsid w:val="006B0E57"/>
    <w:rsid w:val="006B10E6"/>
    <w:rsid w:val="006B1A2D"/>
    <w:rsid w:val="006B26BA"/>
    <w:rsid w:val="006B27D9"/>
    <w:rsid w:val="006B3CED"/>
    <w:rsid w:val="006B4963"/>
    <w:rsid w:val="006B50F0"/>
    <w:rsid w:val="006B5D01"/>
    <w:rsid w:val="006B61E4"/>
    <w:rsid w:val="006B7B2A"/>
    <w:rsid w:val="006B7B6E"/>
    <w:rsid w:val="006C0015"/>
    <w:rsid w:val="006C00F2"/>
    <w:rsid w:val="006C0AA1"/>
    <w:rsid w:val="006C3215"/>
    <w:rsid w:val="006C464A"/>
    <w:rsid w:val="006C4C30"/>
    <w:rsid w:val="006C58C3"/>
    <w:rsid w:val="006C5AD3"/>
    <w:rsid w:val="006C7AA7"/>
    <w:rsid w:val="006D04C1"/>
    <w:rsid w:val="006D0546"/>
    <w:rsid w:val="006D1094"/>
    <w:rsid w:val="006D1431"/>
    <w:rsid w:val="006D25E9"/>
    <w:rsid w:val="006D3445"/>
    <w:rsid w:val="006D4441"/>
    <w:rsid w:val="006D5D41"/>
    <w:rsid w:val="006D61CB"/>
    <w:rsid w:val="006D6348"/>
    <w:rsid w:val="006D63F2"/>
    <w:rsid w:val="006D6843"/>
    <w:rsid w:val="006D684B"/>
    <w:rsid w:val="006D6E07"/>
    <w:rsid w:val="006D7315"/>
    <w:rsid w:val="006D73FC"/>
    <w:rsid w:val="006D77BE"/>
    <w:rsid w:val="006D7B33"/>
    <w:rsid w:val="006E0193"/>
    <w:rsid w:val="006E0E07"/>
    <w:rsid w:val="006E119B"/>
    <w:rsid w:val="006E2A62"/>
    <w:rsid w:val="006E3496"/>
    <w:rsid w:val="006E34F5"/>
    <w:rsid w:val="006E4A77"/>
    <w:rsid w:val="006E63F5"/>
    <w:rsid w:val="006E7976"/>
    <w:rsid w:val="006F0279"/>
    <w:rsid w:val="006F0752"/>
    <w:rsid w:val="006F096E"/>
    <w:rsid w:val="006F3363"/>
    <w:rsid w:val="006F43A7"/>
    <w:rsid w:val="006F4638"/>
    <w:rsid w:val="006F6CB7"/>
    <w:rsid w:val="006F738B"/>
    <w:rsid w:val="006F7981"/>
    <w:rsid w:val="00701097"/>
    <w:rsid w:val="00701332"/>
    <w:rsid w:val="007018E8"/>
    <w:rsid w:val="00701F36"/>
    <w:rsid w:val="00702EC0"/>
    <w:rsid w:val="007031E4"/>
    <w:rsid w:val="007046CD"/>
    <w:rsid w:val="00705578"/>
    <w:rsid w:val="00705605"/>
    <w:rsid w:val="007065C1"/>
    <w:rsid w:val="00707EB0"/>
    <w:rsid w:val="00710835"/>
    <w:rsid w:val="0071087D"/>
    <w:rsid w:val="00710DDE"/>
    <w:rsid w:val="00710E08"/>
    <w:rsid w:val="00711857"/>
    <w:rsid w:val="00711AF1"/>
    <w:rsid w:val="00711DE1"/>
    <w:rsid w:val="00711F54"/>
    <w:rsid w:val="007123B4"/>
    <w:rsid w:val="00713092"/>
    <w:rsid w:val="00713175"/>
    <w:rsid w:val="0071428A"/>
    <w:rsid w:val="00714EBD"/>
    <w:rsid w:val="0071677F"/>
    <w:rsid w:val="00716835"/>
    <w:rsid w:val="00717219"/>
    <w:rsid w:val="007179ED"/>
    <w:rsid w:val="0072027E"/>
    <w:rsid w:val="00720324"/>
    <w:rsid w:val="0072064E"/>
    <w:rsid w:val="007206D3"/>
    <w:rsid w:val="00720D46"/>
    <w:rsid w:val="00722718"/>
    <w:rsid w:val="00722BD4"/>
    <w:rsid w:val="00722FE7"/>
    <w:rsid w:val="00723211"/>
    <w:rsid w:val="00723264"/>
    <w:rsid w:val="007236E4"/>
    <w:rsid w:val="007237CD"/>
    <w:rsid w:val="00723B49"/>
    <w:rsid w:val="00723FDE"/>
    <w:rsid w:val="00724519"/>
    <w:rsid w:val="0072480D"/>
    <w:rsid w:val="00724AFC"/>
    <w:rsid w:val="0072579D"/>
    <w:rsid w:val="00725A7A"/>
    <w:rsid w:val="00726953"/>
    <w:rsid w:val="0072796B"/>
    <w:rsid w:val="00730402"/>
    <w:rsid w:val="007305FC"/>
    <w:rsid w:val="00730B08"/>
    <w:rsid w:val="00730E71"/>
    <w:rsid w:val="00731A0F"/>
    <w:rsid w:val="007327B8"/>
    <w:rsid w:val="0073323C"/>
    <w:rsid w:val="007332D5"/>
    <w:rsid w:val="007336C0"/>
    <w:rsid w:val="00733B2C"/>
    <w:rsid w:val="00735E84"/>
    <w:rsid w:val="0073769B"/>
    <w:rsid w:val="00737F09"/>
    <w:rsid w:val="00740F21"/>
    <w:rsid w:val="00741839"/>
    <w:rsid w:val="0074184B"/>
    <w:rsid w:val="007429FE"/>
    <w:rsid w:val="00742B5D"/>
    <w:rsid w:val="00742CC8"/>
    <w:rsid w:val="0074363A"/>
    <w:rsid w:val="007448C9"/>
    <w:rsid w:val="00744E87"/>
    <w:rsid w:val="0074659F"/>
    <w:rsid w:val="00746CE3"/>
    <w:rsid w:val="00747DFE"/>
    <w:rsid w:val="00750B46"/>
    <w:rsid w:val="00751159"/>
    <w:rsid w:val="0075152B"/>
    <w:rsid w:val="0075183B"/>
    <w:rsid w:val="007530DC"/>
    <w:rsid w:val="0075315E"/>
    <w:rsid w:val="007537A5"/>
    <w:rsid w:val="00755BE1"/>
    <w:rsid w:val="00756143"/>
    <w:rsid w:val="007568CA"/>
    <w:rsid w:val="00756A75"/>
    <w:rsid w:val="00756D7C"/>
    <w:rsid w:val="0075712C"/>
    <w:rsid w:val="0075747A"/>
    <w:rsid w:val="0075777E"/>
    <w:rsid w:val="00757937"/>
    <w:rsid w:val="00757E02"/>
    <w:rsid w:val="007608A5"/>
    <w:rsid w:val="00760904"/>
    <w:rsid w:val="007609A9"/>
    <w:rsid w:val="00761504"/>
    <w:rsid w:val="00761C8F"/>
    <w:rsid w:val="00761F18"/>
    <w:rsid w:val="00762E22"/>
    <w:rsid w:val="00763154"/>
    <w:rsid w:val="00763A10"/>
    <w:rsid w:val="00763C91"/>
    <w:rsid w:val="00765143"/>
    <w:rsid w:val="00765A6F"/>
    <w:rsid w:val="00765CA9"/>
    <w:rsid w:val="00765FCE"/>
    <w:rsid w:val="007664C5"/>
    <w:rsid w:val="00767775"/>
    <w:rsid w:val="00770ECC"/>
    <w:rsid w:val="00771B19"/>
    <w:rsid w:val="00771EC3"/>
    <w:rsid w:val="007729A5"/>
    <w:rsid w:val="00772C88"/>
    <w:rsid w:val="0077567E"/>
    <w:rsid w:val="00775A16"/>
    <w:rsid w:val="0077605C"/>
    <w:rsid w:val="00776284"/>
    <w:rsid w:val="0077691D"/>
    <w:rsid w:val="0077774E"/>
    <w:rsid w:val="00777C75"/>
    <w:rsid w:val="00777F27"/>
    <w:rsid w:val="00780DC0"/>
    <w:rsid w:val="00780E1D"/>
    <w:rsid w:val="0078187C"/>
    <w:rsid w:val="007824BD"/>
    <w:rsid w:val="007827E9"/>
    <w:rsid w:val="00782C53"/>
    <w:rsid w:val="007847A1"/>
    <w:rsid w:val="00785111"/>
    <w:rsid w:val="0078606D"/>
    <w:rsid w:val="0078718E"/>
    <w:rsid w:val="007900B8"/>
    <w:rsid w:val="0079068F"/>
    <w:rsid w:val="00791C58"/>
    <w:rsid w:val="00792062"/>
    <w:rsid w:val="007933A0"/>
    <w:rsid w:val="00794070"/>
    <w:rsid w:val="00794279"/>
    <w:rsid w:val="00794F05"/>
    <w:rsid w:val="007952A4"/>
    <w:rsid w:val="00796CAD"/>
    <w:rsid w:val="0079731B"/>
    <w:rsid w:val="00797AAE"/>
    <w:rsid w:val="007A0056"/>
    <w:rsid w:val="007A0791"/>
    <w:rsid w:val="007A0922"/>
    <w:rsid w:val="007A09F1"/>
    <w:rsid w:val="007A0E8E"/>
    <w:rsid w:val="007A2491"/>
    <w:rsid w:val="007A369E"/>
    <w:rsid w:val="007A4A8E"/>
    <w:rsid w:val="007A57D7"/>
    <w:rsid w:val="007A63FC"/>
    <w:rsid w:val="007A6E1E"/>
    <w:rsid w:val="007A7A54"/>
    <w:rsid w:val="007B05E3"/>
    <w:rsid w:val="007B13CF"/>
    <w:rsid w:val="007B26A6"/>
    <w:rsid w:val="007B31B6"/>
    <w:rsid w:val="007B3AAC"/>
    <w:rsid w:val="007B3D97"/>
    <w:rsid w:val="007B3DB4"/>
    <w:rsid w:val="007B49C2"/>
    <w:rsid w:val="007B4D66"/>
    <w:rsid w:val="007B612C"/>
    <w:rsid w:val="007B67A4"/>
    <w:rsid w:val="007B6ACD"/>
    <w:rsid w:val="007B739C"/>
    <w:rsid w:val="007B7A3A"/>
    <w:rsid w:val="007C06BF"/>
    <w:rsid w:val="007C077B"/>
    <w:rsid w:val="007C11A4"/>
    <w:rsid w:val="007C19ED"/>
    <w:rsid w:val="007C3F31"/>
    <w:rsid w:val="007C43CB"/>
    <w:rsid w:val="007C5261"/>
    <w:rsid w:val="007C5DC7"/>
    <w:rsid w:val="007C5E74"/>
    <w:rsid w:val="007C67CF"/>
    <w:rsid w:val="007C695B"/>
    <w:rsid w:val="007C6D77"/>
    <w:rsid w:val="007C728B"/>
    <w:rsid w:val="007D179C"/>
    <w:rsid w:val="007D27EC"/>
    <w:rsid w:val="007D3368"/>
    <w:rsid w:val="007D4294"/>
    <w:rsid w:val="007D4699"/>
    <w:rsid w:val="007D4A70"/>
    <w:rsid w:val="007D663E"/>
    <w:rsid w:val="007D75FA"/>
    <w:rsid w:val="007E0F57"/>
    <w:rsid w:val="007E2317"/>
    <w:rsid w:val="007E2E77"/>
    <w:rsid w:val="007E31E1"/>
    <w:rsid w:val="007E3892"/>
    <w:rsid w:val="007E43EC"/>
    <w:rsid w:val="007E43F5"/>
    <w:rsid w:val="007E5E5B"/>
    <w:rsid w:val="007E65FC"/>
    <w:rsid w:val="007E6688"/>
    <w:rsid w:val="007E78C9"/>
    <w:rsid w:val="007E7960"/>
    <w:rsid w:val="007F09E1"/>
    <w:rsid w:val="007F0C20"/>
    <w:rsid w:val="007F1BBC"/>
    <w:rsid w:val="007F26DB"/>
    <w:rsid w:val="007F2B3F"/>
    <w:rsid w:val="007F2DFE"/>
    <w:rsid w:val="007F38DE"/>
    <w:rsid w:val="007F3BC0"/>
    <w:rsid w:val="007F4493"/>
    <w:rsid w:val="007F4C9C"/>
    <w:rsid w:val="007F4E27"/>
    <w:rsid w:val="007F5DF3"/>
    <w:rsid w:val="008010B2"/>
    <w:rsid w:val="008051B0"/>
    <w:rsid w:val="008063EE"/>
    <w:rsid w:val="00806832"/>
    <w:rsid w:val="0080734F"/>
    <w:rsid w:val="0080759A"/>
    <w:rsid w:val="00807F5E"/>
    <w:rsid w:val="00810185"/>
    <w:rsid w:val="00810F99"/>
    <w:rsid w:val="00811C4B"/>
    <w:rsid w:val="00812561"/>
    <w:rsid w:val="008138F7"/>
    <w:rsid w:val="008150AA"/>
    <w:rsid w:val="008169DC"/>
    <w:rsid w:val="00817098"/>
    <w:rsid w:val="00820179"/>
    <w:rsid w:val="00821CAE"/>
    <w:rsid w:val="00822A21"/>
    <w:rsid w:val="008230F6"/>
    <w:rsid w:val="008237CD"/>
    <w:rsid w:val="00823DD9"/>
    <w:rsid w:val="00823E18"/>
    <w:rsid w:val="0082409B"/>
    <w:rsid w:val="00826194"/>
    <w:rsid w:val="00826C88"/>
    <w:rsid w:val="008271F4"/>
    <w:rsid w:val="00830EC2"/>
    <w:rsid w:val="00831245"/>
    <w:rsid w:val="0083316D"/>
    <w:rsid w:val="0083338E"/>
    <w:rsid w:val="00833649"/>
    <w:rsid w:val="00833799"/>
    <w:rsid w:val="00836189"/>
    <w:rsid w:val="00836D91"/>
    <w:rsid w:val="00837AA2"/>
    <w:rsid w:val="008402EC"/>
    <w:rsid w:val="00840CF9"/>
    <w:rsid w:val="0084150C"/>
    <w:rsid w:val="00841F85"/>
    <w:rsid w:val="0084226A"/>
    <w:rsid w:val="00842399"/>
    <w:rsid w:val="008429EB"/>
    <w:rsid w:val="00842B4E"/>
    <w:rsid w:val="0084396E"/>
    <w:rsid w:val="00843C47"/>
    <w:rsid w:val="00843C78"/>
    <w:rsid w:val="008474CD"/>
    <w:rsid w:val="00847792"/>
    <w:rsid w:val="00850775"/>
    <w:rsid w:val="00850AD0"/>
    <w:rsid w:val="00850F00"/>
    <w:rsid w:val="0085178A"/>
    <w:rsid w:val="00852249"/>
    <w:rsid w:val="00852563"/>
    <w:rsid w:val="00852618"/>
    <w:rsid w:val="00852710"/>
    <w:rsid w:val="00852C0B"/>
    <w:rsid w:val="008534C9"/>
    <w:rsid w:val="0085395A"/>
    <w:rsid w:val="00854127"/>
    <w:rsid w:val="00854CC3"/>
    <w:rsid w:val="00855971"/>
    <w:rsid w:val="00857090"/>
    <w:rsid w:val="0085746F"/>
    <w:rsid w:val="008578FC"/>
    <w:rsid w:val="0086373B"/>
    <w:rsid w:val="0086402B"/>
    <w:rsid w:val="00865081"/>
    <w:rsid w:val="00866833"/>
    <w:rsid w:val="00866FC8"/>
    <w:rsid w:val="00867FC6"/>
    <w:rsid w:val="008707DC"/>
    <w:rsid w:val="00870F88"/>
    <w:rsid w:val="008712FF"/>
    <w:rsid w:val="00872981"/>
    <w:rsid w:val="0087387B"/>
    <w:rsid w:val="00874668"/>
    <w:rsid w:val="00875C16"/>
    <w:rsid w:val="00877DDF"/>
    <w:rsid w:val="0088050B"/>
    <w:rsid w:val="008807B8"/>
    <w:rsid w:val="00880992"/>
    <w:rsid w:val="008810C1"/>
    <w:rsid w:val="00881B1F"/>
    <w:rsid w:val="008822DA"/>
    <w:rsid w:val="008829B6"/>
    <w:rsid w:val="00883944"/>
    <w:rsid w:val="00884BC9"/>
    <w:rsid w:val="00885E22"/>
    <w:rsid w:val="00886784"/>
    <w:rsid w:val="00886831"/>
    <w:rsid w:val="00886943"/>
    <w:rsid w:val="00887072"/>
    <w:rsid w:val="008878E0"/>
    <w:rsid w:val="00887FC5"/>
    <w:rsid w:val="00890E23"/>
    <w:rsid w:val="00893833"/>
    <w:rsid w:val="00893BB9"/>
    <w:rsid w:val="008958BE"/>
    <w:rsid w:val="00895F6C"/>
    <w:rsid w:val="0089644C"/>
    <w:rsid w:val="008971BF"/>
    <w:rsid w:val="008A19BE"/>
    <w:rsid w:val="008A2912"/>
    <w:rsid w:val="008A363E"/>
    <w:rsid w:val="008A3C98"/>
    <w:rsid w:val="008A3E94"/>
    <w:rsid w:val="008A4F07"/>
    <w:rsid w:val="008A5080"/>
    <w:rsid w:val="008A516E"/>
    <w:rsid w:val="008A5486"/>
    <w:rsid w:val="008A6791"/>
    <w:rsid w:val="008B0394"/>
    <w:rsid w:val="008B06FC"/>
    <w:rsid w:val="008B0701"/>
    <w:rsid w:val="008B221E"/>
    <w:rsid w:val="008B2602"/>
    <w:rsid w:val="008B2FBD"/>
    <w:rsid w:val="008B335A"/>
    <w:rsid w:val="008B33E5"/>
    <w:rsid w:val="008B3CF4"/>
    <w:rsid w:val="008B4CF2"/>
    <w:rsid w:val="008B5614"/>
    <w:rsid w:val="008B5A8E"/>
    <w:rsid w:val="008B64CF"/>
    <w:rsid w:val="008B64F0"/>
    <w:rsid w:val="008B6D5E"/>
    <w:rsid w:val="008B6E65"/>
    <w:rsid w:val="008B6F38"/>
    <w:rsid w:val="008B7A13"/>
    <w:rsid w:val="008C0206"/>
    <w:rsid w:val="008C02CC"/>
    <w:rsid w:val="008C2049"/>
    <w:rsid w:val="008C2DC1"/>
    <w:rsid w:val="008C2E77"/>
    <w:rsid w:val="008C3859"/>
    <w:rsid w:val="008C3C80"/>
    <w:rsid w:val="008C3F20"/>
    <w:rsid w:val="008C4A8E"/>
    <w:rsid w:val="008C5EFA"/>
    <w:rsid w:val="008C641E"/>
    <w:rsid w:val="008C703B"/>
    <w:rsid w:val="008C7FBA"/>
    <w:rsid w:val="008D017B"/>
    <w:rsid w:val="008D07B8"/>
    <w:rsid w:val="008D3524"/>
    <w:rsid w:val="008D52C2"/>
    <w:rsid w:val="008D60B5"/>
    <w:rsid w:val="008D622C"/>
    <w:rsid w:val="008D74F5"/>
    <w:rsid w:val="008D768C"/>
    <w:rsid w:val="008D7D05"/>
    <w:rsid w:val="008D7E5D"/>
    <w:rsid w:val="008E03B7"/>
    <w:rsid w:val="008E147F"/>
    <w:rsid w:val="008E23CE"/>
    <w:rsid w:val="008E2891"/>
    <w:rsid w:val="008E2F70"/>
    <w:rsid w:val="008E41B2"/>
    <w:rsid w:val="008E4A2D"/>
    <w:rsid w:val="008E5234"/>
    <w:rsid w:val="008E5349"/>
    <w:rsid w:val="008E53A8"/>
    <w:rsid w:val="008E5591"/>
    <w:rsid w:val="008E584D"/>
    <w:rsid w:val="008E60B1"/>
    <w:rsid w:val="008E7114"/>
    <w:rsid w:val="008E7789"/>
    <w:rsid w:val="008F0183"/>
    <w:rsid w:val="008F22EC"/>
    <w:rsid w:val="008F2956"/>
    <w:rsid w:val="008F2D4D"/>
    <w:rsid w:val="008F2D52"/>
    <w:rsid w:val="008F3B4F"/>
    <w:rsid w:val="008F4711"/>
    <w:rsid w:val="008F4F4F"/>
    <w:rsid w:val="008F4F73"/>
    <w:rsid w:val="008F57A5"/>
    <w:rsid w:val="008F6718"/>
    <w:rsid w:val="008F7472"/>
    <w:rsid w:val="0090057B"/>
    <w:rsid w:val="00900AA9"/>
    <w:rsid w:val="0090108E"/>
    <w:rsid w:val="00903567"/>
    <w:rsid w:val="00904FCC"/>
    <w:rsid w:val="00905EEE"/>
    <w:rsid w:val="00906D50"/>
    <w:rsid w:val="00907C98"/>
    <w:rsid w:val="009100C3"/>
    <w:rsid w:val="00912463"/>
    <w:rsid w:val="0091290C"/>
    <w:rsid w:val="00913095"/>
    <w:rsid w:val="0091319A"/>
    <w:rsid w:val="00913BE1"/>
    <w:rsid w:val="00915D53"/>
    <w:rsid w:val="00916405"/>
    <w:rsid w:val="009178C8"/>
    <w:rsid w:val="009208F8"/>
    <w:rsid w:val="00920A09"/>
    <w:rsid w:val="00920C52"/>
    <w:rsid w:val="009217D4"/>
    <w:rsid w:val="00921FAB"/>
    <w:rsid w:val="009224E7"/>
    <w:rsid w:val="0092276A"/>
    <w:rsid w:val="00923062"/>
    <w:rsid w:val="009239F5"/>
    <w:rsid w:val="0092441A"/>
    <w:rsid w:val="00924769"/>
    <w:rsid w:val="00924A25"/>
    <w:rsid w:val="00924B58"/>
    <w:rsid w:val="00924E88"/>
    <w:rsid w:val="0092620A"/>
    <w:rsid w:val="009267B0"/>
    <w:rsid w:val="00927224"/>
    <w:rsid w:val="00927482"/>
    <w:rsid w:val="0093095D"/>
    <w:rsid w:val="00930BB3"/>
    <w:rsid w:val="00932E18"/>
    <w:rsid w:val="00933EAC"/>
    <w:rsid w:val="0093440B"/>
    <w:rsid w:val="0093510D"/>
    <w:rsid w:val="0093522A"/>
    <w:rsid w:val="009362D1"/>
    <w:rsid w:val="009374D0"/>
    <w:rsid w:val="00937A04"/>
    <w:rsid w:val="00937AEF"/>
    <w:rsid w:val="00937DE8"/>
    <w:rsid w:val="009403A4"/>
    <w:rsid w:val="009418D9"/>
    <w:rsid w:val="00941A61"/>
    <w:rsid w:val="00942692"/>
    <w:rsid w:val="00944016"/>
    <w:rsid w:val="00944051"/>
    <w:rsid w:val="009468E2"/>
    <w:rsid w:val="0094705D"/>
    <w:rsid w:val="009500EC"/>
    <w:rsid w:val="009520B1"/>
    <w:rsid w:val="009545E1"/>
    <w:rsid w:val="00955676"/>
    <w:rsid w:val="0095580D"/>
    <w:rsid w:val="009561E1"/>
    <w:rsid w:val="009569A3"/>
    <w:rsid w:val="00956C17"/>
    <w:rsid w:val="009577B8"/>
    <w:rsid w:val="0095788E"/>
    <w:rsid w:val="009605EA"/>
    <w:rsid w:val="0096134A"/>
    <w:rsid w:val="009616E1"/>
    <w:rsid w:val="00961E32"/>
    <w:rsid w:val="00962871"/>
    <w:rsid w:val="00964B31"/>
    <w:rsid w:val="00964B69"/>
    <w:rsid w:val="009652CE"/>
    <w:rsid w:val="00965772"/>
    <w:rsid w:val="00965C02"/>
    <w:rsid w:val="009662EE"/>
    <w:rsid w:val="00966D06"/>
    <w:rsid w:val="0096702C"/>
    <w:rsid w:val="00967ABA"/>
    <w:rsid w:val="00970FF3"/>
    <w:rsid w:val="00972C6D"/>
    <w:rsid w:val="00972EDA"/>
    <w:rsid w:val="009733D8"/>
    <w:rsid w:val="00974D55"/>
    <w:rsid w:val="0097576F"/>
    <w:rsid w:val="00975F58"/>
    <w:rsid w:val="00976751"/>
    <w:rsid w:val="009768C3"/>
    <w:rsid w:val="00976CEE"/>
    <w:rsid w:val="00976D9E"/>
    <w:rsid w:val="00977359"/>
    <w:rsid w:val="009779BD"/>
    <w:rsid w:val="00980087"/>
    <w:rsid w:val="00980358"/>
    <w:rsid w:val="00981452"/>
    <w:rsid w:val="009817C7"/>
    <w:rsid w:val="00983821"/>
    <w:rsid w:val="00983A6A"/>
    <w:rsid w:val="0098421F"/>
    <w:rsid w:val="009868E2"/>
    <w:rsid w:val="00986934"/>
    <w:rsid w:val="00986C71"/>
    <w:rsid w:val="009873C6"/>
    <w:rsid w:val="00987497"/>
    <w:rsid w:val="00987668"/>
    <w:rsid w:val="0099054F"/>
    <w:rsid w:val="00990836"/>
    <w:rsid w:val="00990CEB"/>
    <w:rsid w:val="00990D5E"/>
    <w:rsid w:val="00990D90"/>
    <w:rsid w:val="00991275"/>
    <w:rsid w:val="00991450"/>
    <w:rsid w:val="0099171E"/>
    <w:rsid w:val="00992367"/>
    <w:rsid w:val="009925FE"/>
    <w:rsid w:val="009928E8"/>
    <w:rsid w:val="009936EC"/>
    <w:rsid w:val="0099409D"/>
    <w:rsid w:val="00994764"/>
    <w:rsid w:val="00995E2F"/>
    <w:rsid w:val="00995FBC"/>
    <w:rsid w:val="009963E4"/>
    <w:rsid w:val="0099663E"/>
    <w:rsid w:val="00996A2C"/>
    <w:rsid w:val="009A01E9"/>
    <w:rsid w:val="009A021A"/>
    <w:rsid w:val="009A0450"/>
    <w:rsid w:val="009A0A2C"/>
    <w:rsid w:val="009A17FF"/>
    <w:rsid w:val="009A267A"/>
    <w:rsid w:val="009A2C63"/>
    <w:rsid w:val="009A3BE7"/>
    <w:rsid w:val="009A4E7C"/>
    <w:rsid w:val="009A67AA"/>
    <w:rsid w:val="009A6866"/>
    <w:rsid w:val="009A7CFA"/>
    <w:rsid w:val="009A7E58"/>
    <w:rsid w:val="009B047C"/>
    <w:rsid w:val="009B05CB"/>
    <w:rsid w:val="009B2956"/>
    <w:rsid w:val="009B2DE6"/>
    <w:rsid w:val="009B363E"/>
    <w:rsid w:val="009B39F1"/>
    <w:rsid w:val="009B4DAD"/>
    <w:rsid w:val="009B58FF"/>
    <w:rsid w:val="009B5E7F"/>
    <w:rsid w:val="009B66CD"/>
    <w:rsid w:val="009B7F38"/>
    <w:rsid w:val="009C045C"/>
    <w:rsid w:val="009C17CA"/>
    <w:rsid w:val="009C1EFE"/>
    <w:rsid w:val="009C2266"/>
    <w:rsid w:val="009C3723"/>
    <w:rsid w:val="009C3832"/>
    <w:rsid w:val="009C54E9"/>
    <w:rsid w:val="009C6332"/>
    <w:rsid w:val="009C63DB"/>
    <w:rsid w:val="009C6914"/>
    <w:rsid w:val="009C7A0C"/>
    <w:rsid w:val="009C7A1C"/>
    <w:rsid w:val="009C7C2D"/>
    <w:rsid w:val="009C7E45"/>
    <w:rsid w:val="009D0B1D"/>
    <w:rsid w:val="009D114E"/>
    <w:rsid w:val="009D14DE"/>
    <w:rsid w:val="009D1CF1"/>
    <w:rsid w:val="009D2478"/>
    <w:rsid w:val="009D2C77"/>
    <w:rsid w:val="009D2EE7"/>
    <w:rsid w:val="009D31A3"/>
    <w:rsid w:val="009D35DD"/>
    <w:rsid w:val="009D40DB"/>
    <w:rsid w:val="009D419E"/>
    <w:rsid w:val="009D5851"/>
    <w:rsid w:val="009D6086"/>
    <w:rsid w:val="009D775D"/>
    <w:rsid w:val="009D7964"/>
    <w:rsid w:val="009D7BD0"/>
    <w:rsid w:val="009D7FE5"/>
    <w:rsid w:val="009E09B4"/>
    <w:rsid w:val="009E0AED"/>
    <w:rsid w:val="009E37E7"/>
    <w:rsid w:val="009E3C57"/>
    <w:rsid w:val="009E3F8A"/>
    <w:rsid w:val="009E3FF9"/>
    <w:rsid w:val="009E4FA4"/>
    <w:rsid w:val="009E6896"/>
    <w:rsid w:val="009E709B"/>
    <w:rsid w:val="009E730C"/>
    <w:rsid w:val="009E7982"/>
    <w:rsid w:val="009E7CD6"/>
    <w:rsid w:val="009E7F9A"/>
    <w:rsid w:val="009F0A87"/>
    <w:rsid w:val="009F0C83"/>
    <w:rsid w:val="009F350B"/>
    <w:rsid w:val="009F3615"/>
    <w:rsid w:val="009F3B27"/>
    <w:rsid w:val="009F416D"/>
    <w:rsid w:val="009F4AB6"/>
    <w:rsid w:val="009F5BB8"/>
    <w:rsid w:val="009F6016"/>
    <w:rsid w:val="009F7413"/>
    <w:rsid w:val="009F7C86"/>
    <w:rsid w:val="00A00DE3"/>
    <w:rsid w:val="00A01479"/>
    <w:rsid w:val="00A028BC"/>
    <w:rsid w:val="00A0351B"/>
    <w:rsid w:val="00A04996"/>
    <w:rsid w:val="00A04A9B"/>
    <w:rsid w:val="00A0504C"/>
    <w:rsid w:val="00A05C38"/>
    <w:rsid w:val="00A05F0A"/>
    <w:rsid w:val="00A06492"/>
    <w:rsid w:val="00A06D97"/>
    <w:rsid w:val="00A06E3D"/>
    <w:rsid w:val="00A12533"/>
    <w:rsid w:val="00A13B16"/>
    <w:rsid w:val="00A145CF"/>
    <w:rsid w:val="00A1494E"/>
    <w:rsid w:val="00A14C57"/>
    <w:rsid w:val="00A15F53"/>
    <w:rsid w:val="00A1630D"/>
    <w:rsid w:val="00A17185"/>
    <w:rsid w:val="00A1785C"/>
    <w:rsid w:val="00A20921"/>
    <w:rsid w:val="00A21913"/>
    <w:rsid w:val="00A2216B"/>
    <w:rsid w:val="00A22987"/>
    <w:rsid w:val="00A2316B"/>
    <w:rsid w:val="00A23D8D"/>
    <w:rsid w:val="00A24A06"/>
    <w:rsid w:val="00A24C5E"/>
    <w:rsid w:val="00A2504A"/>
    <w:rsid w:val="00A25137"/>
    <w:rsid w:val="00A261E9"/>
    <w:rsid w:val="00A276A1"/>
    <w:rsid w:val="00A27EE3"/>
    <w:rsid w:val="00A3052E"/>
    <w:rsid w:val="00A30566"/>
    <w:rsid w:val="00A3157B"/>
    <w:rsid w:val="00A359C4"/>
    <w:rsid w:val="00A35A73"/>
    <w:rsid w:val="00A36477"/>
    <w:rsid w:val="00A36D9A"/>
    <w:rsid w:val="00A37160"/>
    <w:rsid w:val="00A40E92"/>
    <w:rsid w:val="00A42FC1"/>
    <w:rsid w:val="00A4319B"/>
    <w:rsid w:val="00A43C27"/>
    <w:rsid w:val="00A43EA3"/>
    <w:rsid w:val="00A440D3"/>
    <w:rsid w:val="00A443C7"/>
    <w:rsid w:val="00A44D43"/>
    <w:rsid w:val="00A458FD"/>
    <w:rsid w:val="00A45DB5"/>
    <w:rsid w:val="00A463A1"/>
    <w:rsid w:val="00A4646F"/>
    <w:rsid w:val="00A47B20"/>
    <w:rsid w:val="00A50AF3"/>
    <w:rsid w:val="00A553CF"/>
    <w:rsid w:val="00A565AA"/>
    <w:rsid w:val="00A57255"/>
    <w:rsid w:val="00A5771D"/>
    <w:rsid w:val="00A57F94"/>
    <w:rsid w:val="00A61506"/>
    <w:rsid w:val="00A620D5"/>
    <w:rsid w:val="00A62BDA"/>
    <w:rsid w:val="00A641FB"/>
    <w:rsid w:val="00A6733B"/>
    <w:rsid w:val="00A70242"/>
    <w:rsid w:val="00A70264"/>
    <w:rsid w:val="00A708DF"/>
    <w:rsid w:val="00A70A76"/>
    <w:rsid w:val="00A70D46"/>
    <w:rsid w:val="00A71CC0"/>
    <w:rsid w:val="00A71FD4"/>
    <w:rsid w:val="00A73A5C"/>
    <w:rsid w:val="00A73A98"/>
    <w:rsid w:val="00A73C9F"/>
    <w:rsid w:val="00A73DE0"/>
    <w:rsid w:val="00A74532"/>
    <w:rsid w:val="00A74C1F"/>
    <w:rsid w:val="00A74EBD"/>
    <w:rsid w:val="00A74FCA"/>
    <w:rsid w:val="00A75322"/>
    <w:rsid w:val="00A75FEC"/>
    <w:rsid w:val="00A765D8"/>
    <w:rsid w:val="00A77B8C"/>
    <w:rsid w:val="00A8101D"/>
    <w:rsid w:val="00A82E7C"/>
    <w:rsid w:val="00A8382D"/>
    <w:rsid w:val="00A843B6"/>
    <w:rsid w:val="00A84DF4"/>
    <w:rsid w:val="00A8501C"/>
    <w:rsid w:val="00A85FDA"/>
    <w:rsid w:val="00A86574"/>
    <w:rsid w:val="00A86DC8"/>
    <w:rsid w:val="00A86E93"/>
    <w:rsid w:val="00A870D8"/>
    <w:rsid w:val="00A87224"/>
    <w:rsid w:val="00A8756B"/>
    <w:rsid w:val="00A90BF8"/>
    <w:rsid w:val="00A90E35"/>
    <w:rsid w:val="00A90FE7"/>
    <w:rsid w:val="00A9151C"/>
    <w:rsid w:val="00A91562"/>
    <w:rsid w:val="00A916E3"/>
    <w:rsid w:val="00A91ACC"/>
    <w:rsid w:val="00A921F9"/>
    <w:rsid w:val="00A9221A"/>
    <w:rsid w:val="00A93648"/>
    <w:rsid w:val="00A9423C"/>
    <w:rsid w:val="00A9473A"/>
    <w:rsid w:val="00A9485F"/>
    <w:rsid w:val="00A9549D"/>
    <w:rsid w:val="00A960F6"/>
    <w:rsid w:val="00A96584"/>
    <w:rsid w:val="00A96755"/>
    <w:rsid w:val="00A967CA"/>
    <w:rsid w:val="00A97040"/>
    <w:rsid w:val="00A97BA7"/>
    <w:rsid w:val="00AA1B80"/>
    <w:rsid w:val="00AA25BE"/>
    <w:rsid w:val="00AA2C06"/>
    <w:rsid w:val="00AA2F5B"/>
    <w:rsid w:val="00AA30C3"/>
    <w:rsid w:val="00AA3340"/>
    <w:rsid w:val="00AA409C"/>
    <w:rsid w:val="00AA483D"/>
    <w:rsid w:val="00AA5603"/>
    <w:rsid w:val="00AA5A8B"/>
    <w:rsid w:val="00AA5B93"/>
    <w:rsid w:val="00AA5CFE"/>
    <w:rsid w:val="00AA6819"/>
    <w:rsid w:val="00AB0144"/>
    <w:rsid w:val="00AB026C"/>
    <w:rsid w:val="00AB064D"/>
    <w:rsid w:val="00AB0908"/>
    <w:rsid w:val="00AB09D3"/>
    <w:rsid w:val="00AB133E"/>
    <w:rsid w:val="00AB171A"/>
    <w:rsid w:val="00AB1E08"/>
    <w:rsid w:val="00AB207B"/>
    <w:rsid w:val="00AB36DA"/>
    <w:rsid w:val="00AB3A8F"/>
    <w:rsid w:val="00AB41E8"/>
    <w:rsid w:val="00AB461A"/>
    <w:rsid w:val="00AB5981"/>
    <w:rsid w:val="00AB5DEC"/>
    <w:rsid w:val="00AB5EA9"/>
    <w:rsid w:val="00AB606C"/>
    <w:rsid w:val="00AB60E2"/>
    <w:rsid w:val="00AC0F8E"/>
    <w:rsid w:val="00AC1B69"/>
    <w:rsid w:val="00AC26A8"/>
    <w:rsid w:val="00AC2AA8"/>
    <w:rsid w:val="00AC2C55"/>
    <w:rsid w:val="00AC3261"/>
    <w:rsid w:val="00AC479C"/>
    <w:rsid w:val="00AC4E6B"/>
    <w:rsid w:val="00AC58CF"/>
    <w:rsid w:val="00AC6A9C"/>
    <w:rsid w:val="00AC760E"/>
    <w:rsid w:val="00AC7DF1"/>
    <w:rsid w:val="00AD051E"/>
    <w:rsid w:val="00AD0AEF"/>
    <w:rsid w:val="00AD0C35"/>
    <w:rsid w:val="00AD0FDB"/>
    <w:rsid w:val="00AD1733"/>
    <w:rsid w:val="00AD36D8"/>
    <w:rsid w:val="00AD40BD"/>
    <w:rsid w:val="00AD4AFA"/>
    <w:rsid w:val="00AD64CD"/>
    <w:rsid w:val="00AD6E26"/>
    <w:rsid w:val="00AE0E5B"/>
    <w:rsid w:val="00AE1040"/>
    <w:rsid w:val="00AE1BCE"/>
    <w:rsid w:val="00AE1C4C"/>
    <w:rsid w:val="00AE1C59"/>
    <w:rsid w:val="00AE323A"/>
    <w:rsid w:val="00AE34DE"/>
    <w:rsid w:val="00AE37C7"/>
    <w:rsid w:val="00AE3883"/>
    <w:rsid w:val="00AE3CB7"/>
    <w:rsid w:val="00AE4154"/>
    <w:rsid w:val="00AE462A"/>
    <w:rsid w:val="00AE4CD1"/>
    <w:rsid w:val="00AE514B"/>
    <w:rsid w:val="00AE7090"/>
    <w:rsid w:val="00AF052F"/>
    <w:rsid w:val="00AF1BA6"/>
    <w:rsid w:val="00AF33C2"/>
    <w:rsid w:val="00AF4DDD"/>
    <w:rsid w:val="00AF601D"/>
    <w:rsid w:val="00AF6A3B"/>
    <w:rsid w:val="00B00691"/>
    <w:rsid w:val="00B00D27"/>
    <w:rsid w:val="00B00EF5"/>
    <w:rsid w:val="00B0169A"/>
    <w:rsid w:val="00B01722"/>
    <w:rsid w:val="00B02AA0"/>
    <w:rsid w:val="00B03F03"/>
    <w:rsid w:val="00B05262"/>
    <w:rsid w:val="00B05EFF"/>
    <w:rsid w:val="00B07C93"/>
    <w:rsid w:val="00B07FFC"/>
    <w:rsid w:val="00B10A3B"/>
    <w:rsid w:val="00B10E0F"/>
    <w:rsid w:val="00B10F8B"/>
    <w:rsid w:val="00B119F1"/>
    <w:rsid w:val="00B11C24"/>
    <w:rsid w:val="00B12140"/>
    <w:rsid w:val="00B128BD"/>
    <w:rsid w:val="00B135E5"/>
    <w:rsid w:val="00B13D30"/>
    <w:rsid w:val="00B13FF3"/>
    <w:rsid w:val="00B148D5"/>
    <w:rsid w:val="00B1520E"/>
    <w:rsid w:val="00B156FA"/>
    <w:rsid w:val="00B15787"/>
    <w:rsid w:val="00B16C00"/>
    <w:rsid w:val="00B1729C"/>
    <w:rsid w:val="00B202BD"/>
    <w:rsid w:val="00B203D3"/>
    <w:rsid w:val="00B204EE"/>
    <w:rsid w:val="00B21577"/>
    <w:rsid w:val="00B21694"/>
    <w:rsid w:val="00B2252D"/>
    <w:rsid w:val="00B233A9"/>
    <w:rsid w:val="00B23C5B"/>
    <w:rsid w:val="00B246F8"/>
    <w:rsid w:val="00B246FF"/>
    <w:rsid w:val="00B24C41"/>
    <w:rsid w:val="00B26E07"/>
    <w:rsid w:val="00B271BE"/>
    <w:rsid w:val="00B2745A"/>
    <w:rsid w:val="00B317B7"/>
    <w:rsid w:val="00B31800"/>
    <w:rsid w:val="00B3230C"/>
    <w:rsid w:val="00B33402"/>
    <w:rsid w:val="00B34D78"/>
    <w:rsid w:val="00B34E95"/>
    <w:rsid w:val="00B35758"/>
    <w:rsid w:val="00B35A91"/>
    <w:rsid w:val="00B36CB5"/>
    <w:rsid w:val="00B36DBB"/>
    <w:rsid w:val="00B36E5C"/>
    <w:rsid w:val="00B408E7"/>
    <w:rsid w:val="00B40974"/>
    <w:rsid w:val="00B41CB3"/>
    <w:rsid w:val="00B43CD1"/>
    <w:rsid w:val="00B43FA0"/>
    <w:rsid w:val="00B4480B"/>
    <w:rsid w:val="00B45549"/>
    <w:rsid w:val="00B45588"/>
    <w:rsid w:val="00B455FF"/>
    <w:rsid w:val="00B4630B"/>
    <w:rsid w:val="00B4673D"/>
    <w:rsid w:val="00B505AC"/>
    <w:rsid w:val="00B506B0"/>
    <w:rsid w:val="00B517AF"/>
    <w:rsid w:val="00B524D4"/>
    <w:rsid w:val="00B54C13"/>
    <w:rsid w:val="00B55725"/>
    <w:rsid w:val="00B557D2"/>
    <w:rsid w:val="00B562FC"/>
    <w:rsid w:val="00B56EF4"/>
    <w:rsid w:val="00B578C6"/>
    <w:rsid w:val="00B600F0"/>
    <w:rsid w:val="00B6086D"/>
    <w:rsid w:val="00B60881"/>
    <w:rsid w:val="00B61314"/>
    <w:rsid w:val="00B61C8F"/>
    <w:rsid w:val="00B61D42"/>
    <w:rsid w:val="00B6225A"/>
    <w:rsid w:val="00B626F6"/>
    <w:rsid w:val="00B62D95"/>
    <w:rsid w:val="00B63E35"/>
    <w:rsid w:val="00B64119"/>
    <w:rsid w:val="00B64AF0"/>
    <w:rsid w:val="00B64CAF"/>
    <w:rsid w:val="00B64D2A"/>
    <w:rsid w:val="00B64D49"/>
    <w:rsid w:val="00B653B6"/>
    <w:rsid w:val="00B65CF1"/>
    <w:rsid w:val="00B65D50"/>
    <w:rsid w:val="00B664DB"/>
    <w:rsid w:val="00B672E4"/>
    <w:rsid w:val="00B67AC4"/>
    <w:rsid w:val="00B70098"/>
    <w:rsid w:val="00B7011C"/>
    <w:rsid w:val="00B701AC"/>
    <w:rsid w:val="00B70AF0"/>
    <w:rsid w:val="00B7178F"/>
    <w:rsid w:val="00B71A33"/>
    <w:rsid w:val="00B71FFD"/>
    <w:rsid w:val="00B72052"/>
    <w:rsid w:val="00B726A3"/>
    <w:rsid w:val="00B72F31"/>
    <w:rsid w:val="00B747B2"/>
    <w:rsid w:val="00B74EA6"/>
    <w:rsid w:val="00B76184"/>
    <w:rsid w:val="00B771D7"/>
    <w:rsid w:val="00B77410"/>
    <w:rsid w:val="00B77494"/>
    <w:rsid w:val="00B77C26"/>
    <w:rsid w:val="00B8047D"/>
    <w:rsid w:val="00B80728"/>
    <w:rsid w:val="00B817E5"/>
    <w:rsid w:val="00B81C87"/>
    <w:rsid w:val="00B81C9A"/>
    <w:rsid w:val="00B83492"/>
    <w:rsid w:val="00B83699"/>
    <w:rsid w:val="00B84A8C"/>
    <w:rsid w:val="00B84DB9"/>
    <w:rsid w:val="00B853A8"/>
    <w:rsid w:val="00B860F0"/>
    <w:rsid w:val="00B866DF"/>
    <w:rsid w:val="00B87190"/>
    <w:rsid w:val="00B871E4"/>
    <w:rsid w:val="00B87CF2"/>
    <w:rsid w:val="00B87E71"/>
    <w:rsid w:val="00B90196"/>
    <w:rsid w:val="00B90C17"/>
    <w:rsid w:val="00B92BE0"/>
    <w:rsid w:val="00B94AA6"/>
    <w:rsid w:val="00B95122"/>
    <w:rsid w:val="00B95954"/>
    <w:rsid w:val="00B96EDE"/>
    <w:rsid w:val="00BA1617"/>
    <w:rsid w:val="00BA2615"/>
    <w:rsid w:val="00BA40AA"/>
    <w:rsid w:val="00BA44F3"/>
    <w:rsid w:val="00BA5426"/>
    <w:rsid w:val="00BA6E1A"/>
    <w:rsid w:val="00BB00CE"/>
    <w:rsid w:val="00BB18F5"/>
    <w:rsid w:val="00BB3934"/>
    <w:rsid w:val="00BB62B8"/>
    <w:rsid w:val="00BB7262"/>
    <w:rsid w:val="00BB75DB"/>
    <w:rsid w:val="00BB7D19"/>
    <w:rsid w:val="00BC03D2"/>
    <w:rsid w:val="00BC08A7"/>
    <w:rsid w:val="00BC1996"/>
    <w:rsid w:val="00BC2392"/>
    <w:rsid w:val="00BC2586"/>
    <w:rsid w:val="00BC307F"/>
    <w:rsid w:val="00BC3F45"/>
    <w:rsid w:val="00BC4854"/>
    <w:rsid w:val="00BC4A56"/>
    <w:rsid w:val="00BC535C"/>
    <w:rsid w:val="00BC6069"/>
    <w:rsid w:val="00BC7A6B"/>
    <w:rsid w:val="00BD1DCF"/>
    <w:rsid w:val="00BD2894"/>
    <w:rsid w:val="00BD28FC"/>
    <w:rsid w:val="00BD2C8E"/>
    <w:rsid w:val="00BD3E3B"/>
    <w:rsid w:val="00BD43AB"/>
    <w:rsid w:val="00BD6237"/>
    <w:rsid w:val="00BD7264"/>
    <w:rsid w:val="00BD7AD2"/>
    <w:rsid w:val="00BE0126"/>
    <w:rsid w:val="00BE038B"/>
    <w:rsid w:val="00BE0664"/>
    <w:rsid w:val="00BE1AD7"/>
    <w:rsid w:val="00BE1D92"/>
    <w:rsid w:val="00BE231A"/>
    <w:rsid w:val="00BE31F2"/>
    <w:rsid w:val="00BE3803"/>
    <w:rsid w:val="00BE3853"/>
    <w:rsid w:val="00BE38AB"/>
    <w:rsid w:val="00BE3934"/>
    <w:rsid w:val="00BE3CE3"/>
    <w:rsid w:val="00BE42F9"/>
    <w:rsid w:val="00BE4ADE"/>
    <w:rsid w:val="00BE4FF3"/>
    <w:rsid w:val="00BE5224"/>
    <w:rsid w:val="00BE544E"/>
    <w:rsid w:val="00BE60FB"/>
    <w:rsid w:val="00BF09F5"/>
    <w:rsid w:val="00BF1BC7"/>
    <w:rsid w:val="00BF23A9"/>
    <w:rsid w:val="00BF24B4"/>
    <w:rsid w:val="00BF2A88"/>
    <w:rsid w:val="00BF2FB1"/>
    <w:rsid w:val="00BF4FD1"/>
    <w:rsid w:val="00BF79EB"/>
    <w:rsid w:val="00C00E8C"/>
    <w:rsid w:val="00C010A9"/>
    <w:rsid w:val="00C012A4"/>
    <w:rsid w:val="00C0210D"/>
    <w:rsid w:val="00C02C3F"/>
    <w:rsid w:val="00C0424B"/>
    <w:rsid w:val="00C04D3C"/>
    <w:rsid w:val="00C050A6"/>
    <w:rsid w:val="00C05D70"/>
    <w:rsid w:val="00C07955"/>
    <w:rsid w:val="00C07AAD"/>
    <w:rsid w:val="00C104D4"/>
    <w:rsid w:val="00C108C2"/>
    <w:rsid w:val="00C11FEF"/>
    <w:rsid w:val="00C146D7"/>
    <w:rsid w:val="00C17EAE"/>
    <w:rsid w:val="00C205AF"/>
    <w:rsid w:val="00C20A81"/>
    <w:rsid w:val="00C20B18"/>
    <w:rsid w:val="00C211DD"/>
    <w:rsid w:val="00C21CCB"/>
    <w:rsid w:val="00C2265D"/>
    <w:rsid w:val="00C22804"/>
    <w:rsid w:val="00C25286"/>
    <w:rsid w:val="00C25880"/>
    <w:rsid w:val="00C25D04"/>
    <w:rsid w:val="00C25DDA"/>
    <w:rsid w:val="00C2629F"/>
    <w:rsid w:val="00C26CF5"/>
    <w:rsid w:val="00C3032D"/>
    <w:rsid w:val="00C30576"/>
    <w:rsid w:val="00C3081B"/>
    <w:rsid w:val="00C3181E"/>
    <w:rsid w:val="00C318C2"/>
    <w:rsid w:val="00C338D0"/>
    <w:rsid w:val="00C34590"/>
    <w:rsid w:val="00C3489B"/>
    <w:rsid w:val="00C348A9"/>
    <w:rsid w:val="00C35388"/>
    <w:rsid w:val="00C35764"/>
    <w:rsid w:val="00C36099"/>
    <w:rsid w:val="00C36A0D"/>
    <w:rsid w:val="00C40F52"/>
    <w:rsid w:val="00C4212D"/>
    <w:rsid w:val="00C4274C"/>
    <w:rsid w:val="00C427E2"/>
    <w:rsid w:val="00C4294C"/>
    <w:rsid w:val="00C42EAD"/>
    <w:rsid w:val="00C43584"/>
    <w:rsid w:val="00C43A64"/>
    <w:rsid w:val="00C47831"/>
    <w:rsid w:val="00C47B70"/>
    <w:rsid w:val="00C50BB5"/>
    <w:rsid w:val="00C5109F"/>
    <w:rsid w:val="00C51944"/>
    <w:rsid w:val="00C52467"/>
    <w:rsid w:val="00C52967"/>
    <w:rsid w:val="00C530A4"/>
    <w:rsid w:val="00C531CA"/>
    <w:rsid w:val="00C53E51"/>
    <w:rsid w:val="00C54CC8"/>
    <w:rsid w:val="00C55860"/>
    <w:rsid w:val="00C55A06"/>
    <w:rsid w:val="00C56019"/>
    <w:rsid w:val="00C565B0"/>
    <w:rsid w:val="00C5669C"/>
    <w:rsid w:val="00C573A8"/>
    <w:rsid w:val="00C609D4"/>
    <w:rsid w:val="00C623A8"/>
    <w:rsid w:val="00C62BF5"/>
    <w:rsid w:val="00C63826"/>
    <w:rsid w:val="00C642D9"/>
    <w:rsid w:val="00C643A1"/>
    <w:rsid w:val="00C6485E"/>
    <w:rsid w:val="00C6549B"/>
    <w:rsid w:val="00C65CA8"/>
    <w:rsid w:val="00C66110"/>
    <w:rsid w:val="00C67070"/>
    <w:rsid w:val="00C7025A"/>
    <w:rsid w:val="00C7068F"/>
    <w:rsid w:val="00C715BF"/>
    <w:rsid w:val="00C73300"/>
    <w:rsid w:val="00C74617"/>
    <w:rsid w:val="00C74CD5"/>
    <w:rsid w:val="00C75181"/>
    <w:rsid w:val="00C7602F"/>
    <w:rsid w:val="00C76F0F"/>
    <w:rsid w:val="00C8022A"/>
    <w:rsid w:val="00C804DE"/>
    <w:rsid w:val="00C804DF"/>
    <w:rsid w:val="00C80C68"/>
    <w:rsid w:val="00C81869"/>
    <w:rsid w:val="00C819DE"/>
    <w:rsid w:val="00C81DF8"/>
    <w:rsid w:val="00C81E43"/>
    <w:rsid w:val="00C82D82"/>
    <w:rsid w:val="00C831CC"/>
    <w:rsid w:val="00C833E8"/>
    <w:rsid w:val="00C834E1"/>
    <w:rsid w:val="00C83F62"/>
    <w:rsid w:val="00C841C5"/>
    <w:rsid w:val="00C84297"/>
    <w:rsid w:val="00C84F21"/>
    <w:rsid w:val="00C84F62"/>
    <w:rsid w:val="00C85169"/>
    <w:rsid w:val="00C85657"/>
    <w:rsid w:val="00C85CED"/>
    <w:rsid w:val="00C864D4"/>
    <w:rsid w:val="00C8668F"/>
    <w:rsid w:val="00C86BF1"/>
    <w:rsid w:val="00C87633"/>
    <w:rsid w:val="00C87C5E"/>
    <w:rsid w:val="00C87CD0"/>
    <w:rsid w:val="00C907DE"/>
    <w:rsid w:val="00C90FF7"/>
    <w:rsid w:val="00C912C5"/>
    <w:rsid w:val="00C91D9B"/>
    <w:rsid w:val="00C91ED4"/>
    <w:rsid w:val="00C9214F"/>
    <w:rsid w:val="00C922DF"/>
    <w:rsid w:val="00C923DB"/>
    <w:rsid w:val="00C92D60"/>
    <w:rsid w:val="00C9318E"/>
    <w:rsid w:val="00C944CB"/>
    <w:rsid w:val="00C94600"/>
    <w:rsid w:val="00C94EF1"/>
    <w:rsid w:val="00C955F0"/>
    <w:rsid w:val="00C96EC0"/>
    <w:rsid w:val="00CA0DE0"/>
    <w:rsid w:val="00CA1E05"/>
    <w:rsid w:val="00CA298D"/>
    <w:rsid w:val="00CA3CFC"/>
    <w:rsid w:val="00CA44DD"/>
    <w:rsid w:val="00CA5305"/>
    <w:rsid w:val="00CA5F62"/>
    <w:rsid w:val="00CA675F"/>
    <w:rsid w:val="00CA6D79"/>
    <w:rsid w:val="00CA772E"/>
    <w:rsid w:val="00CB0057"/>
    <w:rsid w:val="00CB0160"/>
    <w:rsid w:val="00CB0F7D"/>
    <w:rsid w:val="00CB118C"/>
    <w:rsid w:val="00CB12FB"/>
    <w:rsid w:val="00CB12FE"/>
    <w:rsid w:val="00CB1ADB"/>
    <w:rsid w:val="00CB257B"/>
    <w:rsid w:val="00CB3420"/>
    <w:rsid w:val="00CB4F14"/>
    <w:rsid w:val="00CB56B2"/>
    <w:rsid w:val="00CB5D0D"/>
    <w:rsid w:val="00CB5FE9"/>
    <w:rsid w:val="00CB7CF4"/>
    <w:rsid w:val="00CC0451"/>
    <w:rsid w:val="00CC08D0"/>
    <w:rsid w:val="00CC3E2B"/>
    <w:rsid w:val="00CC49AD"/>
    <w:rsid w:val="00CC4CEF"/>
    <w:rsid w:val="00CC5BE0"/>
    <w:rsid w:val="00CC6EBB"/>
    <w:rsid w:val="00CC72FF"/>
    <w:rsid w:val="00CC75B0"/>
    <w:rsid w:val="00CD01CC"/>
    <w:rsid w:val="00CD1408"/>
    <w:rsid w:val="00CD2103"/>
    <w:rsid w:val="00CD29C3"/>
    <w:rsid w:val="00CD3DC8"/>
    <w:rsid w:val="00CD482A"/>
    <w:rsid w:val="00CD4F17"/>
    <w:rsid w:val="00CD5E1D"/>
    <w:rsid w:val="00CD62D0"/>
    <w:rsid w:val="00CD6793"/>
    <w:rsid w:val="00CD70F9"/>
    <w:rsid w:val="00CD717B"/>
    <w:rsid w:val="00CD78E8"/>
    <w:rsid w:val="00CE26BD"/>
    <w:rsid w:val="00CE275E"/>
    <w:rsid w:val="00CE2787"/>
    <w:rsid w:val="00CE2CF1"/>
    <w:rsid w:val="00CE2FD1"/>
    <w:rsid w:val="00CE35DB"/>
    <w:rsid w:val="00CE46E7"/>
    <w:rsid w:val="00CE4754"/>
    <w:rsid w:val="00CE4C47"/>
    <w:rsid w:val="00CE4CCF"/>
    <w:rsid w:val="00CE592A"/>
    <w:rsid w:val="00CE5B7D"/>
    <w:rsid w:val="00CE5ED3"/>
    <w:rsid w:val="00CE6856"/>
    <w:rsid w:val="00CE68B1"/>
    <w:rsid w:val="00CE7CAD"/>
    <w:rsid w:val="00CF1941"/>
    <w:rsid w:val="00CF2691"/>
    <w:rsid w:val="00CF3E52"/>
    <w:rsid w:val="00CF41E0"/>
    <w:rsid w:val="00CF4A75"/>
    <w:rsid w:val="00CF6049"/>
    <w:rsid w:val="00CF60C6"/>
    <w:rsid w:val="00CF6ABF"/>
    <w:rsid w:val="00D002A0"/>
    <w:rsid w:val="00D01601"/>
    <w:rsid w:val="00D02609"/>
    <w:rsid w:val="00D03D8A"/>
    <w:rsid w:val="00D045DC"/>
    <w:rsid w:val="00D04C83"/>
    <w:rsid w:val="00D053DA"/>
    <w:rsid w:val="00D055A4"/>
    <w:rsid w:val="00D05747"/>
    <w:rsid w:val="00D058F9"/>
    <w:rsid w:val="00D05C44"/>
    <w:rsid w:val="00D068FA"/>
    <w:rsid w:val="00D06D44"/>
    <w:rsid w:val="00D07E82"/>
    <w:rsid w:val="00D1074C"/>
    <w:rsid w:val="00D11591"/>
    <w:rsid w:val="00D11949"/>
    <w:rsid w:val="00D12D6F"/>
    <w:rsid w:val="00D13675"/>
    <w:rsid w:val="00D14515"/>
    <w:rsid w:val="00D16F3E"/>
    <w:rsid w:val="00D175FC"/>
    <w:rsid w:val="00D17A43"/>
    <w:rsid w:val="00D20A2F"/>
    <w:rsid w:val="00D20D40"/>
    <w:rsid w:val="00D21BC2"/>
    <w:rsid w:val="00D224ED"/>
    <w:rsid w:val="00D239F9"/>
    <w:rsid w:val="00D23A21"/>
    <w:rsid w:val="00D23F87"/>
    <w:rsid w:val="00D24438"/>
    <w:rsid w:val="00D258A1"/>
    <w:rsid w:val="00D27D35"/>
    <w:rsid w:val="00D30F78"/>
    <w:rsid w:val="00D31045"/>
    <w:rsid w:val="00D313B5"/>
    <w:rsid w:val="00D313CD"/>
    <w:rsid w:val="00D31C95"/>
    <w:rsid w:val="00D3232C"/>
    <w:rsid w:val="00D3265D"/>
    <w:rsid w:val="00D3293E"/>
    <w:rsid w:val="00D32C17"/>
    <w:rsid w:val="00D33917"/>
    <w:rsid w:val="00D34775"/>
    <w:rsid w:val="00D349B4"/>
    <w:rsid w:val="00D34DCB"/>
    <w:rsid w:val="00D35331"/>
    <w:rsid w:val="00D37213"/>
    <w:rsid w:val="00D40110"/>
    <w:rsid w:val="00D41A4A"/>
    <w:rsid w:val="00D41B0E"/>
    <w:rsid w:val="00D4220B"/>
    <w:rsid w:val="00D42D92"/>
    <w:rsid w:val="00D42FFD"/>
    <w:rsid w:val="00D43577"/>
    <w:rsid w:val="00D43D21"/>
    <w:rsid w:val="00D44120"/>
    <w:rsid w:val="00D448E7"/>
    <w:rsid w:val="00D4572F"/>
    <w:rsid w:val="00D459CB"/>
    <w:rsid w:val="00D46539"/>
    <w:rsid w:val="00D4676C"/>
    <w:rsid w:val="00D46B48"/>
    <w:rsid w:val="00D474C0"/>
    <w:rsid w:val="00D50A74"/>
    <w:rsid w:val="00D50A79"/>
    <w:rsid w:val="00D50BB5"/>
    <w:rsid w:val="00D50F50"/>
    <w:rsid w:val="00D5213D"/>
    <w:rsid w:val="00D52269"/>
    <w:rsid w:val="00D526A2"/>
    <w:rsid w:val="00D529E3"/>
    <w:rsid w:val="00D534DE"/>
    <w:rsid w:val="00D54949"/>
    <w:rsid w:val="00D54D74"/>
    <w:rsid w:val="00D554CE"/>
    <w:rsid w:val="00D55B1A"/>
    <w:rsid w:val="00D567F3"/>
    <w:rsid w:val="00D57096"/>
    <w:rsid w:val="00D57661"/>
    <w:rsid w:val="00D57951"/>
    <w:rsid w:val="00D60770"/>
    <w:rsid w:val="00D60AEB"/>
    <w:rsid w:val="00D614AF"/>
    <w:rsid w:val="00D63331"/>
    <w:rsid w:val="00D63E96"/>
    <w:rsid w:val="00D640E7"/>
    <w:rsid w:val="00D64104"/>
    <w:rsid w:val="00D641A1"/>
    <w:rsid w:val="00D6430D"/>
    <w:rsid w:val="00D64333"/>
    <w:rsid w:val="00D6488C"/>
    <w:rsid w:val="00D65BC6"/>
    <w:rsid w:val="00D66665"/>
    <w:rsid w:val="00D67505"/>
    <w:rsid w:val="00D67E16"/>
    <w:rsid w:val="00D701AB"/>
    <w:rsid w:val="00D71899"/>
    <w:rsid w:val="00D7376A"/>
    <w:rsid w:val="00D74131"/>
    <w:rsid w:val="00D749C8"/>
    <w:rsid w:val="00D74D08"/>
    <w:rsid w:val="00D74EB9"/>
    <w:rsid w:val="00D74EF4"/>
    <w:rsid w:val="00D76358"/>
    <w:rsid w:val="00D76CBD"/>
    <w:rsid w:val="00D7749F"/>
    <w:rsid w:val="00D80D0C"/>
    <w:rsid w:val="00D823FF"/>
    <w:rsid w:val="00D82C3A"/>
    <w:rsid w:val="00D82DF7"/>
    <w:rsid w:val="00D8320D"/>
    <w:rsid w:val="00D846EE"/>
    <w:rsid w:val="00D85FF3"/>
    <w:rsid w:val="00D868EB"/>
    <w:rsid w:val="00D90726"/>
    <w:rsid w:val="00D90CCC"/>
    <w:rsid w:val="00D9173D"/>
    <w:rsid w:val="00D92089"/>
    <w:rsid w:val="00D92739"/>
    <w:rsid w:val="00D9274A"/>
    <w:rsid w:val="00D92904"/>
    <w:rsid w:val="00D93480"/>
    <w:rsid w:val="00D93BB6"/>
    <w:rsid w:val="00D94386"/>
    <w:rsid w:val="00D94859"/>
    <w:rsid w:val="00D954E1"/>
    <w:rsid w:val="00D961B3"/>
    <w:rsid w:val="00D9670E"/>
    <w:rsid w:val="00D974A3"/>
    <w:rsid w:val="00D9761F"/>
    <w:rsid w:val="00D97F38"/>
    <w:rsid w:val="00DA0476"/>
    <w:rsid w:val="00DA0A8A"/>
    <w:rsid w:val="00DA21C3"/>
    <w:rsid w:val="00DA21DF"/>
    <w:rsid w:val="00DA25AF"/>
    <w:rsid w:val="00DA2C57"/>
    <w:rsid w:val="00DA32BC"/>
    <w:rsid w:val="00DA4518"/>
    <w:rsid w:val="00DA5884"/>
    <w:rsid w:val="00DA7A40"/>
    <w:rsid w:val="00DB0025"/>
    <w:rsid w:val="00DB0CBB"/>
    <w:rsid w:val="00DB0E5E"/>
    <w:rsid w:val="00DB1232"/>
    <w:rsid w:val="00DB29EC"/>
    <w:rsid w:val="00DB3A10"/>
    <w:rsid w:val="00DB41BA"/>
    <w:rsid w:val="00DB54A4"/>
    <w:rsid w:val="00DB6617"/>
    <w:rsid w:val="00DB75F1"/>
    <w:rsid w:val="00DB77BA"/>
    <w:rsid w:val="00DB7C62"/>
    <w:rsid w:val="00DC07D2"/>
    <w:rsid w:val="00DC17B3"/>
    <w:rsid w:val="00DC19AE"/>
    <w:rsid w:val="00DC21B4"/>
    <w:rsid w:val="00DC246B"/>
    <w:rsid w:val="00DC2515"/>
    <w:rsid w:val="00DC2541"/>
    <w:rsid w:val="00DC26BC"/>
    <w:rsid w:val="00DC33B2"/>
    <w:rsid w:val="00DC37F8"/>
    <w:rsid w:val="00DC3890"/>
    <w:rsid w:val="00DC3D09"/>
    <w:rsid w:val="00DC3E66"/>
    <w:rsid w:val="00DC3FA4"/>
    <w:rsid w:val="00DC408B"/>
    <w:rsid w:val="00DC4B88"/>
    <w:rsid w:val="00DC50B8"/>
    <w:rsid w:val="00DC5AD6"/>
    <w:rsid w:val="00DC6E28"/>
    <w:rsid w:val="00DD0E22"/>
    <w:rsid w:val="00DD17CB"/>
    <w:rsid w:val="00DD1A0C"/>
    <w:rsid w:val="00DD28E5"/>
    <w:rsid w:val="00DD3345"/>
    <w:rsid w:val="00DD36F7"/>
    <w:rsid w:val="00DD4A90"/>
    <w:rsid w:val="00DD4EDB"/>
    <w:rsid w:val="00DD574E"/>
    <w:rsid w:val="00DD6597"/>
    <w:rsid w:val="00DD6E06"/>
    <w:rsid w:val="00DD743F"/>
    <w:rsid w:val="00DD7C2A"/>
    <w:rsid w:val="00DD7C4D"/>
    <w:rsid w:val="00DE1122"/>
    <w:rsid w:val="00DE1176"/>
    <w:rsid w:val="00DE1A58"/>
    <w:rsid w:val="00DE1C4C"/>
    <w:rsid w:val="00DE22D9"/>
    <w:rsid w:val="00DE2D41"/>
    <w:rsid w:val="00DE6134"/>
    <w:rsid w:val="00DE7872"/>
    <w:rsid w:val="00DF0EE0"/>
    <w:rsid w:val="00DF1418"/>
    <w:rsid w:val="00DF15B9"/>
    <w:rsid w:val="00DF1C5A"/>
    <w:rsid w:val="00DF40E0"/>
    <w:rsid w:val="00DF414E"/>
    <w:rsid w:val="00DF45CA"/>
    <w:rsid w:val="00DF4995"/>
    <w:rsid w:val="00DF52E1"/>
    <w:rsid w:val="00DF5E95"/>
    <w:rsid w:val="00DF7EDC"/>
    <w:rsid w:val="00E007F7"/>
    <w:rsid w:val="00E008D5"/>
    <w:rsid w:val="00E02094"/>
    <w:rsid w:val="00E026C2"/>
    <w:rsid w:val="00E0271E"/>
    <w:rsid w:val="00E04284"/>
    <w:rsid w:val="00E046A3"/>
    <w:rsid w:val="00E049BF"/>
    <w:rsid w:val="00E06905"/>
    <w:rsid w:val="00E10C25"/>
    <w:rsid w:val="00E11300"/>
    <w:rsid w:val="00E12042"/>
    <w:rsid w:val="00E12092"/>
    <w:rsid w:val="00E12131"/>
    <w:rsid w:val="00E121CA"/>
    <w:rsid w:val="00E14A65"/>
    <w:rsid w:val="00E1523F"/>
    <w:rsid w:val="00E172F2"/>
    <w:rsid w:val="00E17330"/>
    <w:rsid w:val="00E20AC1"/>
    <w:rsid w:val="00E2121F"/>
    <w:rsid w:val="00E228F9"/>
    <w:rsid w:val="00E24544"/>
    <w:rsid w:val="00E251AA"/>
    <w:rsid w:val="00E25617"/>
    <w:rsid w:val="00E26B5B"/>
    <w:rsid w:val="00E26C4A"/>
    <w:rsid w:val="00E275FE"/>
    <w:rsid w:val="00E3029E"/>
    <w:rsid w:val="00E30E0E"/>
    <w:rsid w:val="00E31840"/>
    <w:rsid w:val="00E31C97"/>
    <w:rsid w:val="00E31ED5"/>
    <w:rsid w:val="00E32207"/>
    <w:rsid w:val="00E323DC"/>
    <w:rsid w:val="00E32C4A"/>
    <w:rsid w:val="00E32C62"/>
    <w:rsid w:val="00E32EB1"/>
    <w:rsid w:val="00E33583"/>
    <w:rsid w:val="00E33855"/>
    <w:rsid w:val="00E33A64"/>
    <w:rsid w:val="00E346D8"/>
    <w:rsid w:val="00E348CE"/>
    <w:rsid w:val="00E36D9B"/>
    <w:rsid w:val="00E37279"/>
    <w:rsid w:val="00E3733F"/>
    <w:rsid w:val="00E37E71"/>
    <w:rsid w:val="00E4197B"/>
    <w:rsid w:val="00E41C7F"/>
    <w:rsid w:val="00E41D84"/>
    <w:rsid w:val="00E45662"/>
    <w:rsid w:val="00E460DC"/>
    <w:rsid w:val="00E467C0"/>
    <w:rsid w:val="00E471A8"/>
    <w:rsid w:val="00E4735E"/>
    <w:rsid w:val="00E47A1F"/>
    <w:rsid w:val="00E47C56"/>
    <w:rsid w:val="00E47CDF"/>
    <w:rsid w:val="00E52636"/>
    <w:rsid w:val="00E5272D"/>
    <w:rsid w:val="00E5448A"/>
    <w:rsid w:val="00E54651"/>
    <w:rsid w:val="00E55A2A"/>
    <w:rsid w:val="00E55C15"/>
    <w:rsid w:val="00E56459"/>
    <w:rsid w:val="00E56572"/>
    <w:rsid w:val="00E567F7"/>
    <w:rsid w:val="00E56B5F"/>
    <w:rsid w:val="00E56D2F"/>
    <w:rsid w:val="00E57C62"/>
    <w:rsid w:val="00E57D44"/>
    <w:rsid w:val="00E60AFF"/>
    <w:rsid w:val="00E61541"/>
    <w:rsid w:val="00E6165C"/>
    <w:rsid w:val="00E616B9"/>
    <w:rsid w:val="00E61744"/>
    <w:rsid w:val="00E63699"/>
    <w:rsid w:val="00E6531A"/>
    <w:rsid w:val="00E65B9A"/>
    <w:rsid w:val="00E671D6"/>
    <w:rsid w:val="00E677D3"/>
    <w:rsid w:val="00E67A2A"/>
    <w:rsid w:val="00E70275"/>
    <w:rsid w:val="00E705AE"/>
    <w:rsid w:val="00E70F08"/>
    <w:rsid w:val="00E71C6A"/>
    <w:rsid w:val="00E72D53"/>
    <w:rsid w:val="00E72E80"/>
    <w:rsid w:val="00E73423"/>
    <w:rsid w:val="00E73592"/>
    <w:rsid w:val="00E74597"/>
    <w:rsid w:val="00E74AA3"/>
    <w:rsid w:val="00E751E7"/>
    <w:rsid w:val="00E76E38"/>
    <w:rsid w:val="00E76EBE"/>
    <w:rsid w:val="00E77817"/>
    <w:rsid w:val="00E80262"/>
    <w:rsid w:val="00E80507"/>
    <w:rsid w:val="00E80E69"/>
    <w:rsid w:val="00E817C6"/>
    <w:rsid w:val="00E818B4"/>
    <w:rsid w:val="00E81B67"/>
    <w:rsid w:val="00E84243"/>
    <w:rsid w:val="00E842FE"/>
    <w:rsid w:val="00E84526"/>
    <w:rsid w:val="00E84568"/>
    <w:rsid w:val="00E857C8"/>
    <w:rsid w:val="00E85997"/>
    <w:rsid w:val="00E8701C"/>
    <w:rsid w:val="00E870A0"/>
    <w:rsid w:val="00E877E5"/>
    <w:rsid w:val="00E87B0A"/>
    <w:rsid w:val="00E90B8D"/>
    <w:rsid w:val="00E9101F"/>
    <w:rsid w:val="00E927A2"/>
    <w:rsid w:val="00E93639"/>
    <w:rsid w:val="00E960EA"/>
    <w:rsid w:val="00E97F41"/>
    <w:rsid w:val="00EA0BA5"/>
    <w:rsid w:val="00EA0D30"/>
    <w:rsid w:val="00EA0D4C"/>
    <w:rsid w:val="00EA0FE6"/>
    <w:rsid w:val="00EA1296"/>
    <w:rsid w:val="00EA1E1B"/>
    <w:rsid w:val="00EA286E"/>
    <w:rsid w:val="00EA2EEF"/>
    <w:rsid w:val="00EA2F5F"/>
    <w:rsid w:val="00EA3373"/>
    <w:rsid w:val="00EA4939"/>
    <w:rsid w:val="00EA5827"/>
    <w:rsid w:val="00EA5B28"/>
    <w:rsid w:val="00EA7290"/>
    <w:rsid w:val="00EA7C1D"/>
    <w:rsid w:val="00EA7ED4"/>
    <w:rsid w:val="00EB00B9"/>
    <w:rsid w:val="00EB013E"/>
    <w:rsid w:val="00EB0AA7"/>
    <w:rsid w:val="00EB0AB6"/>
    <w:rsid w:val="00EB1422"/>
    <w:rsid w:val="00EB1E37"/>
    <w:rsid w:val="00EB4203"/>
    <w:rsid w:val="00EB456D"/>
    <w:rsid w:val="00EB4A4C"/>
    <w:rsid w:val="00EB6FD3"/>
    <w:rsid w:val="00EB775A"/>
    <w:rsid w:val="00EB7B1A"/>
    <w:rsid w:val="00EC06F1"/>
    <w:rsid w:val="00EC1048"/>
    <w:rsid w:val="00EC1145"/>
    <w:rsid w:val="00EC299E"/>
    <w:rsid w:val="00EC3EFD"/>
    <w:rsid w:val="00EC4115"/>
    <w:rsid w:val="00EC434B"/>
    <w:rsid w:val="00EC4B71"/>
    <w:rsid w:val="00EC52C5"/>
    <w:rsid w:val="00EC6472"/>
    <w:rsid w:val="00EC6F3F"/>
    <w:rsid w:val="00EC7191"/>
    <w:rsid w:val="00EC7E30"/>
    <w:rsid w:val="00ED05FF"/>
    <w:rsid w:val="00ED0A32"/>
    <w:rsid w:val="00ED0C0F"/>
    <w:rsid w:val="00ED0C17"/>
    <w:rsid w:val="00ED0C8C"/>
    <w:rsid w:val="00ED11AC"/>
    <w:rsid w:val="00ED18B1"/>
    <w:rsid w:val="00ED3165"/>
    <w:rsid w:val="00ED34CF"/>
    <w:rsid w:val="00ED61C7"/>
    <w:rsid w:val="00ED6A68"/>
    <w:rsid w:val="00ED6ED0"/>
    <w:rsid w:val="00ED7125"/>
    <w:rsid w:val="00ED7C61"/>
    <w:rsid w:val="00EE04A1"/>
    <w:rsid w:val="00EE0946"/>
    <w:rsid w:val="00EE171F"/>
    <w:rsid w:val="00EE2911"/>
    <w:rsid w:val="00EE313B"/>
    <w:rsid w:val="00EE3363"/>
    <w:rsid w:val="00EE3C39"/>
    <w:rsid w:val="00EE438F"/>
    <w:rsid w:val="00EE4444"/>
    <w:rsid w:val="00EE4489"/>
    <w:rsid w:val="00EE6987"/>
    <w:rsid w:val="00EE6C0E"/>
    <w:rsid w:val="00EE6C9D"/>
    <w:rsid w:val="00EE6EEE"/>
    <w:rsid w:val="00EF0036"/>
    <w:rsid w:val="00EF0F73"/>
    <w:rsid w:val="00EF1646"/>
    <w:rsid w:val="00EF169B"/>
    <w:rsid w:val="00EF1770"/>
    <w:rsid w:val="00EF4C27"/>
    <w:rsid w:val="00EF57A4"/>
    <w:rsid w:val="00EF5BD5"/>
    <w:rsid w:val="00EF5C41"/>
    <w:rsid w:val="00EF6459"/>
    <w:rsid w:val="00EF66AF"/>
    <w:rsid w:val="00EF6B30"/>
    <w:rsid w:val="00EF769B"/>
    <w:rsid w:val="00F007EB"/>
    <w:rsid w:val="00F00BDE"/>
    <w:rsid w:val="00F015C6"/>
    <w:rsid w:val="00F015F0"/>
    <w:rsid w:val="00F016F4"/>
    <w:rsid w:val="00F01939"/>
    <w:rsid w:val="00F03A9C"/>
    <w:rsid w:val="00F0539C"/>
    <w:rsid w:val="00F05EDA"/>
    <w:rsid w:val="00F05F32"/>
    <w:rsid w:val="00F06060"/>
    <w:rsid w:val="00F07544"/>
    <w:rsid w:val="00F07EC1"/>
    <w:rsid w:val="00F1046D"/>
    <w:rsid w:val="00F10476"/>
    <w:rsid w:val="00F1068D"/>
    <w:rsid w:val="00F10869"/>
    <w:rsid w:val="00F10EC0"/>
    <w:rsid w:val="00F11A3E"/>
    <w:rsid w:val="00F11B53"/>
    <w:rsid w:val="00F11C85"/>
    <w:rsid w:val="00F1209E"/>
    <w:rsid w:val="00F12B11"/>
    <w:rsid w:val="00F12DEC"/>
    <w:rsid w:val="00F14BCD"/>
    <w:rsid w:val="00F14E16"/>
    <w:rsid w:val="00F15C5C"/>
    <w:rsid w:val="00F164E5"/>
    <w:rsid w:val="00F16DC9"/>
    <w:rsid w:val="00F207ED"/>
    <w:rsid w:val="00F224CE"/>
    <w:rsid w:val="00F239A7"/>
    <w:rsid w:val="00F23C5E"/>
    <w:rsid w:val="00F242BB"/>
    <w:rsid w:val="00F253C5"/>
    <w:rsid w:val="00F25A3F"/>
    <w:rsid w:val="00F26527"/>
    <w:rsid w:val="00F30C21"/>
    <w:rsid w:val="00F30FBE"/>
    <w:rsid w:val="00F31470"/>
    <w:rsid w:val="00F32C88"/>
    <w:rsid w:val="00F32E71"/>
    <w:rsid w:val="00F32ECD"/>
    <w:rsid w:val="00F348D0"/>
    <w:rsid w:val="00F35856"/>
    <w:rsid w:val="00F37461"/>
    <w:rsid w:val="00F3749F"/>
    <w:rsid w:val="00F404AE"/>
    <w:rsid w:val="00F416B6"/>
    <w:rsid w:val="00F422C2"/>
    <w:rsid w:val="00F42784"/>
    <w:rsid w:val="00F4285E"/>
    <w:rsid w:val="00F42CD0"/>
    <w:rsid w:val="00F42F4C"/>
    <w:rsid w:val="00F45393"/>
    <w:rsid w:val="00F455B4"/>
    <w:rsid w:val="00F45978"/>
    <w:rsid w:val="00F45AF1"/>
    <w:rsid w:val="00F45D2C"/>
    <w:rsid w:val="00F45F38"/>
    <w:rsid w:val="00F462A8"/>
    <w:rsid w:val="00F467E0"/>
    <w:rsid w:val="00F47EF4"/>
    <w:rsid w:val="00F50AFC"/>
    <w:rsid w:val="00F5127F"/>
    <w:rsid w:val="00F514BA"/>
    <w:rsid w:val="00F51844"/>
    <w:rsid w:val="00F5216E"/>
    <w:rsid w:val="00F52402"/>
    <w:rsid w:val="00F5284B"/>
    <w:rsid w:val="00F535CA"/>
    <w:rsid w:val="00F53C17"/>
    <w:rsid w:val="00F53D85"/>
    <w:rsid w:val="00F555FE"/>
    <w:rsid w:val="00F5765B"/>
    <w:rsid w:val="00F601C2"/>
    <w:rsid w:val="00F602E0"/>
    <w:rsid w:val="00F6043E"/>
    <w:rsid w:val="00F60482"/>
    <w:rsid w:val="00F60C32"/>
    <w:rsid w:val="00F62149"/>
    <w:rsid w:val="00F62D8F"/>
    <w:rsid w:val="00F63930"/>
    <w:rsid w:val="00F63FE9"/>
    <w:rsid w:val="00F64694"/>
    <w:rsid w:val="00F64787"/>
    <w:rsid w:val="00F64976"/>
    <w:rsid w:val="00F64DB1"/>
    <w:rsid w:val="00F652BE"/>
    <w:rsid w:val="00F656EF"/>
    <w:rsid w:val="00F657A6"/>
    <w:rsid w:val="00F659C7"/>
    <w:rsid w:val="00F65A8D"/>
    <w:rsid w:val="00F65EE5"/>
    <w:rsid w:val="00F6635B"/>
    <w:rsid w:val="00F665FB"/>
    <w:rsid w:val="00F66CB6"/>
    <w:rsid w:val="00F672E4"/>
    <w:rsid w:val="00F702BB"/>
    <w:rsid w:val="00F70A04"/>
    <w:rsid w:val="00F71201"/>
    <w:rsid w:val="00F7159F"/>
    <w:rsid w:val="00F71CCD"/>
    <w:rsid w:val="00F7272A"/>
    <w:rsid w:val="00F72843"/>
    <w:rsid w:val="00F72C3C"/>
    <w:rsid w:val="00F75AB4"/>
    <w:rsid w:val="00F76981"/>
    <w:rsid w:val="00F77965"/>
    <w:rsid w:val="00F77974"/>
    <w:rsid w:val="00F779DC"/>
    <w:rsid w:val="00F77ED6"/>
    <w:rsid w:val="00F80AEA"/>
    <w:rsid w:val="00F813B4"/>
    <w:rsid w:val="00F824EB"/>
    <w:rsid w:val="00F83277"/>
    <w:rsid w:val="00F84237"/>
    <w:rsid w:val="00F856B1"/>
    <w:rsid w:val="00F86A3A"/>
    <w:rsid w:val="00F86B7A"/>
    <w:rsid w:val="00F87226"/>
    <w:rsid w:val="00F87375"/>
    <w:rsid w:val="00F87B0B"/>
    <w:rsid w:val="00F90894"/>
    <w:rsid w:val="00F90AFA"/>
    <w:rsid w:val="00F91137"/>
    <w:rsid w:val="00F9291D"/>
    <w:rsid w:val="00F94AC8"/>
    <w:rsid w:val="00F958A7"/>
    <w:rsid w:val="00F96A98"/>
    <w:rsid w:val="00F9705A"/>
    <w:rsid w:val="00FA1AE9"/>
    <w:rsid w:val="00FA2734"/>
    <w:rsid w:val="00FA47B7"/>
    <w:rsid w:val="00FA5DB4"/>
    <w:rsid w:val="00FB0BF0"/>
    <w:rsid w:val="00FB1EE8"/>
    <w:rsid w:val="00FB2890"/>
    <w:rsid w:val="00FB3286"/>
    <w:rsid w:val="00FB3533"/>
    <w:rsid w:val="00FB3BB5"/>
    <w:rsid w:val="00FB4300"/>
    <w:rsid w:val="00FB4A14"/>
    <w:rsid w:val="00FB4A43"/>
    <w:rsid w:val="00FB5528"/>
    <w:rsid w:val="00FB5760"/>
    <w:rsid w:val="00FB5AE3"/>
    <w:rsid w:val="00FB6FA5"/>
    <w:rsid w:val="00FB706C"/>
    <w:rsid w:val="00FB757B"/>
    <w:rsid w:val="00FB7C87"/>
    <w:rsid w:val="00FC00C6"/>
    <w:rsid w:val="00FC1823"/>
    <w:rsid w:val="00FC1F11"/>
    <w:rsid w:val="00FC204B"/>
    <w:rsid w:val="00FC229E"/>
    <w:rsid w:val="00FC2334"/>
    <w:rsid w:val="00FC2491"/>
    <w:rsid w:val="00FC2B29"/>
    <w:rsid w:val="00FC2FF5"/>
    <w:rsid w:val="00FC305D"/>
    <w:rsid w:val="00FC338D"/>
    <w:rsid w:val="00FC4758"/>
    <w:rsid w:val="00FC4DAC"/>
    <w:rsid w:val="00FC5ED1"/>
    <w:rsid w:val="00FC62C5"/>
    <w:rsid w:val="00FC62D9"/>
    <w:rsid w:val="00FC7011"/>
    <w:rsid w:val="00FC7E78"/>
    <w:rsid w:val="00FD0109"/>
    <w:rsid w:val="00FD0E0D"/>
    <w:rsid w:val="00FD1086"/>
    <w:rsid w:val="00FD1189"/>
    <w:rsid w:val="00FD1760"/>
    <w:rsid w:val="00FD1A85"/>
    <w:rsid w:val="00FD2499"/>
    <w:rsid w:val="00FD27F1"/>
    <w:rsid w:val="00FD2D3C"/>
    <w:rsid w:val="00FD3629"/>
    <w:rsid w:val="00FD3F0F"/>
    <w:rsid w:val="00FD48E4"/>
    <w:rsid w:val="00FD539C"/>
    <w:rsid w:val="00FD54CD"/>
    <w:rsid w:val="00FD6B33"/>
    <w:rsid w:val="00FD7B1E"/>
    <w:rsid w:val="00FD7F3D"/>
    <w:rsid w:val="00FE000F"/>
    <w:rsid w:val="00FE07D3"/>
    <w:rsid w:val="00FE10C5"/>
    <w:rsid w:val="00FE2360"/>
    <w:rsid w:val="00FE254A"/>
    <w:rsid w:val="00FE2A0A"/>
    <w:rsid w:val="00FE2F75"/>
    <w:rsid w:val="00FE3EA6"/>
    <w:rsid w:val="00FE40F2"/>
    <w:rsid w:val="00FE4393"/>
    <w:rsid w:val="00FE501C"/>
    <w:rsid w:val="00FE59F0"/>
    <w:rsid w:val="00FE67A5"/>
    <w:rsid w:val="00FE6B76"/>
    <w:rsid w:val="00FE70E6"/>
    <w:rsid w:val="00FE714F"/>
    <w:rsid w:val="00FE790E"/>
    <w:rsid w:val="00FE792A"/>
    <w:rsid w:val="00FF03B1"/>
    <w:rsid w:val="00FF11ED"/>
    <w:rsid w:val="00FF171D"/>
    <w:rsid w:val="00FF2371"/>
    <w:rsid w:val="00FF2FA4"/>
    <w:rsid w:val="00FF31F0"/>
    <w:rsid w:val="00FF3E02"/>
    <w:rsid w:val="00FF41A7"/>
    <w:rsid w:val="00FF611D"/>
    <w:rsid w:val="00FF709C"/>
    <w:rsid w:val="010F7FF3"/>
    <w:rsid w:val="011C626C"/>
    <w:rsid w:val="013C246A"/>
    <w:rsid w:val="016F283F"/>
    <w:rsid w:val="01791910"/>
    <w:rsid w:val="01B36BD0"/>
    <w:rsid w:val="01EC5C3E"/>
    <w:rsid w:val="024B505A"/>
    <w:rsid w:val="0270686F"/>
    <w:rsid w:val="027F6AB2"/>
    <w:rsid w:val="02897931"/>
    <w:rsid w:val="029C3B08"/>
    <w:rsid w:val="02C96918"/>
    <w:rsid w:val="03577A2F"/>
    <w:rsid w:val="03653EFA"/>
    <w:rsid w:val="03757A44"/>
    <w:rsid w:val="03A569EC"/>
    <w:rsid w:val="03B92498"/>
    <w:rsid w:val="03CC3F79"/>
    <w:rsid w:val="03DB41BC"/>
    <w:rsid w:val="041F054D"/>
    <w:rsid w:val="04351B1E"/>
    <w:rsid w:val="043A7135"/>
    <w:rsid w:val="043D443C"/>
    <w:rsid w:val="04693B13"/>
    <w:rsid w:val="04762137"/>
    <w:rsid w:val="049031F8"/>
    <w:rsid w:val="04A44EF6"/>
    <w:rsid w:val="04A96068"/>
    <w:rsid w:val="04DF7CDC"/>
    <w:rsid w:val="056C5A14"/>
    <w:rsid w:val="05C649F8"/>
    <w:rsid w:val="05D45367"/>
    <w:rsid w:val="05E25CD6"/>
    <w:rsid w:val="05E57574"/>
    <w:rsid w:val="05EA06E6"/>
    <w:rsid w:val="06287461"/>
    <w:rsid w:val="063743E3"/>
    <w:rsid w:val="06824DC3"/>
    <w:rsid w:val="068E3768"/>
    <w:rsid w:val="06B84C89"/>
    <w:rsid w:val="06DF3FC3"/>
    <w:rsid w:val="07300CC3"/>
    <w:rsid w:val="07320597"/>
    <w:rsid w:val="07610E7C"/>
    <w:rsid w:val="07D258D6"/>
    <w:rsid w:val="07D4164E"/>
    <w:rsid w:val="07DB29DD"/>
    <w:rsid w:val="080041F1"/>
    <w:rsid w:val="08236132"/>
    <w:rsid w:val="082E5202"/>
    <w:rsid w:val="085D1644"/>
    <w:rsid w:val="08624EAC"/>
    <w:rsid w:val="08AC4379"/>
    <w:rsid w:val="08C94F2B"/>
    <w:rsid w:val="08D964E4"/>
    <w:rsid w:val="08E1062A"/>
    <w:rsid w:val="08E65ADD"/>
    <w:rsid w:val="090D12BC"/>
    <w:rsid w:val="092D54BA"/>
    <w:rsid w:val="09734E97"/>
    <w:rsid w:val="09AF4121"/>
    <w:rsid w:val="09BF1E8A"/>
    <w:rsid w:val="09C13E54"/>
    <w:rsid w:val="09E33DCA"/>
    <w:rsid w:val="09E65669"/>
    <w:rsid w:val="09E71B0D"/>
    <w:rsid w:val="0A00497C"/>
    <w:rsid w:val="0A0D0E47"/>
    <w:rsid w:val="0A3208AE"/>
    <w:rsid w:val="0A454A85"/>
    <w:rsid w:val="0A586566"/>
    <w:rsid w:val="0A747118"/>
    <w:rsid w:val="0AAC68B2"/>
    <w:rsid w:val="0AB22E5A"/>
    <w:rsid w:val="0AB6328D"/>
    <w:rsid w:val="0ACA6D38"/>
    <w:rsid w:val="0AD16319"/>
    <w:rsid w:val="0AD55E09"/>
    <w:rsid w:val="0ADF4592"/>
    <w:rsid w:val="0B016BFE"/>
    <w:rsid w:val="0B185CF6"/>
    <w:rsid w:val="0B1B4E9F"/>
    <w:rsid w:val="0B3C7C36"/>
    <w:rsid w:val="0B574A70"/>
    <w:rsid w:val="0B6902FF"/>
    <w:rsid w:val="0B732F2C"/>
    <w:rsid w:val="0B7849E6"/>
    <w:rsid w:val="0B955598"/>
    <w:rsid w:val="0BAD28E2"/>
    <w:rsid w:val="0BAD4690"/>
    <w:rsid w:val="0BC419DA"/>
    <w:rsid w:val="0BFC1173"/>
    <w:rsid w:val="0BFC5617"/>
    <w:rsid w:val="0C160487"/>
    <w:rsid w:val="0C6A07D3"/>
    <w:rsid w:val="0C6A2581"/>
    <w:rsid w:val="0C767178"/>
    <w:rsid w:val="0C992E66"/>
    <w:rsid w:val="0CBE28CD"/>
    <w:rsid w:val="0CE00A95"/>
    <w:rsid w:val="0CFD51A3"/>
    <w:rsid w:val="0D466B4A"/>
    <w:rsid w:val="0D6E7E4F"/>
    <w:rsid w:val="0D9E6986"/>
    <w:rsid w:val="0DC3019B"/>
    <w:rsid w:val="0DE34399"/>
    <w:rsid w:val="0DF04D08"/>
    <w:rsid w:val="0E2350DD"/>
    <w:rsid w:val="0E3746E5"/>
    <w:rsid w:val="0E511C4A"/>
    <w:rsid w:val="0E5B6625"/>
    <w:rsid w:val="0E9733D5"/>
    <w:rsid w:val="0ED14B39"/>
    <w:rsid w:val="0EDB32C2"/>
    <w:rsid w:val="0EFA4090"/>
    <w:rsid w:val="0F1D1B2D"/>
    <w:rsid w:val="0F242EBB"/>
    <w:rsid w:val="0F786D63"/>
    <w:rsid w:val="0F8959CB"/>
    <w:rsid w:val="0FD0001F"/>
    <w:rsid w:val="0FD83CA6"/>
    <w:rsid w:val="10233173"/>
    <w:rsid w:val="10305890"/>
    <w:rsid w:val="1034712E"/>
    <w:rsid w:val="10757746"/>
    <w:rsid w:val="107C0AD5"/>
    <w:rsid w:val="10892F46"/>
    <w:rsid w:val="10945E1E"/>
    <w:rsid w:val="10A06571"/>
    <w:rsid w:val="10A73DA4"/>
    <w:rsid w:val="10CA7A92"/>
    <w:rsid w:val="10F11E92"/>
    <w:rsid w:val="10F17525"/>
    <w:rsid w:val="10F93ED3"/>
    <w:rsid w:val="113413B0"/>
    <w:rsid w:val="116C28F7"/>
    <w:rsid w:val="117F6FE6"/>
    <w:rsid w:val="11D84431"/>
    <w:rsid w:val="11FC011F"/>
    <w:rsid w:val="1222745A"/>
    <w:rsid w:val="12296A3A"/>
    <w:rsid w:val="123553DF"/>
    <w:rsid w:val="12614426"/>
    <w:rsid w:val="12655CC4"/>
    <w:rsid w:val="126D2DCB"/>
    <w:rsid w:val="12706417"/>
    <w:rsid w:val="12717D5C"/>
    <w:rsid w:val="129C0C98"/>
    <w:rsid w:val="129C720C"/>
    <w:rsid w:val="12D1335A"/>
    <w:rsid w:val="12E34E3B"/>
    <w:rsid w:val="12FB2185"/>
    <w:rsid w:val="13054DB2"/>
    <w:rsid w:val="133B6A25"/>
    <w:rsid w:val="13426006"/>
    <w:rsid w:val="135B70C7"/>
    <w:rsid w:val="135E2714"/>
    <w:rsid w:val="135E44C2"/>
    <w:rsid w:val="136E2957"/>
    <w:rsid w:val="137837D5"/>
    <w:rsid w:val="137B5074"/>
    <w:rsid w:val="13983E78"/>
    <w:rsid w:val="13F6294C"/>
    <w:rsid w:val="140E5EE8"/>
    <w:rsid w:val="145C30F7"/>
    <w:rsid w:val="14634486"/>
    <w:rsid w:val="147F6DE6"/>
    <w:rsid w:val="149A3C1F"/>
    <w:rsid w:val="14B44CE1"/>
    <w:rsid w:val="14EC0E8D"/>
    <w:rsid w:val="150D619F"/>
    <w:rsid w:val="151A266A"/>
    <w:rsid w:val="15787ABD"/>
    <w:rsid w:val="15AE1730"/>
    <w:rsid w:val="15B36D47"/>
    <w:rsid w:val="15BB209F"/>
    <w:rsid w:val="15D249AC"/>
    <w:rsid w:val="15FB249C"/>
    <w:rsid w:val="166167A3"/>
    <w:rsid w:val="167F4E7B"/>
    <w:rsid w:val="16846935"/>
    <w:rsid w:val="171750B3"/>
    <w:rsid w:val="175C6F6A"/>
    <w:rsid w:val="1763479D"/>
    <w:rsid w:val="178610E9"/>
    <w:rsid w:val="17944956"/>
    <w:rsid w:val="17D905BB"/>
    <w:rsid w:val="17F90C5D"/>
    <w:rsid w:val="180513B0"/>
    <w:rsid w:val="18117D55"/>
    <w:rsid w:val="18137F71"/>
    <w:rsid w:val="18441ED8"/>
    <w:rsid w:val="18581E27"/>
    <w:rsid w:val="18AC5CCF"/>
    <w:rsid w:val="18C80D5B"/>
    <w:rsid w:val="18CB084B"/>
    <w:rsid w:val="18CE3E98"/>
    <w:rsid w:val="18EB67F8"/>
    <w:rsid w:val="1921046B"/>
    <w:rsid w:val="19241D0A"/>
    <w:rsid w:val="193B777F"/>
    <w:rsid w:val="19566367"/>
    <w:rsid w:val="19595E57"/>
    <w:rsid w:val="19882298"/>
    <w:rsid w:val="198A6FBA"/>
    <w:rsid w:val="199D3F96"/>
    <w:rsid w:val="19A846E9"/>
    <w:rsid w:val="19CC03D7"/>
    <w:rsid w:val="19E020D4"/>
    <w:rsid w:val="1A89276C"/>
    <w:rsid w:val="1AB62E35"/>
    <w:rsid w:val="1AC27A2C"/>
    <w:rsid w:val="1ADA2FC8"/>
    <w:rsid w:val="1B1069E9"/>
    <w:rsid w:val="1B1C713C"/>
    <w:rsid w:val="1B4346C9"/>
    <w:rsid w:val="1B495A57"/>
    <w:rsid w:val="1B7900EB"/>
    <w:rsid w:val="1B8D003A"/>
    <w:rsid w:val="1B8F790E"/>
    <w:rsid w:val="1B9B2757"/>
    <w:rsid w:val="1BCD0437"/>
    <w:rsid w:val="1BD01CD5"/>
    <w:rsid w:val="1BD31BAF"/>
    <w:rsid w:val="1BDC68CC"/>
    <w:rsid w:val="1BF43C15"/>
    <w:rsid w:val="1C0D4CD7"/>
    <w:rsid w:val="1C1442B7"/>
    <w:rsid w:val="1C4F709D"/>
    <w:rsid w:val="1C5B1EE6"/>
    <w:rsid w:val="1CAC629E"/>
    <w:rsid w:val="1CB57848"/>
    <w:rsid w:val="1CBA6C0D"/>
    <w:rsid w:val="1CBC0BD7"/>
    <w:rsid w:val="1CC161ED"/>
    <w:rsid w:val="1CDF48C5"/>
    <w:rsid w:val="1CFA525B"/>
    <w:rsid w:val="1D1327C1"/>
    <w:rsid w:val="1D525097"/>
    <w:rsid w:val="1D994A74"/>
    <w:rsid w:val="1DD71A40"/>
    <w:rsid w:val="1DE1641B"/>
    <w:rsid w:val="1E1B7B7F"/>
    <w:rsid w:val="1E62130A"/>
    <w:rsid w:val="1EC41FC5"/>
    <w:rsid w:val="1F122D30"/>
    <w:rsid w:val="1F2B5BA0"/>
    <w:rsid w:val="1F7C464D"/>
    <w:rsid w:val="1F833C2E"/>
    <w:rsid w:val="1F8D685B"/>
    <w:rsid w:val="1FA80B45"/>
    <w:rsid w:val="1FD53D5E"/>
    <w:rsid w:val="1FEA7AAD"/>
    <w:rsid w:val="2020322B"/>
    <w:rsid w:val="20252704"/>
    <w:rsid w:val="20256A93"/>
    <w:rsid w:val="2039253E"/>
    <w:rsid w:val="203C5B8B"/>
    <w:rsid w:val="203D202F"/>
    <w:rsid w:val="20407429"/>
    <w:rsid w:val="207215AC"/>
    <w:rsid w:val="20AE6A88"/>
    <w:rsid w:val="20C87CD5"/>
    <w:rsid w:val="20DB1848"/>
    <w:rsid w:val="20DD55C0"/>
    <w:rsid w:val="20F621DE"/>
    <w:rsid w:val="20F841A8"/>
    <w:rsid w:val="211803A6"/>
    <w:rsid w:val="21617F9F"/>
    <w:rsid w:val="216E6218"/>
    <w:rsid w:val="21747CD2"/>
    <w:rsid w:val="21DC7625"/>
    <w:rsid w:val="21FE759C"/>
    <w:rsid w:val="2210107D"/>
    <w:rsid w:val="221C5C74"/>
    <w:rsid w:val="226118D9"/>
    <w:rsid w:val="22910410"/>
    <w:rsid w:val="22B934C3"/>
    <w:rsid w:val="22E04EF3"/>
    <w:rsid w:val="22F17100"/>
    <w:rsid w:val="22FD7853"/>
    <w:rsid w:val="23052BAC"/>
    <w:rsid w:val="234B6811"/>
    <w:rsid w:val="234F5BD5"/>
    <w:rsid w:val="2355768F"/>
    <w:rsid w:val="235B27CC"/>
    <w:rsid w:val="23897339"/>
    <w:rsid w:val="23B7280F"/>
    <w:rsid w:val="23BE3486"/>
    <w:rsid w:val="23D902C0"/>
    <w:rsid w:val="23F944BF"/>
    <w:rsid w:val="240D1D18"/>
    <w:rsid w:val="241A2687"/>
    <w:rsid w:val="24343749"/>
    <w:rsid w:val="2446522A"/>
    <w:rsid w:val="24575689"/>
    <w:rsid w:val="24DB5972"/>
    <w:rsid w:val="24F46A34"/>
    <w:rsid w:val="251946ED"/>
    <w:rsid w:val="253357AE"/>
    <w:rsid w:val="2536704D"/>
    <w:rsid w:val="253D487F"/>
    <w:rsid w:val="258778A8"/>
    <w:rsid w:val="25897AC4"/>
    <w:rsid w:val="25B12B77"/>
    <w:rsid w:val="25D845A8"/>
    <w:rsid w:val="25E9677D"/>
    <w:rsid w:val="262F241A"/>
    <w:rsid w:val="265A4FBD"/>
    <w:rsid w:val="26630315"/>
    <w:rsid w:val="26864004"/>
    <w:rsid w:val="26BD5C77"/>
    <w:rsid w:val="26C03072"/>
    <w:rsid w:val="26C07516"/>
    <w:rsid w:val="26E74AA2"/>
    <w:rsid w:val="26F251F5"/>
    <w:rsid w:val="26F947D6"/>
    <w:rsid w:val="26FB054E"/>
    <w:rsid w:val="26FC34BE"/>
    <w:rsid w:val="27174C5C"/>
    <w:rsid w:val="271D6716"/>
    <w:rsid w:val="272F6449"/>
    <w:rsid w:val="27391076"/>
    <w:rsid w:val="27A110F5"/>
    <w:rsid w:val="27BF5A1F"/>
    <w:rsid w:val="28333D17"/>
    <w:rsid w:val="28577A06"/>
    <w:rsid w:val="285A74F6"/>
    <w:rsid w:val="28620159"/>
    <w:rsid w:val="28697739"/>
    <w:rsid w:val="289A78F2"/>
    <w:rsid w:val="28A80261"/>
    <w:rsid w:val="28C11323"/>
    <w:rsid w:val="28EC2844"/>
    <w:rsid w:val="28FEDD9C"/>
    <w:rsid w:val="290336EA"/>
    <w:rsid w:val="293935AF"/>
    <w:rsid w:val="29475CCC"/>
    <w:rsid w:val="29581C87"/>
    <w:rsid w:val="295D104C"/>
    <w:rsid w:val="295D54F0"/>
    <w:rsid w:val="29763EBB"/>
    <w:rsid w:val="298C36DF"/>
    <w:rsid w:val="29B42C36"/>
    <w:rsid w:val="29F924A3"/>
    <w:rsid w:val="2A092F82"/>
    <w:rsid w:val="2A27165A"/>
    <w:rsid w:val="2A622692"/>
    <w:rsid w:val="2AA8279A"/>
    <w:rsid w:val="2AAF3B29"/>
    <w:rsid w:val="2B22254D"/>
    <w:rsid w:val="2B2F6A18"/>
    <w:rsid w:val="2B487ADA"/>
    <w:rsid w:val="2B4E27CF"/>
    <w:rsid w:val="2B5E10AB"/>
    <w:rsid w:val="2B6761B2"/>
    <w:rsid w:val="2B6D12EE"/>
    <w:rsid w:val="2B8F395A"/>
    <w:rsid w:val="2B990335"/>
    <w:rsid w:val="2BD64C41"/>
    <w:rsid w:val="2BDF21EC"/>
    <w:rsid w:val="2BF65788"/>
    <w:rsid w:val="2C267E1B"/>
    <w:rsid w:val="2C3A38C6"/>
    <w:rsid w:val="2C5D75B5"/>
    <w:rsid w:val="2C6941AB"/>
    <w:rsid w:val="2C695F59"/>
    <w:rsid w:val="2C7A0167"/>
    <w:rsid w:val="2C820DC9"/>
    <w:rsid w:val="2CA13945"/>
    <w:rsid w:val="2CD21D51"/>
    <w:rsid w:val="2CDA29B3"/>
    <w:rsid w:val="2CED6B8B"/>
    <w:rsid w:val="2CEF2903"/>
    <w:rsid w:val="2D0839C4"/>
    <w:rsid w:val="2D1265F1"/>
    <w:rsid w:val="2D157E8F"/>
    <w:rsid w:val="2D287BC3"/>
    <w:rsid w:val="2D2E49AF"/>
    <w:rsid w:val="2D410C84"/>
    <w:rsid w:val="2D4367AA"/>
    <w:rsid w:val="2D4B38B1"/>
    <w:rsid w:val="2D5B3AF4"/>
    <w:rsid w:val="2D8A6187"/>
    <w:rsid w:val="2DBA2F11"/>
    <w:rsid w:val="2DC23B73"/>
    <w:rsid w:val="2DCA0C7A"/>
    <w:rsid w:val="2DDB2E87"/>
    <w:rsid w:val="2DFB7085"/>
    <w:rsid w:val="2E1168A9"/>
    <w:rsid w:val="2E224612"/>
    <w:rsid w:val="2E41718E"/>
    <w:rsid w:val="2E5B7B24"/>
    <w:rsid w:val="2EB931C8"/>
    <w:rsid w:val="2EDA6C9B"/>
    <w:rsid w:val="2EE6563F"/>
    <w:rsid w:val="2EFC4E63"/>
    <w:rsid w:val="2F3C7955"/>
    <w:rsid w:val="2F4A3E20"/>
    <w:rsid w:val="2F642A08"/>
    <w:rsid w:val="2F6D3FB3"/>
    <w:rsid w:val="2F837A4C"/>
    <w:rsid w:val="2F866E22"/>
    <w:rsid w:val="2FBB4D1E"/>
    <w:rsid w:val="2FE75B13"/>
    <w:rsid w:val="30112B90"/>
    <w:rsid w:val="301E705B"/>
    <w:rsid w:val="302F1268"/>
    <w:rsid w:val="305331A8"/>
    <w:rsid w:val="306F78B6"/>
    <w:rsid w:val="30757063"/>
    <w:rsid w:val="30AE6631"/>
    <w:rsid w:val="30F54260"/>
    <w:rsid w:val="3139239E"/>
    <w:rsid w:val="319E0453"/>
    <w:rsid w:val="319E48F7"/>
    <w:rsid w:val="31AA6DF8"/>
    <w:rsid w:val="31D245A1"/>
    <w:rsid w:val="31D65E3F"/>
    <w:rsid w:val="31E22A36"/>
    <w:rsid w:val="31E3230A"/>
    <w:rsid w:val="320A3D3B"/>
    <w:rsid w:val="320A5AE9"/>
    <w:rsid w:val="321028BA"/>
    <w:rsid w:val="321F2C5E"/>
    <w:rsid w:val="324234D5"/>
    <w:rsid w:val="325113BA"/>
    <w:rsid w:val="326571C3"/>
    <w:rsid w:val="326C0551"/>
    <w:rsid w:val="3287538B"/>
    <w:rsid w:val="32D5213E"/>
    <w:rsid w:val="32F02FC6"/>
    <w:rsid w:val="32F04CDF"/>
    <w:rsid w:val="3304078A"/>
    <w:rsid w:val="33174961"/>
    <w:rsid w:val="333077D1"/>
    <w:rsid w:val="333D3C9C"/>
    <w:rsid w:val="334868C9"/>
    <w:rsid w:val="33953AD8"/>
    <w:rsid w:val="33A22FEB"/>
    <w:rsid w:val="33AD0200"/>
    <w:rsid w:val="33CF2B46"/>
    <w:rsid w:val="33D77C4D"/>
    <w:rsid w:val="33E04D53"/>
    <w:rsid w:val="33E81E5A"/>
    <w:rsid w:val="33EA3E24"/>
    <w:rsid w:val="33FE78CF"/>
    <w:rsid w:val="34480B4A"/>
    <w:rsid w:val="344D7F0F"/>
    <w:rsid w:val="3454129D"/>
    <w:rsid w:val="34E97C37"/>
    <w:rsid w:val="350E3B42"/>
    <w:rsid w:val="351F3659"/>
    <w:rsid w:val="35487054"/>
    <w:rsid w:val="35845BB2"/>
    <w:rsid w:val="3592207D"/>
    <w:rsid w:val="359C73A0"/>
    <w:rsid w:val="35C80195"/>
    <w:rsid w:val="35D703D8"/>
    <w:rsid w:val="35FC08C5"/>
    <w:rsid w:val="362D7FF8"/>
    <w:rsid w:val="36356EAC"/>
    <w:rsid w:val="36533F02"/>
    <w:rsid w:val="367479D5"/>
    <w:rsid w:val="367F4CF7"/>
    <w:rsid w:val="36B129D7"/>
    <w:rsid w:val="36B9188B"/>
    <w:rsid w:val="36CE3D1B"/>
    <w:rsid w:val="36E92171"/>
    <w:rsid w:val="36EC1C61"/>
    <w:rsid w:val="37074CED"/>
    <w:rsid w:val="37461371"/>
    <w:rsid w:val="37465815"/>
    <w:rsid w:val="378620B5"/>
    <w:rsid w:val="379540A7"/>
    <w:rsid w:val="37AB1B1C"/>
    <w:rsid w:val="37BF2ED1"/>
    <w:rsid w:val="37D050DF"/>
    <w:rsid w:val="37D921E5"/>
    <w:rsid w:val="37E172EC"/>
    <w:rsid w:val="37EB1F18"/>
    <w:rsid w:val="38066D52"/>
    <w:rsid w:val="38083ABA"/>
    <w:rsid w:val="38376F0C"/>
    <w:rsid w:val="387939C8"/>
    <w:rsid w:val="38EA21D0"/>
    <w:rsid w:val="38F44DFD"/>
    <w:rsid w:val="38F66DC7"/>
    <w:rsid w:val="38FD0155"/>
    <w:rsid w:val="390F1C37"/>
    <w:rsid w:val="391536F1"/>
    <w:rsid w:val="393F076E"/>
    <w:rsid w:val="398B750F"/>
    <w:rsid w:val="3A0E1EEE"/>
    <w:rsid w:val="3A2636DC"/>
    <w:rsid w:val="3A281202"/>
    <w:rsid w:val="3A2E1E94"/>
    <w:rsid w:val="3A540249"/>
    <w:rsid w:val="3A663AD8"/>
    <w:rsid w:val="3A797CAF"/>
    <w:rsid w:val="3A95616C"/>
    <w:rsid w:val="3ABA088F"/>
    <w:rsid w:val="3AC30F2B"/>
    <w:rsid w:val="3B1B0D67"/>
    <w:rsid w:val="3B3836C7"/>
    <w:rsid w:val="3B4262F3"/>
    <w:rsid w:val="3B47390A"/>
    <w:rsid w:val="3B4E6A46"/>
    <w:rsid w:val="3B7F12F6"/>
    <w:rsid w:val="3B862684"/>
    <w:rsid w:val="3BAB20EB"/>
    <w:rsid w:val="3BBD1E1E"/>
    <w:rsid w:val="3BC1190E"/>
    <w:rsid w:val="3C153A08"/>
    <w:rsid w:val="3C2679C3"/>
    <w:rsid w:val="3C3E2F5F"/>
    <w:rsid w:val="3CF61143"/>
    <w:rsid w:val="3D3954D4"/>
    <w:rsid w:val="3D3A1978"/>
    <w:rsid w:val="3D491BBB"/>
    <w:rsid w:val="3D4F2F4A"/>
    <w:rsid w:val="3D5642D8"/>
    <w:rsid w:val="3D624A2B"/>
    <w:rsid w:val="3D6A38DF"/>
    <w:rsid w:val="3DB42DAD"/>
    <w:rsid w:val="3DD5344F"/>
    <w:rsid w:val="3E0B6E71"/>
    <w:rsid w:val="3E0C4997"/>
    <w:rsid w:val="3E18333B"/>
    <w:rsid w:val="3E1C72D0"/>
    <w:rsid w:val="3E263CAA"/>
    <w:rsid w:val="3E4405D4"/>
    <w:rsid w:val="3E495BEB"/>
    <w:rsid w:val="3E5E3444"/>
    <w:rsid w:val="3E630A5B"/>
    <w:rsid w:val="3EA11583"/>
    <w:rsid w:val="3EA370A9"/>
    <w:rsid w:val="3EBF7C5B"/>
    <w:rsid w:val="3ED6167F"/>
    <w:rsid w:val="3EE6343A"/>
    <w:rsid w:val="3F0044FB"/>
    <w:rsid w:val="3F204B9E"/>
    <w:rsid w:val="3F373C95"/>
    <w:rsid w:val="3F402B4A"/>
    <w:rsid w:val="3F4A39C9"/>
    <w:rsid w:val="3FB928FC"/>
    <w:rsid w:val="3FDB0AC5"/>
    <w:rsid w:val="3FF51B86"/>
    <w:rsid w:val="3FF878C8"/>
    <w:rsid w:val="40267F92"/>
    <w:rsid w:val="403A795B"/>
    <w:rsid w:val="406E7B8B"/>
    <w:rsid w:val="40752CC7"/>
    <w:rsid w:val="40896772"/>
    <w:rsid w:val="40A1586A"/>
    <w:rsid w:val="40B21825"/>
    <w:rsid w:val="40F41E3E"/>
    <w:rsid w:val="40F63E08"/>
    <w:rsid w:val="412F10C8"/>
    <w:rsid w:val="416A65A4"/>
    <w:rsid w:val="41EE0F83"/>
    <w:rsid w:val="420E6F2F"/>
    <w:rsid w:val="425C5EED"/>
    <w:rsid w:val="42601417"/>
    <w:rsid w:val="429D02B3"/>
    <w:rsid w:val="42AD6748"/>
    <w:rsid w:val="42F223AD"/>
    <w:rsid w:val="433C7ACC"/>
    <w:rsid w:val="43543068"/>
    <w:rsid w:val="43544E16"/>
    <w:rsid w:val="43996CCD"/>
    <w:rsid w:val="43A15B81"/>
    <w:rsid w:val="43A55671"/>
    <w:rsid w:val="43BB6C43"/>
    <w:rsid w:val="43BD0C0D"/>
    <w:rsid w:val="43D22FAB"/>
    <w:rsid w:val="43DB5537"/>
    <w:rsid w:val="43E837B0"/>
    <w:rsid w:val="44421112"/>
    <w:rsid w:val="44823C05"/>
    <w:rsid w:val="44867251"/>
    <w:rsid w:val="4493196E"/>
    <w:rsid w:val="44B738AE"/>
    <w:rsid w:val="44B87626"/>
    <w:rsid w:val="44F543D6"/>
    <w:rsid w:val="4505203A"/>
    <w:rsid w:val="45682DFA"/>
    <w:rsid w:val="45B46040"/>
    <w:rsid w:val="45CD1983"/>
    <w:rsid w:val="45D466E2"/>
    <w:rsid w:val="45E85CE9"/>
    <w:rsid w:val="4609638B"/>
    <w:rsid w:val="46116FEE"/>
    <w:rsid w:val="465F5FAB"/>
    <w:rsid w:val="46804174"/>
    <w:rsid w:val="46B856BC"/>
    <w:rsid w:val="46FF32EA"/>
    <w:rsid w:val="472E597E"/>
    <w:rsid w:val="47451645"/>
    <w:rsid w:val="47767A51"/>
    <w:rsid w:val="47794E4B"/>
    <w:rsid w:val="47906638"/>
    <w:rsid w:val="479C4FDD"/>
    <w:rsid w:val="47E56984"/>
    <w:rsid w:val="480D7C89"/>
    <w:rsid w:val="480E5EDB"/>
    <w:rsid w:val="482F7BFF"/>
    <w:rsid w:val="489839F7"/>
    <w:rsid w:val="48B14AB8"/>
    <w:rsid w:val="48C90054"/>
    <w:rsid w:val="48E96000"/>
    <w:rsid w:val="48FF5824"/>
    <w:rsid w:val="49523BA5"/>
    <w:rsid w:val="4957740E"/>
    <w:rsid w:val="495C2C76"/>
    <w:rsid w:val="496E4757"/>
    <w:rsid w:val="497C6E74"/>
    <w:rsid w:val="49971F00"/>
    <w:rsid w:val="49C8030C"/>
    <w:rsid w:val="49F7474D"/>
    <w:rsid w:val="4A031344"/>
    <w:rsid w:val="4A05330E"/>
    <w:rsid w:val="4A08695A"/>
    <w:rsid w:val="4A0A26D2"/>
    <w:rsid w:val="4A203CA4"/>
    <w:rsid w:val="4A5C2802"/>
    <w:rsid w:val="4A657908"/>
    <w:rsid w:val="4A6A3171"/>
    <w:rsid w:val="4A9B157C"/>
    <w:rsid w:val="4AA93C99"/>
    <w:rsid w:val="4AB10DA0"/>
    <w:rsid w:val="4B076C12"/>
    <w:rsid w:val="4B1355B6"/>
    <w:rsid w:val="4B700C5B"/>
    <w:rsid w:val="4B75001F"/>
    <w:rsid w:val="4B8B15F1"/>
    <w:rsid w:val="4C0C0983"/>
    <w:rsid w:val="4C1003CE"/>
    <w:rsid w:val="4C2832E3"/>
    <w:rsid w:val="4C934C01"/>
    <w:rsid w:val="4CB30DFF"/>
    <w:rsid w:val="4CC34DBA"/>
    <w:rsid w:val="4CEF20BB"/>
    <w:rsid w:val="4CFE5DF2"/>
    <w:rsid w:val="4D07114B"/>
    <w:rsid w:val="4D3D2DBF"/>
    <w:rsid w:val="4D4001B9"/>
    <w:rsid w:val="4D87403A"/>
    <w:rsid w:val="4DA44BEC"/>
    <w:rsid w:val="4DA90454"/>
    <w:rsid w:val="4E01203E"/>
    <w:rsid w:val="4E255D2C"/>
    <w:rsid w:val="4E3C3076"/>
    <w:rsid w:val="4E555EE6"/>
    <w:rsid w:val="4E6210E9"/>
    <w:rsid w:val="4E797E26"/>
    <w:rsid w:val="4E8862BB"/>
    <w:rsid w:val="4EB8094F"/>
    <w:rsid w:val="4EE94FAC"/>
    <w:rsid w:val="4EEA0D24"/>
    <w:rsid w:val="4F1D6A04"/>
    <w:rsid w:val="4F1F277C"/>
    <w:rsid w:val="4F5A7C58"/>
    <w:rsid w:val="4F6939F7"/>
    <w:rsid w:val="4F730D1A"/>
    <w:rsid w:val="4F74239C"/>
    <w:rsid w:val="4F894099"/>
    <w:rsid w:val="4FC74BC1"/>
    <w:rsid w:val="502D2C76"/>
    <w:rsid w:val="50483F54"/>
    <w:rsid w:val="50707007"/>
    <w:rsid w:val="5079410E"/>
    <w:rsid w:val="508B3E41"/>
    <w:rsid w:val="508F56DF"/>
    <w:rsid w:val="50E83041"/>
    <w:rsid w:val="50EC48E0"/>
    <w:rsid w:val="50FB0FC7"/>
    <w:rsid w:val="50FC089B"/>
    <w:rsid w:val="510F6820"/>
    <w:rsid w:val="51200A2D"/>
    <w:rsid w:val="51477D68"/>
    <w:rsid w:val="518014CC"/>
    <w:rsid w:val="51B7313F"/>
    <w:rsid w:val="5247257B"/>
    <w:rsid w:val="526861E8"/>
    <w:rsid w:val="528D20F2"/>
    <w:rsid w:val="52950FA7"/>
    <w:rsid w:val="52A64F62"/>
    <w:rsid w:val="52C04276"/>
    <w:rsid w:val="52D90E94"/>
    <w:rsid w:val="52F91536"/>
    <w:rsid w:val="530C1269"/>
    <w:rsid w:val="53163E96"/>
    <w:rsid w:val="53202F66"/>
    <w:rsid w:val="532F6D06"/>
    <w:rsid w:val="5364772A"/>
    <w:rsid w:val="5391176E"/>
    <w:rsid w:val="539A6875"/>
    <w:rsid w:val="53E67D0C"/>
    <w:rsid w:val="5415414D"/>
    <w:rsid w:val="54295E4B"/>
    <w:rsid w:val="543C792C"/>
    <w:rsid w:val="54646E83"/>
    <w:rsid w:val="54CB6F02"/>
    <w:rsid w:val="54D04518"/>
    <w:rsid w:val="54E0475B"/>
    <w:rsid w:val="55322ADD"/>
    <w:rsid w:val="55456CB4"/>
    <w:rsid w:val="555A0DDC"/>
    <w:rsid w:val="55F45FE4"/>
    <w:rsid w:val="55FA184D"/>
    <w:rsid w:val="560501F2"/>
    <w:rsid w:val="5637484F"/>
    <w:rsid w:val="56461AEB"/>
    <w:rsid w:val="56772E9D"/>
    <w:rsid w:val="5697353F"/>
    <w:rsid w:val="569752EE"/>
    <w:rsid w:val="56AB6FEB"/>
    <w:rsid w:val="56B04601"/>
    <w:rsid w:val="56E85B49"/>
    <w:rsid w:val="56FA587C"/>
    <w:rsid w:val="571B7CCD"/>
    <w:rsid w:val="57272B15"/>
    <w:rsid w:val="5737087F"/>
    <w:rsid w:val="57541431"/>
    <w:rsid w:val="57650F48"/>
    <w:rsid w:val="5785783C"/>
    <w:rsid w:val="578F2469"/>
    <w:rsid w:val="578F4217"/>
    <w:rsid w:val="57931F59"/>
    <w:rsid w:val="57BB14B0"/>
    <w:rsid w:val="57E75E01"/>
    <w:rsid w:val="57F10A2D"/>
    <w:rsid w:val="582726A1"/>
    <w:rsid w:val="58516B1B"/>
    <w:rsid w:val="58535244"/>
    <w:rsid w:val="58562F86"/>
    <w:rsid w:val="5875165E"/>
    <w:rsid w:val="58767185"/>
    <w:rsid w:val="589A2E73"/>
    <w:rsid w:val="58A81A34"/>
    <w:rsid w:val="58AD704A"/>
    <w:rsid w:val="58B8779D"/>
    <w:rsid w:val="58D81BED"/>
    <w:rsid w:val="58DC7930"/>
    <w:rsid w:val="58E10AA2"/>
    <w:rsid w:val="58EE0969"/>
    <w:rsid w:val="58F22CAF"/>
    <w:rsid w:val="593E565E"/>
    <w:rsid w:val="595E6596"/>
    <w:rsid w:val="59710078"/>
    <w:rsid w:val="597A4A53"/>
    <w:rsid w:val="597E610F"/>
    <w:rsid w:val="59815DE1"/>
    <w:rsid w:val="59A10231"/>
    <w:rsid w:val="59CD7278"/>
    <w:rsid w:val="59DA36DD"/>
    <w:rsid w:val="59EC76FE"/>
    <w:rsid w:val="5A056A12"/>
    <w:rsid w:val="5A137381"/>
    <w:rsid w:val="5A20384C"/>
    <w:rsid w:val="5A3D7F5A"/>
    <w:rsid w:val="5A5A0B0C"/>
    <w:rsid w:val="5A7A11AE"/>
    <w:rsid w:val="5A7D0C9E"/>
    <w:rsid w:val="5A875679"/>
    <w:rsid w:val="5AA75D1B"/>
    <w:rsid w:val="5ABA3CA0"/>
    <w:rsid w:val="5ADE798F"/>
    <w:rsid w:val="5B264E92"/>
    <w:rsid w:val="5B6A7475"/>
    <w:rsid w:val="5B9067AF"/>
    <w:rsid w:val="5BA069F2"/>
    <w:rsid w:val="5BA74225"/>
    <w:rsid w:val="5BBB7CD0"/>
    <w:rsid w:val="5BC76675"/>
    <w:rsid w:val="5BD112A2"/>
    <w:rsid w:val="5BF64864"/>
    <w:rsid w:val="5BFD3E45"/>
    <w:rsid w:val="5C653798"/>
    <w:rsid w:val="5C741C2D"/>
    <w:rsid w:val="5CA50038"/>
    <w:rsid w:val="5CD526CC"/>
    <w:rsid w:val="5CDC6150"/>
    <w:rsid w:val="5CFE60C6"/>
    <w:rsid w:val="5D2B49E2"/>
    <w:rsid w:val="5D4635C9"/>
    <w:rsid w:val="5D521F6E"/>
    <w:rsid w:val="5D5C2DED"/>
    <w:rsid w:val="5D7A3273"/>
    <w:rsid w:val="5DA12EF6"/>
    <w:rsid w:val="5DCB1D21"/>
    <w:rsid w:val="5DCD5A99"/>
    <w:rsid w:val="5DD961EC"/>
    <w:rsid w:val="5DDE7CA6"/>
    <w:rsid w:val="5DEF3C61"/>
    <w:rsid w:val="5DF11787"/>
    <w:rsid w:val="5E36363E"/>
    <w:rsid w:val="5E525F9E"/>
    <w:rsid w:val="5E671A49"/>
    <w:rsid w:val="5E761C8C"/>
    <w:rsid w:val="5E8048B9"/>
    <w:rsid w:val="5EA04F5B"/>
    <w:rsid w:val="5EBA601D"/>
    <w:rsid w:val="5EBD5B0D"/>
    <w:rsid w:val="5ECE7F48"/>
    <w:rsid w:val="5EE44E48"/>
    <w:rsid w:val="5EFF6126"/>
    <w:rsid w:val="5F08322C"/>
    <w:rsid w:val="5F116103"/>
    <w:rsid w:val="5F1C6CD8"/>
    <w:rsid w:val="5F27114E"/>
    <w:rsid w:val="5F37766E"/>
    <w:rsid w:val="5F447FDD"/>
    <w:rsid w:val="5F61293D"/>
    <w:rsid w:val="5F6146EB"/>
    <w:rsid w:val="5F7C1524"/>
    <w:rsid w:val="5F8F1C5A"/>
    <w:rsid w:val="5FA665A1"/>
    <w:rsid w:val="5FB25360"/>
    <w:rsid w:val="5FFC08B7"/>
    <w:rsid w:val="60196D73"/>
    <w:rsid w:val="603242D9"/>
    <w:rsid w:val="6037544B"/>
    <w:rsid w:val="60681AA9"/>
    <w:rsid w:val="60A70834"/>
    <w:rsid w:val="60A800F7"/>
    <w:rsid w:val="60B62785"/>
    <w:rsid w:val="60FF240D"/>
    <w:rsid w:val="6142054C"/>
    <w:rsid w:val="615F0392"/>
    <w:rsid w:val="616F60EC"/>
    <w:rsid w:val="617F70AA"/>
    <w:rsid w:val="61812E22"/>
    <w:rsid w:val="619F599E"/>
    <w:rsid w:val="61A22D98"/>
    <w:rsid w:val="61CF0031"/>
    <w:rsid w:val="61DE64C6"/>
    <w:rsid w:val="62126170"/>
    <w:rsid w:val="621C6FEF"/>
    <w:rsid w:val="62214B27"/>
    <w:rsid w:val="62397BA1"/>
    <w:rsid w:val="628F77C1"/>
    <w:rsid w:val="62917095"/>
    <w:rsid w:val="629B43B7"/>
    <w:rsid w:val="62E713AB"/>
    <w:rsid w:val="62EF200D"/>
    <w:rsid w:val="631321A0"/>
    <w:rsid w:val="63133F00"/>
    <w:rsid w:val="631F0B45"/>
    <w:rsid w:val="632411E5"/>
    <w:rsid w:val="632717A7"/>
    <w:rsid w:val="633D721D"/>
    <w:rsid w:val="634560D1"/>
    <w:rsid w:val="63512CC8"/>
    <w:rsid w:val="635F53E5"/>
    <w:rsid w:val="637569B7"/>
    <w:rsid w:val="63AD43A2"/>
    <w:rsid w:val="63C811DC"/>
    <w:rsid w:val="6451494E"/>
    <w:rsid w:val="647C1FC7"/>
    <w:rsid w:val="64AA2690"/>
    <w:rsid w:val="64AD03D2"/>
    <w:rsid w:val="64BE438D"/>
    <w:rsid w:val="64EC2CA8"/>
    <w:rsid w:val="64EC4A56"/>
    <w:rsid w:val="651421FF"/>
    <w:rsid w:val="655B1BDC"/>
    <w:rsid w:val="65766A16"/>
    <w:rsid w:val="657B5DDA"/>
    <w:rsid w:val="658630FD"/>
    <w:rsid w:val="65B01F28"/>
    <w:rsid w:val="65BA2DA7"/>
    <w:rsid w:val="65BA4B55"/>
    <w:rsid w:val="65CB0B10"/>
    <w:rsid w:val="65F20792"/>
    <w:rsid w:val="660843AE"/>
    <w:rsid w:val="661F70AE"/>
    <w:rsid w:val="662D17CA"/>
    <w:rsid w:val="66432D9C"/>
    <w:rsid w:val="664F7993"/>
    <w:rsid w:val="66506EF3"/>
    <w:rsid w:val="66607CED"/>
    <w:rsid w:val="66AA6977"/>
    <w:rsid w:val="66CF4630"/>
    <w:rsid w:val="66E14363"/>
    <w:rsid w:val="66E63727"/>
    <w:rsid w:val="66E86817"/>
    <w:rsid w:val="66FD73EF"/>
    <w:rsid w:val="6727621A"/>
    <w:rsid w:val="67732727"/>
    <w:rsid w:val="67972ADA"/>
    <w:rsid w:val="67A7735B"/>
    <w:rsid w:val="67C1041C"/>
    <w:rsid w:val="67DD0FCE"/>
    <w:rsid w:val="67E4410B"/>
    <w:rsid w:val="67F56318"/>
    <w:rsid w:val="67F9777D"/>
    <w:rsid w:val="680E2F36"/>
    <w:rsid w:val="68106CAE"/>
    <w:rsid w:val="6828049B"/>
    <w:rsid w:val="68294213"/>
    <w:rsid w:val="682E35D8"/>
    <w:rsid w:val="686A0AB4"/>
    <w:rsid w:val="6870599E"/>
    <w:rsid w:val="68751207"/>
    <w:rsid w:val="687E455F"/>
    <w:rsid w:val="68CF0917"/>
    <w:rsid w:val="690D7691"/>
    <w:rsid w:val="69270753"/>
    <w:rsid w:val="69344C1E"/>
    <w:rsid w:val="69362744"/>
    <w:rsid w:val="69450BD9"/>
    <w:rsid w:val="6951757E"/>
    <w:rsid w:val="696A4AE4"/>
    <w:rsid w:val="69825989"/>
    <w:rsid w:val="698C4A5A"/>
    <w:rsid w:val="69B61EEC"/>
    <w:rsid w:val="69BF6BDD"/>
    <w:rsid w:val="69E46644"/>
    <w:rsid w:val="6A152BF7"/>
    <w:rsid w:val="6A2950DD"/>
    <w:rsid w:val="6A576E16"/>
    <w:rsid w:val="6A7379C8"/>
    <w:rsid w:val="6AA54025"/>
    <w:rsid w:val="6AA87672"/>
    <w:rsid w:val="6AAE27AE"/>
    <w:rsid w:val="6AE461D0"/>
    <w:rsid w:val="6AE82164"/>
    <w:rsid w:val="6AFB3C45"/>
    <w:rsid w:val="6AFC79BD"/>
    <w:rsid w:val="6B160A7F"/>
    <w:rsid w:val="6B2F38EF"/>
    <w:rsid w:val="6B777044"/>
    <w:rsid w:val="6B9145AA"/>
    <w:rsid w:val="6B9D4CFC"/>
    <w:rsid w:val="6BE97F42"/>
    <w:rsid w:val="6BEE37AA"/>
    <w:rsid w:val="6C264CF2"/>
    <w:rsid w:val="6C276CBC"/>
    <w:rsid w:val="6C292A34"/>
    <w:rsid w:val="6C2947E2"/>
    <w:rsid w:val="6C44161C"/>
    <w:rsid w:val="6C4E249B"/>
    <w:rsid w:val="6C755C79"/>
    <w:rsid w:val="6C7F4402"/>
    <w:rsid w:val="6C847C6A"/>
    <w:rsid w:val="6C97174C"/>
    <w:rsid w:val="6CE40709"/>
    <w:rsid w:val="6CE95D1F"/>
    <w:rsid w:val="6CFA1CDB"/>
    <w:rsid w:val="6D176D30"/>
    <w:rsid w:val="6D194857"/>
    <w:rsid w:val="6D512242"/>
    <w:rsid w:val="6D605AE9"/>
    <w:rsid w:val="6D6C2BD8"/>
    <w:rsid w:val="6D837F22"/>
    <w:rsid w:val="6D8F4B19"/>
    <w:rsid w:val="6D965EA7"/>
    <w:rsid w:val="6D9B34BE"/>
    <w:rsid w:val="6E0E5A3E"/>
    <w:rsid w:val="6E1312A6"/>
    <w:rsid w:val="6E1A0886"/>
    <w:rsid w:val="6E4B6C92"/>
    <w:rsid w:val="6EAB5982"/>
    <w:rsid w:val="6EB81E4D"/>
    <w:rsid w:val="6F370FC4"/>
    <w:rsid w:val="6F4F4560"/>
    <w:rsid w:val="6F5778B8"/>
    <w:rsid w:val="6F712728"/>
    <w:rsid w:val="6F7B5355"/>
    <w:rsid w:val="6F885CC3"/>
    <w:rsid w:val="6F92269E"/>
    <w:rsid w:val="6FAD74D8"/>
    <w:rsid w:val="6FB16FC8"/>
    <w:rsid w:val="6FB7D0AA"/>
    <w:rsid w:val="6FD66A2F"/>
    <w:rsid w:val="6FEF5386"/>
    <w:rsid w:val="7055204A"/>
    <w:rsid w:val="7056191E"/>
    <w:rsid w:val="708C17E3"/>
    <w:rsid w:val="709B7837"/>
    <w:rsid w:val="70A22DB5"/>
    <w:rsid w:val="70C607A7"/>
    <w:rsid w:val="70EB02B8"/>
    <w:rsid w:val="71221260"/>
    <w:rsid w:val="716F713B"/>
    <w:rsid w:val="71722787"/>
    <w:rsid w:val="718A7AD1"/>
    <w:rsid w:val="718F660A"/>
    <w:rsid w:val="71946BA2"/>
    <w:rsid w:val="719E17CE"/>
    <w:rsid w:val="71A14E1B"/>
    <w:rsid w:val="71AF12E6"/>
    <w:rsid w:val="71CD3E62"/>
    <w:rsid w:val="71F65166"/>
    <w:rsid w:val="72181581"/>
    <w:rsid w:val="723839D1"/>
    <w:rsid w:val="724A54B2"/>
    <w:rsid w:val="7251239D"/>
    <w:rsid w:val="729B5D0E"/>
    <w:rsid w:val="729C3F60"/>
    <w:rsid w:val="72AE5A41"/>
    <w:rsid w:val="72EC0317"/>
    <w:rsid w:val="7309711B"/>
    <w:rsid w:val="732A300A"/>
    <w:rsid w:val="73700F48"/>
    <w:rsid w:val="73830C7C"/>
    <w:rsid w:val="73B21561"/>
    <w:rsid w:val="73D019E7"/>
    <w:rsid w:val="73E536E4"/>
    <w:rsid w:val="74024296"/>
    <w:rsid w:val="741C4C2C"/>
    <w:rsid w:val="7439758C"/>
    <w:rsid w:val="747B5DF7"/>
    <w:rsid w:val="7487654A"/>
    <w:rsid w:val="748922C2"/>
    <w:rsid w:val="749649DF"/>
    <w:rsid w:val="74AA60C2"/>
    <w:rsid w:val="74BD1F6B"/>
    <w:rsid w:val="74F57957"/>
    <w:rsid w:val="74F6722B"/>
    <w:rsid w:val="75243D99"/>
    <w:rsid w:val="753C37D8"/>
    <w:rsid w:val="75B90985"/>
    <w:rsid w:val="7601232C"/>
    <w:rsid w:val="76143E0D"/>
    <w:rsid w:val="762A53DF"/>
    <w:rsid w:val="7645046A"/>
    <w:rsid w:val="76590DA0"/>
    <w:rsid w:val="765C57B4"/>
    <w:rsid w:val="76634D94"/>
    <w:rsid w:val="76674885"/>
    <w:rsid w:val="76742AFE"/>
    <w:rsid w:val="768076F4"/>
    <w:rsid w:val="76B949B4"/>
    <w:rsid w:val="76C05D43"/>
    <w:rsid w:val="772B58B2"/>
    <w:rsid w:val="77493F8A"/>
    <w:rsid w:val="77640DC4"/>
    <w:rsid w:val="7769462C"/>
    <w:rsid w:val="777F79AC"/>
    <w:rsid w:val="7782124A"/>
    <w:rsid w:val="7795794F"/>
    <w:rsid w:val="77980A6E"/>
    <w:rsid w:val="77A47413"/>
    <w:rsid w:val="77BA6C36"/>
    <w:rsid w:val="77C83101"/>
    <w:rsid w:val="77D53A70"/>
    <w:rsid w:val="77D5581E"/>
    <w:rsid w:val="77EF68E0"/>
    <w:rsid w:val="77F35CA4"/>
    <w:rsid w:val="783A38D3"/>
    <w:rsid w:val="786F17CF"/>
    <w:rsid w:val="789D27E0"/>
    <w:rsid w:val="78B33DB1"/>
    <w:rsid w:val="78BB48A3"/>
    <w:rsid w:val="78C338C8"/>
    <w:rsid w:val="78C935D5"/>
    <w:rsid w:val="78DD2BDC"/>
    <w:rsid w:val="78E21FA1"/>
    <w:rsid w:val="796C21B2"/>
    <w:rsid w:val="79D57D57"/>
    <w:rsid w:val="79DF0BD6"/>
    <w:rsid w:val="79E7775D"/>
    <w:rsid w:val="7A2111EE"/>
    <w:rsid w:val="7A4B626B"/>
    <w:rsid w:val="7A6D1D3E"/>
    <w:rsid w:val="7A7C4677"/>
    <w:rsid w:val="7A923E9A"/>
    <w:rsid w:val="7AAF05A8"/>
    <w:rsid w:val="7ABD2CC5"/>
    <w:rsid w:val="7AC73B44"/>
    <w:rsid w:val="7AD85D51"/>
    <w:rsid w:val="7AE069B4"/>
    <w:rsid w:val="7AF1471D"/>
    <w:rsid w:val="7B191EC6"/>
    <w:rsid w:val="7B2014A6"/>
    <w:rsid w:val="7B3D5BB4"/>
    <w:rsid w:val="7B3E36DA"/>
    <w:rsid w:val="7B7D2454"/>
    <w:rsid w:val="7B892BA7"/>
    <w:rsid w:val="7B9D48A5"/>
    <w:rsid w:val="7BA43E85"/>
    <w:rsid w:val="7BA619AB"/>
    <w:rsid w:val="7BCE0F02"/>
    <w:rsid w:val="7BCE2CB0"/>
    <w:rsid w:val="7BDF0A19"/>
    <w:rsid w:val="7BF32717"/>
    <w:rsid w:val="7C014E34"/>
    <w:rsid w:val="7C136915"/>
    <w:rsid w:val="7C330D65"/>
    <w:rsid w:val="7C442F72"/>
    <w:rsid w:val="7C52743D"/>
    <w:rsid w:val="7C55517F"/>
    <w:rsid w:val="7C5F1B5A"/>
    <w:rsid w:val="7CB71996"/>
    <w:rsid w:val="7CC0084B"/>
    <w:rsid w:val="7CC77E2B"/>
    <w:rsid w:val="7CD267D0"/>
    <w:rsid w:val="7CDB38D7"/>
    <w:rsid w:val="7CE54755"/>
    <w:rsid w:val="7CF04147"/>
    <w:rsid w:val="7CFE5817"/>
    <w:rsid w:val="7D470F6C"/>
    <w:rsid w:val="7D5B4A17"/>
    <w:rsid w:val="7D6513F2"/>
    <w:rsid w:val="7D8950E1"/>
    <w:rsid w:val="7DA0067C"/>
    <w:rsid w:val="7DAE2D99"/>
    <w:rsid w:val="7DB61C4E"/>
    <w:rsid w:val="7E1846B6"/>
    <w:rsid w:val="7E835FD4"/>
    <w:rsid w:val="7E941F8F"/>
    <w:rsid w:val="7E9A50CB"/>
    <w:rsid w:val="7EA321D2"/>
    <w:rsid w:val="7EB5548B"/>
    <w:rsid w:val="7EDB5E10"/>
    <w:rsid w:val="7F005876"/>
    <w:rsid w:val="7F1B445E"/>
    <w:rsid w:val="7F1F3A5B"/>
    <w:rsid w:val="7F203823"/>
    <w:rsid w:val="7F390D88"/>
    <w:rsid w:val="7F791185"/>
    <w:rsid w:val="7FB126CD"/>
    <w:rsid w:val="7FBF128D"/>
    <w:rsid w:val="7FE900B8"/>
    <w:rsid w:val="7FED4CD6"/>
    <w:rsid w:val="7FFA35E2"/>
    <w:rsid w:val="F87FCE3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styleId="4">
    <w:name w:val="heading 1"/>
    <w:basedOn w:val="1"/>
    <w:next w:val="1"/>
    <w:link w:val="41"/>
    <w:qFormat/>
    <w:uiPriority w:val="0"/>
    <w:pPr>
      <w:keepNext/>
      <w:keepLines/>
      <w:spacing w:before="240" w:after="240"/>
      <w:jc w:val="left"/>
      <w:outlineLvl w:val="0"/>
    </w:pPr>
    <w:rPr>
      <w:rFonts w:eastAsia="方正黑体_GBK"/>
      <w:bCs/>
      <w:color w:val="000000"/>
      <w:kern w:val="44"/>
      <w:sz w:val="32"/>
      <w:szCs w:val="32"/>
    </w:rPr>
  </w:style>
  <w:style w:type="paragraph" w:styleId="5">
    <w:name w:val="heading 2"/>
    <w:basedOn w:val="1"/>
    <w:next w:val="1"/>
    <w:link w:val="42"/>
    <w:unhideWhenUsed/>
    <w:qFormat/>
    <w:uiPriority w:val="0"/>
    <w:pPr>
      <w:keepNext/>
      <w:keepLines/>
      <w:spacing w:line="560" w:lineRule="exact"/>
      <w:outlineLvl w:val="1"/>
    </w:pPr>
    <w:rPr>
      <w:rFonts w:ascii="Arial" w:hAnsi="Arial" w:eastAsia="仿宋_GB2312"/>
      <w:b/>
      <w:bCs/>
      <w:sz w:val="28"/>
      <w:szCs w:val="32"/>
    </w:rPr>
  </w:style>
  <w:style w:type="paragraph" w:styleId="6">
    <w:name w:val="heading 3"/>
    <w:basedOn w:val="1"/>
    <w:next w:val="1"/>
    <w:link w:val="43"/>
    <w:unhideWhenUsed/>
    <w:qFormat/>
    <w:uiPriority w:val="0"/>
    <w:pPr>
      <w:keepNext/>
      <w:keepLines/>
      <w:spacing w:before="260" w:after="260" w:line="416" w:lineRule="auto"/>
      <w:outlineLvl w:val="2"/>
    </w:pPr>
    <w:rPr>
      <w:b/>
      <w:bCs/>
      <w:sz w:val="32"/>
      <w:szCs w:val="32"/>
    </w:rPr>
  </w:style>
  <w:style w:type="paragraph" w:styleId="7">
    <w:name w:val="heading 4"/>
    <w:basedOn w:val="5"/>
    <w:next w:val="1"/>
    <w:qFormat/>
    <w:uiPriority w:val="0"/>
    <w:pPr>
      <w:widowControl/>
      <w:spacing w:line="594" w:lineRule="exact"/>
      <w:jc w:val="left"/>
      <w:outlineLvl w:val="3"/>
    </w:pPr>
    <w:rPr>
      <w:rFonts w:ascii="Times New Roman" w:hAnsi="Times New Roman" w:eastAsia="方正仿宋_GBK" w:cs="Times New Roman"/>
      <w:kern w:val="2"/>
      <w:sz w:val="32"/>
      <w:szCs w:val="28"/>
      <w:lang w:val="en-US" w:eastAsia="zh-CN" w:bidi="ar-SA"/>
    </w:rPr>
  </w:style>
  <w:style w:type="character" w:default="1" w:styleId="34">
    <w:name w:val="Default Paragraph Font"/>
    <w:semiHidden/>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2">
    <w:name w:val="Body Text"/>
    <w:basedOn w:val="1"/>
    <w:next w:val="3"/>
    <w:link w:val="40"/>
    <w:qFormat/>
    <w:uiPriority w:val="0"/>
    <w:pPr>
      <w:spacing w:after="120"/>
    </w:pPr>
    <w:rPr>
      <w:rFonts w:ascii="Calibri" w:hAnsi="Calibri"/>
      <w:kern w:val="0"/>
      <w:sz w:val="24"/>
      <w:szCs w:val="20"/>
    </w:rPr>
  </w:style>
  <w:style w:type="paragraph" w:customStyle="1" w:styleId="3">
    <w:name w:val="index 6"/>
    <w:basedOn w:val="1"/>
    <w:next w:val="1"/>
    <w:qFormat/>
    <w:uiPriority w:val="0"/>
    <w:pPr>
      <w:ind w:left="2100"/>
    </w:pPr>
  </w:style>
  <w:style w:type="paragraph" w:styleId="8">
    <w:name w:val="toc 7"/>
    <w:basedOn w:val="1"/>
    <w:next w:val="1"/>
    <w:qFormat/>
    <w:uiPriority w:val="0"/>
    <w:pPr>
      <w:ind w:left="1260"/>
      <w:jc w:val="left"/>
    </w:pPr>
    <w:rPr>
      <w:rFonts w:ascii="Calibri" w:hAnsi="Calibri" w:cs="Calibri"/>
      <w:sz w:val="18"/>
      <w:szCs w:val="18"/>
    </w:rPr>
  </w:style>
  <w:style w:type="paragraph" w:styleId="9">
    <w:name w:val="table of authorities"/>
    <w:basedOn w:val="1"/>
    <w:next w:val="1"/>
    <w:qFormat/>
    <w:uiPriority w:val="0"/>
    <w:pPr>
      <w:spacing w:beforeAutospacing="1" w:after="100" w:afterAutospacing="1" w:line="579" w:lineRule="exact"/>
      <w:ind w:left="0" w:leftChars="0" w:firstLine="880" w:firstLineChars="200"/>
    </w:pPr>
    <w:rPr>
      <w:rFonts w:eastAsia="方正楷体_GBK"/>
      <w:szCs w:val="21"/>
    </w:rPr>
  </w:style>
  <w:style w:type="paragraph" w:styleId="10">
    <w:name w:val="Document Map"/>
    <w:basedOn w:val="1"/>
    <w:link w:val="44"/>
    <w:qFormat/>
    <w:uiPriority w:val="0"/>
    <w:rPr>
      <w:rFonts w:ascii="宋体" w:hAnsi="Calibri"/>
      <w:kern w:val="0"/>
      <w:sz w:val="18"/>
      <w:szCs w:val="20"/>
    </w:rPr>
  </w:style>
  <w:style w:type="paragraph" w:styleId="11">
    <w:name w:val="annotation text"/>
    <w:basedOn w:val="1"/>
    <w:link w:val="45"/>
    <w:qFormat/>
    <w:uiPriority w:val="0"/>
    <w:pPr>
      <w:jc w:val="left"/>
    </w:pPr>
    <w:rPr>
      <w:rFonts w:ascii="Calibri" w:hAnsi="Calibri"/>
      <w:kern w:val="0"/>
      <w:sz w:val="24"/>
      <w:szCs w:val="20"/>
    </w:rPr>
  </w:style>
  <w:style w:type="paragraph" w:styleId="12">
    <w:name w:val="Body Text Indent"/>
    <w:basedOn w:val="1"/>
    <w:link w:val="46"/>
    <w:qFormat/>
    <w:uiPriority w:val="0"/>
    <w:pPr>
      <w:ind w:firstLine="560" w:firstLineChars="200"/>
    </w:pPr>
    <w:rPr>
      <w:sz w:val="28"/>
    </w:rPr>
  </w:style>
  <w:style w:type="paragraph" w:styleId="13">
    <w:name w:val="toc 5"/>
    <w:basedOn w:val="1"/>
    <w:next w:val="1"/>
    <w:qFormat/>
    <w:uiPriority w:val="0"/>
    <w:pPr>
      <w:ind w:left="840"/>
      <w:jc w:val="left"/>
    </w:pPr>
    <w:rPr>
      <w:rFonts w:ascii="Calibri" w:hAnsi="Calibri" w:cs="Calibri"/>
      <w:sz w:val="18"/>
      <w:szCs w:val="18"/>
    </w:rPr>
  </w:style>
  <w:style w:type="paragraph" w:styleId="14">
    <w:name w:val="toc 3"/>
    <w:basedOn w:val="1"/>
    <w:next w:val="1"/>
    <w:qFormat/>
    <w:uiPriority w:val="0"/>
    <w:pPr>
      <w:ind w:left="420"/>
      <w:jc w:val="left"/>
    </w:pPr>
    <w:rPr>
      <w:rFonts w:ascii="Calibri" w:hAnsi="Calibri" w:cs="Calibri"/>
      <w:i/>
      <w:iCs/>
      <w:sz w:val="20"/>
      <w:szCs w:val="20"/>
    </w:rPr>
  </w:style>
  <w:style w:type="paragraph" w:styleId="15">
    <w:name w:val="Plain Text"/>
    <w:basedOn w:val="1"/>
    <w:link w:val="47"/>
    <w:qFormat/>
    <w:uiPriority w:val="0"/>
    <w:rPr>
      <w:rFonts w:ascii="宋体" w:hAnsi="Courier New"/>
      <w:sz w:val="28"/>
      <w:szCs w:val="21"/>
    </w:rPr>
  </w:style>
  <w:style w:type="paragraph" w:styleId="16">
    <w:name w:val="toc 8"/>
    <w:basedOn w:val="1"/>
    <w:next w:val="1"/>
    <w:qFormat/>
    <w:uiPriority w:val="0"/>
    <w:pPr>
      <w:ind w:left="1470"/>
      <w:jc w:val="left"/>
    </w:pPr>
    <w:rPr>
      <w:rFonts w:ascii="Calibri" w:hAnsi="Calibri" w:cs="Calibri"/>
      <w:sz w:val="18"/>
      <w:szCs w:val="18"/>
    </w:rPr>
  </w:style>
  <w:style w:type="paragraph" w:styleId="17">
    <w:name w:val="Date"/>
    <w:basedOn w:val="1"/>
    <w:next w:val="1"/>
    <w:qFormat/>
    <w:uiPriority w:val="0"/>
    <w:pPr>
      <w:ind w:left="100" w:leftChars="2500"/>
    </w:pPr>
  </w:style>
  <w:style w:type="paragraph" w:styleId="18">
    <w:name w:val="Body Text Indent 2"/>
    <w:basedOn w:val="1"/>
    <w:qFormat/>
    <w:uiPriority w:val="0"/>
    <w:pPr>
      <w:spacing w:after="120" w:line="480" w:lineRule="auto"/>
      <w:ind w:left="420" w:leftChars="200"/>
    </w:pPr>
  </w:style>
  <w:style w:type="paragraph" w:styleId="19">
    <w:name w:val="Balloon Text"/>
    <w:basedOn w:val="1"/>
    <w:link w:val="48"/>
    <w:qFormat/>
    <w:uiPriority w:val="0"/>
    <w:rPr>
      <w:rFonts w:ascii="Calibri" w:hAnsi="Calibri"/>
      <w:kern w:val="0"/>
      <w:sz w:val="18"/>
      <w:szCs w:val="20"/>
    </w:rPr>
  </w:style>
  <w:style w:type="paragraph" w:styleId="20">
    <w:name w:val="footer"/>
    <w:basedOn w:val="1"/>
    <w:link w:val="49"/>
    <w:qFormat/>
    <w:uiPriority w:val="99"/>
    <w:pPr>
      <w:tabs>
        <w:tab w:val="center" w:pos="4153"/>
        <w:tab w:val="right" w:pos="8306"/>
      </w:tabs>
      <w:snapToGrid w:val="0"/>
      <w:jc w:val="left"/>
    </w:pPr>
    <w:rPr>
      <w:sz w:val="18"/>
      <w:szCs w:val="18"/>
    </w:rPr>
  </w:style>
  <w:style w:type="paragraph" w:styleId="21">
    <w:name w:val="header"/>
    <w:basedOn w:val="1"/>
    <w:link w:val="51"/>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0"/>
    <w:pPr>
      <w:spacing w:before="120" w:after="120"/>
      <w:jc w:val="left"/>
    </w:pPr>
    <w:rPr>
      <w:rFonts w:ascii="Calibri" w:hAnsi="Calibri" w:cs="Calibri"/>
      <w:b/>
      <w:bCs/>
      <w:caps/>
      <w:sz w:val="20"/>
      <w:szCs w:val="20"/>
    </w:rPr>
  </w:style>
  <w:style w:type="paragraph" w:styleId="23">
    <w:name w:val="toc 4"/>
    <w:basedOn w:val="1"/>
    <w:next w:val="1"/>
    <w:qFormat/>
    <w:uiPriority w:val="0"/>
    <w:pPr>
      <w:ind w:left="630"/>
      <w:jc w:val="left"/>
    </w:pPr>
    <w:rPr>
      <w:rFonts w:ascii="Calibri" w:hAnsi="Calibri" w:cs="Calibri"/>
      <w:sz w:val="18"/>
      <w:szCs w:val="18"/>
    </w:rPr>
  </w:style>
  <w:style w:type="paragraph" w:styleId="24">
    <w:name w:val="toc 6"/>
    <w:basedOn w:val="1"/>
    <w:next w:val="1"/>
    <w:qFormat/>
    <w:uiPriority w:val="0"/>
    <w:pPr>
      <w:ind w:left="1050"/>
      <w:jc w:val="left"/>
    </w:pPr>
    <w:rPr>
      <w:rFonts w:ascii="Calibri" w:hAnsi="Calibri" w:cs="Calibri"/>
      <w:sz w:val="18"/>
      <w:szCs w:val="18"/>
    </w:rPr>
  </w:style>
  <w:style w:type="paragraph" w:styleId="25">
    <w:name w:val="Body Text Indent 3"/>
    <w:basedOn w:val="1"/>
    <w:link w:val="52"/>
    <w:qFormat/>
    <w:uiPriority w:val="0"/>
    <w:pPr>
      <w:spacing w:after="120"/>
      <w:ind w:left="420" w:leftChars="200"/>
    </w:pPr>
    <w:rPr>
      <w:rFonts w:ascii="Calibri" w:hAnsi="Calibri"/>
      <w:kern w:val="0"/>
      <w:sz w:val="16"/>
      <w:szCs w:val="20"/>
    </w:rPr>
  </w:style>
  <w:style w:type="paragraph" w:styleId="26">
    <w:name w:val="toc 2"/>
    <w:basedOn w:val="1"/>
    <w:next w:val="1"/>
    <w:qFormat/>
    <w:uiPriority w:val="0"/>
    <w:pPr>
      <w:ind w:left="210"/>
      <w:jc w:val="left"/>
    </w:pPr>
    <w:rPr>
      <w:rFonts w:ascii="Calibri" w:hAnsi="Calibri" w:cs="Calibri"/>
      <w:smallCaps/>
      <w:sz w:val="20"/>
      <w:szCs w:val="20"/>
    </w:rPr>
  </w:style>
  <w:style w:type="paragraph" w:styleId="27">
    <w:name w:val="toc 9"/>
    <w:basedOn w:val="1"/>
    <w:next w:val="1"/>
    <w:qFormat/>
    <w:uiPriority w:val="0"/>
    <w:pPr>
      <w:ind w:left="1680"/>
      <w:jc w:val="left"/>
    </w:pPr>
    <w:rPr>
      <w:rFonts w:ascii="Calibri" w:hAnsi="Calibri" w:cs="Calibri"/>
      <w:sz w:val="18"/>
      <w:szCs w:val="18"/>
    </w:rPr>
  </w:style>
  <w:style w:type="paragraph" w:styleId="2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9">
    <w:name w:val="Normal (Web)"/>
    <w:basedOn w:val="1"/>
    <w:qFormat/>
    <w:uiPriority w:val="0"/>
    <w:pPr>
      <w:widowControl/>
      <w:spacing w:before="100" w:beforeAutospacing="1" w:after="100" w:afterAutospacing="1"/>
      <w:jc w:val="left"/>
    </w:pPr>
    <w:rPr>
      <w:rFonts w:ascii="宋体" w:hAnsi="宋体"/>
      <w:kern w:val="0"/>
      <w:sz w:val="24"/>
    </w:rPr>
  </w:style>
  <w:style w:type="paragraph" w:styleId="30">
    <w:name w:val="annotation subject"/>
    <w:basedOn w:val="11"/>
    <w:next w:val="11"/>
    <w:link w:val="53"/>
    <w:qFormat/>
    <w:uiPriority w:val="0"/>
    <w:rPr>
      <w:b/>
    </w:rPr>
  </w:style>
  <w:style w:type="paragraph" w:styleId="31">
    <w:name w:val="Body Text First Indent"/>
    <w:basedOn w:val="2"/>
    <w:qFormat/>
    <w:uiPriority w:val="0"/>
    <w:pPr>
      <w:ind w:firstLine="420" w:firstLineChars="100"/>
    </w:pPr>
    <w:rPr>
      <w:rFonts w:ascii="Times New Roman" w:hAnsi="Times New Roman"/>
      <w:kern w:val="2"/>
      <w:sz w:val="21"/>
      <w:szCs w:val="24"/>
    </w:rPr>
  </w:style>
  <w:style w:type="table" w:styleId="33">
    <w:name w:val="Table Grid"/>
    <w:basedOn w:val="32"/>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rFonts w:cs="Times New Roman"/>
      <w:b/>
    </w:rPr>
  </w:style>
  <w:style w:type="character" w:styleId="36">
    <w:name w:val="page number"/>
    <w:basedOn w:val="34"/>
    <w:qFormat/>
    <w:uiPriority w:val="0"/>
    <w:rPr>
      <w:rFonts w:cs="Times New Roman"/>
    </w:rPr>
  </w:style>
  <w:style w:type="character" w:styleId="37">
    <w:name w:val="Emphasis"/>
    <w:qFormat/>
    <w:uiPriority w:val="0"/>
    <w:rPr>
      <w:rFonts w:cs="Times New Roman"/>
      <w:color w:val="CC0000"/>
    </w:rPr>
  </w:style>
  <w:style w:type="character" w:styleId="38">
    <w:name w:val="Hyperlink"/>
    <w:qFormat/>
    <w:uiPriority w:val="0"/>
    <w:rPr>
      <w:rFonts w:cs="Times New Roman"/>
      <w:color w:val="136EC2"/>
      <w:u w:val="single"/>
    </w:rPr>
  </w:style>
  <w:style w:type="character" w:styleId="39">
    <w:name w:val="annotation reference"/>
    <w:qFormat/>
    <w:uiPriority w:val="0"/>
    <w:rPr>
      <w:rFonts w:cs="Times New Roman"/>
      <w:sz w:val="21"/>
    </w:rPr>
  </w:style>
  <w:style w:type="character" w:customStyle="1" w:styleId="40">
    <w:name w:val="正文文本 Char"/>
    <w:link w:val="2"/>
    <w:semiHidden/>
    <w:qFormat/>
    <w:locked/>
    <w:uiPriority w:val="99"/>
    <w:rPr>
      <w:rFonts w:ascii="Times New Roman" w:hAnsi="Times New Roman" w:eastAsia="宋体" w:cs="Times New Roman"/>
      <w:sz w:val="24"/>
      <w:szCs w:val="24"/>
    </w:rPr>
  </w:style>
  <w:style w:type="character" w:customStyle="1" w:styleId="41">
    <w:name w:val="标题 1 Char"/>
    <w:link w:val="4"/>
    <w:qFormat/>
    <w:locked/>
    <w:uiPriority w:val="99"/>
    <w:rPr>
      <w:rFonts w:ascii="Times New Roman" w:hAnsi="Times New Roman" w:eastAsia="方正黑体_GBK"/>
      <w:bCs/>
      <w:color w:val="000000"/>
      <w:kern w:val="44"/>
      <w:sz w:val="32"/>
      <w:szCs w:val="32"/>
    </w:rPr>
  </w:style>
  <w:style w:type="character" w:customStyle="1" w:styleId="42">
    <w:name w:val="标题 2 Char"/>
    <w:link w:val="5"/>
    <w:qFormat/>
    <w:locked/>
    <w:uiPriority w:val="99"/>
    <w:rPr>
      <w:rFonts w:ascii="Arial" w:hAnsi="Arial" w:eastAsia="仿宋_GB2312"/>
      <w:b/>
      <w:bCs/>
      <w:kern w:val="2"/>
      <w:sz w:val="28"/>
      <w:szCs w:val="32"/>
    </w:rPr>
  </w:style>
  <w:style w:type="character" w:customStyle="1" w:styleId="43">
    <w:name w:val="标题 3 Char"/>
    <w:link w:val="6"/>
    <w:qFormat/>
    <w:locked/>
    <w:uiPriority w:val="99"/>
    <w:rPr>
      <w:rFonts w:ascii="Times New Roman" w:hAnsi="Times New Roman" w:eastAsia="宋体" w:cs="Times New Roman"/>
      <w:b/>
      <w:bCs/>
      <w:sz w:val="32"/>
      <w:szCs w:val="32"/>
    </w:rPr>
  </w:style>
  <w:style w:type="character" w:customStyle="1" w:styleId="44">
    <w:name w:val="文档结构图 Char"/>
    <w:link w:val="10"/>
    <w:semiHidden/>
    <w:qFormat/>
    <w:locked/>
    <w:uiPriority w:val="99"/>
    <w:rPr>
      <w:rFonts w:ascii="宋体" w:hAnsi="Times New Roman" w:eastAsia="宋体" w:cs="Times New Roman"/>
      <w:sz w:val="18"/>
      <w:szCs w:val="18"/>
    </w:rPr>
  </w:style>
  <w:style w:type="character" w:customStyle="1" w:styleId="45">
    <w:name w:val="批注文字 Char"/>
    <w:link w:val="11"/>
    <w:semiHidden/>
    <w:qFormat/>
    <w:locked/>
    <w:uiPriority w:val="99"/>
    <w:rPr>
      <w:rFonts w:ascii="Times New Roman" w:hAnsi="Times New Roman" w:eastAsia="宋体" w:cs="Times New Roman"/>
      <w:sz w:val="24"/>
      <w:szCs w:val="24"/>
    </w:rPr>
  </w:style>
  <w:style w:type="character" w:customStyle="1" w:styleId="46">
    <w:name w:val="正文文本缩进 Char"/>
    <w:link w:val="12"/>
    <w:qFormat/>
    <w:locked/>
    <w:uiPriority w:val="99"/>
    <w:rPr>
      <w:rFonts w:ascii="Times New Roman" w:hAnsi="Times New Roman" w:eastAsia="宋体" w:cs="Times New Roman"/>
      <w:sz w:val="24"/>
      <w:szCs w:val="24"/>
    </w:rPr>
  </w:style>
  <w:style w:type="character" w:customStyle="1" w:styleId="47">
    <w:name w:val="纯文本 Char"/>
    <w:link w:val="15"/>
    <w:qFormat/>
    <w:locked/>
    <w:uiPriority w:val="99"/>
    <w:rPr>
      <w:rFonts w:ascii="宋体" w:hAnsi="Courier New" w:eastAsia="宋体" w:cs="Times New Roman"/>
      <w:sz w:val="21"/>
      <w:szCs w:val="21"/>
    </w:rPr>
  </w:style>
  <w:style w:type="character" w:customStyle="1" w:styleId="48">
    <w:name w:val="批注框文本 Char"/>
    <w:link w:val="19"/>
    <w:semiHidden/>
    <w:qFormat/>
    <w:locked/>
    <w:uiPriority w:val="99"/>
    <w:rPr>
      <w:rFonts w:ascii="Times New Roman" w:hAnsi="Times New Roman" w:eastAsia="宋体" w:cs="Times New Roman"/>
      <w:sz w:val="18"/>
      <w:szCs w:val="18"/>
    </w:rPr>
  </w:style>
  <w:style w:type="character" w:customStyle="1" w:styleId="49">
    <w:name w:val="页脚 Char"/>
    <w:basedOn w:val="34"/>
    <w:link w:val="20"/>
    <w:qFormat/>
    <w:locked/>
    <w:uiPriority w:val="99"/>
    <w:rPr>
      <w:rFonts w:cs="Times New Roman"/>
      <w:sz w:val="18"/>
      <w:szCs w:val="18"/>
    </w:rPr>
  </w:style>
  <w:style w:type="paragraph" w:customStyle="1" w:styleId="50">
    <w:name w:val="索引 51"/>
    <w:basedOn w:val="1"/>
    <w:next w:val="1"/>
    <w:qFormat/>
    <w:uiPriority w:val="0"/>
    <w:pPr>
      <w:ind w:left="1680"/>
    </w:pPr>
  </w:style>
  <w:style w:type="character" w:customStyle="1" w:styleId="51">
    <w:name w:val="页眉 Char"/>
    <w:link w:val="21"/>
    <w:qFormat/>
    <w:locked/>
    <w:uiPriority w:val="99"/>
    <w:rPr>
      <w:rFonts w:cs="Times New Roman"/>
      <w:sz w:val="18"/>
      <w:szCs w:val="18"/>
    </w:rPr>
  </w:style>
  <w:style w:type="character" w:customStyle="1" w:styleId="52">
    <w:name w:val="正文文本缩进 3 Char"/>
    <w:link w:val="25"/>
    <w:semiHidden/>
    <w:qFormat/>
    <w:locked/>
    <w:uiPriority w:val="99"/>
    <w:rPr>
      <w:rFonts w:ascii="Times New Roman" w:hAnsi="Times New Roman" w:eastAsia="宋体" w:cs="Times New Roman"/>
      <w:sz w:val="16"/>
      <w:szCs w:val="16"/>
    </w:rPr>
  </w:style>
  <w:style w:type="character" w:customStyle="1" w:styleId="53">
    <w:name w:val="批注主题 Char"/>
    <w:link w:val="30"/>
    <w:semiHidden/>
    <w:qFormat/>
    <w:locked/>
    <w:uiPriority w:val="99"/>
    <w:rPr>
      <w:b/>
      <w:bCs/>
    </w:rPr>
  </w:style>
  <w:style w:type="character" w:customStyle="1" w:styleId="54">
    <w:name w:val="标题2 Char"/>
    <w:link w:val="55"/>
    <w:qFormat/>
    <w:locked/>
    <w:uiPriority w:val="99"/>
    <w:rPr>
      <w:rFonts w:ascii="仿宋_GB2312" w:hAnsi="Arial" w:eastAsia="仿宋_GB2312"/>
      <w:b/>
      <w:sz w:val="32"/>
    </w:rPr>
  </w:style>
  <w:style w:type="paragraph" w:customStyle="1" w:styleId="55">
    <w:name w:val="标题2"/>
    <w:basedOn w:val="5"/>
    <w:link w:val="54"/>
    <w:qFormat/>
    <w:uiPriority w:val="99"/>
    <w:pPr>
      <w:ind w:firstLine="643" w:firstLineChars="200"/>
    </w:pPr>
    <w:rPr>
      <w:rFonts w:ascii="仿宋_GB2312"/>
      <w:bCs w:val="0"/>
      <w:kern w:val="0"/>
      <w:sz w:val="32"/>
      <w:szCs w:val="20"/>
    </w:rPr>
  </w:style>
  <w:style w:type="character" w:customStyle="1" w:styleId="56">
    <w:name w:val="headline-content5"/>
    <w:qFormat/>
    <w:uiPriority w:val="99"/>
  </w:style>
  <w:style w:type="character" w:customStyle="1" w:styleId="57">
    <w:name w:val="lemmatitleh11"/>
    <w:qFormat/>
    <w:uiPriority w:val="99"/>
  </w:style>
  <w:style w:type="character" w:customStyle="1" w:styleId="58">
    <w:name w:val="Body Text Char1"/>
    <w:semiHidden/>
    <w:qFormat/>
    <w:locked/>
    <w:uiPriority w:val="99"/>
    <w:rPr>
      <w:rFonts w:ascii="Times New Roman" w:hAnsi="Times New Roman" w:cs="Times New Roman"/>
      <w:sz w:val="24"/>
      <w:szCs w:val="24"/>
    </w:rPr>
  </w:style>
  <w:style w:type="character" w:customStyle="1" w:styleId="59">
    <w:name w:val="Body Text Indent 3 Char1"/>
    <w:semiHidden/>
    <w:qFormat/>
    <w:locked/>
    <w:uiPriority w:val="99"/>
    <w:rPr>
      <w:rFonts w:ascii="Times New Roman" w:hAnsi="Times New Roman" w:cs="Times New Roman"/>
      <w:sz w:val="16"/>
      <w:szCs w:val="16"/>
    </w:rPr>
  </w:style>
  <w:style w:type="character" w:customStyle="1" w:styleId="60">
    <w:name w:val="Comment Subject Char1"/>
    <w:semiHidden/>
    <w:qFormat/>
    <w:locked/>
    <w:uiPriority w:val="99"/>
    <w:rPr>
      <w:b/>
      <w:bCs/>
    </w:rPr>
  </w:style>
  <w:style w:type="character" w:customStyle="1" w:styleId="61">
    <w:name w:val="Balloon Text Char"/>
    <w:qFormat/>
    <w:locked/>
    <w:uiPriority w:val="99"/>
    <w:rPr>
      <w:rFonts w:cs="Times New Roman"/>
      <w:sz w:val="18"/>
    </w:rPr>
  </w:style>
  <w:style w:type="character" w:customStyle="1" w:styleId="62">
    <w:name w:val="Comment Subject Char"/>
    <w:qFormat/>
    <w:locked/>
    <w:uiPriority w:val="99"/>
    <w:rPr>
      <w:b/>
    </w:rPr>
  </w:style>
  <w:style w:type="character" w:customStyle="1" w:styleId="63">
    <w:name w:val="Body Text Indent 3 Char"/>
    <w:qFormat/>
    <w:locked/>
    <w:uiPriority w:val="99"/>
    <w:rPr>
      <w:rFonts w:cs="Times New Roman"/>
      <w:sz w:val="16"/>
    </w:rPr>
  </w:style>
  <w:style w:type="character" w:customStyle="1" w:styleId="64">
    <w:name w:val="Document Map Char"/>
    <w:qFormat/>
    <w:locked/>
    <w:uiPriority w:val="99"/>
    <w:rPr>
      <w:rFonts w:ascii="宋体" w:cs="Times New Roman"/>
      <w:sz w:val="18"/>
    </w:rPr>
  </w:style>
  <w:style w:type="character" w:customStyle="1" w:styleId="65">
    <w:name w:val="Subtle Emphasis1"/>
    <w:qFormat/>
    <w:uiPriority w:val="99"/>
    <w:rPr>
      <w:rFonts w:cs="Times New Roman"/>
      <w:i/>
      <w:color w:val="808080"/>
    </w:rPr>
  </w:style>
  <w:style w:type="character" w:customStyle="1" w:styleId="66">
    <w:name w:val="Balloon Text Char1"/>
    <w:semiHidden/>
    <w:qFormat/>
    <w:locked/>
    <w:uiPriority w:val="99"/>
    <w:rPr>
      <w:rFonts w:ascii="Times New Roman" w:hAnsi="Times New Roman" w:cs="Times New Roman"/>
      <w:sz w:val="2"/>
    </w:rPr>
  </w:style>
  <w:style w:type="character" w:customStyle="1" w:styleId="67">
    <w:name w:val="Body Text Char"/>
    <w:qFormat/>
    <w:locked/>
    <w:uiPriority w:val="99"/>
    <w:rPr>
      <w:rFonts w:cs="Times New Roman"/>
      <w:sz w:val="24"/>
    </w:rPr>
  </w:style>
  <w:style w:type="character" w:customStyle="1" w:styleId="68">
    <w:name w:val="Document Map Char1"/>
    <w:semiHidden/>
    <w:qFormat/>
    <w:locked/>
    <w:uiPriority w:val="99"/>
    <w:rPr>
      <w:rFonts w:ascii="Times New Roman" w:hAnsi="Times New Roman" w:cs="Times New Roman"/>
      <w:sz w:val="2"/>
    </w:rPr>
  </w:style>
  <w:style w:type="character" w:customStyle="1" w:styleId="69">
    <w:name w:val="Comment Text Char"/>
    <w:qFormat/>
    <w:locked/>
    <w:uiPriority w:val="99"/>
    <w:rPr>
      <w:rFonts w:cs="Times New Roman"/>
      <w:sz w:val="24"/>
    </w:rPr>
  </w:style>
  <w:style w:type="character" w:customStyle="1" w:styleId="70">
    <w:name w:val="title"/>
    <w:qFormat/>
    <w:uiPriority w:val="99"/>
  </w:style>
  <w:style w:type="character" w:customStyle="1" w:styleId="71">
    <w:name w:val="Comment Text Char1"/>
    <w:semiHidden/>
    <w:qFormat/>
    <w:locked/>
    <w:uiPriority w:val="99"/>
    <w:rPr>
      <w:rFonts w:ascii="Times New Roman" w:hAnsi="Times New Roman" w:cs="Times New Roman"/>
      <w:sz w:val="24"/>
      <w:szCs w:val="24"/>
    </w:rPr>
  </w:style>
  <w:style w:type="character" w:customStyle="1" w:styleId="72">
    <w:name w:val="标题3 Char"/>
    <w:link w:val="73"/>
    <w:qFormat/>
    <w:locked/>
    <w:uiPriority w:val="99"/>
    <w:rPr>
      <w:rFonts w:ascii="仿宋_GB2312" w:hAnsi="Times New Roman" w:eastAsia="仿宋_GB2312"/>
      <w:b/>
      <w:sz w:val="24"/>
    </w:rPr>
  </w:style>
  <w:style w:type="paragraph" w:customStyle="1" w:styleId="73">
    <w:name w:val="标题3"/>
    <w:basedOn w:val="1"/>
    <w:link w:val="72"/>
    <w:qFormat/>
    <w:uiPriority w:val="99"/>
    <w:pPr>
      <w:spacing w:line="360" w:lineRule="auto"/>
      <w:ind w:firstLine="482" w:firstLineChars="200"/>
    </w:pPr>
    <w:rPr>
      <w:rFonts w:ascii="仿宋_GB2312" w:eastAsia="仿宋_GB2312"/>
      <w:b/>
      <w:kern w:val="0"/>
      <w:sz w:val="24"/>
      <w:szCs w:val="20"/>
    </w:rPr>
  </w:style>
  <w:style w:type="character" w:customStyle="1" w:styleId="74">
    <w:name w:val="apple-converted-space"/>
    <w:qFormat/>
    <w:uiPriority w:val="99"/>
    <w:rPr>
      <w:rFonts w:cs="Times New Roman"/>
    </w:rPr>
  </w:style>
  <w:style w:type="paragraph" w:customStyle="1" w:styleId="75">
    <w:name w:val="Revision1"/>
    <w:semiHidden/>
    <w:qFormat/>
    <w:uiPriority w:val="99"/>
    <w:rPr>
      <w:rFonts w:ascii="Times New Roman" w:hAnsi="Times New Roman" w:eastAsia="宋体" w:cs="Times New Roman"/>
      <w:kern w:val="2"/>
      <w:sz w:val="21"/>
      <w:szCs w:val="24"/>
      <w:lang w:val="en-US" w:eastAsia="zh-CN" w:bidi="ar-SA"/>
    </w:rPr>
  </w:style>
  <w:style w:type="paragraph" w:customStyle="1" w:styleId="76">
    <w:name w:val="默认段落字体 Para Char Char Char Char Char Char Char Char Char Char"/>
    <w:basedOn w:val="1"/>
    <w:qFormat/>
    <w:uiPriority w:val="99"/>
    <w:rPr>
      <w:rFonts w:ascii="Arial" w:hAnsi="Arial" w:cs="Arial"/>
      <w:sz w:val="20"/>
      <w:szCs w:val="20"/>
    </w:rPr>
  </w:style>
  <w:style w:type="paragraph" w:customStyle="1" w:styleId="77">
    <w:name w:val="Char Char10"/>
    <w:basedOn w:val="1"/>
    <w:qFormat/>
    <w:uiPriority w:val="99"/>
    <w:pPr>
      <w:widowControl/>
      <w:spacing w:after="160" w:line="240" w:lineRule="exact"/>
      <w:jc w:val="left"/>
    </w:pPr>
    <w:rPr>
      <w:rFonts w:ascii="仿宋_GB2312" w:eastAsia="仿宋_GB2312"/>
      <w:sz w:val="28"/>
      <w:szCs w:val="20"/>
    </w:rPr>
  </w:style>
  <w:style w:type="paragraph" w:customStyle="1" w:styleId="78">
    <w:name w:val="p16"/>
    <w:qFormat/>
    <w:uiPriority w:val="99"/>
    <w:rPr>
      <w:rFonts w:ascii="宋体" w:hAnsi="宋体" w:eastAsia="宋体" w:cs="宋体"/>
      <w:sz w:val="24"/>
      <w:szCs w:val="24"/>
      <w:lang w:val="en-US" w:eastAsia="zh-CN" w:bidi="ar-SA"/>
    </w:rPr>
  </w:style>
  <w:style w:type="paragraph" w:customStyle="1" w:styleId="79">
    <w:name w:val="List Paragraph1"/>
    <w:basedOn w:val="1"/>
    <w:qFormat/>
    <w:uiPriority w:val="99"/>
    <w:pPr>
      <w:ind w:firstLine="420" w:firstLineChars="200"/>
    </w:pPr>
  </w:style>
  <w:style w:type="paragraph" w:customStyle="1" w:styleId="80">
    <w:name w:val="Char"/>
    <w:basedOn w:val="1"/>
    <w:qFormat/>
    <w:uiPriority w:val="99"/>
    <w:rPr>
      <w:szCs w:val="21"/>
    </w:rPr>
  </w:style>
  <w:style w:type="paragraph" w:customStyle="1" w:styleId="81">
    <w:name w:val="Default"/>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82">
    <w:name w:val="NormalCharacter"/>
    <w:semiHidden/>
    <w:qFormat/>
    <w:uiPriority w:val="0"/>
  </w:style>
  <w:style w:type="paragraph" w:customStyle="1" w:styleId="83">
    <w:name w:val="Char Char3"/>
    <w:basedOn w:val="1"/>
    <w:qFormat/>
    <w:uiPriority w:val="0"/>
    <w:pPr>
      <w:widowControl/>
      <w:spacing w:after="160" w:line="240" w:lineRule="exact"/>
      <w:jc w:val="left"/>
    </w:pPr>
  </w:style>
  <w:style w:type="character" w:customStyle="1" w:styleId="84">
    <w:name w:val="UserStyle_0"/>
    <w:qFormat/>
    <w:uiPriority w:val="0"/>
    <w:rPr>
      <w:rFonts w:ascii="Calibri" w:hAnsi="Calibri"/>
      <w:kern w:val="2"/>
      <w:sz w:val="2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29</Pages>
  <Words>14876</Words>
  <Characters>16163</Characters>
  <Lines>141</Lines>
  <Paragraphs>39</Paragraphs>
  <TotalTime>0</TotalTime>
  <ScaleCrop>false</ScaleCrop>
  <LinksUpToDate>false</LinksUpToDate>
  <CharactersWithSpaces>16191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2024-03-26T09:34:00Z</dcterms:created>
  <dc:creator>Sky123.Org</dc:creator>
  <cp:lastModifiedBy>曾合州</cp:lastModifiedBy>
  <cp:lastPrinted>2024-02-01T14:32:00Z</cp:lastPrinted>
  <dcterms:modified xsi:type="dcterms:W3CDTF">2025-06-05T03:06:29Z</dcterms:modified>
  <dc:title>重庆市城口县矿产资源</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CFB185927F644D948D2A5F527809D6B6_13</vt:lpwstr>
  </property>
  <property fmtid="{D5CDD505-2E9C-101B-9397-08002B2CF9AE}" pid="4" name="KSOSaveFontToCloudKey">
    <vt:lpwstr>250670773_embed</vt:lpwstr>
  </property>
  <property fmtid="{D5CDD505-2E9C-101B-9397-08002B2CF9AE}" pid="5" name="KSOTemplateDocerSaveRecord">
    <vt:lpwstr>eyJoZGlkIjoiNTcyMzYxM2I2YWU2ZWY2NjZiZjUxYTVjYTQ4MDMxNmMiLCJ1c2VySWQiOiIxNjkyMzYyODcyIn0=</vt:lpwstr>
  </property>
</Properties>
</file>