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snapToGrid w:val="0"/>
        <w:ind w:firstLine="0" w:firstLineChars="0"/>
        <w:jc w:val="center"/>
        <w:rPr>
          <w:rFonts w:ascii="Times New Roman" w:hAnsi="Times New Roman" w:eastAsia="方正小标宋_GBK"/>
          <w:sz w:val="44"/>
          <w:szCs w:val="44"/>
        </w:rPr>
      </w:pPr>
      <w:r>
        <w:rPr>
          <w:rFonts w:ascii="Times New Roman" w:hAnsi="Times New Roman" w:eastAsia="方正小标宋_GBK"/>
          <w:sz w:val="44"/>
          <w:szCs w:val="44"/>
        </w:rPr>
        <w:t>城口县人民政府</w:t>
      </w:r>
    </w:p>
    <w:p>
      <w:pPr>
        <w:snapToGrid w:val="0"/>
        <w:ind w:firstLine="0" w:firstLineChars="0"/>
        <w:jc w:val="center"/>
        <w:rPr>
          <w:rFonts w:ascii="Times New Roman" w:hAnsi="Times New Roman" w:eastAsia="方正小标宋_GBK"/>
          <w:kern w:val="0"/>
          <w:sz w:val="44"/>
          <w:szCs w:val="44"/>
        </w:rPr>
      </w:pPr>
      <w:bookmarkStart w:id="0" w:name="_GoBack"/>
      <w:r>
        <w:rPr>
          <w:rFonts w:ascii="Times New Roman" w:hAnsi="Times New Roman" w:eastAsia="方正小标宋_GBK"/>
          <w:kern w:val="0"/>
          <w:sz w:val="44"/>
          <w:szCs w:val="44"/>
        </w:rPr>
        <w:t>关于2020年废止第二批行政规范性文件的</w:t>
      </w:r>
    </w:p>
    <w:bookmarkEnd w:id="0"/>
    <w:p>
      <w:pPr>
        <w:snapToGrid w:val="0"/>
        <w:ind w:firstLine="0" w:firstLineChars="0"/>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决</w:t>
      </w:r>
      <w:r>
        <w:rPr>
          <w:rFonts w:hint="eastAsia" w:ascii="Times New Roman" w:hAnsi="Times New Roman" w:eastAsia="方正小标宋_GBK"/>
          <w:kern w:val="0"/>
          <w:sz w:val="44"/>
          <w:szCs w:val="44"/>
          <w:lang w:val="en-US" w:eastAsia="zh-CN"/>
        </w:rPr>
        <w:t xml:space="preserve"> </w:t>
      </w:r>
      <w:r>
        <w:rPr>
          <w:rFonts w:ascii="Times New Roman" w:hAnsi="Times New Roman" w:eastAsia="方正小标宋_GBK"/>
          <w:kern w:val="0"/>
          <w:sz w:val="44"/>
          <w:szCs w:val="44"/>
        </w:rPr>
        <w:t>定</w:t>
      </w:r>
    </w:p>
    <w:p>
      <w:pPr>
        <w:spacing w:line="500" w:lineRule="exact"/>
        <w:jc w:val="center"/>
        <w:rPr>
          <w:rFonts w:ascii="Times New Roman" w:hAnsi="Times New Roman" w:eastAsia="方正仿宋_GBK"/>
          <w:sz w:val="32"/>
          <w:szCs w:val="32"/>
        </w:rPr>
      </w:pPr>
      <w:r>
        <w:rPr>
          <w:rFonts w:ascii="Times New Roman" w:hAnsi="Times New Roman" w:eastAsia="方正仿宋_GBK"/>
          <w:sz w:val="32"/>
          <w:szCs w:val="32"/>
        </w:rPr>
        <w:t>城府发〔2020〕14号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lang w:eastAsia="zh-CN"/>
        </w:rPr>
      </w:pPr>
    </w:p>
    <w:p>
      <w:pPr>
        <w:pStyle w:val="7"/>
        <w:shd w:val="clear" w:color="auto" w:fill="FFFFFF"/>
        <w:adjustRightInd w:val="0"/>
        <w:snapToGrid w:val="0"/>
        <w:spacing w:before="0" w:beforeAutospacing="0" w:after="0" w:afterAutospacing="0"/>
        <w:ind w:firstLine="0" w:firstLineChars="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各乡镇人民政府、街道办事处，县政府各部门和有关单位：</w:t>
      </w:r>
    </w:p>
    <w:p>
      <w:pPr>
        <w:widowControl/>
        <w:adjustRightInd w:val="0"/>
        <w:snapToGrid w:val="0"/>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法律法规的贯彻实施，根据《重庆市行政规范性文件管理办法》的规定，按照重庆市关于清理规范性文件的工作要求，我县将持续开展行政规范性文件的清理工作，经县第十七届人民政府第105次常务会议审议同意，决定对</w:t>
      </w:r>
      <w:r>
        <w:rPr>
          <w:rFonts w:hint="eastAsia" w:ascii="方正仿宋_GBK" w:hAnsi="方正仿宋_GBK" w:eastAsia="方正仿宋_GBK" w:cs="方正仿宋_GBK"/>
          <w:sz w:val="32"/>
          <w:szCs w:val="32"/>
          <w:lang w:val="zh-CN"/>
        </w:rPr>
        <w:t>《城口县人民政府关于明确沿河至双河公路建筑控制区的通告》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城府告〔2017〕3号</w:t>
      </w:r>
      <w:r>
        <w:rPr>
          <w:rFonts w:hint="eastAsia" w:ascii="方正仿宋_GBK" w:hAnsi="方正仿宋_GBK" w:eastAsia="方正仿宋_GBK" w:cs="方正仿宋_GBK"/>
          <w:sz w:val="32"/>
          <w:szCs w:val="32"/>
        </w:rPr>
        <w:t>）等8件行政规范性文件予以废止，自本决定印发之日起不再施行。</w:t>
      </w:r>
    </w:p>
    <w:p>
      <w:pPr>
        <w:pStyle w:val="7"/>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p>
    <w:p>
      <w:pPr>
        <w:pStyle w:val="7"/>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附件：决定废止的行政规范性文件目录（共8件）</w:t>
      </w:r>
    </w:p>
    <w:p>
      <w:pPr>
        <w:pStyle w:val="7"/>
        <w:shd w:val="clear" w:color="auto" w:fill="FFFFFF"/>
        <w:adjustRightInd w:val="0"/>
        <w:snapToGrid w:val="0"/>
        <w:spacing w:before="0" w:beforeAutospacing="0" w:after="0" w:afterAutospacing="0"/>
        <w:ind w:firstLine="5404" w:firstLineChars="1689"/>
        <w:rPr>
          <w:rFonts w:hint="eastAsia" w:ascii="方正仿宋_GBK" w:hAnsi="方正仿宋_GBK" w:eastAsia="方正仿宋_GBK" w:cs="方正仿宋_GBK"/>
          <w:sz w:val="32"/>
          <w:szCs w:val="32"/>
        </w:rPr>
      </w:pPr>
    </w:p>
    <w:p>
      <w:pPr>
        <w:pStyle w:val="7"/>
        <w:shd w:val="clear" w:color="auto" w:fill="FFFFFF"/>
        <w:adjustRightInd w:val="0"/>
        <w:snapToGrid w:val="0"/>
        <w:spacing w:before="0" w:beforeAutospacing="0" w:after="0" w:afterAutospacing="0"/>
        <w:ind w:firstLine="5404" w:firstLineChars="1689"/>
        <w:rPr>
          <w:rFonts w:hint="eastAsia" w:ascii="方正仿宋_GBK" w:hAnsi="方正仿宋_GBK" w:eastAsia="方正仿宋_GBK" w:cs="方正仿宋_GBK"/>
          <w:sz w:val="32"/>
          <w:szCs w:val="32"/>
        </w:rPr>
      </w:pPr>
    </w:p>
    <w:p>
      <w:pPr>
        <w:pStyle w:val="7"/>
        <w:shd w:val="clear" w:color="auto" w:fill="FFFFFF"/>
        <w:wordWrap w:val="0"/>
        <w:adjustRightInd w:val="0"/>
        <w:snapToGrid w:val="0"/>
        <w:spacing w:before="0" w:beforeAutospacing="0" w:after="0" w:afterAutospacing="0"/>
        <w:jc w:val="right"/>
        <w:rPr>
          <w:rFonts w:hint="default"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rPr>
        <w:t>城口县人民政府</w:t>
      </w:r>
      <w:r>
        <w:rPr>
          <w:rFonts w:hint="eastAsia" w:ascii="方正仿宋_GBK" w:hAnsi="方正仿宋_GBK" w:eastAsia="方正仿宋_GBK" w:cs="方正仿宋_GBK"/>
          <w:spacing w:val="4"/>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jc w:val="right"/>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2020年10月27日</w:t>
      </w:r>
    </w:p>
    <w:p>
      <w:pPr>
        <w:pStyle w:val="2"/>
        <w:rPr>
          <w:rFonts w:hint="eastAsia" w:ascii="方正仿宋_GBK" w:hAnsi="方正仿宋_GBK" w:eastAsia="方正仿宋_GBK" w:cs="方正仿宋_GBK"/>
          <w:spacing w:val="4"/>
          <w:sz w:val="32"/>
          <w:szCs w:val="32"/>
        </w:rPr>
      </w:pPr>
    </w:p>
    <w:p>
      <w:pPr>
        <w:shd w:val="clear" w:color="auto" w:fill="FFFFFF"/>
        <w:adjustRightInd w:val="0"/>
        <w:snapToGrid w:val="0"/>
        <w:spacing w:before="0" w:beforeAutospacing="0" w:after="0" w:afterAutospacing="0" w:line="579" w:lineRule="exact"/>
        <w:ind w:firstLine="196" w:firstLineChars="60"/>
        <w:rPr>
          <w:rFonts w:ascii="Times New Roman" w:hAnsi="Times New Roman" w:eastAsia="方正黑体_GBK" w:cs="Times New Roman"/>
          <w:spacing w:val="4"/>
          <w:sz w:val="32"/>
          <w:szCs w:val="32"/>
          <w:lang w:val="en-US" w:eastAsia="zh-CN" w:bidi="ar-SA"/>
        </w:rPr>
      </w:pPr>
      <w:r>
        <w:rPr>
          <w:rFonts w:ascii="Times New Roman" w:hAnsi="Times New Roman" w:eastAsia="方正黑体_GBK" w:cs="Times New Roman"/>
          <w:spacing w:val="4"/>
          <w:sz w:val="32"/>
          <w:szCs w:val="32"/>
          <w:lang w:val="en-US" w:eastAsia="zh-CN" w:bidi="ar-SA"/>
        </w:rPr>
        <w:t>附件</w:t>
      </w:r>
    </w:p>
    <w:p>
      <w:pPr>
        <w:shd w:val="clear" w:color="auto" w:fill="FFFFFF"/>
        <w:adjustRightInd w:val="0"/>
        <w:snapToGrid w:val="0"/>
        <w:spacing w:before="0" w:beforeAutospacing="0" w:after="0" w:afterAutospacing="0" w:line="579" w:lineRule="exact"/>
        <w:ind w:firstLine="196" w:firstLineChars="60"/>
        <w:rPr>
          <w:rFonts w:ascii="Times New Roman" w:hAnsi="Times New Roman" w:eastAsia="方正黑体_GBK" w:cs="Times New Roman"/>
          <w:spacing w:val="4"/>
          <w:sz w:val="32"/>
          <w:szCs w:val="32"/>
          <w:lang w:val="en-US" w:eastAsia="zh-CN" w:bidi="ar-SA"/>
        </w:rPr>
      </w:pPr>
    </w:p>
    <w:p>
      <w:pPr>
        <w:shd w:val="clear" w:color="auto" w:fill="FFFFFF"/>
        <w:adjustRightInd w:val="0"/>
        <w:snapToGrid w:val="0"/>
        <w:spacing w:before="0" w:beforeAutospacing="0" w:after="0" w:afterAutospacing="0" w:line="579" w:lineRule="exact"/>
        <w:ind w:firstLine="264" w:firstLineChars="60"/>
        <w:rPr>
          <w:rStyle w:val="12"/>
          <w:rFonts w:ascii="Times New Roman" w:hAnsi="Times New Roman" w:eastAsia="方正小标宋_GBK" w:cs="Times New Roman"/>
          <w:sz w:val="44"/>
          <w:szCs w:val="44"/>
          <w:lang w:val="en-US" w:eastAsia="zh-CN" w:bidi="ar-SA"/>
        </w:rPr>
      </w:pPr>
      <w:r>
        <w:rPr>
          <w:rStyle w:val="12"/>
          <w:rFonts w:ascii="Times New Roman" w:hAnsi="Times New Roman" w:eastAsia="方正小标宋_GBK" w:cs="Times New Roman"/>
          <w:sz w:val="44"/>
          <w:szCs w:val="44"/>
          <w:lang w:val="en-US" w:eastAsia="zh-CN" w:bidi="ar-SA"/>
        </w:rPr>
        <w:t>决定废止的行政规范性文件目录（共</w:t>
      </w:r>
      <w:r>
        <w:rPr>
          <w:rStyle w:val="13"/>
          <w:rFonts w:ascii="Times New Roman" w:hAnsi="Times New Roman" w:eastAsia="方正小标宋_GBK" w:cs="Times New Roman"/>
          <w:sz w:val="44"/>
          <w:szCs w:val="44"/>
          <w:lang w:val="en-US" w:eastAsia="zh-CN" w:bidi="ar-SA"/>
        </w:rPr>
        <w:t>8</w:t>
      </w:r>
      <w:r>
        <w:rPr>
          <w:rStyle w:val="12"/>
          <w:rFonts w:ascii="Times New Roman" w:hAnsi="Times New Roman" w:eastAsia="方正小标宋_GBK" w:cs="Times New Roman"/>
          <w:sz w:val="44"/>
          <w:szCs w:val="44"/>
          <w:lang w:val="en-US" w:eastAsia="zh-CN" w:bidi="ar-SA"/>
        </w:rPr>
        <w:t>件）</w:t>
      </w:r>
    </w:p>
    <w:tbl>
      <w:tblPr>
        <w:tblStyle w:val="8"/>
        <w:tblpPr w:leftFromText="180" w:rightFromText="180" w:vertAnchor="text" w:horzAnchor="page" w:tblpX="1955" w:tblpY="1076"/>
        <w:tblOverlap w:val="never"/>
        <w:tblW w:w="8385" w:type="dxa"/>
        <w:tblInd w:w="0" w:type="dxa"/>
        <w:tblLayout w:type="fixed"/>
        <w:tblCellMar>
          <w:top w:w="0" w:type="dxa"/>
          <w:left w:w="108" w:type="dxa"/>
          <w:bottom w:w="0" w:type="dxa"/>
          <w:right w:w="108" w:type="dxa"/>
        </w:tblCellMar>
      </w:tblPr>
      <w:tblGrid>
        <w:gridCol w:w="817"/>
        <w:gridCol w:w="4688"/>
        <w:gridCol w:w="2880"/>
      </w:tblGrid>
      <w:tr>
        <w:tblPrEx>
          <w:tblCellMar>
            <w:top w:w="0" w:type="dxa"/>
            <w:left w:w="108" w:type="dxa"/>
            <w:bottom w:w="0" w:type="dxa"/>
            <w:right w:w="108" w:type="dxa"/>
          </w:tblCellMar>
        </w:tblPrEx>
        <w:trPr>
          <w:cantSplit/>
          <w:trHeight w:val="351" w:hRule="atLeast"/>
        </w:trPr>
        <w:tc>
          <w:tcPr>
            <w:tcW w:w="8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579" w:lineRule="exact"/>
              <w:ind w:firstLine="0" w:firstLineChars="0"/>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序号</w:t>
            </w:r>
          </w:p>
        </w:tc>
        <w:tc>
          <w:tcPr>
            <w:tcW w:w="468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579" w:lineRule="exact"/>
              <w:ind w:firstLine="0" w:firstLineChars="0"/>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文件标题</w:t>
            </w:r>
          </w:p>
        </w:tc>
        <w:tc>
          <w:tcPr>
            <w:tcW w:w="28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579" w:lineRule="exact"/>
              <w:ind w:firstLine="0" w:firstLineChars="0"/>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文件文号</w:t>
            </w:r>
          </w:p>
        </w:tc>
      </w:tr>
      <w:tr>
        <w:tblPrEx>
          <w:tblCellMar>
            <w:top w:w="0" w:type="dxa"/>
            <w:left w:w="108" w:type="dxa"/>
            <w:bottom w:w="0" w:type="dxa"/>
            <w:right w:w="108" w:type="dxa"/>
          </w:tblCellMar>
        </w:tblPrEx>
        <w:trPr>
          <w:cantSplit/>
          <w:trHeight w:val="85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1</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lang w:val="zh-CN" w:bidi="zh-CN"/>
              </w:rPr>
              <w:t>《城口县人民政府关于明确沿河至双河公路建筑控制区的通告》</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lang w:val="zh-CN" w:bidi="zh-CN"/>
              </w:rPr>
              <w:t>城府告〔2017〕3 号</w:t>
            </w:r>
          </w:p>
        </w:tc>
      </w:tr>
      <w:tr>
        <w:tblPrEx>
          <w:tblCellMar>
            <w:top w:w="0" w:type="dxa"/>
            <w:left w:w="108" w:type="dxa"/>
            <w:bottom w:w="0" w:type="dxa"/>
            <w:right w:w="108" w:type="dxa"/>
          </w:tblCellMar>
        </w:tblPrEx>
        <w:trPr>
          <w:cantSplit/>
          <w:trHeight w:val="86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2</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lang w:val="zh-CN" w:bidi="zh-CN"/>
              </w:rPr>
              <w:t>《城口县人民政府关于明确周溪至双河公路建筑控制区的通告》</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lang w:val="zh-CN" w:bidi="zh-CN"/>
              </w:rPr>
              <w:t>城府告〔2017〕4 号</w:t>
            </w:r>
          </w:p>
        </w:tc>
      </w:tr>
      <w:tr>
        <w:tblPrEx>
          <w:tblCellMar>
            <w:top w:w="0" w:type="dxa"/>
            <w:left w:w="108" w:type="dxa"/>
            <w:bottom w:w="0" w:type="dxa"/>
            <w:right w:w="108" w:type="dxa"/>
          </w:tblCellMar>
        </w:tblPrEx>
        <w:trPr>
          <w:cantSplit/>
          <w:trHeight w:val="606"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3</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《城口县人民政府办公室关于印发城口县国有建设用地使用权和采矿权招标拍卖挂牌出让实施细则的通知》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城府办发﹝2013﹞189号</w:t>
            </w:r>
          </w:p>
        </w:tc>
      </w:tr>
      <w:tr>
        <w:tblPrEx>
          <w:tblCellMar>
            <w:top w:w="0" w:type="dxa"/>
            <w:left w:w="108" w:type="dxa"/>
            <w:bottom w:w="0" w:type="dxa"/>
            <w:right w:w="108" w:type="dxa"/>
          </w:tblCellMar>
        </w:tblPrEx>
        <w:trPr>
          <w:cantSplit/>
          <w:trHeight w:val="57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4</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《城口县人民政府办公室关于印发城口县加大转移就业推动脱贫攻坚十二条措施的通知》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城府办发〔2017〕214号</w:t>
            </w:r>
          </w:p>
        </w:tc>
      </w:tr>
      <w:tr>
        <w:tblPrEx>
          <w:tblCellMar>
            <w:top w:w="0" w:type="dxa"/>
            <w:left w:w="108" w:type="dxa"/>
            <w:bottom w:w="0" w:type="dxa"/>
            <w:right w:w="108" w:type="dxa"/>
          </w:tblCellMar>
        </w:tblPrEx>
        <w:trPr>
          <w:cantSplit/>
          <w:trHeight w:val="918"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5</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《城口县人民政府办公室关于进一步加强敬老院管理工作的通知》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城府办发〔2012〕363号</w:t>
            </w:r>
          </w:p>
        </w:tc>
      </w:tr>
      <w:tr>
        <w:tblPrEx>
          <w:tblCellMar>
            <w:top w:w="0" w:type="dxa"/>
            <w:left w:w="108" w:type="dxa"/>
            <w:bottom w:w="0" w:type="dxa"/>
            <w:right w:w="108" w:type="dxa"/>
          </w:tblCellMar>
        </w:tblPrEx>
        <w:trPr>
          <w:cantSplit/>
          <w:trHeight w:val="98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6</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《城口县人民政府关于落实城口县地方金融监管职责和风险处置责任的实施意见》</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城府发〔2016〕18号</w:t>
            </w:r>
          </w:p>
        </w:tc>
      </w:tr>
      <w:tr>
        <w:tblPrEx>
          <w:tblCellMar>
            <w:top w:w="0" w:type="dxa"/>
            <w:left w:w="108" w:type="dxa"/>
            <w:bottom w:w="0" w:type="dxa"/>
            <w:right w:w="108" w:type="dxa"/>
          </w:tblCellMar>
        </w:tblPrEx>
        <w:trPr>
          <w:cantSplit/>
          <w:trHeight w:val="99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7</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《城口县人民政府办公室关于印发城口县政府投资建设项目稽察办法的通知》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城府办发〔2012〕299号</w:t>
            </w:r>
          </w:p>
        </w:tc>
      </w:tr>
      <w:tr>
        <w:tblPrEx>
          <w:tblCellMar>
            <w:top w:w="0" w:type="dxa"/>
            <w:left w:w="108" w:type="dxa"/>
            <w:bottom w:w="0" w:type="dxa"/>
            <w:right w:w="108" w:type="dxa"/>
          </w:tblCellMar>
        </w:tblPrEx>
        <w:trPr>
          <w:cantSplit/>
          <w:trHeight w:val="56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8</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《城口县人民政府办公室关于印发城口县政府投资建设项目稽察人员管理办法的通知》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uto"/>
              <w:ind w:firstLine="0" w:firstLineChars="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城府办发〔2012〕300号</w:t>
            </w:r>
          </w:p>
        </w:tc>
      </w:tr>
    </w:tbl>
    <w:p>
      <w:pPr>
        <w:pStyle w:val="2"/>
        <w:spacing w:after="0"/>
        <w:rPr>
          <w:rFonts w:hint="eastAsia" w:ascii="方正仿宋_GBK" w:hAnsi="方正仿宋_GBK" w:eastAsia="方正仿宋_GBK" w:cs="方正仿宋_GBK"/>
          <w:spacing w:val="4"/>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C48643B"/>
    <w:rsid w:val="0F702710"/>
    <w:rsid w:val="15B17B2F"/>
    <w:rsid w:val="16873CDF"/>
    <w:rsid w:val="2196617B"/>
    <w:rsid w:val="31986A4D"/>
    <w:rsid w:val="3AD42F57"/>
    <w:rsid w:val="495A381D"/>
    <w:rsid w:val="4DF5541E"/>
    <w:rsid w:val="50983FCB"/>
    <w:rsid w:val="51F80501"/>
    <w:rsid w:val="5386126D"/>
    <w:rsid w:val="6AE14DD0"/>
    <w:rsid w:val="6B835DA5"/>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Plain Text"/>
    <w:basedOn w:val="1"/>
    <w:uiPriority w:val="0"/>
    <w:rPr>
      <w:rFonts w:ascii="宋体" w:hAnsi="Courier New" w:cs="Courier New"/>
      <w:szCs w:val="21"/>
    </w:rPr>
  </w:style>
  <w:style w:type="paragraph" w:styleId="5">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0">
    <w:name w:val="Strong"/>
    <w:basedOn w:val="9"/>
    <w:qFormat/>
    <w:uiPriority w:val="22"/>
    <w:rPr>
      <w:b/>
      <w:bCs/>
    </w:rPr>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character" w:customStyle="1" w:styleId="12">
    <w:name w:val="fontstyle01"/>
    <w:qFormat/>
    <w:uiPriority w:val="0"/>
    <w:rPr>
      <w:rFonts w:ascii="仿宋_GB2312" w:eastAsia="仿宋_GB2312"/>
      <w:color w:val="000000"/>
      <w:sz w:val="32"/>
    </w:rPr>
  </w:style>
  <w:style w:type="character" w:customStyle="1" w:styleId="13">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661</Words>
  <Characters>691</Characters>
  <Lines>0</Lines>
  <Paragraphs>0</Paragraphs>
  <TotalTime>2</TotalTime>
  <ScaleCrop>false</ScaleCrop>
  <LinksUpToDate>false</LinksUpToDate>
  <CharactersWithSpaces>748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2022-06-09T07:53:58Z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F8B923C23F8E471DBF9C9D5B5FD82163</vt:lpwstr>
  </property>
</Properties>
</file>