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华文中宋" w:eastAsia="方正小标宋简体"/>
          <w:color w:val="FF6600"/>
          <w:spacing w:val="-20"/>
          <w:w w:val="70"/>
          <w:sz w:val="110"/>
          <w:szCs w:val="110"/>
        </w:rPr>
      </w:pPr>
    </w:p>
    <w:p>
      <w:pPr>
        <w:spacing w:line="560" w:lineRule="exact"/>
        <w:jc w:val="center"/>
        <w:rPr>
          <w:rFonts w:hint="eastAsia" w:ascii="方正小标宋简体" w:hAnsi="华文中宋" w:eastAsia="方正小标宋简体"/>
          <w:color w:val="FF6600"/>
          <w:spacing w:val="-20"/>
          <w:w w:val="70"/>
          <w:sz w:val="110"/>
          <w:szCs w:val="110"/>
        </w:rPr>
      </w:pPr>
    </w:p>
    <w:p>
      <w:pPr>
        <w:spacing w:line="560" w:lineRule="exact"/>
        <w:jc w:val="center"/>
        <w:rPr>
          <w:rFonts w:hint="eastAsia" w:ascii="方正小标宋简体" w:hAnsi="华文中宋" w:eastAsia="方正小标宋简体"/>
          <w:color w:val="FF6600"/>
          <w:spacing w:val="-20"/>
          <w:w w:val="70"/>
          <w:sz w:val="110"/>
          <w:szCs w:val="110"/>
        </w:rPr>
      </w:pPr>
    </w:p>
    <w:p>
      <w:pPr>
        <w:spacing w:line="560" w:lineRule="exact"/>
        <w:jc w:val="right"/>
        <w:rPr>
          <w:rFonts w:hint="eastAsia" w:ascii="仿宋_GB2312" w:eastAsia="仿宋_GB2312"/>
          <w:sz w:val="32"/>
        </w:rPr>
      </w:pPr>
    </w:p>
    <w:p>
      <w:pPr>
        <w:spacing w:line="560" w:lineRule="exact"/>
        <w:jc w:val="right"/>
        <w:rPr>
          <w:rFonts w:hint="eastAsia" w:ascii="仿宋_GB2312" w:eastAsia="仿宋_GB2312"/>
          <w:sz w:val="32"/>
        </w:rPr>
      </w:pPr>
    </w:p>
    <w:p>
      <w:pPr>
        <w:spacing w:line="560" w:lineRule="exact"/>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城府办发</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2022</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168</w:t>
      </w:r>
      <w:r>
        <w:rPr>
          <w:rFonts w:hint="default" w:ascii="Times New Roman" w:hAnsi="Times New Roman" w:eastAsia="方正仿宋_GBK" w:cs="Times New Roman"/>
          <w:sz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eastAsia="方正仿宋_GBK"/>
          <w:sz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仿宋_GBK" w:eastAsia="方正仿宋_GBK"/>
          <w:spacing w:val="3"/>
          <w:sz w:val="32"/>
          <w:szCs w:val="32"/>
          <w:lang w:eastAsia="zh-CN"/>
        </w:rPr>
      </w:pPr>
      <w:r>
        <w:rPr>
          <w:spacing w:val="3"/>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lang w:eastAsia="zh-CN"/>
        </w:rPr>
      </w:pPr>
      <w:bookmarkStart w:id="0" w:name="zw"/>
      <w:bookmarkEnd w:id="0"/>
      <w:bookmarkStart w:id="1" w:name="quanwen"/>
      <w:r>
        <w:rPr>
          <w:rFonts w:hint="eastAsia" w:ascii="方正小标宋_GBK" w:hAnsi="方正小标宋_GBK" w:eastAsia="方正小标宋_GBK" w:cs="方正小标宋_GBK"/>
          <w:sz w:val="44"/>
          <w:szCs w:val="44"/>
          <w:lang w:eastAsia="zh-CN"/>
        </w:rPr>
        <w:t>城口县人民政府办公室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sz w:val="44"/>
          <w:szCs w:val="44"/>
          <w:lang w:eastAsia="zh-CN"/>
        </w:rPr>
      </w:pPr>
      <w:r>
        <w:rPr>
          <w:rFonts w:hint="eastAsia" w:ascii="方正小标宋_GBK" w:hAnsi="方正小标宋_GBK" w:eastAsia="方正小标宋_GBK" w:cs="方正小标宋_GBK"/>
          <w:b w:val="0"/>
          <w:bCs/>
          <w:sz w:val="44"/>
          <w:szCs w:val="44"/>
          <w:lang w:eastAsia="zh-CN"/>
        </w:rPr>
        <w:t>关于印发《</w:t>
      </w:r>
      <w:r>
        <w:rPr>
          <w:rFonts w:hint="default" w:ascii="Times New Roman" w:hAnsi="Times New Roman" w:eastAsia="方正小标宋_GBK" w:cs="Times New Roman"/>
          <w:bCs/>
          <w:sz w:val="44"/>
          <w:szCs w:val="44"/>
        </w:rPr>
        <w:t>城口县</w:t>
      </w:r>
      <w:r>
        <w:rPr>
          <w:rFonts w:hint="eastAsia" w:ascii="Times New Roman" w:hAnsi="Times New Roman" w:eastAsia="方正小标宋_GBK" w:cs="Times New Roman"/>
          <w:bCs/>
          <w:sz w:val="44"/>
          <w:szCs w:val="44"/>
          <w:lang w:eastAsia="zh-CN"/>
        </w:rPr>
        <w:t>“</w:t>
      </w:r>
      <w:r>
        <w:rPr>
          <w:rFonts w:hint="default" w:ascii="Times New Roman" w:hAnsi="Times New Roman" w:eastAsia="方正小标宋_GBK" w:cs="Times New Roman"/>
          <w:bCs/>
          <w:sz w:val="44"/>
          <w:szCs w:val="44"/>
        </w:rPr>
        <w:t>十四五</w:t>
      </w:r>
      <w:r>
        <w:rPr>
          <w:rFonts w:hint="eastAsia" w:ascii="Times New Roman" w:hAnsi="Times New Roman" w:eastAsia="方正小标宋_GBK" w:cs="Times New Roman"/>
          <w:bCs/>
          <w:sz w:val="44"/>
          <w:szCs w:val="44"/>
          <w:lang w:eastAsia="zh-CN"/>
        </w:rPr>
        <w:t>”土壤（地下水、农业农村）污染防治规划</w:t>
      </w:r>
      <w:bookmarkStart w:id="58" w:name="_GoBack"/>
      <w:r>
        <w:rPr>
          <w:rFonts w:hint="default" w:ascii="Times New Roman" w:hAnsi="Times New Roman" w:eastAsia="方正小标宋_GBK" w:cs="Times New Roman"/>
          <w:bCs/>
          <w:spacing w:val="0"/>
          <w:kern w:val="2"/>
          <w:sz w:val="44"/>
          <w:szCs w:val="44"/>
        </w:rPr>
        <w:t>（2021-2025）</w:t>
      </w:r>
      <w:r>
        <w:rPr>
          <w:rFonts w:hint="default" w:ascii="Times New Roman" w:hAnsi="Times New Roman" w:eastAsia="方正小标宋_GBK" w:cs="Times New Roman"/>
          <w:b w:val="0"/>
          <w:bCs/>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_GBK" w:cs="Times New Roman"/>
          <w:b w:val="0"/>
          <w:bCs/>
          <w:sz w:val="44"/>
          <w:szCs w:val="44"/>
          <w:lang w:eastAsia="zh-CN"/>
        </w:rPr>
      </w:pPr>
      <w:r>
        <w:rPr>
          <w:rFonts w:hint="default" w:ascii="Times New Roman" w:hAnsi="Times New Roman" w:eastAsia="方正小标宋_GBK" w:cs="Times New Roman"/>
          <w:b w:val="0"/>
          <w:bCs/>
          <w:sz w:val="44"/>
          <w:szCs w:val="44"/>
          <w:lang w:eastAsia="zh-CN"/>
        </w:rPr>
        <w:t>通知</w:t>
      </w:r>
    </w:p>
    <w:bookmarkEnd w:id="58"/>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各乡镇人民政府、街道办事处，县级各部门，有关单位：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lang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城口县“十四五”土壤（地下水、农业农村）污染防治规划</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2021-2025</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城口县人民政府办公室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 xml:space="preserve">                      2022</w:t>
      </w:r>
      <w:r>
        <w:rPr>
          <w:rFonts w:hint="default" w:ascii="Times New Roman" w:hAnsi="Times New Roman" w:eastAsia="方正仿宋_GBK" w:cs="Times New Roman"/>
          <w:b w:val="0"/>
          <w:bCs/>
          <w:sz w:val="32"/>
          <w:szCs w:val="32"/>
          <w:lang w:val="en-US" w:eastAsia="zh-CN"/>
        </w:rPr>
        <w:t>年</w:t>
      </w:r>
      <w:r>
        <w:rPr>
          <w:rFonts w:hint="eastAsia" w:ascii="Times New Roman" w:hAnsi="Times New Roman" w:eastAsia="方正仿宋_GBK" w:cs="Times New Roman"/>
          <w:b w:val="0"/>
          <w:bCs/>
          <w:sz w:val="32"/>
          <w:szCs w:val="32"/>
          <w:lang w:val="en-US" w:eastAsia="zh-CN"/>
        </w:rPr>
        <w:t>12</w:t>
      </w:r>
      <w:r>
        <w:rPr>
          <w:rFonts w:hint="default" w:ascii="Times New Roman" w:hAnsi="Times New Roman" w:eastAsia="方正仿宋_GBK" w:cs="Times New Roman"/>
          <w:b w:val="0"/>
          <w:bCs/>
          <w:sz w:val="32"/>
          <w:szCs w:val="32"/>
          <w:lang w:val="en-US" w:eastAsia="zh-CN"/>
        </w:rPr>
        <w:t>月</w:t>
      </w:r>
      <w:r>
        <w:rPr>
          <w:rFonts w:hint="eastAsia" w:ascii="Times New Roman" w:hAnsi="Times New Roman" w:eastAsia="方正仿宋_GBK" w:cs="Times New Roman"/>
          <w:b w:val="0"/>
          <w:bCs/>
          <w:sz w:val="32"/>
          <w:szCs w:val="32"/>
          <w:lang w:val="en-US" w:eastAsia="zh-CN"/>
        </w:rPr>
        <w:t>29</w:t>
      </w:r>
      <w:r>
        <w:rPr>
          <w:rFonts w:hint="default" w:ascii="Times New Roman" w:hAnsi="Times New Roman" w:eastAsia="方正仿宋_GBK" w:cs="Times New Roman"/>
          <w:b w:val="0"/>
          <w:bCs/>
          <w:sz w:val="32"/>
          <w:szCs w:val="32"/>
          <w:lang w:val="en-US" w:eastAsia="zh-CN"/>
        </w:rPr>
        <w:t>日</w:t>
      </w:r>
    </w:p>
    <w:bookmarkEnd w:id="1"/>
    <w:p>
      <w:pPr>
        <w:adjustRightInd/>
        <w:snapToGrid/>
        <w:ind w:left="0" w:leftChars="0" w:firstLine="0" w:firstLineChars="0"/>
        <w:rPr>
          <w:rFonts w:cs="Times New Roman"/>
          <w:sz w:val="28"/>
          <w:szCs w:val="24"/>
          <w:highlight w:val="none"/>
        </w:rPr>
      </w:pPr>
    </w:p>
    <w:p>
      <w:pPr>
        <w:pStyle w:val="2"/>
      </w:pPr>
    </w:p>
    <w:p>
      <w:pPr>
        <w:adjustRightInd/>
        <w:snapToGrid/>
        <w:ind w:firstLine="0" w:firstLineChars="0"/>
        <w:jc w:val="center"/>
        <w:rPr>
          <w:rFonts w:eastAsia="方正小标宋_GBK" w:cs="Times New Roman"/>
          <w:sz w:val="44"/>
          <w:szCs w:val="44"/>
          <w:highlight w:val="none"/>
        </w:rPr>
      </w:pPr>
      <w:bookmarkStart w:id="2" w:name="_Toc507189640"/>
      <w:bookmarkStart w:id="3" w:name="_Toc505807845"/>
      <w:bookmarkStart w:id="4" w:name="_Toc503800340"/>
      <w:bookmarkStart w:id="5" w:name="_Toc503799232"/>
      <w:bookmarkStart w:id="6" w:name="_Toc507186912"/>
      <w:r>
        <w:rPr>
          <w:rFonts w:eastAsia="方正小标宋_GBK" w:cs="Times New Roman"/>
          <w:sz w:val="44"/>
          <w:szCs w:val="44"/>
          <w:highlight w:val="none"/>
        </w:rPr>
        <w:t>城口县</w:t>
      </w:r>
      <w:r>
        <w:rPr>
          <w:rFonts w:hint="eastAsia" w:eastAsia="方正小标宋_GBK" w:cs="Times New Roman"/>
          <w:sz w:val="44"/>
          <w:szCs w:val="44"/>
          <w:highlight w:val="none"/>
        </w:rPr>
        <w:t>“</w:t>
      </w:r>
      <w:r>
        <w:rPr>
          <w:rFonts w:eastAsia="方正小标宋_GBK" w:cs="Times New Roman"/>
          <w:sz w:val="44"/>
          <w:szCs w:val="44"/>
          <w:highlight w:val="none"/>
        </w:rPr>
        <w:t>十四五</w:t>
      </w:r>
      <w:r>
        <w:rPr>
          <w:rFonts w:hint="eastAsia" w:eastAsia="方正小标宋_GBK" w:cs="Times New Roman"/>
          <w:sz w:val="44"/>
          <w:szCs w:val="44"/>
          <w:highlight w:val="none"/>
        </w:rPr>
        <w:t>”</w:t>
      </w:r>
      <w:r>
        <w:rPr>
          <w:rFonts w:eastAsia="方正小标宋_GBK" w:cs="Times New Roman"/>
          <w:sz w:val="44"/>
          <w:szCs w:val="44"/>
          <w:highlight w:val="none"/>
        </w:rPr>
        <w:t>土壤（地下水、农业农村）污染防治规划</w:t>
      </w:r>
      <w:bookmarkEnd w:id="2"/>
      <w:bookmarkEnd w:id="3"/>
      <w:bookmarkEnd w:id="4"/>
      <w:bookmarkEnd w:id="5"/>
      <w:bookmarkEnd w:id="6"/>
      <w:r>
        <w:rPr>
          <w:rFonts w:hint="eastAsia" w:eastAsia="方正小标宋_GBK" w:cs="Times New Roman"/>
          <w:sz w:val="44"/>
          <w:szCs w:val="44"/>
          <w:highlight w:val="none"/>
        </w:rPr>
        <w:t>（2021—2025）</w:t>
      </w:r>
    </w:p>
    <w:p>
      <w:pPr>
        <w:adjustRightInd/>
        <w:snapToGrid/>
        <w:ind w:firstLine="560"/>
        <w:rPr>
          <w:rFonts w:cs="Times New Roman"/>
          <w:sz w:val="28"/>
          <w:szCs w:val="24"/>
          <w:highlight w:val="none"/>
        </w:rPr>
      </w:pPr>
    </w:p>
    <w:p>
      <w:pPr>
        <w:adjustRightInd/>
        <w:snapToGrid/>
        <w:ind w:firstLine="0" w:firstLineChars="0"/>
        <w:jc w:val="center"/>
        <w:rPr>
          <w:rFonts w:cs="Times New Roman"/>
          <w:sz w:val="28"/>
          <w:szCs w:val="32"/>
          <w:highlight w:val="none"/>
        </w:rPr>
      </w:pPr>
    </w:p>
    <w:p>
      <w:pPr>
        <w:adjustRightInd/>
        <w:snapToGrid/>
        <w:ind w:firstLine="560"/>
        <w:rPr>
          <w:rFonts w:cs="Times New Roman"/>
          <w:sz w:val="28"/>
          <w:szCs w:val="24"/>
          <w:highlight w:val="none"/>
        </w:rPr>
      </w:pPr>
    </w:p>
    <w:p>
      <w:pPr>
        <w:adjustRightInd/>
        <w:snapToGrid/>
        <w:ind w:firstLine="560"/>
        <w:rPr>
          <w:rFonts w:cs="Times New Roman"/>
          <w:sz w:val="28"/>
          <w:szCs w:val="24"/>
          <w:highlight w:val="none"/>
        </w:rPr>
      </w:pPr>
    </w:p>
    <w:p>
      <w:pPr>
        <w:adjustRightInd/>
        <w:snapToGrid/>
        <w:ind w:firstLine="560"/>
        <w:rPr>
          <w:rFonts w:cs="Times New Roman"/>
          <w:sz w:val="28"/>
          <w:szCs w:val="24"/>
          <w:highlight w:val="none"/>
        </w:rPr>
      </w:pPr>
    </w:p>
    <w:p>
      <w:pPr>
        <w:adjustRightInd/>
        <w:snapToGrid/>
        <w:ind w:firstLine="560"/>
        <w:rPr>
          <w:rFonts w:cs="Times New Roman"/>
          <w:sz w:val="28"/>
          <w:szCs w:val="24"/>
          <w:highlight w:val="none"/>
        </w:rPr>
      </w:pPr>
    </w:p>
    <w:p>
      <w:pPr>
        <w:pStyle w:val="4"/>
        <w:ind w:left="0" w:leftChars="0" w:firstLine="0" w:firstLineChars="0"/>
        <w:rPr>
          <w:highlight w:val="none"/>
        </w:rPr>
      </w:pPr>
    </w:p>
    <w:p>
      <w:pPr>
        <w:pStyle w:val="9"/>
        <w:ind w:left="0" w:leftChars="0" w:firstLine="0" w:firstLineChars="0"/>
        <w:rPr>
          <w:highlight w:val="none"/>
        </w:rPr>
      </w:pPr>
    </w:p>
    <w:p>
      <w:pPr>
        <w:keepNext/>
        <w:keepLines/>
        <w:widowControl/>
        <w:adjustRightInd/>
        <w:snapToGrid/>
        <w:spacing w:beforeLines="50" w:afterLines="50" w:line="276" w:lineRule="auto"/>
        <w:ind w:firstLine="0" w:firstLineChars="0"/>
        <w:jc w:val="both"/>
        <w:rPr>
          <w:rFonts w:eastAsia="方正黑体_GBK" w:cs="Times New Roman"/>
          <w:szCs w:val="36"/>
          <w:highlight w:val="none"/>
        </w:rPr>
      </w:pPr>
    </w:p>
    <w:p>
      <w:pPr>
        <w:pStyle w:val="9"/>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pStyle w:val="2"/>
        <w:rPr>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p>
      <w:pPr>
        <w:spacing w:line="240" w:lineRule="auto"/>
        <w:ind w:firstLine="0" w:firstLineChars="0"/>
        <w:jc w:val="both"/>
        <w:rPr>
          <w:rFonts w:cs="Times New Roman"/>
          <w:sz w:val="28"/>
          <w:szCs w:val="24"/>
          <w:highlight w:val="none"/>
          <w:lang w:val="zh-CN"/>
        </w:rPr>
      </w:pPr>
    </w:p>
    <w:p>
      <w:pPr>
        <w:spacing w:line="240" w:lineRule="auto"/>
        <w:ind w:firstLine="0" w:firstLineChars="0"/>
        <w:jc w:val="center"/>
        <w:rPr>
          <w:rFonts w:cs="Times New Roman"/>
          <w:sz w:val="28"/>
          <w:szCs w:val="24"/>
          <w:highlight w:val="none"/>
          <w:lang w:val="zh-CN"/>
        </w:rPr>
      </w:pPr>
    </w:p>
    <w:sdt>
      <w:sdtPr>
        <w:rPr>
          <w:rFonts w:cs="Times New Roman"/>
          <w:sz w:val="28"/>
          <w:szCs w:val="24"/>
          <w:highlight w:val="none"/>
          <w:lang w:val="zh-CN"/>
        </w:rPr>
        <w:id w:val="5021800"/>
        <w:docPartObj>
          <w:docPartGallery w:val="Table of Contents"/>
          <w:docPartUnique/>
        </w:docPartObj>
      </w:sdtPr>
      <w:sdtEndPr>
        <w:rPr>
          <w:rFonts w:cs="Times New Roman"/>
          <w:sz w:val="32"/>
          <w:szCs w:val="24"/>
          <w:highlight w:val="none"/>
          <w:lang w:val="en-US"/>
        </w:rPr>
      </w:sdtEndPr>
      <w:sdtContent>
        <w:p>
          <w:pPr>
            <w:spacing w:line="240" w:lineRule="auto"/>
            <w:ind w:firstLine="0" w:firstLineChars="0"/>
            <w:jc w:val="center"/>
            <w:rPr>
              <w:rFonts w:eastAsia="方正黑体_GBK" w:cs="Times New Roman"/>
              <w:szCs w:val="32"/>
              <w:highlight w:val="none"/>
            </w:rPr>
          </w:pPr>
          <w:r>
            <w:rPr>
              <w:rFonts w:hint="eastAsia" w:hAnsi="方正黑体_GBK" w:eastAsia="方正黑体_GBK" w:cs="Times New Roman"/>
              <w:b/>
              <w:bCs/>
              <w:szCs w:val="32"/>
              <w:highlight w:val="none"/>
              <w:lang w:val="en-US" w:eastAsia="zh-CN"/>
            </w:rPr>
            <w:t>目</w:t>
          </w:r>
          <w:r>
            <w:rPr>
              <w:rFonts w:hint="eastAsia" w:hAnsi="方正黑体_GBK" w:eastAsia="方正黑体_GBK" w:cs="Times New Roman"/>
              <w:b/>
              <w:bCs/>
              <w:szCs w:val="32"/>
              <w:highlight w:val="none"/>
            </w:rPr>
            <w:t xml:space="preserve">  </w:t>
          </w:r>
          <w:r>
            <w:rPr>
              <w:rFonts w:hAnsi="方正黑体_GBK" w:eastAsia="方正黑体_GBK" w:cs="Times New Roman"/>
              <w:b/>
              <w:bCs/>
              <w:szCs w:val="32"/>
              <w:highlight w:val="none"/>
            </w:rPr>
            <w:t>录</w:t>
          </w:r>
        </w:p>
        <w:p>
          <w:pPr>
            <w:pStyle w:val="16"/>
            <w:tabs>
              <w:tab w:val="right" w:leader="dot" w:pos="8246"/>
              <w:tab w:val="clear" w:pos="8296"/>
            </w:tabs>
          </w:pPr>
          <w:r>
            <w:rPr>
              <w:rFonts w:cs="Times New Roman"/>
              <w:sz w:val="28"/>
              <w:highlight w:val="none"/>
            </w:rPr>
            <w:fldChar w:fldCharType="begin"/>
          </w:r>
          <w:r>
            <w:rPr>
              <w:rFonts w:cs="Times New Roman"/>
              <w:sz w:val="28"/>
              <w:highlight w:val="none"/>
            </w:rPr>
            <w:instrText xml:space="preserve"> TOC \o "1-3" \h \z \u </w:instrText>
          </w:r>
          <w:r>
            <w:rPr>
              <w:rFonts w:cs="Times New Roman"/>
              <w:sz w:val="28"/>
              <w:highlight w:val="none"/>
            </w:rPr>
            <w:fldChar w:fldCharType="separate"/>
          </w:r>
          <w:r>
            <w:rPr>
              <w:rFonts w:cs="Times New Roman"/>
              <w:highlight w:val="none"/>
            </w:rPr>
            <w:fldChar w:fldCharType="begin"/>
          </w:r>
          <w:r>
            <w:rPr>
              <w:rFonts w:cs="Times New Roman"/>
              <w:highlight w:val="none"/>
            </w:rPr>
            <w:instrText xml:space="preserve"> HYPERLINK \l _Toc1066 </w:instrText>
          </w:r>
          <w:r>
            <w:rPr>
              <w:rFonts w:cs="Times New Roman"/>
              <w:highlight w:val="none"/>
            </w:rPr>
            <w:fldChar w:fldCharType="separate"/>
          </w:r>
          <w:r>
            <w:rPr>
              <w:rFonts w:cs="Times New Roman"/>
              <w:highlight w:val="none"/>
            </w:rPr>
            <w:t>一、进展与形势</w:t>
          </w:r>
          <w:r>
            <w:tab/>
          </w:r>
          <w:r>
            <w:fldChar w:fldCharType="begin"/>
          </w:r>
          <w:r>
            <w:instrText xml:space="preserve"> PAGEREF _Toc1066 \h </w:instrText>
          </w:r>
          <w:r>
            <w:fldChar w:fldCharType="separate"/>
          </w:r>
          <w:r>
            <w:t>1</w:t>
          </w:r>
          <w:r>
            <w:fldChar w:fldCharType="end"/>
          </w:r>
          <w:r>
            <w:rPr>
              <w:rFonts w:cs="Times New Roman"/>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_Toc10670 </w:instrText>
          </w:r>
          <w:r>
            <w:rPr>
              <w:rFonts w:cs="Times New Roman"/>
              <w:szCs w:val="24"/>
              <w:highlight w:val="none"/>
            </w:rPr>
            <w:fldChar w:fldCharType="separate"/>
          </w:r>
          <w:r>
            <w:rPr>
              <w:rFonts w:ascii="Times New Roman" w:cs="Times New Roman"/>
              <w:highlight w:val="none"/>
            </w:rPr>
            <w:t>（一）</w:t>
          </w:r>
          <w:r>
            <w:rPr>
              <w:rFonts w:hint="eastAsia" w:ascii="Times New Roman" w:hAnsi="Times New Roman" w:cs="Times New Roman"/>
              <w:highlight w:val="none"/>
            </w:rPr>
            <w:t>“</w:t>
          </w:r>
          <w:r>
            <w:rPr>
              <w:rFonts w:ascii="Times New Roman" w:cs="Times New Roman"/>
              <w:highlight w:val="none"/>
            </w:rPr>
            <w:t>十三五</w:t>
          </w:r>
          <w:r>
            <w:rPr>
              <w:rFonts w:hint="eastAsia" w:ascii="Times New Roman" w:hAnsi="Times New Roman" w:cs="Times New Roman"/>
              <w:highlight w:val="none"/>
            </w:rPr>
            <w:t>”</w:t>
          </w:r>
          <w:r>
            <w:rPr>
              <w:rFonts w:ascii="Times New Roman" w:cs="Times New Roman"/>
              <w:highlight w:val="none"/>
            </w:rPr>
            <w:t>工作</w:t>
          </w:r>
          <w:r>
            <w:rPr>
              <w:rFonts w:cs="Times New Roman"/>
              <w:highlight w:val="none"/>
            </w:rPr>
            <w:t>取得显著成效</w:t>
          </w:r>
          <w:r>
            <w:tab/>
          </w:r>
          <w:r>
            <w:fldChar w:fldCharType="begin"/>
          </w:r>
          <w:r>
            <w:instrText xml:space="preserve"> PAGEREF _Toc10670 \h </w:instrText>
          </w:r>
          <w:r>
            <w:fldChar w:fldCharType="separate"/>
          </w:r>
          <w:r>
            <w:t>1</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_Toc10729 </w:instrText>
          </w:r>
          <w:r>
            <w:rPr>
              <w:rFonts w:cs="Times New Roman"/>
              <w:szCs w:val="24"/>
              <w:highlight w:val="none"/>
            </w:rPr>
            <w:fldChar w:fldCharType="separate"/>
          </w:r>
          <w:r>
            <w:rPr>
              <w:highlight w:val="none"/>
            </w:rPr>
            <w:t>（二）</w:t>
          </w:r>
          <w:r>
            <w:rPr>
              <w:rFonts w:hint="eastAsia"/>
              <w:highlight w:val="none"/>
              <w:lang w:eastAsia="zh-CN"/>
            </w:rPr>
            <w:t>“</w:t>
          </w:r>
          <w:r>
            <w:rPr>
              <w:rFonts w:hint="eastAsia"/>
              <w:highlight w:val="none"/>
              <w:lang w:val="en-US" w:eastAsia="zh-CN"/>
            </w:rPr>
            <w:t>十四五</w:t>
          </w:r>
          <w:r>
            <w:rPr>
              <w:rFonts w:hint="eastAsia"/>
              <w:highlight w:val="none"/>
              <w:lang w:eastAsia="zh-CN"/>
            </w:rPr>
            <w:t>”</w:t>
          </w:r>
          <w:r>
            <w:rPr>
              <w:rFonts w:hint="eastAsia"/>
              <w:highlight w:val="none"/>
              <w:lang w:val="en-US" w:eastAsia="zh-CN"/>
            </w:rPr>
            <w:t>土壤生态环境保护</w:t>
          </w:r>
          <w:r>
            <w:rPr>
              <w:highlight w:val="none"/>
            </w:rPr>
            <w:t>工作</w:t>
          </w:r>
          <w:r>
            <w:rPr>
              <w:rFonts w:hint="eastAsia"/>
              <w:highlight w:val="none"/>
              <w:lang w:val="en-US" w:eastAsia="zh-CN"/>
            </w:rPr>
            <w:t>任重道远</w:t>
          </w:r>
          <w:r>
            <w:tab/>
          </w:r>
          <w:r>
            <w:fldChar w:fldCharType="begin"/>
          </w:r>
          <w:r>
            <w:instrText xml:space="preserve"> PAGEREF _Toc10729 \h </w:instrText>
          </w:r>
          <w:r>
            <w:fldChar w:fldCharType="separate"/>
          </w:r>
          <w:r>
            <w:t>3</w:t>
          </w:r>
          <w:r>
            <w:fldChar w:fldCharType="end"/>
          </w:r>
          <w:r>
            <w:rPr>
              <w:rFonts w:cs="Times New Roman"/>
              <w:szCs w:val="24"/>
              <w:highlight w:val="none"/>
            </w:rPr>
            <w:fldChar w:fldCharType="end"/>
          </w:r>
        </w:p>
        <w:p>
          <w:pPr>
            <w:pStyle w:val="16"/>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_Toc22359 </w:instrText>
          </w:r>
          <w:r>
            <w:rPr>
              <w:rFonts w:cs="Times New Roman"/>
              <w:szCs w:val="24"/>
              <w:highlight w:val="none"/>
            </w:rPr>
            <w:fldChar w:fldCharType="separate"/>
          </w:r>
          <w:r>
            <w:rPr>
              <w:highlight w:val="none"/>
            </w:rPr>
            <w:t>二、总体要求</w:t>
          </w:r>
          <w:r>
            <w:tab/>
          </w:r>
          <w:r>
            <w:fldChar w:fldCharType="begin"/>
          </w:r>
          <w:r>
            <w:instrText xml:space="preserve"> PAGEREF _Toc22359 \h </w:instrText>
          </w:r>
          <w:r>
            <w:fldChar w:fldCharType="separate"/>
          </w:r>
          <w:r>
            <w:t>4</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_Toc861 </w:instrText>
          </w:r>
          <w:r>
            <w:rPr>
              <w:rFonts w:cs="Times New Roman"/>
              <w:szCs w:val="24"/>
              <w:highlight w:val="none"/>
            </w:rPr>
            <w:fldChar w:fldCharType="separate"/>
          </w:r>
          <w:r>
            <w:rPr>
              <w:highlight w:val="none"/>
            </w:rPr>
            <w:t>（一）指导思想</w:t>
          </w:r>
          <w:r>
            <w:tab/>
          </w:r>
          <w:r>
            <w:fldChar w:fldCharType="begin"/>
          </w:r>
          <w:r>
            <w:instrText xml:space="preserve"> PAGEREF _Toc861 \h </w:instrText>
          </w:r>
          <w:r>
            <w:fldChar w:fldCharType="separate"/>
          </w:r>
          <w:r>
            <w:t>4</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_Toc26186 </w:instrText>
          </w:r>
          <w:r>
            <w:rPr>
              <w:rFonts w:cs="Times New Roman"/>
              <w:szCs w:val="24"/>
              <w:highlight w:val="none"/>
            </w:rPr>
            <w:fldChar w:fldCharType="separate"/>
          </w:r>
          <w:r>
            <w:rPr>
              <w:highlight w:val="none"/>
            </w:rPr>
            <w:t>（二）基本原则</w:t>
          </w:r>
          <w:r>
            <w:tab/>
          </w:r>
          <w:r>
            <w:fldChar w:fldCharType="begin"/>
          </w:r>
          <w:r>
            <w:instrText xml:space="preserve"> PAGEREF _Toc26186 \h </w:instrText>
          </w:r>
          <w:r>
            <w:fldChar w:fldCharType="separate"/>
          </w:r>
          <w:r>
            <w:t>5</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_Toc15542 </w:instrText>
          </w:r>
          <w:r>
            <w:rPr>
              <w:rFonts w:cs="Times New Roman"/>
              <w:szCs w:val="24"/>
              <w:highlight w:val="none"/>
            </w:rPr>
            <w:fldChar w:fldCharType="separate"/>
          </w:r>
          <w:r>
            <w:rPr>
              <w:highlight w:val="none"/>
            </w:rPr>
            <w:t>（三）主要</w:t>
          </w:r>
          <w:r>
            <w:rPr>
              <w:rFonts w:hint="eastAsia"/>
              <w:highlight w:val="none"/>
            </w:rPr>
            <w:t>目标</w:t>
          </w:r>
          <w:r>
            <w:tab/>
          </w:r>
          <w:r>
            <w:fldChar w:fldCharType="begin"/>
          </w:r>
          <w:r>
            <w:instrText xml:space="preserve"> PAGEREF _Toc15542 \h </w:instrText>
          </w:r>
          <w:r>
            <w:fldChar w:fldCharType="separate"/>
          </w:r>
          <w:r>
            <w:t>5</w:t>
          </w:r>
          <w:r>
            <w:fldChar w:fldCharType="end"/>
          </w:r>
          <w:r>
            <w:rPr>
              <w:rFonts w:cs="Times New Roman"/>
              <w:szCs w:val="24"/>
              <w:highlight w:val="none"/>
            </w:rPr>
            <w:fldChar w:fldCharType="end"/>
          </w:r>
        </w:p>
        <w:p>
          <w:pPr>
            <w:pStyle w:val="16"/>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_Toc24395 </w:instrText>
          </w:r>
          <w:r>
            <w:rPr>
              <w:rFonts w:cs="Times New Roman"/>
              <w:szCs w:val="24"/>
              <w:highlight w:val="none"/>
            </w:rPr>
            <w:fldChar w:fldCharType="separate"/>
          </w:r>
          <w:r>
            <w:rPr>
              <w:highlight w:val="none"/>
            </w:rPr>
            <w:t>三、深入推进土壤污染防治攻坚行动</w:t>
          </w:r>
          <w:r>
            <w:tab/>
          </w:r>
          <w:r>
            <w:fldChar w:fldCharType="begin"/>
          </w:r>
          <w:r>
            <w:instrText xml:space="preserve"> PAGEREF _Toc24395 \h </w:instrText>
          </w:r>
          <w:r>
            <w:fldChar w:fldCharType="separate"/>
          </w:r>
          <w:r>
            <w:t>6</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_Toc23473 </w:instrText>
          </w:r>
          <w:r>
            <w:rPr>
              <w:rFonts w:cs="Times New Roman"/>
              <w:szCs w:val="24"/>
              <w:highlight w:val="none"/>
            </w:rPr>
            <w:fldChar w:fldCharType="separate"/>
          </w:r>
          <w:r>
            <w:rPr>
              <w:rFonts w:hint="eastAsia"/>
              <w:highlight w:val="none"/>
            </w:rPr>
            <w:t>（</w:t>
          </w:r>
          <w:r>
            <w:rPr>
              <w:rFonts w:hint="eastAsia"/>
              <w:highlight w:val="none"/>
              <w:lang w:val="en-US" w:eastAsia="zh-CN"/>
            </w:rPr>
            <w:t>一</w:t>
          </w:r>
          <w:r>
            <w:rPr>
              <w:rFonts w:hint="eastAsia"/>
              <w:highlight w:val="none"/>
            </w:rPr>
            <w:t>）</w:t>
          </w:r>
          <w:r>
            <w:rPr>
              <w:highlight w:val="none"/>
            </w:rPr>
            <w:t>推进工矿企业土壤污染源头防治</w:t>
          </w:r>
          <w:r>
            <w:tab/>
          </w:r>
          <w:r>
            <w:fldChar w:fldCharType="begin"/>
          </w:r>
          <w:r>
            <w:instrText xml:space="preserve"> PAGEREF _Toc23473 \h </w:instrText>
          </w:r>
          <w:r>
            <w:fldChar w:fldCharType="separate"/>
          </w:r>
          <w:r>
            <w:t>7</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_Toc30982 </w:instrText>
          </w:r>
          <w:r>
            <w:rPr>
              <w:rFonts w:cs="Times New Roman"/>
              <w:szCs w:val="24"/>
              <w:highlight w:val="none"/>
            </w:rPr>
            <w:fldChar w:fldCharType="separate"/>
          </w:r>
          <w:r>
            <w:rPr>
              <w:rFonts w:hint="eastAsia"/>
              <w:highlight w:val="none"/>
            </w:rPr>
            <w:t>（</w:t>
          </w:r>
          <w:r>
            <w:rPr>
              <w:rFonts w:hint="eastAsia"/>
              <w:highlight w:val="none"/>
              <w:lang w:val="en-US" w:eastAsia="zh-CN"/>
            </w:rPr>
            <w:t>二</w:t>
          </w:r>
          <w:r>
            <w:rPr>
              <w:rFonts w:hint="eastAsia"/>
              <w:highlight w:val="none"/>
            </w:rPr>
            <w:t>）</w:t>
          </w:r>
          <w:r>
            <w:rPr>
              <w:highlight w:val="none"/>
            </w:rPr>
            <w:t>严格受污染建设用地再开发利用准入管理</w:t>
          </w:r>
          <w:r>
            <w:tab/>
          </w:r>
          <w:r>
            <w:fldChar w:fldCharType="begin"/>
          </w:r>
          <w:r>
            <w:instrText xml:space="preserve"> PAGEREF _Toc30982 \h </w:instrText>
          </w:r>
          <w:r>
            <w:fldChar w:fldCharType="separate"/>
          </w:r>
          <w:r>
            <w:t>8</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_Toc27809 </w:instrText>
          </w:r>
          <w:r>
            <w:rPr>
              <w:rFonts w:cs="Times New Roman"/>
              <w:szCs w:val="24"/>
              <w:highlight w:val="none"/>
            </w:rPr>
            <w:fldChar w:fldCharType="separate"/>
          </w:r>
          <w:r>
            <w:rPr>
              <w:rFonts w:hint="eastAsia"/>
              <w:highlight w:val="none"/>
            </w:rPr>
            <w:t>（</w:t>
          </w:r>
          <w:r>
            <w:rPr>
              <w:rFonts w:hint="eastAsia"/>
              <w:highlight w:val="none"/>
              <w:lang w:val="en-US" w:eastAsia="zh-CN"/>
            </w:rPr>
            <w:t>三</w:t>
          </w:r>
          <w:r>
            <w:rPr>
              <w:rFonts w:hint="eastAsia"/>
              <w:highlight w:val="none"/>
            </w:rPr>
            <w:t>）</w:t>
          </w:r>
          <w:r>
            <w:rPr>
              <w:highlight w:val="none"/>
            </w:rPr>
            <w:t>巩固提升</w:t>
          </w:r>
          <w:r>
            <w:rPr>
              <w:rFonts w:hint="eastAsia"/>
              <w:highlight w:val="none"/>
            </w:rPr>
            <w:t>农用地</w:t>
          </w:r>
          <w:r>
            <w:rPr>
              <w:highlight w:val="none"/>
            </w:rPr>
            <w:t>分类管理水平</w:t>
          </w:r>
          <w:r>
            <w:tab/>
          </w:r>
          <w:r>
            <w:fldChar w:fldCharType="begin"/>
          </w:r>
          <w:r>
            <w:instrText xml:space="preserve"> PAGEREF _Toc27809 \h </w:instrText>
          </w:r>
          <w:r>
            <w:fldChar w:fldCharType="separate"/>
          </w:r>
          <w:r>
            <w:t>10</w:t>
          </w:r>
          <w:r>
            <w:fldChar w:fldCharType="end"/>
          </w:r>
          <w:r>
            <w:rPr>
              <w:rFonts w:cs="Times New Roman"/>
              <w:szCs w:val="24"/>
              <w:highlight w:val="none"/>
            </w:rPr>
            <w:fldChar w:fldCharType="end"/>
          </w:r>
        </w:p>
        <w:p>
          <w:pPr>
            <w:pStyle w:val="16"/>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_Toc25966 </w:instrText>
          </w:r>
          <w:r>
            <w:rPr>
              <w:rFonts w:cs="Times New Roman"/>
              <w:szCs w:val="24"/>
              <w:highlight w:val="none"/>
            </w:rPr>
            <w:fldChar w:fldCharType="separate"/>
          </w:r>
          <w:r>
            <w:rPr>
              <w:rFonts w:hint="eastAsia"/>
              <w:highlight w:val="none"/>
            </w:rPr>
            <w:t>四、持续</w:t>
          </w:r>
          <w:r>
            <w:rPr>
              <w:highlight w:val="none"/>
            </w:rPr>
            <w:t>改善农业农村生态环境</w:t>
          </w:r>
          <w:r>
            <w:tab/>
          </w:r>
          <w:r>
            <w:fldChar w:fldCharType="begin"/>
          </w:r>
          <w:r>
            <w:instrText xml:space="preserve"> PAGEREF _Toc25966 \h </w:instrText>
          </w:r>
          <w:r>
            <w:fldChar w:fldCharType="separate"/>
          </w:r>
          <w:r>
            <w:t>12</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_Toc7386 </w:instrText>
          </w:r>
          <w:r>
            <w:rPr>
              <w:rFonts w:cs="Times New Roman"/>
              <w:szCs w:val="24"/>
              <w:highlight w:val="none"/>
            </w:rPr>
            <w:fldChar w:fldCharType="separate"/>
          </w:r>
          <w:r>
            <w:rPr>
              <w:rFonts w:hint="eastAsia"/>
              <w:highlight w:val="none"/>
            </w:rPr>
            <w:t>（一）持续推进种植业污染防治</w:t>
          </w:r>
          <w:r>
            <w:tab/>
          </w:r>
          <w:r>
            <w:fldChar w:fldCharType="begin"/>
          </w:r>
          <w:r>
            <w:instrText xml:space="preserve"> PAGEREF _Toc7386 \h </w:instrText>
          </w:r>
          <w:r>
            <w:fldChar w:fldCharType="separate"/>
          </w:r>
          <w:r>
            <w:t>13</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_Toc31504 </w:instrText>
          </w:r>
          <w:r>
            <w:rPr>
              <w:rFonts w:cs="Times New Roman"/>
              <w:szCs w:val="24"/>
              <w:highlight w:val="none"/>
            </w:rPr>
            <w:fldChar w:fldCharType="separate"/>
          </w:r>
          <w:r>
            <w:rPr>
              <w:rFonts w:hint="eastAsia"/>
              <w:highlight w:val="none"/>
            </w:rPr>
            <w:t>（二）全面实施养殖业污染防治</w:t>
          </w:r>
          <w:r>
            <w:tab/>
          </w:r>
          <w:r>
            <w:fldChar w:fldCharType="begin"/>
          </w:r>
          <w:r>
            <w:instrText xml:space="preserve"> PAGEREF _Toc31504 \h </w:instrText>
          </w:r>
          <w:r>
            <w:fldChar w:fldCharType="separate"/>
          </w:r>
          <w:r>
            <w:t>14</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_Toc21807 </w:instrText>
          </w:r>
          <w:r>
            <w:rPr>
              <w:rFonts w:cs="Times New Roman"/>
              <w:szCs w:val="24"/>
              <w:highlight w:val="none"/>
            </w:rPr>
            <w:fldChar w:fldCharType="separate"/>
          </w:r>
          <w:r>
            <w:rPr>
              <w:rFonts w:hint="eastAsia"/>
              <w:highlight w:val="none"/>
            </w:rPr>
            <w:t>（三）扎实推进农村生活污染治理</w:t>
          </w:r>
          <w:r>
            <w:tab/>
          </w:r>
          <w:r>
            <w:fldChar w:fldCharType="begin"/>
          </w:r>
          <w:r>
            <w:instrText xml:space="preserve"> PAGEREF _Toc21807 \h </w:instrText>
          </w:r>
          <w:r>
            <w:fldChar w:fldCharType="separate"/>
          </w:r>
          <w:r>
            <w:t>14</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_Toc8707 </w:instrText>
          </w:r>
          <w:r>
            <w:rPr>
              <w:rFonts w:cs="Times New Roman"/>
              <w:szCs w:val="24"/>
              <w:highlight w:val="none"/>
            </w:rPr>
            <w:fldChar w:fldCharType="separate"/>
          </w:r>
          <w:r>
            <w:rPr>
              <w:highlight w:val="none"/>
            </w:rPr>
            <w:t>（四）持续开展农村环境综合整治</w:t>
          </w:r>
          <w:r>
            <w:tab/>
          </w:r>
          <w:r>
            <w:fldChar w:fldCharType="begin"/>
          </w:r>
          <w:r>
            <w:instrText xml:space="preserve"> PAGEREF _Toc8707 \h </w:instrText>
          </w:r>
          <w:r>
            <w:fldChar w:fldCharType="separate"/>
          </w:r>
          <w:r>
            <w:t>16</w:t>
          </w:r>
          <w:r>
            <w:fldChar w:fldCharType="end"/>
          </w:r>
          <w:r>
            <w:rPr>
              <w:rFonts w:cs="Times New Roman"/>
              <w:szCs w:val="24"/>
              <w:highlight w:val="none"/>
            </w:rPr>
            <w:fldChar w:fldCharType="end"/>
          </w:r>
        </w:p>
        <w:p>
          <w:pPr>
            <w:pStyle w:val="16"/>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_Toc15778 </w:instrText>
          </w:r>
          <w:r>
            <w:rPr>
              <w:rFonts w:cs="Times New Roman"/>
              <w:szCs w:val="24"/>
              <w:highlight w:val="none"/>
            </w:rPr>
            <w:fldChar w:fldCharType="separate"/>
          </w:r>
          <w:r>
            <w:rPr>
              <w:rFonts w:hint="eastAsia"/>
              <w:highlight w:val="none"/>
            </w:rPr>
            <w:t>五、</w:t>
          </w:r>
          <w:r>
            <w:rPr>
              <w:highlight w:val="none"/>
            </w:rPr>
            <w:t>稳步推进地下水生态环境保护</w:t>
          </w:r>
          <w:r>
            <w:tab/>
          </w:r>
          <w:r>
            <w:fldChar w:fldCharType="begin"/>
          </w:r>
          <w:r>
            <w:instrText xml:space="preserve"> PAGEREF _Toc15778 \h </w:instrText>
          </w:r>
          <w:r>
            <w:fldChar w:fldCharType="separate"/>
          </w:r>
          <w:r>
            <w:t>17</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_Toc26976 </w:instrText>
          </w:r>
          <w:r>
            <w:rPr>
              <w:rFonts w:cs="Times New Roman"/>
              <w:szCs w:val="24"/>
              <w:highlight w:val="none"/>
            </w:rPr>
            <w:fldChar w:fldCharType="separate"/>
          </w:r>
          <w:r>
            <w:rPr>
              <w:highlight w:val="none"/>
            </w:rPr>
            <w:t>（</w:t>
          </w:r>
          <w:r>
            <w:rPr>
              <w:rFonts w:hint="eastAsia"/>
              <w:highlight w:val="none"/>
              <w:lang w:val="en-US" w:eastAsia="zh-CN"/>
            </w:rPr>
            <w:t>一</w:t>
          </w:r>
          <w:r>
            <w:rPr>
              <w:highlight w:val="none"/>
            </w:rPr>
            <w:t>）</w:t>
          </w:r>
          <w:r>
            <w:rPr>
              <w:rFonts w:hint="eastAsia"/>
              <w:highlight w:val="none"/>
            </w:rPr>
            <w:t>实施地下水</w:t>
          </w:r>
          <w:r>
            <w:rPr>
              <w:highlight w:val="none"/>
            </w:rPr>
            <w:t>重点污染源监督管理</w:t>
          </w:r>
          <w:r>
            <w:tab/>
          </w:r>
          <w:r>
            <w:fldChar w:fldCharType="begin"/>
          </w:r>
          <w:r>
            <w:instrText xml:space="preserve"> PAGEREF _Toc26976 \h </w:instrText>
          </w:r>
          <w:r>
            <w:fldChar w:fldCharType="separate"/>
          </w:r>
          <w:r>
            <w:t>17</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_Toc7047 </w:instrText>
          </w:r>
          <w:r>
            <w:rPr>
              <w:rFonts w:cs="Times New Roman"/>
              <w:szCs w:val="24"/>
              <w:highlight w:val="none"/>
            </w:rPr>
            <w:fldChar w:fldCharType="separate"/>
          </w:r>
          <w:r>
            <w:rPr>
              <w:rFonts w:hint="eastAsia"/>
              <w:highlight w:val="none"/>
            </w:rPr>
            <w:t>（</w:t>
          </w:r>
          <w:r>
            <w:rPr>
              <w:rFonts w:hint="eastAsia"/>
              <w:highlight w:val="none"/>
              <w:lang w:val="en-US" w:eastAsia="zh-CN"/>
            </w:rPr>
            <w:t>二</w:t>
          </w:r>
          <w:r>
            <w:rPr>
              <w:rFonts w:hint="eastAsia"/>
              <w:highlight w:val="none"/>
            </w:rPr>
            <w:t>）试点推进</w:t>
          </w:r>
          <w:r>
            <w:rPr>
              <w:highlight w:val="none"/>
            </w:rPr>
            <w:t>地下水污染风险管控和修复</w:t>
          </w:r>
          <w:r>
            <w:tab/>
          </w:r>
          <w:r>
            <w:fldChar w:fldCharType="begin"/>
          </w:r>
          <w:r>
            <w:instrText xml:space="preserve"> PAGEREF _Toc7047 \h </w:instrText>
          </w:r>
          <w:r>
            <w:fldChar w:fldCharType="separate"/>
          </w:r>
          <w:r>
            <w:t>18</w:t>
          </w:r>
          <w:r>
            <w:fldChar w:fldCharType="end"/>
          </w:r>
          <w:r>
            <w:rPr>
              <w:rFonts w:cs="Times New Roman"/>
              <w:szCs w:val="24"/>
              <w:highlight w:val="none"/>
            </w:rPr>
            <w:fldChar w:fldCharType="end"/>
          </w:r>
        </w:p>
        <w:p>
          <w:pPr>
            <w:pStyle w:val="16"/>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_Toc4449 </w:instrText>
          </w:r>
          <w:r>
            <w:rPr>
              <w:rFonts w:cs="Times New Roman"/>
              <w:szCs w:val="24"/>
              <w:highlight w:val="none"/>
            </w:rPr>
            <w:fldChar w:fldCharType="separate"/>
          </w:r>
          <w:r>
            <w:rPr>
              <w:rFonts w:hint="eastAsia"/>
              <w:highlight w:val="none"/>
            </w:rPr>
            <w:t>六</w:t>
          </w:r>
          <w:r>
            <w:rPr>
              <w:highlight w:val="none"/>
            </w:rPr>
            <w:t>、提升生态环境监管能力</w:t>
          </w:r>
          <w:r>
            <w:tab/>
          </w:r>
          <w:r>
            <w:fldChar w:fldCharType="begin"/>
          </w:r>
          <w:r>
            <w:instrText xml:space="preserve"> PAGEREF _Toc4449 \h </w:instrText>
          </w:r>
          <w:r>
            <w:fldChar w:fldCharType="separate"/>
          </w:r>
          <w:r>
            <w:t>19</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_Toc17815 </w:instrText>
          </w:r>
          <w:r>
            <w:rPr>
              <w:rFonts w:cs="Times New Roman"/>
              <w:szCs w:val="24"/>
              <w:highlight w:val="none"/>
            </w:rPr>
            <w:fldChar w:fldCharType="separate"/>
          </w:r>
          <w:r>
            <w:rPr>
              <w:rFonts w:hint="eastAsia"/>
              <w:highlight w:val="none"/>
            </w:rPr>
            <w:t>（一）</w:t>
          </w:r>
          <w:r>
            <w:rPr>
              <w:highlight w:val="none"/>
            </w:rPr>
            <w:t>健全监测监控网络</w:t>
          </w:r>
          <w:r>
            <w:tab/>
          </w:r>
          <w:r>
            <w:fldChar w:fldCharType="begin"/>
          </w:r>
          <w:r>
            <w:instrText xml:space="preserve"> PAGEREF _Toc17815 \h </w:instrText>
          </w:r>
          <w:r>
            <w:fldChar w:fldCharType="separate"/>
          </w:r>
          <w:r>
            <w:t>19</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_Toc30619 </w:instrText>
          </w:r>
          <w:r>
            <w:rPr>
              <w:rFonts w:cs="Times New Roman"/>
              <w:szCs w:val="24"/>
              <w:highlight w:val="none"/>
            </w:rPr>
            <w:fldChar w:fldCharType="separate"/>
          </w:r>
          <w:r>
            <w:rPr>
              <w:rFonts w:hint="eastAsia"/>
              <w:highlight w:val="none"/>
            </w:rPr>
            <w:t>（二）</w:t>
          </w:r>
          <w:r>
            <w:rPr>
              <w:highlight w:val="none"/>
            </w:rPr>
            <w:t>加强执法能力建设</w:t>
          </w:r>
          <w:r>
            <w:tab/>
          </w:r>
          <w:r>
            <w:fldChar w:fldCharType="begin"/>
          </w:r>
          <w:r>
            <w:instrText xml:space="preserve"> PAGEREF _Toc30619 \h </w:instrText>
          </w:r>
          <w:r>
            <w:fldChar w:fldCharType="separate"/>
          </w:r>
          <w:r>
            <w:t>20</w:t>
          </w:r>
          <w:r>
            <w:fldChar w:fldCharType="end"/>
          </w:r>
          <w:r>
            <w:rPr>
              <w:rFonts w:cs="Times New Roman"/>
              <w:szCs w:val="24"/>
              <w:highlight w:val="none"/>
            </w:rPr>
            <w:fldChar w:fldCharType="end"/>
          </w:r>
        </w:p>
        <w:p>
          <w:pPr>
            <w:pStyle w:val="16"/>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_Toc1483 </w:instrText>
          </w:r>
          <w:r>
            <w:rPr>
              <w:rFonts w:cs="Times New Roman"/>
              <w:szCs w:val="24"/>
              <w:highlight w:val="none"/>
            </w:rPr>
            <w:fldChar w:fldCharType="separate"/>
          </w:r>
          <w:r>
            <w:rPr>
              <w:rFonts w:hint="eastAsia" w:cs="Times New Roman"/>
              <w:highlight w:val="none"/>
            </w:rPr>
            <w:t>七、强化规划实施保障措施</w:t>
          </w:r>
          <w:r>
            <w:tab/>
          </w:r>
          <w:r>
            <w:fldChar w:fldCharType="begin"/>
          </w:r>
          <w:r>
            <w:instrText xml:space="preserve"> PAGEREF _Toc1483 \h </w:instrText>
          </w:r>
          <w:r>
            <w:fldChar w:fldCharType="separate"/>
          </w:r>
          <w:r>
            <w:t>20</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_Toc32243 </w:instrText>
          </w:r>
          <w:r>
            <w:rPr>
              <w:rFonts w:cs="Times New Roman"/>
              <w:szCs w:val="24"/>
              <w:highlight w:val="none"/>
            </w:rPr>
            <w:fldChar w:fldCharType="separate"/>
          </w:r>
          <w:r>
            <w:rPr>
              <w:highlight w:val="none"/>
            </w:rPr>
            <w:t>（一）加强组织领导</w:t>
          </w:r>
          <w:r>
            <w:tab/>
          </w:r>
          <w:r>
            <w:fldChar w:fldCharType="begin"/>
          </w:r>
          <w:r>
            <w:instrText xml:space="preserve"> PAGEREF _Toc32243 \h </w:instrText>
          </w:r>
          <w:r>
            <w:fldChar w:fldCharType="separate"/>
          </w:r>
          <w:r>
            <w:t>20</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_Toc16128 </w:instrText>
          </w:r>
          <w:r>
            <w:rPr>
              <w:rFonts w:cs="Times New Roman"/>
              <w:szCs w:val="24"/>
              <w:highlight w:val="none"/>
            </w:rPr>
            <w:fldChar w:fldCharType="separate"/>
          </w:r>
          <w:r>
            <w:rPr>
              <w:highlight w:val="none"/>
            </w:rPr>
            <w:t>（二）完善</w:t>
          </w:r>
          <w:r>
            <w:rPr>
              <w:rFonts w:hint="eastAsia"/>
              <w:highlight w:val="none"/>
            </w:rPr>
            <w:t>投入</w:t>
          </w:r>
          <w:r>
            <w:rPr>
              <w:highlight w:val="none"/>
            </w:rPr>
            <w:t>政策</w:t>
          </w:r>
          <w:r>
            <w:tab/>
          </w:r>
          <w:r>
            <w:fldChar w:fldCharType="begin"/>
          </w:r>
          <w:r>
            <w:instrText xml:space="preserve"> PAGEREF _Toc16128 \h </w:instrText>
          </w:r>
          <w:r>
            <w:fldChar w:fldCharType="separate"/>
          </w:r>
          <w:r>
            <w:t>21</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_Toc2615 </w:instrText>
          </w:r>
          <w:r>
            <w:rPr>
              <w:rFonts w:cs="Times New Roman"/>
              <w:szCs w:val="24"/>
              <w:highlight w:val="none"/>
            </w:rPr>
            <w:fldChar w:fldCharType="separate"/>
          </w:r>
          <w:r>
            <w:rPr>
              <w:highlight w:val="none"/>
            </w:rPr>
            <w:t>（三）加大宣传引导</w:t>
          </w:r>
          <w:r>
            <w:tab/>
          </w:r>
          <w:r>
            <w:fldChar w:fldCharType="begin"/>
          </w:r>
          <w:r>
            <w:instrText xml:space="preserve"> PAGEREF _Toc2615 \h </w:instrText>
          </w:r>
          <w:r>
            <w:fldChar w:fldCharType="separate"/>
          </w:r>
          <w:r>
            <w:t>22</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_Toc7336 </w:instrText>
          </w:r>
          <w:r>
            <w:rPr>
              <w:rFonts w:cs="Times New Roman"/>
              <w:szCs w:val="24"/>
              <w:highlight w:val="none"/>
            </w:rPr>
            <w:fldChar w:fldCharType="separate"/>
          </w:r>
          <w:r>
            <w:rPr>
              <w:rFonts w:hint="eastAsia"/>
              <w:highlight w:val="none"/>
            </w:rPr>
            <w:t>（四）实施考核评估</w:t>
          </w:r>
          <w:r>
            <w:tab/>
          </w:r>
          <w:r>
            <w:fldChar w:fldCharType="begin"/>
          </w:r>
          <w:r>
            <w:instrText xml:space="preserve"> PAGEREF _Toc7336 \h </w:instrText>
          </w:r>
          <w:r>
            <w:fldChar w:fldCharType="separate"/>
          </w:r>
          <w:r>
            <w:t>22</w:t>
          </w:r>
          <w:r>
            <w:fldChar w:fldCharType="end"/>
          </w:r>
          <w:r>
            <w:rPr>
              <w:rFonts w:cs="Times New Roman"/>
              <w:szCs w:val="24"/>
              <w:highlight w:val="none"/>
            </w:rPr>
            <w:fldChar w:fldCharType="end"/>
          </w:r>
        </w:p>
        <w:p>
          <w:pPr>
            <w:pStyle w:val="16"/>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_Toc27524 </w:instrText>
          </w:r>
          <w:r>
            <w:rPr>
              <w:rFonts w:cs="Times New Roman"/>
              <w:szCs w:val="24"/>
              <w:highlight w:val="none"/>
            </w:rPr>
            <w:fldChar w:fldCharType="separate"/>
          </w:r>
          <w:r>
            <w:rPr>
              <w:rFonts w:hint="eastAsia" w:cs="Times New Roman"/>
              <w:highlight w:val="none"/>
            </w:rPr>
            <w:t>八</w:t>
          </w:r>
          <w:r>
            <w:rPr>
              <w:rFonts w:cs="Times New Roman"/>
              <w:highlight w:val="none"/>
            </w:rPr>
            <w:t>、附</w:t>
          </w:r>
          <w:r>
            <w:rPr>
              <w:rFonts w:hint="eastAsia" w:cs="Times New Roman"/>
              <w:highlight w:val="none"/>
            </w:rPr>
            <w:t>表</w:t>
          </w:r>
          <w:r>
            <w:tab/>
          </w:r>
          <w:r>
            <w:fldChar w:fldCharType="begin"/>
          </w:r>
          <w:r>
            <w:instrText xml:space="preserve"> PAGEREF _Toc27524 \h </w:instrText>
          </w:r>
          <w:r>
            <w:fldChar w:fldCharType="separate"/>
          </w:r>
          <w:r>
            <w:t>22</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_Toc1302 </w:instrText>
          </w:r>
          <w:r>
            <w:rPr>
              <w:rFonts w:cs="Times New Roman"/>
              <w:szCs w:val="24"/>
              <w:highlight w:val="none"/>
            </w:rPr>
            <w:fldChar w:fldCharType="separate"/>
          </w:r>
          <w:r>
            <w:rPr>
              <w:rFonts w:hint="eastAsia"/>
              <w:highlight w:val="none"/>
              <w:lang w:val="en-US" w:eastAsia="zh-CN"/>
            </w:rPr>
            <w:t>附件</w:t>
          </w:r>
          <w:r>
            <w:rPr>
              <w:highlight w:val="none"/>
            </w:rPr>
            <w:t>1 规划任务分解表</w:t>
          </w:r>
          <w:r>
            <w:tab/>
          </w:r>
          <w:r>
            <w:fldChar w:fldCharType="begin"/>
          </w:r>
          <w:r>
            <w:instrText xml:space="preserve"> PAGEREF _Toc1302 \h </w:instrText>
          </w:r>
          <w:r>
            <w:fldChar w:fldCharType="separate"/>
          </w:r>
          <w:r>
            <w:t>23</w:t>
          </w:r>
          <w:r>
            <w:fldChar w:fldCharType="end"/>
          </w:r>
          <w:r>
            <w:rPr>
              <w:rFonts w:cs="Times New Roman"/>
              <w:szCs w:val="24"/>
              <w:highlight w:val="none"/>
            </w:rPr>
            <w:fldChar w:fldCharType="end"/>
          </w:r>
        </w:p>
        <w:p>
          <w:pPr>
            <w:pStyle w:val="19"/>
            <w:tabs>
              <w:tab w:val="right" w:leader="dot" w:pos="8246"/>
              <w:tab w:val="clear" w:pos="8296"/>
            </w:tabs>
          </w:pPr>
          <w:r>
            <w:rPr>
              <w:rFonts w:cs="Times New Roman"/>
              <w:szCs w:val="24"/>
              <w:highlight w:val="none"/>
            </w:rPr>
            <w:fldChar w:fldCharType="begin"/>
          </w:r>
          <w:r>
            <w:rPr>
              <w:rFonts w:cs="Times New Roman"/>
              <w:szCs w:val="24"/>
              <w:highlight w:val="none"/>
            </w:rPr>
            <w:instrText xml:space="preserve"> HYPERLINK \l _Toc7137 </w:instrText>
          </w:r>
          <w:r>
            <w:rPr>
              <w:rFonts w:cs="Times New Roman"/>
              <w:szCs w:val="24"/>
              <w:highlight w:val="none"/>
            </w:rPr>
            <w:fldChar w:fldCharType="separate"/>
          </w:r>
          <w:r>
            <w:rPr>
              <w:rFonts w:hint="eastAsia"/>
              <w:highlight w:val="none"/>
              <w:lang w:val="en-US" w:eastAsia="zh-CN"/>
            </w:rPr>
            <w:t>附件2 名词与指标</w:t>
          </w:r>
          <w:r>
            <w:rPr>
              <w:rFonts w:hint="eastAsia"/>
              <w:highlight w:val="none"/>
            </w:rPr>
            <w:t>解释</w:t>
          </w:r>
          <w:r>
            <w:tab/>
          </w:r>
          <w:r>
            <w:fldChar w:fldCharType="begin"/>
          </w:r>
          <w:r>
            <w:instrText xml:space="preserve"> PAGEREF _Toc7137 \h </w:instrText>
          </w:r>
          <w:r>
            <w:fldChar w:fldCharType="separate"/>
          </w:r>
          <w:r>
            <w:t>33</w:t>
          </w:r>
          <w:r>
            <w:fldChar w:fldCharType="end"/>
          </w:r>
          <w:r>
            <w:rPr>
              <w:rFonts w:cs="Times New Roman"/>
              <w:szCs w:val="24"/>
              <w:highlight w:val="none"/>
            </w:rPr>
            <w:fldChar w:fldCharType="end"/>
          </w:r>
        </w:p>
        <w:p>
          <w:pPr>
            <w:adjustRightInd/>
            <w:snapToGrid/>
            <w:ind w:firstLine="0" w:firstLineChars="0"/>
            <w:rPr>
              <w:rFonts w:cs="Times New Roman"/>
              <w:highlight w:val="none"/>
            </w:rPr>
          </w:pPr>
          <w:r>
            <w:rPr>
              <w:rFonts w:cs="Times New Roman"/>
              <w:szCs w:val="24"/>
              <w:highlight w:val="none"/>
            </w:rPr>
            <w:fldChar w:fldCharType="end"/>
          </w:r>
        </w:p>
      </w:sdtContent>
    </w:sdt>
    <w:p>
      <w:pPr>
        <w:ind w:firstLine="640"/>
        <w:rPr>
          <w:rFonts w:cs="Times New Roman"/>
          <w:highlight w:val="none"/>
        </w:rPr>
        <w:sectPr>
          <w:headerReference r:id="rId3" w:type="default"/>
          <w:footerReference r:id="rId4" w:type="default"/>
          <w:pgSz w:w="11906" w:h="16838"/>
          <w:pgMar w:top="2098" w:right="1474" w:bottom="1984" w:left="1588" w:header="851" w:footer="992" w:gutter="0"/>
          <w:pgNumType w:fmt="decimal" w:start="1"/>
          <w:cols w:space="425" w:num="1"/>
          <w:docGrid w:type="lines" w:linePitch="312" w:charSpace="0"/>
        </w:sectPr>
      </w:pPr>
    </w:p>
    <w:p>
      <w:pPr>
        <w:bidi w:val="0"/>
        <w:rPr>
          <w:highlight w:val="none"/>
        </w:rPr>
      </w:pPr>
      <w:bookmarkStart w:id="7" w:name="_Toc25032"/>
      <w:bookmarkStart w:id="8" w:name="_Toc505807846"/>
      <w:r>
        <w:rPr>
          <w:highlight w:val="none"/>
        </w:rPr>
        <w:t>为贯彻落实《</w:t>
      </w:r>
      <w:r>
        <w:rPr>
          <w:rFonts w:hint="eastAsia"/>
          <w:highlight w:val="none"/>
        </w:rPr>
        <w:t>“十四五”土壤、地下水和农村生态环境保护规划》（环土壤〔</w:t>
      </w:r>
      <w:r>
        <w:rPr>
          <w:rFonts w:hint="default"/>
          <w:highlight w:val="none"/>
        </w:rPr>
        <w:t>2021</w:t>
      </w:r>
      <w:r>
        <w:rPr>
          <w:rFonts w:hint="eastAsia"/>
          <w:highlight w:val="none"/>
        </w:rPr>
        <w:t>〕</w:t>
      </w:r>
      <w:r>
        <w:rPr>
          <w:rFonts w:hint="default"/>
          <w:highlight w:val="none"/>
        </w:rPr>
        <w:t>120</w:t>
      </w:r>
      <w:r>
        <w:rPr>
          <w:rFonts w:hint="eastAsia"/>
          <w:highlight w:val="none"/>
        </w:rPr>
        <w:t>号）</w:t>
      </w:r>
      <w:r>
        <w:rPr>
          <w:rFonts w:hint="eastAsia"/>
          <w:highlight w:val="none"/>
          <w:lang w:eastAsia="zh-CN"/>
        </w:rPr>
        <w:t>、</w:t>
      </w:r>
      <w:r>
        <w:rPr>
          <w:rFonts w:hint="eastAsia"/>
          <w:highlight w:val="none"/>
        </w:rPr>
        <w:t>《重庆市“十四五”土壤生态环境保护规划》（2021—2025年）</w:t>
      </w:r>
      <w:r>
        <w:rPr>
          <w:rFonts w:hint="eastAsia"/>
          <w:highlight w:val="none"/>
          <w:lang w:val="en-US" w:eastAsia="zh-CN"/>
        </w:rPr>
        <w:t>和</w:t>
      </w:r>
      <w:r>
        <w:rPr>
          <w:highlight w:val="none"/>
        </w:rPr>
        <w:t>《城口县生态环境保护</w:t>
      </w:r>
      <w:r>
        <w:rPr>
          <w:rFonts w:hint="eastAsia"/>
          <w:highlight w:val="none"/>
          <w:lang w:eastAsia="zh-CN"/>
        </w:rPr>
        <w:t>“</w:t>
      </w:r>
      <w:r>
        <w:rPr>
          <w:highlight w:val="none"/>
        </w:rPr>
        <w:t>十四五</w:t>
      </w:r>
      <w:r>
        <w:rPr>
          <w:rFonts w:hint="eastAsia"/>
          <w:highlight w:val="none"/>
          <w:lang w:eastAsia="zh-CN"/>
        </w:rPr>
        <w:t>”</w:t>
      </w:r>
      <w:r>
        <w:rPr>
          <w:highlight w:val="none"/>
        </w:rPr>
        <w:t>规划和二〇三五年远景目标》（城府办发〔20</w:t>
      </w:r>
      <w:r>
        <w:rPr>
          <w:rFonts w:hint="eastAsia"/>
          <w:highlight w:val="none"/>
          <w:lang w:val="en-US" w:eastAsia="zh-CN"/>
        </w:rPr>
        <w:t>21</w:t>
      </w:r>
      <w:r>
        <w:rPr>
          <w:highlight w:val="none"/>
        </w:rPr>
        <w:t>〕1</w:t>
      </w:r>
      <w:r>
        <w:rPr>
          <w:rFonts w:hint="eastAsia"/>
          <w:highlight w:val="none"/>
          <w:lang w:val="en-US" w:eastAsia="zh-CN"/>
        </w:rPr>
        <w:t>48</w:t>
      </w:r>
      <w:r>
        <w:rPr>
          <w:highlight w:val="none"/>
        </w:rPr>
        <w:t>号）等要求，切实加强土壤</w:t>
      </w:r>
      <w:r>
        <w:rPr>
          <w:rFonts w:hint="eastAsia"/>
          <w:highlight w:val="none"/>
          <w:lang w:eastAsia="zh-CN"/>
        </w:rPr>
        <w:t>、</w:t>
      </w:r>
      <w:r>
        <w:rPr>
          <w:highlight w:val="none"/>
        </w:rPr>
        <w:t>农业农村</w:t>
      </w:r>
      <w:r>
        <w:rPr>
          <w:rFonts w:hint="eastAsia"/>
          <w:highlight w:val="none"/>
          <w:lang w:val="en-US" w:eastAsia="zh-CN"/>
        </w:rPr>
        <w:t>和</w:t>
      </w:r>
      <w:r>
        <w:rPr>
          <w:highlight w:val="none"/>
        </w:rPr>
        <w:t>地下水生态环境保护，巩固脱贫攻坚成果，推进生态振兴和绿色发展，制定本规划。</w:t>
      </w:r>
    </w:p>
    <w:p>
      <w:pPr>
        <w:pStyle w:val="3"/>
        <w:spacing w:before="156" w:after="156"/>
        <w:ind w:firstLine="643"/>
        <w:rPr>
          <w:rFonts w:cs="Times New Roman"/>
          <w:highlight w:val="none"/>
        </w:rPr>
      </w:pPr>
      <w:bookmarkStart w:id="9" w:name="_Toc1066"/>
      <w:r>
        <w:rPr>
          <w:rFonts w:cs="Times New Roman"/>
          <w:highlight w:val="none"/>
        </w:rPr>
        <w:t>一、进展与形势</w:t>
      </w:r>
      <w:bookmarkEnd w:id="7"/>
      <w:bookmarkEnd w:id="8"/>
      <w:bookmarkEnd w:id="9"/>
    </w:p>
    <w:p>
      <w:pPr>
        <w:pStyle w:val="4"/>
        <w:snapToGrid/>
        <w:spacing w:before="156"/>
        <w:ind w:firstLine="643"/>
        <w:rPr>
          <w:rFonts w:hint="eastAsia" w:ascii="Times New Roman" w:hAnsi="Times New Roman" w:eastAsia="方正楷体_GBK" w:cs="Times New Roman"/>
          <w:highlight w:val="none"/>
          <w:lang w:eastAsia="zh-CN"/>
        </w:rPr>
      </w:pPr>
      <w:bookmarkStart w:id="10" w:name="_Toc505807847"/>
      <w:bookmarkStart w:id="11" w:name="_Toc3633"/>
      <w:bookmarkStart w:id="12" w:name="_Toc10670"/>
      <w:r>
        <w:rPr>
          <w:rFonts w:ascii="Times New Roman" w:cs="Times New Roman"/>
          <w:highlight w:val="none"/>
        </w:rPr>
        <w:t>（一）</w:t>
      </w:r>
      <w:bookmarkEnd w:id="10"/>
      <w:r>
        <w:rPr>
          <w:rFonts w:hint="eastAsia" w:ascii="Times New Roman" w:hAnsi="Times New Roman" w:cs="Times New Roman"/>
          <w:highlight w:val="none"/>
        </w:rPr>
        <w:t>“</w:t>
      </w:r>
      <w:r>
        <w:rPr>
          <w:rFonts w:ascii="Times New Roman" w:cs="Times New Roman"/>
          <w:highlight w:val="none"/>
        </w:rPr>
        <w:t>十三五</w:t>
      </w:r>
      <w:r>
        <w:rPr>
          <w:rFonts w:hint="eastAsia" w:ascii="Times New Roman" w:hAnsi="Times New Roman" w:cs="Times New Roman"/>
          <w:highlight w:val="none"/>
        </w:rPr>
        <w:t>”</w:t>
      </w:r>
      <w:r>
        <w:rPr>
          <w:rFonts w:ascii="Times New Roman" w:cs="Times New Roman"/>
          <w:highlight w:val="none"/>
        </w:rPr>
        <w:t>工作</w:t>
      </w:r>
      <w:r>
        <w:rPr>
          <w:rFonts w:cs="Times New Roman"/>
          <w:highlight w:val="none"/>
        </w:rPr>
        <w:t>取得显著成效</w:t>
      </w:r>
      <w:bookmarkEnd w:id="11"/>
      <w:r>
        <w:rPr>
          <w:rFonts w:hint="eastAsia" w:cs="Times New Roman"/>
          <w:highlight w:val="none"/>
          <w:lang w:eastAsia="zh-CN"/>
        </w:rPr>
        <w:t>。</w:t>
      </w:r>
      <w:bookmarkEnd w:id="12"/>
    </w:p>
    <w:p>
      <w:pPr>
        <w:bidi w:val="0"/>
        <w:rPr>
          <w:rFonts w:hint="eastAsia"/>
          <w:highlight w:val="none"/>
          <w:lang w:eastAsia="zh-CN"/>
        </w:rPr>
      </w:pPr>
      <w:bookmarkStart w:id="13" w:name="_Toc28494"/>
      <w:r>
        <w:rPr>
          <w:rFonts w:cs="Times New Roman"/>
          <w:b/>
          <w:bCs/>
          <w:highlight w:val="none"/>
        </w:rPr>
        <w:t>土壤环境风险</w:t>
      </w:r>
      <w:bookmarkEnd w:id="13"/>
      <w:r>
        <w:rPr>
          <w:rFonts w:hint="eastAsia" w:cs="Times New Roman"/>
          <w:b/>
          <w:bCs/>
          <w:highlight w:val="none"/>
          <w:lang w:val="en-US" w:eastAsia="zh-CN"/>
        </w:rPr>
        <w:t>得到有效</w:t>
      </w:r>
      <w:r>
        <w:rPr>
          <w:rFonts w:cs="Times New Roman"/>
          <w:b/>
          <w:bCs/>
          <w:highlight w:val="none"/>
        </w:rPr>
        <w:t>管控</w:t>
      </w:r>
      <w:r>
        <w:rPr>
          <w:rFonts w:hint="eastAsia" w:cs="Times New Roman"/>
          <w:b/>
          <w:bCs/>
          <w:highlight w:val="none"/>
          <w:lang w:eastAsia="zh-CN"/>
        </w:rPr>
        <w:t>。</w:t>
      </w:r>
      <w:r>
        <w:rPr>
          <w:rFonts w:hint="eastAsia"/>
          <w:highlight w:val="none"/>
          <w:lang w:val="en-US" w:eastAsia="zh-CN"/>
        </w:rPr>
        <w:t>顺利完成《城口县土壤污染防治工作方案的通知》确定的目标任务，</w:t>
      </w:r>
      <w:r>
        <w:rPr>
          <w:rFonts w:hint="eastAsia" w:ascii="方正仿宋_GBK" w:hAnsi="方正仿宋_GBK" w:eastAsia="方正仿宋_GBK" w:cs="方正仿宋_GBK"/>
          <w:color w:val="000000"/>
          <w:sz w:val="32"/>
          <w:szCs w:val="32"/>
          <w:highlight w:val="none"/>
        </w:rPr>
        <w:t>土壤环境质量保持稳定</w:t>
      </w:r>
      <w:r>
        <w:rPr>
          <w:rFonts w:hint="eastAsia" w:ascii="方正仿宋_GBK" w:hAnsi="方正仿宋_GBK" w:cs="方正仿宋_GBK"/>
          <w:color w:val="000000"/>
          <w:sz w:val="32"/>
          <w:szCs w:val="32"/>
          <w:highlight w:val="none"/>
          <w:lang w:eastAsia="zh-CN"/>
        </w:rPr>
        <w:t>，</w:t>
      </w:r>
      <w:r>
        <w:rPr>
          <w:rFonts w:cs="Times New Roman"/>
          <w:highlight w:val="none"/>
        </w:rPr>
        <w:t>有序推进农用地土壤环境质量类别划分，完成55个安全利用类评价单元和43个严格管控类评价单元划分工作，受污染耕地安全利用率达到9</w:t>
      </w:r>
      <w:r>
        <w:rPr>
          <w:rFonts w:hint="eastAsia" w:cs="Times New Roman"/>
          <w:highlight w:val="none"/>
          <w:lang w:val="en-US" w:eastAsia="zh-CN"/>
        </w:rPr>
        <w:t>0</w:t>
      </w:r>
      <w:r>
        <w:rPr>
          <w:rFonts w:cs="Times New Roman"/>
          <w:highlight w:val="none"/>
        </w:rPr>
        <w:t>%</w:t>
      </w:r>
      <w:r>
        <w:rPr>
          <w:rFonts w:hint="eastAsia" w:cs="Times New Roman"/>
          <w:highlight w:val="none"/>
          <w:lang w:eastAsia="zh-CN"/>
        </w:rPr>
        <w:t>，</w:t>
      </w:r>
      <w:r>
        <w:rPr>
          <w:rFonts w:hint="eastAsia" w:ascii="方正仿宋_GBK" w:hAnsi="方正仿宋_GBK" w:eastAsia="方正仿宋_GBK" w:cs="方正仿宋_GBK"/>
          <w:color w:val="000000"/>
          <w:sz w:val="32"/>
          <w:szCs w:val="32"/>
          <w:highlight w:val="none"/>
        </w:rPr>
        <w:t>无污染地块</w:t>
      </w:r>
      <w:r>
        <w:rPr>
          <w:rFonts w:cs="Times New Roman"/>
          <w:highlight w:val="none"/>
        </w:rPr>
        <w:t>。</w:t>
      </w:r>
      <w:r>
        <w:rPr>
          <w:rFonts w:hint="eastAsia" w:cs="Times New Roman"/>
          <w:highlight w:val="none"/>
          <w:lang w:eastAsia="zh-CN"/>
        </w:rPr>
        <w:t>完成11家重点</w:t>
      </w:r>
      <w:r>
        <w:rPr>
          <w:rFonts w:hint="eastAsia" w:ascii="Times New Roman" w:hAnsi="Times New Roman" w:cs="Times New Roman"/>
          <w:highlight w:val="none"/>
          <w:lang w:eastAsia="zh-CN"/>
        </w:rPr>
        <w:t>工业企业</w:t>
      </w:r>
      <w:r>
        <w:rPr>
          <w:rFonts w:hint="eastAsia" w:ascii="Times New Roman" w:hAnsi="Times New Roman" w:cs="Times New Roman"/>
          <w:highlight w:val="none"/>
          <w:lang w:val="en-US" w:eastAsia="zh-CN"/>
        </w:rPr>
        <w:t>用地</w:t>
      </w:r>
      <w:r>
        <w:rPr>
          <w:rFonts w:hint="eastAsia" w:ascii="Times New Roman" w:hAnsi="Times New Roman" w:cs="Times New Roman"/>
          <w:highlight w:val="none"/>
          <w:lang w:eastAsia="zh-CN"/>
        </w:rPr>
        <w:t>土壤污染状况调查，</w:t>
      </w:r>
      <w:r>
        <w:rPr>
          <w:rFonts w:hint="eastAsia" w:ascii="Times New Roman" w:hAnsi="Times New Roman" w:cs="Times New Roman"/>
          <w:highlight w:val="none"/>
          <w:lang w:val="en-US" w:eastAsia="zh-CN"/>
        </w:rPr>
        <w:t>有序推进20余</w:t>
      </w:r>
      <w:r>
        <w:rPr>
          <w:rFonts w:hint="eastAsia" w:ascii="Times New Roman" w:hAnsi="Times New Roman" w:cs="Times New Roman"/>
          <w:highlight w:val="none"/>
          <w:lang w:eastAsia="zh-CN"/>
        </w:rPr>
        <w:t>家锰</w:t>
      </w:r>
      <w:r>
        <w:rPr>
          <w:rFonts w:hint="eastAsia" w:ascii="Times New Roman" w:hAnsi="Times New Roman" w:cs="Times New Roman"/>
          <w:highlight w:val="none"/>
          <w:lang w:val="en-US" w:eastAsia="zh-CN"/>
        </w:rPr>
        <w:t>矿关闭退出工作</w:t>
      </w:r>
      <w:r>
        <w:rPr>
          <w:rFonts w:hint="eastAsia" w:ascii="Times New Roman" w:hAnsi="Times New Roman" w:cs="Times New Roman"/>
          <w:highlight w:val="none"/>
          <w:lang w:eastAsia="zh-CN"/>
        </w:rPr>
        <w:t>，</w:t>
      </w:r>
      <w:r>
        <w:rPr>
          <w:rFonts w:hint="eastAsia" w:cs="Times New Roman"/>
          <w:highlight w:val="none"/>
          <w:lang w:eastAsia="zh-CN"/>
        </w:rPr>
        <w:t>确定重庆市城口县百步梯锰业有限公司原址地块为疑似污染地块。</w:t>
      </w:r>
      <w:r>
        <w:rPr>
          <w:highlight w:val="none"/>
        </w:rPr>
        <w:t>严格土壤污染企业环境准入</w:t>
      </w:r>
      <w:r>
        <w:rPr>
          <w:rFonts w:hint="eastAsia"/>
          <w:highlight w:val="none"/>
          <w:lang w:eastAsia="zh-CN"/>
        </w:rPr>
        <w:t>，</w:t>
      </w:r>
      <w:r>
        <w:rPr>
          <w:rFonts w:hint="eastAsia"/>
          <w:highlight w:val="none"/>
          <w:lang w:val="en-US" w:eastAsia="zh-CN"/>
        </w:rPr>
        <w:t>依法对</w:t>
      </w:r>
      <w:r>
        <w:rPr>
          <w:rFonts w:hint="eastAsia"/>
          <w:highlight w:val="none"/>
          <w:lang w:eastAsia="zh-CN"/>
        </w:rPr>
        <w:t>24家锰钡矿企业</w:t>
      </w:r>
      <w:r>
        <w:rPr>
          <w:rFonts w:hint="eastAsia"/>
          <w:highlight w:val="none"/>
          <w:lang w:val="en-US" w:eastAsia="zh-CN"/>
        </w:rPr>
        <w:t>和</w:t>
      </w:r>
      <w:r>
        <w:rPr>
          <w:rFonts w:hint="eastAsia"/>
          <w:highlight w:val="none"/>
          <w:lang w:eastAsia="zh-CN"/>
        </w:rPr>
        <w:t>40个地块</w:t>
      </w:r>
      <w:r>
        <w:rPr>
          <w:rFonts w:hint="eastAsia"/>
          <w:highlight w:val="none"/>
          <w:lang w:val="en-US" w:eastAsia="zh-CN"/>
        </w:rPr>
        <w:t>开展</w:t>
      </w:r>
      <w:r>
        <w:rPr>
          <w:rFonts w:hint="eastAsia"/>
          <w:highlight w:val="none"/>
          <w:lang w:eastAsia="zh-CN"/>
        </w:rPr>
        <w:t>采样调查</w:t>
      </w:r>
      <w:r>
        <w:rPr>
          <w:rFonts w:hint="eastAsia"/>
          <w:highlight w:val="none"/>
          <w:lang w:val="en-US" w:eastAsia="zh-CN"/>
        </w:rPr>
        <w:t>工作</w:t>
      </w:r>
      <w:r>
        <w:rPr>
          <w:rFonts w:hint="eastAsia"/>
          <w:highlight w:val="none"/>
          <w:lang w:eastAsia="zh-CN"/>
        </w:rPr>
        <w:t>，初步完成全县锰矿和钡矿典型污染企业及污染因子分布图。</w:t>
      </w:r>
      <w:r>
        <w:rPr>
          <w:rFonts w:hint="eastAsia"/>
          <w:highlight w:val="none"/>
          <w:lang w:val="en-US" w:eastAsia="zh-CN"/>
        </w:rPr>
        <w:t>动</w:t>
      </w:r>
      <w:r>
        <w:rPr>
          <w:rFonts w:hint="eastAsia"/>
          <w:highlight w:val="none"/>
          <w:lang w:eastAsia="zh-CN"/>
        </w:rPr>
        <w:t>态更新土壤污染重点监管单位名录，明确重庆鲁渝矿业发展有限公司为城口县2020年土壤污染重点监管企业，督促落实土壤污染防治义务。</w:t>
      </w:r>
      <w:r>
        <w:rPr>
          <w:highlight w:val="none"/>
        </w:rPr>
        <w:t>实施农用地土壤污染防</w:t>
      </w:r>
      <w:r>
        <w:rPr>
          <w:rFonts w:hint="eastAsia"/>
          <w:highlight w:val="none"/>
          <w:lang w:val="en-US" w:eastAsia="zh-CN"/>
        </w:rPr>
        <w:t>控</w:t>
      </w:r>
      <w:r>
        <w:rPr>
          <w:highlight w:val="none"/>
        </w:rPr>
        <w:t>管理</w:t>
      </w:r>
      <w:r>
        <w:rPr>
          <w:rFonts w:hint="eastAsia"/>
          <w:highlight w:val="none"/>
          <w:lang w:eastAsia="zh-CN"/>
        </w:rPr>
        <w:t>，</w:t>
      </w:r>
      <w:r>
        <w:rPr>
          <w:rFonts w:cs="Times New Roman"/>
          <w:highlight w:val="none"/>
        </w:rPr>
        <w:t>完成农用地土壤环境监测网络和重点企业用地及其周边土壤环境监测网络建设，初步建立信息共享机制。</w:t>
      </w:r>
    </w:p>
    <w:p>
      <w:pPr>
        <w:bidi w:val="0"/>
        <w:rPr>
          <w:rFonts w:cs="Times New Roman"/>
          <w:highlight w:val="none"/>
        </w:rPr>
      </w:pPr>
      <w:bookmarkStart w:id="14" w:name="_Toc505807852"/>
      <w:r>
        <w:rPr>
          <w:rFonts w:cs="Times New Roman"/>
          <w:b/>
          <w:bCs/>
          <w:highlight w:val="none"/>
        </w:rPr>
        <w:t>农业农村</w:t>
      </w:r>
      <w:bookmarkEnd w:id="14"/>
      <w:r>
        <w:rPr>
          <w:rFonts w:cs="Times New Roman"/>
          <w:b/>
          <w:bCs/>
          <w:highlight w:val="none"/>
        </w:rPr>
        <w:t>生态环境保护取得积极进展</w:t>
      </w:r>
      <w:r>
        <w:rPr>
          <w:rFonts w:hint="eastAsia" w:cs="Times New Roman"/>
          <w:b/>
          <w:bCs/>
          <w:highlight w:val="none"/>
          <w:lang w:eastAsia="zh-CN"/>
        </w:rPr>
        <w:t>。</w:t>
      </w:r>
      <w:r>
        <w:rPr>
          <w:rFonts w:hint="eastAsia" w:cs="Times New Roman"/>
          <w:highlight w:val="none"/>
          <w:lang w:val="en-US" w:eastAsia="zh-CN"/>
        </w:rPr>
        <w:t>全面</w:t>
      </w:r>
      <w:r>
        <w:rPr>
          <w:rFonts w:hint="eastAsia" w:cs="Times New Roman"/>
          <w:b w:val="0"/>
          <w:bCs w:val="0"/>
          <w:highlight w:val="none"/>
        </w:rPr>
        <w:t>完成《农业农村污染治理攻坚战行动计划》确定的目标任务，</w:t>
      </w:r>
      <w:r>
        <w:rPr>
          <w:rFonts w:hint="eastAsia" w:cs="Times New Roman"/>
          <w:b w:val="0"/>
          <w:bCs w:val="0"/>
          <w:highlight w:val="none"/>
          <w:lang w:val="en-US" w:eastAsia="zh-CN"/>
        </w:rPr>
        <w:t>累计</w:t>
      </w:r>
      <w:r>
        <w:rPr>
          <w:rFonts w:hint="eastAsia" w:cs="Times New Roman"/>
          <w:b w:val="0"/>
          <w:bCs w:val="0"/>
          <w:highlight w:val="none"/>
        </w:rPr>
        <w:t>完成</w:t>
      </w:r>
      <w:r>
        <w:rPr>
          <w:rFonts w:hint="eastAsia" w:cs="Times New Roman"/>
          <w:highlight w:val="none"/>
          <w:lang w:val="en-US" w:eastAsia="zh-CN"/>
        </w:rPr>
        <w:t>73</w:t>
      </w:r>
      <w:r>
        <w:rPr>
          <w:rFonts w:hint="eastAsia" w:cs="Times New Roman"/>
          <w:highlight w:val="none"/>
        </w:rPr>
        <w:t>个行政村</w:t>
      </w:r>
      <w:r>
        <w:rPr>
          <w:rFonts w:hint="eastAsia" w:cs="Times New Roman"/>
          <w:highlight w:val="none"/>
          <w:lang w:val="en-US" w:eastAsia="zh-CN"/>
        </w:rPr>
        <w:t>环境综合</w:t>
      </w:r>
      <w:r>
        <w:rPr>
          <w:rFonts w:hint="eastAsia" w:cs="Times New Roman"/>
          <w:highlight w:val="none"/>
        </w:rPr>
        <w:t>整治</w:t>
      </w:r>
      <w:r>
        <w:rPr>
          <w:rFonts w:hint="eastAsia" w:cs="Times New Roman"/>
          <w:highlight w:val="none"/>
          <w:lang w:eastAsia="zh-CN"/>
        </w:rPr>
        <w:t>。</w:t>
      </w:r>
      <w:r>
        <w:rPr>
          <w:rFonts w:hint="eastAsia" w:cs="Times New Roman"/>
          <w:sz w:val="32"/>
          <w:szCs w:val="32"/>
          <w:highlight w:val="none"/>
          <w:lang w:val="en-US" w:eastAsia="zh-CN"/>
        </w:rPr>
        <w:t>建成24</w:t>
      </w:r>
      <w:r>
        <w:rPr>
          <w:rFonts w:hint="eastAsia" w:ascii="Times New Roman" w:hAnsi="Times New Roman" w:eastAsia="方正仿宋_GBK" w:cs="Times New Roman"/>
          <w:sz w:val="32"/>
          <w:szCs w:val="32"/>
          <w:highlight w:val="none"/>
        </w:rPr>
        <w:t>座农村</w:t>
      </w:r>
      <w:r>
        <w:rPr>
          <w:rFonts w:hint="eastAsia" w:cs="Times New Roman"/>
          <w:sz w:val="32"/>
          <w:szCs w:val="32"/>
          <w:highlight w:val="none"/>
          <w:lang w:val="en-US" w:eastAsia="zh-CN"/>
        </w:rPr>
        <w:t>生活</w:t>
      </w:r>
      <w:r>
        <w:rPr>
          <w:rFonts w:hint="eastAsia" w:ascii="Times New Roman" w:hAnsi="Times New Roman" w:eastAsia="方正仿宋_GBK" w:cs="Times New Roman"/>
          <w:sz w:val="32"/>
          <w:szCs w:val="32"/>
          <w:highlight w:val="none"/>
        </w:rPr>
        <w:t>污水处理设施，</w:t>
      </w:r>
      <w:r>
        <w:rPr>
          <w:b w:val="0"/>
          <w:bCs w:val="0"/>
          <w:highlight w:val="none"/>
        </w:rPr>
        <w:t>基本实现乡镇和常住人口1000人以上的聚居点集中式污水处理设施全覆盖</w:t>
      </w:r>
      <w:r>
        <w:rPr>
          <w:rFonts w:hint="eastAsia"/>
          <w:b w:val="0"/>
          <w:bCs w:val="0"/>
          <w:highlight w:val="none"/>
          <w:lang w:eastAsia="zh-CN"/>
        </w:rPr>
        <w:t>，</w:t>
      </w:r>
      <w:r>
        <w:rPr>
          <w:highlight w:val="none"/>
        </w:rPr>
        <w:t>完成9座乡镇污水处理厂提标扩改工程。</w:t>
      </w:r>
      <w:r>
        <w:rPr>
          <w:rFonts w:cs="Times New Roman"/>
          <w:highlight w:val="none"/>
        </w:rPr>
        <w:t>完成非正规农村生活垃圾堆放点整治工作</w:t>
      </w:r>
      <w:r>
        <w:rPr>
          <w:rFonts w:hint="eastAsia" w:cs="Times New Roman"/>
          <w:highlight w:val="none"/>
          <w:lang w:eastAsia="zh-CN"/>
        </w:rPr>
        <w:t>，</w:t>
      </w:r>
      <w:r>
        <w:rPr>
          <w:rFonts w:cs="Times New Roman"/>
          <w:highlight w:val="none"/>
        </w:rPr>
        <w:t>创建生活垃圾分类示范村25个，行政村生活垃圾治理率达到95%。主要农作物肥料利用率达到40%</w:t>
      </w:r>
      <w:r>
        <w:rPr>
          <w:rFonts w:hint="eastAsia" w:cs="Times New Roman"/>
          <w:highlight w:val="none"/>
          <w:lang w:eastAsia="zh-CN"/>
        </w:rPr>
        <w:t>，</w:t>
      </w:r>
      <w:r>
        <w:rPr>
          <w:rFonts w:cs="Times New Roman"/>
          <w:highlight w:val="none"/>
        </w:rPr>
        <w:t>规模养殖场粪污处理设施配套率达到95%</w:t>
      </w:r>
      <w:r>
        <w:rPr>
          <w:rFonts w:hint="eastAsia" w:cs="Times New Roman"/>
          <w:highlight w:val="none"/>
          <w:lang w:eastAsia="zh-CN"/>
        </w:rPr>
        <w:t>，</w:t>
      </w:r>
      <w:r>
        <w:rPr>
          <w:rFonts w:hint="eastAsia" w:cs="Times New Roman"/>
          <w:highlight w:val="none"/>
          <w:lang w:val="en-US" w:eastAsia="zh-CN"/>
        </w:rPr>
        <w:t>畜禽</w:t>
      </w:r>
      <w:r>
        <w:rPr>
          <w:rFonts w:cs="Times New Roman"/>
          <w:highlight w:val="none"/>
        </w:rPr>
        <w:t>粪污综合利用率</w:t>
      </w:r>
      <w:r>
        <w:rPr>
          <w:rFonts w:hint="eastAsia" w:cs="Times New Roman"/>
          <w:highlight w:val="none"/>
          <w:lang w:val="en-US" w:eastAsia="zh-CN"/>
        </w:rPr>
        <w:t>达到</w:t>
      </w:r>
      <w:r>
        <w:rPr>
          <w:rFonts w:cs="Times New Roman"/>
          <w:highlight w:val="none"/>
        </w:rPr>
        <w:t>8</w:t>
      </w:r>
      <w:r>
        <w:rPr>
          <w:rFonts w:hint="eastAsia" w:cs="Times New Roman"/>
          <w:highlight w:val="none"/>
          <w:lang w:val="en-US" w:eastAsia="zh-CN"/>
        </w:rPr>
        <w:t>2.17</w:t>
      </w:r>
      <w:r>
        <w:rPr>
          <w:rFonts w:cs="Times New Roman"/>
          <w:highlight w:val="none"/>
        </w:rPr>
        <w:t>%。</w:t>
      </w:r>
      <w:r>
        <w:rPr>
          <w:rFonts w:hint="eastAsia" w:cs="Times New Roman"/>
          <w:highlight w:val="none"/>
        </w:rPr>
        <w:t>农业农村环境监管能力</w:t>
      </w:r>
      <w:r>
        <w:rPr>
          <w:rFonts w:hint="eastAsia" w:cs="Times New Roman"/>
          <w:highlight w:val="none"/>
          <w:lang w:val="en-US" w:eastAsia="zh-CN"/>
        </w:rPr>
        <w:t>不断</w:t>
      </w:r>
      <w:r>
        <w:rPr>
          <w:rFonts w:hint="eastAsia" w:cs="Times New Roman"/>
          <w:highlight w:val="none"/>
        </w:rPr>
        <w:t>提升</w:t>
      </w:r>
      <w:r>
        <w:rPr>
          <w:rFonts w:hint="eastAsia" w:cs="Times New Roman"/>
          <w:highlight w:val="none"/>
          <w:lang w:eastAsia="zh-CN"/>
        </w:rPr>
        <w:t>，</w:t>
      </w:r>
      <w:r>
        <w:rPr>
          <w:rFonts w:hint="eastAsia" w:ascii="方正仿宋_GBK" w:hAnsi="方正仿宋_GBK" w:cs="方正仿宋_GBK"/>
          <w:color w:val="000000"/>
          <w:kern w:val="2"/>
          <w:sz w:val="32"/>
          <w:szCs w:val="32"/>
          <w:highlight w:val="none"/>
          <w:lang w:val="en-US" w:eastAsia="zh-CN"/>
        </w:rPr>
        <w:t>将</w:t>
      </w:r>
      <w:r>
        <w:rPr>
          <w:rFonts w:hint="eastAsia" w:ascii="方正仿宋_GBK" w:hAnsi="方正仿宋_GBK" w:eastAsia="方正仿宋_GBK" w:cs="方正仿宋_GBK"/>
          <w:color w:val="000000"/>
          <w:kern w:val="2"/>
          <w:sz w:val="32"/>
          <w:szCs w:val="32"/>
          <w:highlight w:val="none"/>
        </w:rPr>
        <w:t>农药经营</w:t>
      </w:r>
      <w:r>
        <w:rPr>
          <w:rFonts w:hint="eastAsia" w:ascii="方正仿宋_GBK" w:hAnsi="方正仿宋_GBK" w:cs="方正仿宋_GBK"/>
          <w:color w:val="000000"/>
          <w:kern w:val="2"/>
          <w:sz w:val="32"/>
          <w:szCs w:val="32"/>
          <w:highlight w:val="none"/>
          <w:lang w:val="en-US" w:eastAsia="zh-CN"/>
        </w:rPr>
        <w:t>者纳入</w:t>
      </w:r>
      <w:r>
        <w:rPr>
          <w:rFonts w:hint="eastAsia" w:ascii="方正仿宋_GBK" w:hAnsi="方正仿宋_GBK" w:eastAsia="方正仿宋_GBK" w:cs="方正仿宋_GBK"/>
          <w:color w:val="000000"/>
          <w:kern w:val="2"/>
          <w:sz w:val="32"/>
          <w:szCs w:val="32"/>
          <w:highlight w:val="none"/>
        </w:rPr>
        <w:t>重庆市农药监管平台</w:t>
      </w:r>
      <w:r>
        <w:rPr>
          <w:rFonts w:hint="eastAsia" w:ascii="方正仿宋_GBK" w:hAnsi="方正仿宋_GBK" w:cs="方正仿宋_GBK"/>
          <w:color w:val="000000"/>
          <w:kern w:val="2"/>
          <w:sz w:val="32"/>
          <w:szCs w:val="32"/>
          <w:highlight w:val="none"/>
          <w:lang w:eastAsia="zh-CN"/>
        </w:rPr>
        <w:t>，</w:t>
      </w:r>
      <w:r>
        <w:rPr>
          <w:rFonts w:hint="eastAsia" w:cs="Times New Roman"/>
          <w:highlight w:val="none"/>
          <w:lang w:val="en-US" w:eastAsia="zh-CN"/>
        </w:rPr>
        <w:t>实现</w:t>
      </w:r>
      <w:r>
        <w:rPr>
          <w:rFonts w:cs="Times New Roman"/>
          <w:highlight w:val="none"/>
        </w:rPr>
        <w:t>畜禽养殖建设项目信息化管理</w:t>
      </w:r>
      <w:r>
        <w:rPr>
          <w:rFonts w:hint="eastAsia" w:ascii="方正仿宋_GBK" w:hAnsi="方正仿宋_GBK" w:cs="方正仿宋_GBK"/>
          <w:color w:val="000000"/>
          <w:kern w:val="2"/>
          <w:sz w:val="32"/>
          <w:szCs w:val="32"/>
          <w:highlight w:val="none"/>
          <w:lang w:eastAsia="zh-CN"/>
        </w:rPr>
        <w:t>。</w:t>
      </w:r>
    </w:p>
    <w:p>
      <w:pPr>
        <w:bidi w:val="0"/>
        <w:rPr>
          <w:highlight w:val="none"/>
        </w:rPr>
      </w:pPr>
      <w:bookmarkStart w:id="15" w:name="_Toc50636597"/>
      <w:bookmarkStart w:id="16" w:name="_Toc50507145"/>
      <w:r>
        <w:rPr>
          <w:rFonts w:cs="Times New Roman"/>
          <w:b/>
          <w:bCs/>
          <w:highlight w:val="none"/>
        </w:rPr>
        <w:t>地下水环境</w:t>
      </w:r>
      <w:r>
        <w:rPr>
          <w:rFonts w:hint="eastAsia" w:cs="Times New Roman"/>
          <w:b/>
          <w:bCs/>
          <w:highlight w:val="none"/>
        </w:rPr>
        <w:t>污染</w:t>
      </w:r>
      <w:r>
        <w:rPr>
          <w:rFonts w:cs="Times New Roman"/>
          <w:b/>
          <w:bCs/>
          <w:highlight w:val="none"/>
        </w:rPr>
        <w:t>防治工作</w:t>
      </w:r>
      <w:r>
        <w:rPr>
          <w:rFonts w:hint="eastAsia" w:cs="Times New Roman"/>
          <w:b/>
          <w:bCs/>
          <w:highlight w:val="none"/>
          <w:lang w:val="en-US" w:eastAsia="zh-CN"/>
        </w:rPr>
        <w:t>稳步</w:t>
      </w:r>
      <w:r>
        <w:rPr>
          <w:rFonts w:cs="Times New Roman"/>
          <w:b/>
          <w:bCs/>
          <w:highlight w:val="none"/>
        </w:rPr>
        <w:t>推进</w:t>
      </w:r>
      <w:bookmarkEnd w:id="15"/>
      <w:bookmarkEnd w:id="16"/>
      <w:r>
        <w:rPr>
          <w:rFonts w:hint="eastAsia" w:cs="Times New Roman"/>
          <w:b/>
          <w:bCs/>
          <w:highlight w:val="none"/>
          <w:lang w:eastAsia="zh-CN"/>
        </w:rPr>
        <w:t>。</w:t>
      </w:r>
      <w:bookmarkStart w:id="17" w:name="OLE_LINK1"/>
      <w:bookmarkStart w:id="18" w:name="OLE_LINK2"/>
      <w:r>
        <w:rPr>
          <w:rFonts w:hint="eastAsia"/>
          <w:highlight w:val="none"/>
          <w:lang w:val="en-US" w:eastAsia="zh-CN"/>
        </w:rPr>
        <w:t>持续</w:t>
      </w:r>
      <w:r>
        <w:rPr>
          <w:highlight w:val="none"/>
        </w:rPr>
        <w:t>开展</w:t>
      </w:r>
      <w:r>
        <w:rPr>
          <w:rFonts w:hint="eastAsia"/>
          <w:highlight w:val="none"/>
        </w:rPr>
        <w:t>地下水型饮用</w:t>
      </w:r>
      <w:r>
        <w:rPr>
          <w:rFonts w:hint="eastAsia"/>
          <w:highlight w:val="none"/>
          <w:lang w:val="en-US" w:eastAsia="zh-CN"/>
        </w:rPr>
        <w:t>水</w:t>
      </w:r>
      <w:r>
        <w:rPr>
          <w:rFonts w:hint="eastAsia"/>
          <w:highlight w:val="none"/>
        </w:rPr>
        <w:t>水源和地下水重点污染源</w:t>
      </w:r>
      <w:r>
        <w:rPr>
          <w:rFonts w:hint="eastAsia"/>
          <w:highlight w:val="none"/>
          <w:lang w:eastAsia="zh-CN"/>
        </w:rPr>
        <w:t>（</w:t>
      </w:r>
      <w:r>
        <w:rPr>
          <w:rFonts w:hint="eastAsia"/>
          <w:highlight w:val="none"/>
        </w:rPr>
        <w:t>以下简称“双源”</w:t>
      </w:r>
      <w:r>
        <w:rPr>
          <w:rFonts w:hint="eastAsia"/>
          <w:highlight w:val="none"/>
          <w:lang w:eastAsia="zh-CN"/>
        </w:rPr>
        <w:t>）</w:t>
      </w:r>
      <w:r>
        <w:rPr>
          <w:rFonts w:hint="eastAsia"/>
          <w:highlight w:val="none"/>
        </w:rPr>
        <w:t>基础环境状况信息调查，</w:t>
      </w:r>
      <w:r>
        <w:rPr>
          <w:rFonts w:hint="eastAsia"/>
          <w:highlight w:val="none"/>
          <w:lang w:val="en-US" w:eastAsia="zh-CN"/>
        </w:rPr>
        <w:t>初步</w:t>
      </w:r>
      <w:r>
        <w:rPr>
          <w:rFonts w:hint="eastAsia"/>
          <w:highlight w:val="none"/>
        </w:rPr>
        <w:t>建立全县地下水型饮用水水源和</w:t>
      </w:r>
      <w:r>
        <w:rPr>
          <w:rFonts w:hint="eastAsia"/>
          <w:highlight w:val="none"/>
          <w:lang w:val="en-US" w:eastAsia="zh-CN"/>
        </w:rPr>
        <w:t>地下水</w:t>
      </w:r>
      <w:r>
        <w:rPr>
          <w:rFonts w:hint="eastAsia"/>
          <w:highlight w:val="none"/>
        </w:rPr>
        <w:t>重点污染源“双源”清单，掌握了“双源”基本信息，</w:t>
      </w:r>
      <w:r>
        <w:rPr>
          <w:highlight w:val="none"/>
        </w:rPr>
        <w:t>县域内暂未发现集中式地下水型饮用</w:t>
      </w:r>
      <w:r>
        <w:rPr>
          <w:rFonts w:hint="eastAsia"/>
          <w:highlight w:val="none"/>
          <w:lang w:val="en-US" w:eastAsia="zh-CN"/>
        </w:rPr>
        <w:t>水</w:t>
      </w:r>
      <w:r>
        <w:rPr>
          <w:highlight w:val="none"/>
        </w:rPr>
        <w:t>水源</w:t>
      </w:r>
      <w:r>
        <w:rPr>
          <w:rFonts w:hint="eastAsia"/>
          <w:highlight w:val="none"/>
          <w:lang w:eastAsia="zh-CN"/>
        </w:rPr>
        <w:t>，</w:t>
      </w:r>
      <w:r>
        <w:rPr>
          <w:rFonts w:hint="eastAsia"/>
          <w:highlight w:val="none"/>
          <w:lang w:val="en-US" w:eastAsia="zh-CN"/>
        </w:rPr>
        <w:t>完成了</w:t>
      </w:r>
      <w:r>
        <w:rPr>
          <w:highlight w:val="none"/>
        </w:rPr>
        <w:t>城口工业园区庙坝组团、巴山组团、高燕组团等</w:t>
      </w:r>
      <w:r>
        <w:rPr>
          <w:rFonts w:hint="eastAsia" w:ascii="Times New Roman" w:hAnsi="Times New Roman"/>
          <w:highlight w:val="none"/>
          <w:lang w:val="en-US" w:eastAsia="zh-CN"/>
        </w:rPr>
        <w:t>3个地下水重点污染源基础环境状况调查工作。</w:t>
      </w:r>
      <w:bookmarkEnd w:id="17"/>
      <w:bookmarkEnd w:id="18"/>
      <w:r>
        <w:rPr>
          <w:rFonts w:hint="eastAsia" w:ascii="Times New Roman" w:hAnsi="Times New Roman"/>
          <w:highlight w:val="none"/>
          <w:lang w:val="en-US" w:eastAsia="zh-CN"/>
        </w:rPr>
        <w:t>开展区域内加油站防渗处置工作，督导城口巴山加油站等13家加油站完成</w:t>
      </w:r>
      <w:r>
        <w:rPr>
          <w:highlight w:val="none"/>
        </w:rPr>
        <w:t>防渗漏设施改造。</w:t>
      </w:r>
    </w:p>
    <w:p>
      <w:pPr>
        <w:pStyle w:val="4"/>
        <w:bidi w:val="0"/>
        <w:rPr>
          <w:rFonts w:hint="eastAsia"/>
          <w:highlight w:val="none"/>
          <w:lang w:val="en-US" w:eastAsia="zh-CN"/>
        </w:rPr>
      </w:pPr>
      <w:bookmarkStart w:id="19" w:name="_Toc16382"/>
      <w:bookmarkStart w:id="20" w:name="_Toc10729"/>
      <w:r>
        <w:rPr>
          <w:highlight w:val="none"/>
        </w:rPr>
        <w:t>（二）</w:t>
      </w:r>
      <w:r>
        <w:rPr>
          <w:rFonts w:hint="eastAsia"/>
          <w:highlight w:val="none"/>
          <w:lang w:eastAsia="zh-CN"/>
        </w:rPr>
        <w:t>“</w:t>
      </w:r>
      <w:r>
        <w:rPr>
          <w:rFonts w:hint="eastAsia"/>
          <w:highlight w:val="none"/>
          <w:lang w:val="en-US" w:eastAsia="zh-CN"/>
        </w:rPr>
        <w:t>十四五</w:t>
      </w:r>
      <w:r>
        <w:rPr>
          <w:rFonts w:hint="eastAsia"/>
          <w:highlight w:val="none"/>
          <w:lang w:eastAsia="zh-CN"/>
        </w:rPr>
        <w:t>”</w:t>
      </w:r>
      <w:r>
        <w:rPr>
          <w:rFonts w:hint="eastAsia"/>
          <w:highlight w:val="none"/>
          <w:lang w:val="en-US" w:eastAsia="zh-CN"/>
        </w:rPr>
        <w:t>土壤生态环境保护</w:t>
      </w:r>
      <w:r>
        <w:rPr>
          <w:highlight w:val="none"/>
        </w:rPr>
        <w:t>工作</w:t>
      </w:r>
      <w:r>
        <w:rPr>
          <w:rFonts w:hint="eastAsia"/>
          <w:highlight w:val="none"/>
          <w:lang w:val="en-US" w:eastAsia="zh-CN"/>
        </w:rPr>
        <w:t>任重道远</w:t>
      </w:r>
      <w:bookmarkEnd w:id="19"/>
      <w:r>
        <w:rPr>
          <w:rFonts w:hint="eastAsia"/>
          <w:highlight w:val="none"/>
          <w:lang w:val="en-US" w:eastAsia="zh-CN"/>
        </w:rPr>
        <w:t>。</w:t>
      </w:r>
      <w:bookmarkEnd w:id="20"/>
    </w:p>
    <w:p>
      <w:pPr>
        <w:bidi w:val="0"/>
        <w:rPr>
          <w:highlight w:val="none"/>
        </w:rPr>
      </w:pPr>
      <w:r>
        <w:rPr>
          <w:rFonts w:hint="eastAsia" w:cs="Times New Roman"/>
          <w:b/>
          <w:bCs/>
          <w:highlight w:val="none"/>
          <w:lang w:val="en-US" w:eastAsia="zh-CN"/>
        </w:rPr>
        <w:t>建设用地</w:t>
      </w:r>
      <w:r>
        <w:rPr>
          <w:rFonts w:cs="Times New Roman"/>
          <w:b/>
          <w:bCs/>
          <w:highlight w:val="none"/>
        </w:rPr>
        <w:t>土壤污染防治压力凸显。</w:t>
      </w:r>
      <w:r>
        <w:rPr>
          <w:highlight w:val="none"/>
        </w:rPr>
        <w:t>城口县地处大巴山腹地，山高</w:t>
      </w:r>
      <w:r>
        <w:rPr>
          <w:rFonts w:hint="eastAsia"/>
          <w:highlight w:val="none"/>
        </w:rPr>
        <w:t>谷</w:t>
      </w:r>
      <w:r>
        <w:rPr>
          <w:highlight w:val="none"/>
        </w:rPr>
        <w:t>深，经济发展较为落后，</w:t>
      </w:r>
      <w:r>
        <w:rPr>
          <w:rFonts w:hint="eastAsia" w:ascii="方正仿宋_GBK" w:hAnsi="方正仿宋_GBK" w:eastAsia="方正仿宋_GBK" w:cs="方正仿宋_GBK"/>
          <w:color w:val="000000"/>
          <w:sz w:val="32"/>
          <w:szCs w:val="32"/>
          <w:highlight w:val="none"/>
        </w:rPr>
        <w:t>土壤工作起步晚</w:t>
      </w:r>
      <w:r>
        <w:rPr>
          <w:rFonts w:hint="eastAsia" w:ascii="方正仿宋_GBK" w:hAnsi="方正仿宋_GBK" w:cs="方正仿宋_GBK"/>
          <w:color w:val="000000"/>
          <w:sz w:val="32"/>
          <w:szCs w:val="32"/>
          <w:highlight w:val="none"/>
          <w:lang w:eastAsia="zh-CN"/>
        </w:rPr>
        <w:t>，</w:t>
      </w:r>
      <w:r>
        <w:rPr>
          <w:highlight w:val="none"/>
        </w:rPr>
        <w:t>土壤污染状况调查评估和治理修复所需的资金缺口</w:t>
      </w:r>
      <w:r>
        <w:rPr>
          <w:rFonts w:hint="eastAsia"/>
          <w:highlight w:val="none"/>
          <w:lang w:val="en-US" w:eastAsia="zh-CN"/>
        </w:rPr>
        <w:t>较</w:t>
      </w:r>
      <w:r>
        <w:rPr>
          <w:highlight w:val="none"/>
        </w:rPr>
        <w:t>大，技术支撑能力不足。根据锰钡矿典型污染初步调查结果</w:t>
      </w:r>
      <w:r>
        <w:rPr>
          <w:rFonts w:hint="eastAsia"/>
          <w:highlight w:val="none"/>
          <w:lang w:val="en-US" w:eastAsia="zh-CN"/>
        </w:rPr>
        <w:t>显示</w:t>
      </w:r>
      <w:r>
        <w:rPr>
          <w:highlight w:val="none"/>
        </w:rPr>
        <w:t>，城口县部分企业原址地块存在锰、钡、砷、铅等金属超标，工业企业地块土壤污染防治压力</w:t>
      </w:r>
      <w:r>
        <w:rPr>
          <w:rFonts w:hint="eastAsia"/>
          <w:highlight w:val="none"/>
        </w:rPr>
        <w:t>凸显。</w:t>
      </w:r>
    </w:p>
    <w:p>
      <w:pPr>
        <w:ind w:firstLine="643"/>
        <w:rPr>
          <w:rFonts w:cs="Times New Roman"/>
          <w:highlight w:val="none"/>
        </w:rPr>
      </w:pPr>
      <w:r>
        <w:rPr>
          <w:rFonts w:hint="eastAsia" w:cs="Times New Roman"/>
          <w:b/>
          <w:bCs/>
          <w:highlight w:val="none"/>
          <w:lang w:val="en-US" w:eastAsia="zh-CN"/>
        </w:rPr>
        <w:t>土壤和地下水污染源头管控难度大。</w:t>
      </w:r>
      <w:r>
        <w:rPr>
          <w:rFonts w:cs="Times New Roman"/>
          <w:highlight w:val="none"/>
        </w:rPr>
        <w:t>工业园区高燕组团的污水集中处理设施暂未建设，高燕河部分河段还存在锰浓度超标的风险。</w:t>
      </w:r>
      <w:r>
        <w:rPr>
          <w:rFonts w:hint="eastAsia" w:cs="Times New Roman"/>
          <w:highlight w:val="none"/>
          <w:lang w:eastAsia="zh-CN"/>
        </w:rPr>
        <w:t>水输入型</w:t>
      </w:r>
      <w:r>
        <w:rPr>
          <w:rFonts w:hint="eastAsia" w:cs="Times New Roman"/>
          <w:highlight w:val="none"/>
        </w:rPr>
        <w:t>耕地土壤污染长期累积，精准断源难度大，企业减排重金属的技术支撑能力不足。</w:t>
      </w:r>
      <w:r>
        <w:rPr>
          <w:highlight w:val="none"/>
        </w:rPr>
        <w:t>矿山治理修复任务艰巨</w:t>
      </w:r>
      <w:r>
        <w:rPr>
          <w:rFonts w:hint="eastAsia"/>
          <w:highlight w:val="none"/>
          <w:lang w:eastAsia="zh-CN"/>
        </w:rPr>
        <w:t>，</w:t>
      </w:r>
      <w:r>
        <w:rPr>
          <w:highlight w:val="none"/>
        </w:rPr>
        <w:t>全县尚存6</w:t>
      </w:r>
      <w:r>
        <w:rPr>
          <w:rFonts w:hint="eastAsia"/>
          <w:highlight w:val="none"/>
        </w:rPr>
        <w:t>0</w:t>
      </w:r>
      <w:r>
        <w:rPr>
          <w:highlight w:val="none"/>
        </w:rPr>
        <w:t>0余亩历史遗留矿山的环境治理和生态修复问题有待进一步解决</w:t>
      </w:r>
      <w:r>
        <w:rPr>
          <w:rFonts w:hint="eastAsia"/>
          <w:highlight w:val="none"/>
          <w:lang w:eastAsia="zh-CN"/>
        </w:rPr>
        <w:t>，</w:t>
      </w:r>
      <w:r>
        <w:rPr>
          <w:highlight w:val="none"/>
        </w:rPr>
        <w:t>尤其是政策性关闭的</w:t>
      </w:r>
      <w:r>
        <w:rPr>
          <w:rFonts w:hint="eastAsia"/>
          <w:highlight w:val="none"/>
          <w:lang w:val="en-US" w:eastAsia="zh-CN"/>
        </w:rPr>
        <w:t>锰矿</w:t>
      </w:r>
      <w:r>
        <w:rPr>
          <w:highlight w:val="none"/>
        </w:rPr>
        <w:t>治理修复问题亟需推进，矿渣弃土还存在随意堆放现象</w:t>
      </w:r>
      <w:r>
        <w:rPr>
          <w:rFonts w:hint="eastAsia"/>
          <w:highlight w:val="none"/>
          <w:lang w:eastAsia="zh-CN"/>
        </w:rPr>
        <w:t>，</w:t>
      </w:r>
      <w:r>
        <w:rPr>
          <w:highlight w:val="none"/>
        </w:rPr>
        <w:t>监管难度较大。</w:t>
      </w:r>
    </w:p>
    <w:p>
      <w:pPr>
        <w:bidi w:val="0"/>
        <w:rPr>
          <w:rFonts w:hint="eastAsia"/>
          <w:highlight w:val="none"/>
          <w:lang w:eastAsia="zh-CN"/>
        </w:rPr>
      </w:pPr>
      <w:r>
        <w:rPr>
          <w:rFonts w:hint="eastAsia" w:cs="Times New Roman"/>
          <w:b/>
          <w:bCs/>
          <w:highlight w:val="none"/>
          <w:lang w:val="en-US" w:eastAsia="zh-CN"/>
        </w:rPr>
        <w:t>农业农村生态环境保护任重道远。</w:t>
      </w:r>
      <w:r>
        <w:rPr>
          <w:highlight w:val="none"/>
        </w:rPr>
        <w:t>根据第二次全国污染源普查结果，</w:t>
      </w:r>
      <w:r>
        <w:rPr>
          <w:rFonts w:hint="eastAsia"/>
          <w:highlight w:val="none"/>
          <w:lang w:val="en-US" w:eastAsia="zh-CN"/>
        </w:rPr>
        <w:t>全</w:t>
      </w:r>
      <w:r>
        <w:rPr>
          <w:highlight w:val="none"/>
        </w:rPr>
        <w:t>县农业源化学需氧量排放量贡献率达到46.5%、总磷排放量贡献率达到57.2%，农业源污染排放十分突出。</w:t>
      </w:r>
      <w:r>
        <w:rPr>
          <w:rFonts w:hint="eastAsia"/>
          <w:highlight w:val="none"/>
          <w:lang w:val="en-US" w:eastAsia="zh-CN"/>
        </w:rPr>
        <w:t>全</w:t>
      </w:r>
      <w:r>
        <w:rPr>
          <w:highlight w:val="none"/>
        </w:rPr>
        <w:t>县宜耕土地主要集中在沿河两岸，乡镇、农村管网建设相对滞后，部分地区有效污水治理设施缺乏，农村生活污水散排现象依然较为严重，农村生活垃圾收运处置体系仍需进一步完善。禁养区养殖场和养殖户关闭搬迁资金缺口大。农业科技应用水平不高，人才结构性矛盾突出，增施有机肥、加强测土配方肥等农业技术有待进一步推广应用。</w:t>
      </w:r>
    </w:p>
    <w:p>
      <w:pPr>
        <w:bidi w:val="0"/>
        <w:rPr>
          <w:highlight w:val="none"/>
        </w:rPr>
      </w:pPr>
      <w:r>
        <w:rPr>
          <w:rFonts w:hint="eastAsia" w:cs="Times New Roman"/>
          <w:b/>
          <w:bCs/>
          <w:highlight w:val="none"/>
          <w:lang w:val="en-US" w:eastAsia="zh-CN"/>
        </w:rPr>
        <w:t>监管能力依然薄弱。</w:t>
      </w:r>
      <w:r>
        <w:rPr>
          <w:highlight w:val="none"/>
        </w:rPr>
        <w:t>土壤、农业农村与地下水生态环境监测能力薄弱，农用地土壤环境监测网络建设以及重点企业用地土壤环境监测网络建设尚未形成统一监测体系。全县土壤、农业农村与地下水生态环境管理机构不健全，人才队伍建设薄弱，环境执法仪器设备短缺，土壤与地下水污染风险管控和修复方面普遍缺乏技术基础和管理经验。</w:t>
      </w:r>
      <w:r>
        <w:rPr>
          <w:rFonts w:hint="eastAsia"/>
          <w:highlight w:val="none"/>
          <w:lang w:val="en-US" w:eastAsia="zh-CN"/>
        </w:rPr>
        <w:t>需加强</w:t>
      </w:r>
      <w:r>
        <w:rPr>
          <w:rFonts w:hint="eastAsia"/>
          <w:highlight w:val="none"/>
        </w:rPr>
        <w:t>有关部门对</w:t>
      </w:r>
      <w:r>
        <w:rPr>
          <w:highlight w:val="none"/>
        </w:rPr>
        <w:t>土壤、农业农村与地下水</w:t>
      </w:r>
      <w:r>
        <w:rPr>
          <w:rFonts w:hint="eastAsia"/>
          <w:highlight w:val="none"/>
        </w:rPr>
        <w:t>生态环境保护重视程度，</w:t>
      </w:r>
      <w:r>
        <w:rPr>
          <w:rFonts w:hint="eastAsia"/>
          <w:highlight w:val="none"/>
          <w:lang w:val="en-US" w:eastAsia="zh-CN"/>
        </w:rPr>
        <w:t>强化</w:t>
      </w:r>
      <w:r>
        <w:rPr>
          <w:rFonts w:hint="eastAsia"/>
          <w:highlight w:val="none"/>
        </w:rPr>
        <w:t>责任落实到位，</w:t>
      </w:r>
      <w:r>
        <w:rPr>
          <w:rFonts w:hint="eastAsia"/>
          <w:highlight w:val="none"/>
          <w:lang w:val="en-US" w:eastAsia="zh-CN"/>
        </w:rPr>
        <w:t>健全</w:t>
      </w:r>
      <w:r>
        <w:rPr>
          <w:rFonts w:hint="eastAsia"/>
          <w:highlight w:val="none"/>
        </w:rPr>
        <w:t>部门间联动监管、信息共享等齐抓共管的工作机制。</w:t>
      </w:r>
    </w:p>
    <w:p>
      <w:pPr>
        <w:pStyle w:val="3"/>
        <w:bidi w:val="0"/>
        <w:rPr>
          <w:highlight w:val="none"/>
        </w:rPr>
      </w:pPr>
      <w:bookmarkStart w:id="21" w:name="_Toc22359"/>
      <w:r>
        <w:rPr>
          <w:highlight w:val="none"/>
        </w:rPr>
        <w:t>二、总体要求</w:t>
      </w:r>
      <w:bookmarkEnd w:id="21"/>
    </w:p>
    <w:p>
      <w:pPr>
        <w:pStyle w:val="4"/>
        <w:bidi w:val="0"/>
        <w:rPr>
          <w:highlight w:val="none"/>
        </w:rPr>
      </w:pPr>
      <w:bookmarkStart w:id="22" w:name="_Toc861"/>
      <w:r>
        <w:rPr>
          <w:highlight w:val="none"/>
        </w:rPr>
        <w:fldChar w:fldCharType="begin"/>
      </w:r>
      <w:r>
        <w:rPr>
          <w:highlight w:val="none"/>
        </w:rPr>
        <w:instrText xml:space="preserve"> HYPERLINK \l "_Toc507189654"</w:instrText>
      </w:r>
      <w:r>
        <w:rPr>
          <w:highlight w:val="none"/>
        </w:rPr>
        <w:fldChar w:fldCharType="separate"/>
      </w:r>
      <w:r>
        <w:rPr>
          <w:highlight w:val="none"/>
        </w:rPr>
        <w:t>（一）指导思想</w:t>
      </w:r>
      <w:r>
        <w:rPr>
          <w:highlight w:val="none"/>
        </w:rPr>
        <w:fldChar w:fldCharType="end"/>
      </w:r>
      <w:r>
        <w:rPr>
          <w:highlight w:val="none"/>
        </w:rPr>
        <w:t>。</w:t>
      </w:r>
      <w:bookmarkEnd w:id="22"/>
    </w:p>
    <w:p>
      <w:pPr>
        <w:ind w:firstLine="640"/>
        <w:rPr>
          <w:rFonts w:cs="Times New Roman"/>
          <w:highlight w:val="none"/>
        </w:rPr>
      </w:pPr>
      <w:r>
        <w:rPr>
          <w:rFonts w:hint="eastAsia" w:cs="Times New Roman"/>
          <w:highlight w:val="none"/>
        </w:rPr>
        <w:t>以习近平新时代中国特色社会主义思想为指导，全面贯彻党的十九大和十九届历次全会</w:t>
      </w:r>
      <w:r>
        <w:rPr>
          <w:rFonts w:hint="eastAsia" w:cs="Times New Roman"/>
          <w:highlight w:val="none"/>
          <w:lang w:eastAsia="zh-CN"/>
        </w:rPr>
        <w:t>、</w:t>
      </w:r>
      <w:r>
        <w:rPr>
          <w:rFonts w:hint="eastAsia" w:cs="Times New Roman"/>
          <w:highlight w:val="none"/>
          <w:lang w:val="en-US" w:eastAsia="zh-CN"/>
        </w:rPr>
        <w:t>二十大和二十届一中全会精神</w:t>
      </w:r>
      <w:r>
        <w:rPr>
          <w:rFonts w:hint="eastAsia" w:cs="Times New Roman"/>
          <w:highlight w:val="none"/>
        </w:rPr>
        <w:t>，深入贯彻习近平生态文明思想，坚定不移推进生态文明建设</w:t>
      </w:r>
      <w:r>
        <w:rPr>
          <w:rFonts w:hint="eastAsia" w:cs="Times New Roman"/>
          <w:highlight w:val="none"/>
          <w:lang w:eastAsia="zh-CN"/>
        </w:rPr>
        <w:t>，</w:t>
      </w:r>
      <w:r>
        <w:rPr>
          <w:rFonts w:hint="eastAsia" w:cs="Times New Roman"/>
          <w:highlight w:val="none"/>
        </w:rPr>
        <w:t>始终保持加强生态文明建设的战略定力</w:t>
      </w:r>
      <w:r>
        <w:rPr>
          <w:rFonts w:hint="eastAsia" w:cs="Times New Roman"/>
          <w:highlight w:val="none"/>
          <w:lang w:eastAsia="zh-CN"/>
        </w:rPr>
        <w:t>，</w:t>
      </w:r>
      <w:r>
        <w:rPr>
          <w:rFonts w:hint="eastAsia" w:cs="Times New Roman"/>
          <w:highlight w:val="none"/>
        </w:rPr>
        <w:t>紧扣党的二十大关于“推动绿色发展，促进人与自然和谐共生”的战略部署，围绕统筹产业结构调整、污染治理、生态保护、应对气候变化，推进生态优先、节约集约、绿色低碳发展，突出加快发展方式绿色转型，深入推进环境污染防治，提升生态系统多样性、稳定性、持续性，守住守好生态环境安全稳定底线</w:t>
      </w:r>
      <w:r>
        <w:rPr>
          <w:rFonts w:hint="eastAsia" w:cs="Times New Roman"/>
          <w:highlight w:val="none"/>
          <w:lang w:eastAsia="zh-CN"/>
        </w:rPr>
        <w:t>，</w:t>
      </w:r>
      <w:r>
        <w:rPr>
          <w:rFonts w:hint="eastAsia" w:cs="Times New Roman"/>
          <w:highlight w:val="none"/>
        </w:rPr>
        <w:t>保障城乡人居环境安全、农产品质量安全、地下水生态环境安全，</w:t>
      </w:r>
      <w:r>
        <w:rPr>
          <w:rFonts w:cs="Times New Roman"/>
          <w:highlight w:val="none"/>
        </w:rPr>
        <w:t>为谱写生态美产业兴百姓富新篇章、加快建设山清水秀美丽城口奠定</w:t>
      </w:r>
      <w:r>
        <w:rPr>
          <w:rFonts w:hint="eastAsia" w:cs="Times New Roman"/>
          <w:highlight w:val="none"/>
        </w:rPr>
        <w:t>坚实</w:t>
      </w:r>
      <w:r>
        <w:rPr>
          <w:rFonts w:cs="Times New Roman"/>
          <w:highlight w:val="none"/>
        </w:rPr>
        <w:t>的基础。</w:t>
      </w:r>
    </w:p>
    <w:p>
      <w:pPr>
        <w:pStyle w:val="4"/>
        <w:bidi w:val="0"/>
        <w:rPr>
          <w:highlight w:val="none"/>
        </w:rPr>
      </w:pPr>
      <w:bookmarkStart w:id="23" w:name="_Toc26186"/>
      <w:r>
        <w:rPr>
          <w:highlight w:val="none"/>
        </w:rPr>
        <w:fldChar w:fldCharType="begin"/>
      </w:r>
      <w:r>
        <w:rPr>
          <w:highlight w:val="none"/>
        </w:rPr>
        <w:instrText xml:space="preserve"> HYPERLINK \l "_Toc507189655"</w:instrText>
      </w:r>
      <w:r>
        <w:rPr>
          <w:highlight w:val="none"/>
        </w:rPr>
        <w:fldChar w:fldCharType="separate"/>
      </w:r>
      <w:r>
        <w:rPr>
          <w:highlight w:val="none"/>
        </w:rPr>
        <w:t>（二）基本原则</w:t>
      </w:r>
      <w:r>
        <w:rPr>
          <w:highlight w:val="none"/>
        </w:rPr>
        <w:fldChar w:fldCharType="end"/>
      </w:r>
      <w:r>
        <w:rPr>
          <w:highlight w:val="none"/>
        </w:rPr>
        <w:t>。</w:t>
      </w:r>
      <w:bookmarkEnd w:id="23"/>
    </w:p>
    <w:p>
      <w:pPr>
        <w:ind w:firstLine="640"/>
        <w:rPr>
          <w:rFonts w:cs="Times New Roman"/>
          <w:highlight w:val="none"/>
        </w:rPr>
      </w:pPr>
      <w:r>
        <w:rPr>
          <w:rFonts w:hint="eastAsia" w:cs="Times New Roman"/>
          <w:szCs w:val="32"/>
          <w:highlight w:val="none"/>
        </w:rPr>
        <w:t>坚持</w:t>
      </w:r>
      <w:r>
        <w:rPr>
          <w:rFonts w:cs="Times New Roman"/>
          <w:highlight w:val="none"/>
        </w:rPr>
        <w:t>保护优先</w:t>
      </w:r>
      <w:r>
        <w:rPr>
          <w:rFonts w:hint="eastAsia" w:cs="Times New Roman"/>
          <w:highlight w:val="none"/>
        </w:rPr>
        <w:t>、</w:t>
      </w:r>
      <w:r>
        <w:rPr>
          <w:rFonts w:cs="Times New Roman"/>
          <w:highlight w:val="none"/>
        </w:rPr>
        <w:t>预防为主。理顺源头预防压力传导机制，切断污染物进入土壤、地下水环境的途径。强化农村环境整治，深入实施农药化肥减量化，推进农业生产清洁化、产业模式生态化。</w:t>
      </w:r>
    </w:p>
    <w:p>
      <w:pPr>
        <w:ind w:firstLine="640"/>
        <w:rPr>
          <w:rFonts w:cs="Times New Roman"/>
          <w:highlight w:val="none"/>
        </w:rPr>
      </w:pPr>
      <w:r>
        <w:rPr>
          <w:rFonts w:hint="eastAsia" w:cs="Times New Roman"/>
          <w:highlight w:val="none"/>
        </w:rPr>
        <w:t>坚持</w:t>
      </w:r>
      <w:r>
        <w:rPr>
          <w:rFonts w:cs="Times New Roman"/>
          <w:highlight w:val="none"/>
        </w:rPr>
        <w:t>因地制宜</w:t>
      </w:r>
      <w:r>
        <w:rPr>
          <w:rFonts w:hint="eastAsia" w:cs="Times New Roman"/>
          <w:highlight w:val="none"/>
        </w:rPr>
        <w:t>、</w:t>
      </w:r>
      <w:r>
        <w:rPr>
          <w:rFonts w:cs="Times New Roman"/>
          <w:highlight w:val="none"/>
        </w:rPr>
        <w:t>精准施策。</w:t>
      </w:r>
      <w:r>
        <w:rPr>
          <w:rFonts w:hint="eastAsia" w:cs="Times New Roman"/>
          <w:highlight w:val="none"/>
        </w:rPr>
        <w:t>聚焦生态环境突出问题和薄弱环节，</w:t>
      </w:r>
      <w:r>
        <w:rPr>
          <w:rFonts w:cs="Times New Roman"/>
          <w:highlight w:val="none"/>
        </w:rPr>
        <w:t>结合</w:t>
      </w:r>
      <w:r>
        <w:rPr>
          <w:rFonts w:hint="eastAsia" w:cs="Times New Roman"/>
          <w:highlight w:val="none"/>
        </w:rPr>
        <w:t>城口县</w:t>
      </w:r>
      <w:r>
        <w:rPr>
          <w:rFonts w:cs="Times New Roman"/>
          <w:highlight w:val="none"/>
        </w:rPr>
        <w:t>自然条件</w:t>
      </w:r>
      <w:r>
        <w:rPr>
          <w:rFonts w:hint="eastAsia" w:cs="Times New Roman"/>
          <w:highlight w:val="none"/>
        </w:rPr>
        <w:t>和</w:t>
      </w:r>
      <w:r>
        <w:rPr>
          <w:rFonts w:cs="Times New Roman"/>
          <w:highlight w:val="none"/>
        </w:rPr>
        <w:t>经济社会发展水平，因地制宜制定土壤、农业农村与地下水污染防治措施，</w:t>
      </w:r>
      <w:r>
        <w:rPr>
          <w:rFonts w:hint="eastAsia" w:cs="Times New Roman"/>
          <w:highlight w:val="none"/>
        </w:rPr>
        <w:t>台账式、清单化推进治理修复工作</w:t>
      </w:r>
      <w:r>
        <w:rPr>
          <w:rFonts w:cs="Times New Roman"/>
          <w:highlight w:val="none"/>
        </w:rPr>
        <w:t>。</w:t>
      </w:r>
    </w:p>
    <w:p>
      <w:pPr>
        <w:ind w:firstLine="640"/>
        <w:rPr>
          <w:rFonts w:cs="Times New Roman"/>
          <w:highlight w:val="none"/>
        </w:rPr>
      </w:pPr>
      <w:r>
        <w:rPr>
          <w:rFonts w:hint="eastAsia" w:cs="Times New Roman"/>
          <w:highlight w:val="none"/>
        </w:rPr>
        <w:t>坚持</w:t>
      </w:r>
      <w:r>
        <w:rPr>
          <w:rFonts w:cs="Times New Roman"/>
          <w:highlight w:val="none"/>
        </w:rPr>
        <w:t>科学减排</w:t>
      </w:r>
      <w:r>
        <w:rPr>
          <w:rFonts w:hint="eastAsia" w:cs="Times New Roman"/>
          <w:highlight w:val="none"/>
        </w:rPr>
        <w:t>、系统</w:t>
      </w:r>
      <w:r>
        <w:rPr>
          <w:rFonts w:cs="Times New Roman"/>
          <w:highlight w:val="none"/>
        </w:rPr>
        <w:t>治理。</w:t>
      </w:r>
      <w:r>
        <w:rPr>
          <w:rFonts w:hint="eastAsia" w:cs="Times New Roman"/>
          <w:highlight w:val="none"/>
        </w:rPr>
        <w:t>实事求是、科学合理地设定目标，分级、分类管控受污染的建设用地，稳步推进农业农村污染治理，探索开展地下水污染治理修复，系统、协同推进水、气、土、固体废物、农业农村污染治理</w:t>
      </w:r>
      <w:r>
        <w:rPr>
          <w:rFonts w:cs="Times New Roman"/>
          <w:highlight w:val="none"/>
        </w:rPr>
        <w:t>。</w:t>
      </w:r>
    </w:p>
    <w:p>
      <w:pPr>
        <w:ind w:firstLine="640"/>
        <w:rPr>
          <w:rFonts w:cs="Times New Roman"/>
          <w:highlight w:val="none"/>
        </w:rPr>
      </w:pPr>
      <w:r>
        <w:rPr>
          <w:rFonts w:hint="eastAsia" w:cs="Times New Roman"/>
          <w:highlight w:val="none"/>
        </w:rPr>
        <w:t>坚持</w:t>
      </w:r>
      <w:r>
        <w:rPr>
          <w:rFonts w:cs="Times New Roman"/>
          <w:highlight w:val="none"/>
        </w:rPr>
        <w:t>强化监管</w:t>
      </w:r>
      <w:r>
        <w:rPr>
          <w:rFonts w:hint="eastAsia" w:cs="Times New Roman"/>
          <w:highlight w:val="none"/>
        </w:rPr>
        <w:t>、</w:t>
      </w:r>
      <w:r>
        <w:rPr>
          <w:rFonts w:cs="Times New Roman"/>
          <w:highlight w:val="none"/>
        </w:rPr>
        <w:t>依法治污。建立监管有效的工作机制，加强执法能力建设，强化</w:t>
      </w:r>
      <w:r>
        <w:rPr>
          <w:rFonts w:hint="eastAsia" w:cs="Times New Roman"/>
          <w:highlight w:val="none"/>
        </w:rPr>
        <w:t>“</w:t>
      </w:r>
      <w:r>
        <w:rPr>
          <w:rFonts w:cs="Times New Roman"/>
          <w:highlight w:val="none"/>
        </w:rPr>
        <w:t>污染者担责</w:t>
      </w:r>
      <w:r>
        <w:rPr>
          <w:rFonts w:hint="eastAsia" w:cs="Times New Roman"/>
          <w:highlight w:val="none"/>
        </w:rPr>
        <w:t>”</w:t>
      </w:r>
      <w:r>
        <w:rPr>
          <w:rFonts w:cs="Times New Roman"/>
          <w:highlight w:val="none"/>
        </w:rPr>
        <w:t>。完善环境监测网络，健全污染防治大数据平台，提升污染治理科学化、智慧化水平，强化科技支撑能力。</w:t>
      </w:r>
    </w:p>
    <w:p>
      <w:pPr>
        <w:pStyle w:val="4"/>
        <w:bidi w:val="0"/>
        <w:rPr>
          <w:highlight w:val="none"/>
        </w:rPr>
      </w:pPr>
      <w:bookmarkStart w:id="24" w:name="_Toc15542"/>
      <w:r>
        <w:rPr>
          <w:highlight w:val="none"/>
        </w:rPr>
        <w:fldChar w:fldCharType="begin"/>
      </w:r>
      <w:r>
        <w:rPr>
          <w:highlight w:val="none"/>
        </w:rPr>
        <w:instrText xml:space="preserve"> HYPERLINK \l "_Toc507189656"</w:instrText>
      </w:r>
      <w:r>
        <w:rPr>
          <w:highlight w:val="none"/>
        </w:rPr>
        <w:fldChar w:fldCharType="separate"/>
      </w:r>
      <w:r>
        <w:rPr>
          <w:highlight w:val="none"/>
        </w:rPr>
        <w:t>（三）主要</w:t>
      </w:r>
      <w:r>
        <w:rPr>
          <w:rFonts w:hint="eastAsia"/>
          <w:highlight w:val="none"/>
        </w:rPr>
        <w:t>目标</w:t>
      </w:r>
      <w:r>
        <w:rPr>
          <w:highlight w:val="none"/>
        </w:rPr>
        <w:t>。</w:t>
      </w:r>
      <w:r>
        <w:rPr>
          <w:highlight w:val="none"/>
        </w:rPr>
        <w:fldChar w:fldCharType="end"/>
      </w:r>
      <w:bookmarkEnd w:id="24"/>
    </w:p>
    <w:p>
      <w:pPr>
        <w:ind w:firstLine="640"/>
        <w:rPr>
          <w:highlight w:val="none"/>
        </w:rPr>
      </w:pPr>
      <w:r>
        <w:rPr>
          <w:highlight w:val="none"/>
        </w:rPr>
        <w:t>到2025年，</w:t>
      </w:r>
      <w:r>
        <w:rPr>
          <w:rFonts w:hint="eastAsia"/>
          <w:highlight w:val="none"/>
        </w:rPr>
        <w:t>全</w:t>
      </w:r>
      <w:r>
        <w:rPr>
          <w:highlight w:val="none"/>
        </w:rPr>
        <w:t>县土壤和地下水环境质量总体保持稳定，受污染耕地安全利用率达到国家和重庆市考核要求，重点建设用地安全利用得到有效保障。农业面源污染得到初步管控，农村生态环境基础设施建设和运行稳步推进，生产生活方式绿色转型成效显著，农村生态环境</w:t>
      </w:r>
      <w:r>
        <w:rPr>
          <w:rFonts w:hint="eastAsia"/>
          <w:highlight w:val="none"/>
        </w:rPr>
        <w:t>持续</w:t>
      </w:r>
      <w:r>
        <w:rPr>
          <w:highlight w:val="none"/>
        </w:rPr>
        <w:t>改善</w:t>
      </w:r>
      <w:r>
        <w:rPr>
          <w:rFonts w:hint="eastAsia"/>
          <w:highlight w:val="none"/>
        </w:rPr>
        <w:t>。</w:t>
      </w:r>
    </w:p>
    <w:p>
      <w:pPr>
        <w:ind w:firstLine="640"/>
        <w:rPr>
          <w:highlight w:val="none"/>
        </w:rPr>
      </w:pPr>
      <w:r>
        <w:rPr>
          <w:rFonts w:hint="eastAsia"/>
          <w:highlight w:val="none"/>
        </w:rPr>
        <w:t>到</w:t>
      </w:r>
      <w:r>
        <w:rPr>
          <w:highlight w:val="none"/>
        </w:rPr>
        <w:t>2035</w:t>
      </w:r>
      <w:r>
        <w:rPr>
          <w:rFonts w:hint="eastAsia"/>
          <w:highlight w:val="none"/>
        </w:rPr>
        <w:t>年，全</w:t>
      </w:r>
      <w:r>
        <w:rPr>
          <w:highlight w:val="none"/>
        </w:rPr>
        <w:t>县土壤和地下水环境质量</w:t>
      </w:r>
      <w:r>
        <w:rPr>
          <w:rFonts w:hint="eastAsia"/>
          <w:highlight w:val="none"/>
        </w:rPr>
        <w:t>稳中向好，农用地和重点建设用地土壤环境安全得到有效保障，土壤环境风险得到全面管控。农业面源污染得以有效遏制，农村环境基础设施得以完善，农村生态环境得以根本好转。</w:t>
      </w:r>
    </w:p>
    <w:p>
      <w:pPr>
        <w:spacing w:before="50" w:after="50"/>
        <w:ind w:firstLine="0" w:firstLineChars="0"/>
        <w:jc w:val="center"/>
        <w:rPr>
          <w:sz w:val="28"/>
          <w:szCs w:val="28"/>
          <w:highlight w:val="none"/>
        </w:rPr>
      </w:pPr>
      <w:r>
        <w:rPr>
          <w:rFonts w:hint="eastAsia" w:ascii="方正黑体_GBK" w:hAnsi="方正仿宋_GBK" w:eastAsia="方正黑体_GBK" w:cs="方正仿宋_GBK"/>
          <w:bCs/>
          <w:sz w:val="28"/>
          <w:szCs w:val="28"/>
          <w:highlight w:val="none"/>
        </w:rPr>
        <w:t>“十四五”土壤、农业农村和地下水生态环境保护主要指标</w:t>
      </w:r>
    </w:p>
    <w:tbl>
      <w:tblPr>
        <w:tblStyle w:val="23"/>
        <w:tblW w:w="85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77"/>
        <w:gridCol w:w="3068"/>
        <w:gridCol w:w="1524"/>
        <w:gridCol w:w="1568"/>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tblHeader/>
          <w:jc w:val="center"/>
        </w:trPr>
        <w:tc>
          <w:tcPr>
            <w:tcW w:w="1177" w:type="dxa"/>
            <w:tcBorders>
              <w:tl2br w:val="nil"/>
              <w:tr2bl w:val="nil"/>
            </w:tcBorders>
            <w:vAlign w:val="center"/>
          </w:tcPr>
          <w:p>
            <w:pPr>
              <w:pStyle w:val="39"/>
              <w:jc w:val="center"/>
              <w:rPr>
                <w:rFonts w:cs="Times New Roman"/>
                <w:b/>
                <w:sz w:val="28"/>
                <w:szCs w:val="28"/>
                <w:highlight w:val="none"/>
              </w:rPr>
            </w:pPr>
            <w:r>
              <w:rPr>
                <w:rFonts w:cs="Times New Roman"/>
                <w:b/>
                <w:sz w:val="28"/>
                <w:szCs w:val="28"/>
                <w:highlight w:val="none"/>
              </w:rPr>
              <w:t>类  型</w:t>
            </w:r>
          </w:p>
        </w:tc>
        <w:tc>
          <w:tcPr>
            <w:tcW w:w="3068" w:type="dxa"/>
            <w:tcBorders>
              <w:tl2br w:val="nil"/>
              <w:tr2bl w:val="nil"/>
            </w:tcBorders>
            <w:vAlign w:val="center"/>
          </w:tcPr>
          <w:p>
            <w:pPr>
              <w:pStyle w:val="39"/>
              <w:jc w:val="center"/>
              <w:rPr>
                <w:rFonts w:cs="Times New Roman"/>
                <w:b/>
                <w:sz w:val="28"/>
                <w:szCs w:val="28"/>
                <w:highlight w:val="none"/>
              </w:rPr>
            </w:pPr>
            <w:r>
              <w:rPr>
                <w:rFonts w:cs="Times New Roman"/>
                <w:b/>
                <w:sz w:val="28"/>
                <w:szCs w:val="28"/>
                <w:highlight w:val="none"/>
              </w:rPr>
              <w:t>指标名称</w:t>
            </w:r>
          </w:p>
        </w:tc>
        <w:tc>
          <w:tcPr>
            <w:tcW w:w="1524" w:type="dxa"/>
            <w:tcBorders>
              <w:tl2br w:val="nil"/>
              <w:tr2bl w:val="nil"/>
            </w:tcBorders>
            <w:vAlign w:val="center"/>
          </w:tcPr>
          <w:p>
            <w:pPr>
              <w:pStyle w:val="39"/>
              <w:ind w:firstLine="0" w:firstLineChars="0"/>
              <w:jc w:val="center"/>
              <w:rPr>
                <w:rFonts w:cs="Times New Roman"/>
                <w:b/>
                <w:sz w:val="28"/>
                <w:szCs w:val="28"/>
                <w:highlight w:val="none"/>
              </w:rPr>
            </w:pPr>
            <w:r>
              <w:rPr>
                <w:rFonts w:cs="Times New Roman"/>
                <w:b/>
                <w:sz w:val="28"/>
                <w:szCs w:val="28"/>
                <w:highlight w:val="none"/>
              </w:rPr>
              <w:t>2020年</w:t>
            </w:r>
            <w:r>
              <w:rPr>
                <w:rFonts w:hint="eastAsia" w:cs="Times New Roman"/>
                <w:b/>
                <w:sz w:val="28"/>
                <w:szCs w:val="28"/>
                <w:highlight w:val="none"/>
                <w:lang w:val="en-US" w:eastAsia="zh-CN"/>
              </w:rPr>
              <w:t>实际</w:t>
            </w:r>
          </w:p>
        </w:tc>
        <w:tc>
          <w:tcPr>
            <w:tcW w:w="1568" w:type="dxa"/>
            <w:tcBorders>
              <w:tl2br w:val="nil"/>
              <w:tr2bl w:val="nil"/>
            </w:tcBorders>
            <w:vAlign w:val="center"/>
          </w:tcPr>
          <w:p>
            <w:pPr>
              <w:pStyle w:val="39"/>
              <w:ind w:firstLine="0" w:firstLineChars="0"/>
              <w:jc w:val="center"/>
              <w:rPr>
                <w:rFonts w:cs="Times New Roman"/>
                <w:b/>
                <w:sz w:val="28"/>
                <w:szCs w:val="28"/>
                <w:highlight w:val="none"/>
              </w:rPr>
            </w:pPr>
            <w:r>
              <w:rPr>
                <w:rFonts w:cs="Times New Roman"/>
                <w:b/>
                <w:sz w:val="28"/>
                <w:szCs w:val="28"/>
                <w:highlight w:val="none"/>
              </w:rPr>
              <w:t>2025年</w:t>
            </w:r>
            <w:r>
              <w:rPr>
                <w:rFonts w:hint="eastAsia" w:cs="Times New Roman"/>
                <w:b/>
                <w:sz w:val="28"/>
                <w:szCs w:val="28"/>
                <w:highlight w:val="none"/>
                <w:lang w:val="en-US" w:eastAsia="zh-CN"/>
              </w:rPr>
              <w:t>目标</w:t>
            </w:r>
          </w:p>
        </w:tc>
        <w:tc>
          <w:tcPr>
            <w:tcW w:w="1260" w:type="dxa"/>
            <w:tcBorders>
              <w:tl2br w:val="nil"/>
              <w:tr2bl w:val="nil"/>
            </w:tcBorders>
            <w:vAlign w:val="center"/>
          </w:tcPr>
          <w:p>
            <w:pPr>
              <w:pStyle w:val="39"/>
              <w:jc w:val="center"/>
              <w:rPr>
                <w:rFonts w:cs="Times New Roman"/>
                <w:b/>
                <w:sz w:val="28"/>
                <w:szCs w:val="28"/>
                <w:highlight w:val="none"/>
              </w:rPr>
            </w:pPr>
            <w:r>
              <w:rPr>
                <w:rFonts w:cs="Times New Roman"/>
                <w:b/>
                <w:sz w:val="28"/>
                <w:szCs w:val="28"/>
                <w:highlight w:val="none"/>
              </w:rPr>
              <w:t>指标属性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77" w:type="dxa"/>
            <w:vMerge w:val="restart"/>
            <w:tcBorders>
              <w:tl2br w:val="nil"/>
              <w:tr2bl w:val="nil"/>
            </w:tcBorders>
            <w:vAlign w:val="center"/>
          </w:tcPr>
          <w:p>
            <w:pPr>
              <w:spacing w:line="240" w:lineRule="auto"/>
              <w:ind w:firstLine="0" w:firstLineChars="0"/>
              <w:jc w:val="center"/>
              <w:rPr>
                <w:rFonts w:cs="Times New Roman"/>
                <w:sz w:val="28"/>
                <w:szCs w:val="28"/>
                <w:highlight w:val="none"/>
              </w:rPr>
            </w:pPr>
            <w:r>
              <w:rPr>
                <w:rFonts w:cs="Times New Roman"/>
                <w:sz w:val="28"/>
                <w:szCs w:val="28"/>
                <w:highlight w:val="none"/>
              </w:rPr>
              <w:t>土壤</w:t>
            </w:r>
          </w:p>
        </w:tc>
        <w:tc>
          <w:tcPr>
            <w:tcW w:w="30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受污染耕地安全利用率</w:t>
            </w:r>
          </w:p>
        </w:tc>
        <w:tc>
          <w:tcPr>
            <w:tcW w:w="1524" w:type="dxa"/>
            <w:tcBorders>
              <w:tl2br w:val="nil"/>
              <w:tr2bl w:val="nil"/>
            </w:tcBorders>
            <w:vAlign w:val="center"/>
          </w:tcPr>
          <w:p>
            <w:pPr>
              <w:pStyle w:val="39"/>
              <w:jc w:val="center"/>
              <w:rPr>
                <w:rFonts w:cs="Times New Roman"/>
                <w:sz w:val="28"/>
                <w:szCs w:val="28"/>
                <w:highlight w:val="none"/>
              </w:rPr>
            </w:pPr>
            <w:r>
              <w:rPr>
                <w:rFonts w:hint="eastAsia" w:cs="Times New Roman"/>
                <w:sz w:val="28"/>
                <w:szCs w:val="28"/>
                <w:highlight w:val="none"/>
                <w:lang w:val="en-US" w:eastAsia="zh-CN"/>
              </w:rPr>
              <w:t>90</w:t>
            </w:r>
            <w:r>
              <w:rPr>
                <w:rFonts w:cs="Times New Roman"/>
                <w:sz w:val="28"/>
                <w:szCs w:val="28"/>
                <w:highlight w:val="none"/>
              </w:rPr>
              <w:t>%</w:t>
            </w:r>
          </w:p>
        </w:tc>
        <w:tc>
          <w:tcPr>
            <w:tcW w:w="15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9</w:t>
            </w:r>
            <w:r>
              <w:rPr>
                <w:rFonts w:hint="eastAsia" w:cs="Times New Roman"/>
                <w:sz w:val="28"/>
                <w:szCs w:val="28"/>
                <w:highlight w:val="none"/>
                <w:lang w:val="en-US" w:eastAsia="zh-CN"/>
              </w:rPr>
              <w:t>2</w:t>
            </w:r>
            <w:r>
              <w:rPr>
                <w:rFonts w:cs="Times New Roman"/>
                <w:sz w:val="28"/>
                <w:szCs w:val="28"/>
                <w:highlight w:val="none"/>
              </w:rPr>
              <w:t>%</w:t>
            </w:r>
            <w:r>
              <w:rPr>
                <w:rFonts w:hint="eastAsia" w:cs="Times New Roman"/>
                <w:sz w:val="28"/>
                <w:szCs w:val="28"/>
                <w:highlight w:val="none"/>
              </w:rPr>
              <w:t>以上</w:t>
            </w:r>
          </w:p>
        </w:tc>
        <w:tc>
          <w:tcPr>
            <w:tcW w:w="1260"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77" w:type="dxa"/>
            <w:vMerge w:val="continue"/>
            <w:tcBorders>
              <w:tl2br w:val="nil"/>
              <w:tr2bl w:val="nil"/>
            </w:tcBorders>
            <w:vAlign w:val="center"/>
          </w:tcPr>
          <w:p>
            <w:pPr>
              <w:pStyle w:val="39"/>
              <w:jc w:val="center"/>
              <w:rPr>
                <w:rFonts w:cs="Times New Roman"/>
                <w:sz w:val="28"/>
                <w:szCs w:val="28"/>
                <w:highlight w:val="none"/>
              </w:rPr>
            </w:pPr>
          </w:p>
        </w:tc>
        <w:tc>
          <w:tcPr>
            <w:tcW w:w="30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重点建设用地安全利用</w:t>
            </w:r>
          </w:p>
        </w:tc>
        <w:tc>
          <w:tcPr>
            <w:tcW w:w="1524"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w:t>
            </w:r>
          </w:p>
        </w:tc>
        <w:tc>
          <w:tcPr>
            <w:tcW w:w="15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有效保障</w:t>
            </w:r>
          </w:p>
        </w:tc>
        <w:tc>
          <w:tcPr>
            <w:tcW w:w="1260"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77" w:type="dxa"/>
            <w:vMerge w:val="restart"/>
            <w:tcBorders>
              <w:tl2br w:val="nil"/>
              <w:tr2bl w:val="nil"/>
            </w:tcBorders>
            <w:vAlign w:val="center"/>
          </w:tcPr>
          <w:p>
            <w:pPr>
              <w:spacing w:line="240" w:lineRule="auto"/>
              <w:ind w:firstLine="0" w:firstLineChars="0"/>
              <w:jc w:val="center"/>
              <w:rPr>
                <w:rFonts w:cs="Times New Roman"/>
                <w:sz w:val="28"/>
                <w:szCs w:val="28"/>
                <w:highlight w:val="none"/>
              </w:rPr>
            </w:pPr>
            <w:r>
              <w:rPr>
                <w:rFonts w:cs="Times New Roman"/>
                <w:sz w:val="28"/>
                <w:szCs w:val="28"/>
                <w:highlight w:val="none"/>
              </w:rPr>
              <w:t>农业农村</w:t>
            </w:r>
          </w:p>
        </w:tc>
        <w:tc>
          <w:tcPr>
            <w:tcW w:w="30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化肥使用量</w:t>
            </w:r>
          </w:p>
        </w:tc>
        <w:tc>
          <w:tcPr>
            <w:tcW w:w="1524"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5372.5吨</w:t>
            </w:r>
          </w:p>
        </w:tc>
        <w:tc>
          <w:tcPr>
            <w:tcW w:w="15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稳中有降</w:t>
            </w:r>
          </w:p>
        </w:tc>
        <w:tc>
          <w:tcPr>
            <w:tcW w:w="1260"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77" w:type="dxa"/>
            <w:vMerge w:val="continue"/>
            <w:tcBorders>
              <w:tl2br w:val="nil"/>
              <w:tr2bl w:val="nil"/>
            </w:tcBorders>
            <w:vAlign w:val="center"/>
          </w:tcPr>
          <w:p>
            <w:pPr>
              <w:pStyle w:val="39"/>
              <w:jc w:val="center"/>
              <w:rPr>
                <w:rFonts w:cs="Times New Roman"/>
                <w:sz w:val="28"/>
                <w:szCs w:val="28"/>
                <w:highlight w:val="none"/>
              </w:rPr>
            </w:pPr>
          </w:p>
        </w:tc>
        <w:tc>
          <w:tcPr>
            <w:tcW w:w="30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农药使用量</w:t>
            </w:r>
          </w:p>
        </w:tc>
        <w:tc>
          <w:tcPr>
            <w:tcW w:w="1524"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38.7吨</w:t>
            </w:r>
          </w:p>
        </w:tc>
        <w:tc>
          <w:tcPr>
            <w:tcW w:w="15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稳中有降</w:t>
            </w:r>
          </w:p>
        </w:tc>
        <w:tc>
          <w:tcPr>
            <w:tcW w:w="1260"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77" w:type="dxa"/>
            <w:vMerge w:val="continue"/>
            <w:tcBorders>
              <w:tl2br w:val="nil"/>
              <w:tr2bl w:val="nil"/>
            </w:tcBorders>
            <w:vAlign w:val="center"/>
          </w:tcPr>
          <w:p>
            <w:pPr>
              <w:pStyle w:val="39"/>
              <w:jc w:val="center"/>
              <w:rPr>
                <w:rFonts w:cs="Times New Roman"/>
                <w:sz w:val="28"/>
                <w:szCs w:val="28"/>
                <w:highlight w:val="none"/>
              </w:rPr>
            </w:pPr>
          </w:p>
        </w:tc>
        <w:tc>
          <w:tcPr>
            <w:tcW w:w="30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农村环境整治村庄数量</w:t>
            </w:r>
          </w:p>
        </w:tc>
        <w:tc>
          <w:tcPr>
            <w:tcW w:w="1524" w:type="dxa"/>
            <w:tcBorders>
              <w:tl2br w:val="nil"/>
              <w:tr2bl w:val="nil"/>
            </w:tcBorders>
            <w:vAlign w:val="center"/>
          </w:tcPr>
          <w:p>
            <w:pPr>
              <w:pStyle w:val="39"/>
              <w:jc w:val="center"/>
              <w:rPr>
                <w:rFonts w:cs="Times New Roman"/>
                <w:sz w:val="28"/>
                <w:szCs w:val="28"/>
                <w:highlight w:val="none"/>
              </w:rPr>
            </w:pPr>
            <w:r>
              <w:rPr>
                <w:rFonts w:hint="eastAsia" w:cs="Times New Roman"/>
                <w:sz w:val="28"/>
                <w:szCs w:val="28"/>
                <w:highlight w:val="none"/>
                <w:lang w:val="en-US" w:eastAsia="zh-CN"/>
              </w:rPr>
              <w:t>73</w:t>
            </w:r>
            <w:r>
              <w:rPr>
                <w:rFonts w:cs="Times New Roman"/>
                <w:sz w:val="28"/>
                <w:szCs w:val="28"/>
                <w:highlight w:val="none"/>
              </w:rPr>
              <w:t>个</w:t>
            </w:r>
          </w:p>
        </w:tc>
        <w:tc>
          <w:tcPr>
            <w:tcW w:w="15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新增</w:t>
            </w:r>
            <w:r>
              <w:rPr>
                <w:rFonts w:hint="eastAsia" w:cs="Times New Roman"/>
                <w:sz w:val="28"/>
                <w:szCs w:val="28"/>
                <w:highlight w:val="none"/>
                <w:lang w:val="en-US" w:eastAsia="zh-CN"/>
              </w:rPr>
              <w:t>28</w:t>
            </w:r>
            <w:r>
              <w:rPr>
                <w:rFonts w:cs="Times New Roman"/>
                <w:sz w:val="28"/>
                <w:szCs w:val="28"/>
                <w:highlight w:val="none"/>
              </w:rPr>
              <w:t>个</w:t>
            </w:r>
          </w:p>
        </w:tc>
        <w:tc>
          <w:tcPr>
            <w:tcW w:w="1260"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77" w:type="dxa"/>
            <w:vMerge w:val="continue"/>
            <w:tcBorders>
              <w:tl2br w:val="nil"/>
              <w:tr2bl w:val="nil"/>
            </w:tcBorders>
            <w:vAlign w:val="center"/>
          </w:tcPr>
          <w:p>
            <w:pPr>
              <w:pStyle w:val="39"/>
              <w:jc w:val="center"/>
              <w:rPr>
                <w:rFonts w:cs="Times New Roman"/>
                <w:sz w:val="28"/>
                <w:szCs w:val="28"/>
                <w:highlight w:val="none"/>
              </w:rPr>
            </w:pPr>
          </w:p>
        </w:tc>
        <w:tc>
          <w:tcPr>
            <w:tcW w:w="30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农村生活污水治理率</w:t>
            </w:r>
          </w:p>
        </w:tc>
        <w:tc>
          <w:tcPr>
            <w:tcW w:w="1524"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38.85%</w:t>
            </w:r>
          </w:p>
        </w:tc>
        <w:tc>
          <w:tcPr>
            <w:tcW w:w="1568" w:type="dxa"/>
            <w:tcBorders>
              <w:tl2br w:val="nil"/>
              <w:tr2bl w:val="nil"/>
            </w:tcBorders>
            <w:vAlign w:val="center"/>
          </w:tcPr>
          <w:p>
            <w:pPr>
              <w:pStyle w:val="39"/>
              <w:jc w:val="center"/>
              <w:rPr>
                <w:rFonts w:cs="Times New Roman"/>
                <w:sz w:val="28"/>
                <w:szCs w:val="28"/>
                <w:highlight w:val="none"/>
              </w:rPr>
            </w:pPr>
            <w:r>
              <w:rPr>
                <w:rFonts w:hint="eastAsia" w:cs="Times New Roman"/>
                <w:sz w:val="28"/>
                <w:szCs w:val="28"/>
                <w:highlight w:val="none"/>
                <w:lang w:val="en-US" w:eastAsia="zh-CN"/>
              </w:rPr>
              <w:t>50</w:t>
            </w:r>
            <w:r>
              <w:rPr>
                <w:rFonts w:cs="Times New Roman"/>
                <w:sz w:val="28"/>
                <w:szCs w:val="28"/>
                <w:highlight w:val="none"/>
              </w:rPr>
              <w:t>%</w:t>
            </w:r>
          </w:p>
        </w:tc>
        <w:tc>
          <w:tcPr>
            <w:tcW w:w="1260"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177" w:type="dxa"/>
            <w:tcBorders>
              <w:tl2br w:val="nil"/>
              <w:tr2bl w:val="nil"/>
            </w:tcBorders>
            <w:vAlign w:val="center"/>
          </w:tcPr>
          <w:p>
            <w:pPr>
              <w:spacing w:line="240" w:lineRule="auto"/>
              <w:ind w:firstLine="0" w:firstLineChars="0"/>
              <w:jc w:val="center"/>
              <w:rPr>
                <w:rFonts w:cs="Times New Roman"/>
                <w:sz w:val="28"/>
                <w:szCs w:val="28"/>
                <w:highlight w:val="none"/>
              </w:rPr>
            </w:pPr>
            <w:r>
              <w:rPr>
                <w:rFonts w:cs="Times New Roman"/>
                <w:sz w:val="28"/>
                <w:szCs w:val="28"/>
                <w:highlight w:val="none"/>
              </w:rPr>
              <w:t>地下水</w:t>
            </w:r>
          </w:p>
        </w:tc>
        <w:tc>
          <w:tcPr>
            <w:tcW w:w="3068" w:type="dxa"/>
            <w:tcBorders>
              <w:tl2br w:val="nil"/>
              <w:tr2bl w:val="nil"/>
            </w:tcBorders>
            <w:vAlign w:val="center"/>
          </w:tcPr>
          <w:p>
            <w:pPr>
              <w:pStyle w:val="39"/>
              <w:jc w:val="center"/>
              <w:rPr>
                <w:rFonts w:cs="Times New Roman"/>
                <w:sz w:val="28"/>
                <w:szCs w:val="28"/>
                <w:highlight w:val="none"/>
              </w:rPr>
            </w:pPr>
            <w:r>
              <w:rPr>
                <w:rFonts w:hint="eastAsia" w:cs="Times New Roman"/>
                <w:sz w:val="28"/>
                <w:szCs w:val="28"/>
                <w:highlight w:val="none"/>
                <w:lang w:val="en-US" w:eastAsia="zh-CN"/>
              </w:rPr>
              <w:t>“污染源风险监控点位”</w:t>
            </w:r>
            <w:r>
              <w:rPr>
                <w:rFonts w:cs="Times New Roman"/>
                <w:sz w:val="28"/>
                <w:szCs w:val="28"/>
                <w:highlight w:val="none"/>
              </w:rPr>
              <w:t>水质</w:t>
            </w:r>
          </w:p>
        </w:tc>
        <w:tc>
          <w:tcPr>
            <w:tcW w:w="1524"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w:t>
            </w:r>
          </w:p>
        </w:tc>
        <w:tc>
          <w:tcPr>
            <w:tcW w:w="1568"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总体保持稳定</w:t>
            </w:r>
          </w:p>
        </w:tc>
        <w:tc>
          <w:tcPr>
            <w:tcW w:w="1260" w:type="dxa"/>
            <w:tcBorders>
              <w:tl2br w:val="nil"/>
              <w:tr2bl w:val="nil"/>
            </w:tcBorders>
            <w:vAlign w:val="center"/>
          </w:tcPr>
          <w:p>
            <w:pPr>
              <w:pStyle w:val="39"/>
              <w:jc w:val="center"/>
              <w:rPr>
                <w:rFonts w:cs="Times New Roman"/>
                <w:sz w:val="28"/>
                <w:szCs w:val="28"/>
                <w:highlight w:val="none"/>
              </w:rPr>
            </w:pPr>
            <w:r>
              <w:rPr>
                <w:rFonts w:cs="Times New Roman"/>
                <w:sz w:val="28"/>
                <w:szCs w:val="28"/>
                <w:highlight w:val="none"/>
              </w:rPr>
              <w:t>预期性</w:t>
            </w:r>
          </w:p>
        </w:tc>
      </w:tr>
    </w:tbl>
    <w:p>
      <w:pPr>
        <w:pStyle w:val="3"/>
        <w:bidi w:val="0"/>
        <w:rPr>
          <w:highlight w:val="none"/>
        </w:rPr>
      </w:pPr>
      <w:bookmarkStart w:id="25" w:name="_Toc24395"/>
      <w:r>
        <w:rPr>
          <w:highlight w:val="none"/>
        </w:rPr>
        <w:t>三、</w:t>
      </w:r>
      <w:r>
        <w:rPr>
          <w:highlight w:val="none"/>
        </w:rPr>
        <w:fldChar w:fldCharType="begin"/>
      </w:r>
      <w:r>
        <w:rPr>
          <w:highlight w:val="none"/>
        </w:rPr>
        <w:instrText xml:space="preserve"> HYPERLINK \l "_Toc507189662"</w:instrText>
      </w:r>
      <w:r>
        <w:rPr>
          <w:highlight w:val="none"/>
        </w:rPr>
        <w:fldChar w:fldCharType="separate"/>
      </w:r>
      <w:r>
        <w:rPr>
          <w:highlight w:val="none"/>
        </w:rPr>
        <w:t>深入推进土壤污染防治攻坚行动</w:t>
      </w:r>
      <w:r>
        <w:rPr>
          <w:highlight w:val="none"/>
        </w:rPr>
        <w:fldChar w:fldCharType="end"/>
      </w:r>
      <w:bookmarkEnd w:id="25"/>
    </w:p>
    <w:p>
      <w:pPr>
        <w:spacing w:line="600" w:lineRule="atLeast"/>
        <w:ind w:firstLine="640"/>
        <w:rPr>
          <w:rFonts w:cs="Times New Roman"/>
          <w:highlight w:val="none"/>
        </w:rPr>
      </w:pPr>
      <w:r>
        <w:rPr>
          <w:rFonts w:hint="eastAsia" w:cs="Times New Roman"/>
          <w:highlight w:val="none"/>
        </w:rPr>
        <w:t>以用途变更为“一住两公”（住宅、公共管理与公共服务用地）的地块为重点，</w:t>
      </w:r>
      <w:r>
        <w:rPr>
          <w:rFonts w:cs="Times New Roman"/>
          <w:highlight w:val="none"/>
        </w:rPr>
        <w:t>严格受污染建设用地再开发利用的准入管理，坚决杜绝违规开发利用</w:t>
      </w:r>
      <w:r>
        <w:rPr>
          <w:rFonts w:hint="eastAsia" w:cs="Times New Roman"/>
          <w:highlight w:val="none"/>
        </w:rPr>
        <w:t>；</w:t>
      </w:r>
      <w:r>
        <w:rPr>
          <w:rFonts w:cs="Times New Roman"/>
          <w:highlight w:val="none"/>
        </w:rPr>
        <w:t>强化涉镉等重金属污染源头管控，</w:t>
      </w:r>
      <w:r>
        <w:rPr>
          <w:rFonts w:hint="eastAsia" w:cs="Times New Roman"/>
          <w:highlight w:val="none"/>
        </w:rPr>
        <w:t>提升受污染</w:t>
      </w:r>
      <w:r>
        <w:rPr>
          <w:rFonts w:cs="Times New Roman"/>
          <w:highlight w:val="none"/>
        </w:rPr>
        <w:t>耕地</w:t>
      </w:r>
      <w:r>
        <w:rPr>
          <w:rFonts w:hint="eastAsia" w:cs="Times New Roman"/>
          <w:highlight w:val="none"/>
        </w:rPr>
        <w:t>安全利用</w:t>
      </w:r>
      <w:r>
        <w:rPr>
          <w:rFonts w:cs="Times New Roman"/>
          <w:highlight w:val="none"/>
        </w:rPr>
        <w:t>水平</w:t>
      </w:r>
      <w:r>
        <w:rPr>
          <w:rFonts w:hint="eastAsia" w:cs="Times New Roman"/>
          <w:highlight w:val="none"/>
        </w:rPr>
        <w:t>；推进</w:t>
      </w:r>
      <w:r>
        <w:rPr>
          <w:rFonts w:cs="Times New Roman"/>
          <w:highlight w:val="none"/>
        </w:rPr>
        <w:t>工</w:t>
      </w:r>
      <w:r>
        <w:rPr>
          <w:rFonts w:hint="eastAsia" w:cs="Times New Roman"/>
          <w:highlight w:val="none"/>
        </w:rPr>
        <w:t>矿</w:t>
      </w:r>
      <w:r>
        <w:rPr>
          <w:rFonts w:cs="Times New Roman"/>
          <w:highlight w:val="none"/>
        </w:rPr>
        <w:t>企业土壤污染源头防治，强化监管执法，防止新增土壤污染。</w:t>
      </w:r>
    </w:p>
    <w:p>
      <w:pPr>
        <w:pStyle w:val="4"/>
        <w:bidi w:val="0"/>
        <w:rPr>
          <w:highlight w:val="none"/>
        </w:rPr>
      </w:pPr>
      <w:bookmarkStart w:id="26" w:name="_Toc23473"/>
      <w:r>
        <w:rPr>
          <w:rFonts w:hint="eastAsia"/>
          <w:highlight w:val="none"/>
        </w:rPr>
        <w:t>（</w:t>
      </w:r>
      <w:r>
        <w:rPr>
          <w:rFonts w:hint="eastAsia"/>
          <w:highlight w:val="none"/>
          <w:lang w:val="en-US" w:eastAsia="zh-CN"/>
        </w:rPr>
        <w:t>一</w:t>
      </w:r>
      <w:r>
        <w:rPr>
          <w:rFonts w:hint="eastAsia"/>
          <w:highlight w:val="none"/>
        </w:rPr>
        <w:t>）</w:t>
      </w:r>
      <w:r>
        <w:rPr>
          <w:highlight w:val="none"/>
        </w:rPr>
        <w:t>推进工矿企业土壤污染源头防治。</w:t>
      </w:r>
      <w:bookmarkEnd w:id="26"/>
    </w:p>
    <w:p>
      <w:pPr>
        <w:bidi w:val="0"/>
        <w:rPr>
          <w:rFonts w:hint="eastAsia" w:cs="Times New Roman"/>
          <w:highlight w:val="none"/>
        </w:rPr>
      </w:pPr>
      <w:r>
        <w:rPr>
          <w:rFonts w:hint="eastAsia" w:cs="Times New Roman"/>
          <w:b/>
          <w:bCs/>
          <w:highlight w:val="none"/>
        </w:rPr>
        <w:t>开展耕地土壤重金属污染成因排查。</w:t>
      </w:r>
      <w:r>
        <w:rPr>
          <w:rFonts w:hint="eastAsia" w:cs="Times New Roman"/>
          <w:highlight w:val="none"/>
        </w:rPr>
        <w:t>实施“十三五”涉镉等重金属行业企业污染源整治成效“回头看”。建立并动态更新全县涉镉等重金属行业企业污染源排查整治清单，实施以切断镉等重金属污染物进入耕地途径为目标的整治措施。</w:t>
      </w:r>
    </w:p>
    <w:p>
      <w:pPr>
        <w:bidi w:val="0"/>
        <w:rPr>
          <w:rFonts w:eastAsia="方正楷体_GBK" w:cs="Times New Roman"/>
          <w:bCs/>
          <w:szCs w:val="32"/>
          <w:highlight w:val="none"/>
        </w:rPr>
      </w:pPr>
      <w:r>
        <w:rPr>
          <w:rFonts w:cs="Times New Roman"/>
          <w:b/>
          <w:bCs/>
          <w:highlight w:val="none"/>
        </w:rPr>
        <w:t>严格控制涉重金属行业污染物排放。</w:t>
      </w:r>
      <w:r>
        <w:rPr>
          <w:rFonts w:hint="eastAsia" w:cs="Times New Roman"/>
          <w:highlight w:val="none"/>
        </w:rPr>
        <w:t>根据《大气污染防治法》《水污染防治法》以及重点排污单位名录管理有关规定，将符合条件的排放镉、汞、砷、铅、铬等有毒有害大气、水污染物的企业，纳入并</w:t>
      </w:r>
      <w:r>
        <w:rPr>
          <w:rFonts w:cs="Times New Roman"/>
          <w:highlight w:val="none"/>
        </w:rPr>
        <w:t>动态更新大气、水污染物重点排污单位名录</w:t>
      </w:r>
      <w:r>
        <w:rPr>
          <w:rFonts w:hint="eastAsia" w:cs="Times New Roman"/>
          <w:highlight w:val="none"/>
        </w:rPr>
        <w:t>。</w:t>
      </w:r>
      <w:r>
        <w:rPr>
          <w:rFonts w:cs="Times New Roman"/>
          <w:highlight w:val="none"/>
        </w:rPr>
        <w:t>对纳入大气重点排污单位名录的涉镉等重金属排放企业，2023年6月底前</w:t>
      </w:r>
      <w:r>
        <w:rPr>
          <w:rFonts w:hint="eastAsia" w:cs="Times New Roman"/>
          <w:highlight w:val="none"/>
        </w:rPr>
        <w:t>对大气污染物中的颗粒物按排污许可证规定实现自动监测，并以监测数据核算颗粒物等排放量。</w:t>
      </w:r>
      <w:r>
        <w:rPr>
          <w:rFonts w:cs="Times New Roman"/>
          <w:highlight w:val="none"/>
        </w:rPr>
        <w:t>持续推进涉镉等重金属行业企业排查整治，严格落实</w:t>
      </w:r>
      <w:r>
        <w:rPr>
          <w:rFonts w:hint="eastAsia" w:cs="Times New Roman"/>
          <w:highlight w:val="none"/>
        </w:rPr>
        <w:t>《铅、锌工业污染物排放标准》《铜、镍、钴工业污染物排放标准》《无机化学工业污染物排放标准》中颗粒物和镉等重点重金属污染物特别排放限值要求</w:t>
      </w:r>
      <w:r>
        <w:rPr>
          <w:rFonts w:cs="Times New Roman"/>
          <w:highlight w:val="none"/>
        </w:rPr>
        <w:t>。</w:t>
      </w:r>
    </w:p>
    <w:p>
      <w:pPr>
        <w:ind w:firstLine="643"/>
        <w:rPr>
          <w:rFonts w:eastAsia="方正楷体_GBK" w:cs="Times New Roman"/>
          <w:bCs/>
          <w:szCs w:val="32"/>
          <w:highlight w:val="none"/>
        </w:rPr>
      </w:pPr>
      <w:r>
        <w:rPr>
          <w:rFonts w:cs="Times New Roman"/>
          <w:b/>
          <w:szCs w:val="32"/>
          <w:highlight w:val="none"/>
        </w:rPr>
        <w:t>整治矿区历史遗留固体废物。</w:t>
      </w:r>
      <w:r>
        <w:rPr>
          <w:rFonts w:cs="Times New Roman"/>
          <w:highlight w:val="none"/>
        </w:rPr>
        <w:t>聚焦</w:t>
      </w:r>
      <w:r>
        <w:rPr>
          <w:rFonts w:hint="eastAsia" w:cs="Times New Roman"/>
          <w:highlight w:val="none"/>
        </w:rPr>
        <w:t>锰矿、钡矿</w:t>
      </w:r>
      <w:r>
        <w:rPr>
          <w:rFonts w:cs="Times New Roman"/>
          <w:highlight w:val="none"/>
        </w:rPr>
        <w:t>等矿区以及安全利用类和严格管控类耕地集中区域周边的矿区，综合应用高清视频监控、无人机和现场踏勘等方式，全面排查整治矿区无序堆存的历史遗留废物。以任河、前河、中河等三条河流沿线区域为重点，按照</w:t>
      </w:r>
      <w:r>
        <w:rPr>
          <w:rFonts w:hint="eastAsia" w:cs="Times New Roman"/>
          <w:highlight w:val="none"/>
        </w:rPr>
        <w:t>“</w:t>
      </w:r>
      <w:r>
        <w:rPr>
          <w:rFonts w:cs="Times New Roman"/>
          <w:highlight w:val="none"/>
        </w:rPr>
        <w:t>谁破坏、谁治理</w:t>
      </w:r>
      <w:r>
        <w:rPr>
          <w:rFonts w:hint="eastAsia" w:cs="Times New Roman"/>
          <w:highlight w:val="none"/>
        </w:rPr>
        <w:t>”</w:t>
      </w:r>
      <w:r>
        <w:rPr>
          <w:rFonts w:cs="Times New Roman"/>
          <w:highlight w:val="none"/>
        </w:rPr>
        <w:t>的要求，以</w:t>
      </w:r>
      <w:r>
        <w:rPr>
          <w:rFonts w:hint="eastAsia" w:cs="Times New Roman"/>
          <w:highlight w:val="none"/>
        </w:rPr>
        <w:t>“</w:t>
      </w:r>
      <w:r>
        <w:rPr>
          <w:rFonts w:cs="Times New Roman"/>
          <w:highlight w:val="none"/>
        </w:rPr>
        <w:t>自然修复为主、工程治理为辅</w:t>
      </w:r>
      <w:r>
        <w:rPr>
          <w:rFonts w:hint="eastAsia" w:cs="Times New Roman"/>
          <w:highlight w:val="none"/>
        </w:rPr>
        <w:t>”</w:t>
      </w:r>
      <w:r>
        <w:rPr>
          <w:rFonts w:cs="Times New Roman"/>
          <w:highlight w:val="none"/>
        </w:rPr>
        <w:t>，开展矿山生态环境修复治理。</w:t>
      </w:r>
    </w:p>
    <w:p>
      <w:pPr>
        <w:widowControl/>
        <w:ind w:firstLine="643"/>
        <w:jc w:val="left"/>
        <w:rPr>
          <w:rFonts w:eastAsia="方正楷体_GBK" w:cs="Times New Roman"/>
          <w:bCs/>
          <w:szCs w:val="32"/>
          <w:highlight w:val="none"/>
        </w:rPr>
      </w:pPr>
      <w:r>
        <w:rPr>
          <w:rFonts w:cs="Times New Roman"/>
          <w:b/>
          <w:bCs/>
          <w:highlight w:val="none"/>
        </w:rPr>
        <w:t>强化土壤污染重点监管单位监管。</w:t>
      </w:r>
      <w:r>
        <w:rPr>
          <w:rFonts w:hint="eastAsia" w:cs="Times New Roman"/>
          <w:highlight w:val="none"/>
        </w:rPr>
        <w:t>动态更新增补土壤污染重点监管单位名录，监督全面落实土壤污染防治义务，依法纳入排污许可管理。</w:t>
      </w:r>
      <w:r>
        <w:rPr>
          <w:rFonts w:cs="Times New Roman"/>
          <w:highlight w:val="none"/>
        </w:rPr>
        <w:t>2025</w:t>
      </w:r>
      <w:r>
        <w:rPr>
          <w:rFonts w:hint="eastAsia" w:cs="Times New Roman"/>
          <w:highlight w:val="none"/>
        </w:rPr>
        <w:t>年底前，至少完成</w:t>
      </w:r>
      <w:r>
        <w:rPr>
          <w:rFonts w:cs="Times New Roman"/>
          <w:highlight w:val="none"/>
        </w:rPr>
        <w:t>1</w:t>
      </w:r>
      <w:r>
        <w:rPr>
          <w:rFonts w:hint="eastAsia" w:cs="Times New Roman"/>
          <w:highlight w:val="none"/>
        </w:rPr>
        <w:t>轮土壤和地下水污染隐患排查整改。</w:t>
      </w:r>
      <w:r>
        <w:rPr>
          <w:rFonts w:cs="Times New Roman"/>
          <w:highlight w:val="none"/>
        </w:rPr>
        <w:t>定期开展土壤污染重点监管单位周边土壤环境监测。</w:t>
      </w:r>
      <w:r>
        <w:rPr>
          <w:rFonts w:hint="eastAsia" w:cs="Times New Roman"/>
          <w:highlight w:val="none"/>
        </w:rPr>
        <w:t>对涉及有毒有害物质可能造成土壤污染的新（改、扩）建项目，要在环境影响评价报告中提出并落实防腐蚀、防渗漏、防遗撒等土壤污染防治具体措施。</w:t>
      </w:r>
      <w:r>
        <w:rPr>
          <w:rFonts w:cs="Times New Roman"/>
          <w:highlight w:val="none"/>
        </w:rPr>
        <w:t>加强企业拆除活动污染防治现场检查，督促企业落实拆除活动污染防治措施。引导和</w:t>
      </w:r>
      <w:r>
        <w:rPr>
          <w:rFonts w:hint="eastAsia" w:cs="Times New Roman"/>
          <w:highlight w:val="none"/>
        </w:rPr>
        <w:t>鼓励土壤污染重点监管单位因地制宜实施管道化、密闭化改造，重点区域防腐防渗改造，以及物料、污水管线架空建设和绿色化改造。</w:t>
      </w:r>
    </w:p>
    <w:p>
      <w:pPr>
        <w:pStyle w:val="4"/>
        <w:bidi w:val="0"/>
        <w:rPr>
          <w:highlight w:val="none"/>
        </w:rPr>
      </w:pPr>
      <w:bookmarkStart w:id="27" w:name="_Toc30982"/>
      <w:r>
        <w:rPr>
          <w:rFonts w:hint="eastAsia"/>
          <w:highlight w:val="none"/>
        </w:rPr>
        <w:t>（</w:t>
      </w:r>
      <w:r>
        <w:rPr>
          <w:rFonts w:hint="eastAsia"/>
          <w:highlight w:val="none"/>
          <w:lang w:val="en-US" w:eastAsia="zh-CN"/>
        </w:rPr>
        <w:t>二</w:t>
      </w:r>
      <w:r>
        <w:rPr>
          <w:rFonts w:hint="eastAsia"/>
          <w:highlight w:val="none"/>
        </w:rPr>
        <w:t>）</w:t>
      </w:r>
      <w:r>
        <w:rPr>
          <w:highlight w:val="none"/>
        </w:rPr>
        <w:t>严格受污染建设用地再开发利用准入管理。</w:t>
      </w:r>
      <w:bookmarkEnd w:id="27"/>
    </w:p>
    <w:p>
      <w:pPr>
        <w:ind w:firstLine="643"/>
        <w:rPr>
          <w:rFonts w:cs="Times New Roman"/>
          <w:szCs w:val="30"/>
          <w:highlight w:val="none"/>
        </w:rPr>
      </w:pPr>
      <w:r>
        <w:rPr>
          <w:rFonts w:cs="Times New Roman"/>
          <w:b/>
          <w:bCs/>
          <w:highlight w:val="none"/>
        </w:rPr>
        <w:t>扎实开展土壤污染状况调查评估。</w:t>
      </w:r>
      <w:r>
        <w:rPr>
          <w:rFonts w:cs="Times New Roman"/>
          <w:highlight w:val="none"/>
        </w:rPr>
        <w:t>以用途变更为住宅、</w:t>
      </w:r>
      <w:r>
        <w:rPr>
          <w:rFonts w:cs="Times New Roman"/>
          <w:szCs w:val="30"/>
          <w:highlight w:val="none"/>
        </w:rPr>
        <w:t>公共管理与公共服务用地的地块为重点，依法开展土壤污染状况调查。</w:t>
      </w:r>
      <w:r>
        <w:rPr>
          <w:rFonts w:hint="eastAsia" w:cs="Times New Roman"/>
          <w:szCs w:val="30"/>
          <w:highlight w:val="none"/>
        </w:rPr>
        <w:t>调查表明土壤污染可能对人体健康造成风险的，依法依规进一步开展风险评估，确定风险水平是否可接受。县规划自然资源部门提出建设用地年度供地计划，县生态环境部门指导土地使用权人或土壤污染责任人及时开展调查评估，保障重点项目建设用地需求。</w:t>
      </w:r>
      <w:r>
        <w:rPr>
          <w:rFonts w:cs="Times New Roman"/>
          <w:szCs w:val="30"/>
          <w:highlight w:val="none"/>
        </w:rPr>
        <w:t>开展关停搬迁企业地块污染状况排查，实施污染土壤污染状况调查与风险评估，建立潜在污染场地清单，落实监管措施。</w:t>
      </w:r>
      <w:r>
        <w:rPr>
          <w:rFonts w:hint="eastAsia" w:cs="Times New Roman"/>
          <w:szCs w:val="30"/>
          <w:highlight w:val="none"/>
          <w:lang w:val="en-US" w:eastAsia="zh-CN"/>
        </w:rPr>
        <w:t>到</w:t>
      </w:r>
      <w:r>
        <w:rPr>
          <w:rFonts w:hint="eastAsia" w:cs="Times New Roman"/>
          <w:szCs w:val="30"/>
          <w:highlight w:val="none"/>
        </w:rPr>
        <w:t>202</w:t>
      </w:r>
      <w:r>
        <w:rPr>
          <w:rFonts w:hint="eastAsia" w:cs="Times New Roman"/>
          <w:szCs w:val="30"/>
          <w:highlight w:val="none"/>
          <w:lang w:val="en-US" w:eastAsia="zh-CN"/>
        </w:rPr>
        <w:t>5</w:t>
      </w:r>
      <w:r>
        <w:rPr>
          <w:rFonts w:hint="eastAsia" w:cs="Times New Roman"/>
          <w:szCs w:val="30"/>
          <w:highlight w:val="none"/>
        </w:rPr>
        <w:t>年，完成</w:t>
      </w:r>
      <w:r>
        <w:rPr>
          <w:rFonts w:cs="Times New Roman"/>
          <w:szCs w:val="30"/>
          <w:highlight w:val="none"/>
        </w:rPr>
        <w:t>重庆市城口县百步梯锰业有限公司</w:t>
      </w:r>
      <w:r>
        <w:rPr>
          <w:rFonts w:hint="eastAsia" w:cs="Times New Roman"/>
          <w:szCs w:val="30"/>
          <w:highlight w:val="none"/>
        </w:rPr>
        <w:t>地块土壤污染状况调查及风险评估。</w:t>
      </w:r>
    </w:p>
    <w:p>
      <w:pPr>
        <w:ind w:firstLine="643"/>
        <w:rPr>
          <w:highlight w:val="none"/>
        </w:rPr>
      </w:pPr>
      <w:r>
        <w:rPr>
          <w:rFonts w:hint="eastAsia" w:cs="Times New Roman"/>
          <w:b/>
          <w:bCs/>
          <w:highlight w:val="none"/>
        </w:rPr>
        <w:t>严格落实污染地块再开发管控要求。</w:t>
      </w:r>
      <w:r>
        <w:rPr>
          <w:rFonts w:hint="eastAsia" w:cs="Times New Roman"/>
          <w:szCs w:val="30"/>
          <w:highlight w:val="none"/>
        </w:rPr>
        <w:t>应当开展土壤污染状况调查评估而未开展或尚未完成的地块，以及未达到风险管控、修复目标的地块，不得开工建设与风险管控、修复无关的项目。加强“一住两公”重点建设用地管理，在办理土地征收、收回、收购、土地供应、用途变更以及核发用地或工程规划许可证前，落实地块是否依法开展土壤污染状况调查评估工作，对未开展的要督促开展。对列入建设用地土壤污染风险管控和修复名录的地块，未治理修复并达到土壤环境质量要求之前，县规划自然资源部门不得作为住宅、公共管理与公共服务用地供应；对已经规划为“一住两公”的，未修复达到土壤环境质量要求之前，不得办理土地征收、收回、收购、土地供应以及核发用地或工程规划许可证等手续。及时梳理已核发建设工程规划许可证的情况，督促违规开发利用地块完成整改。</w:t>
      </w:r>
    </w:p>
    <w:p>
      <w:pPr>
        <w:ind w:firstLine="643"/>
        <w:rPr>
          <w:rFonts w:cs="Times New Roman"/>
          <w:highlight w:val="none"/>
        </w:rPr>
      </w:pPr>
      <w:r>
        <w:rPr>
          <w:rFonts w:hint="eastAsia" w:cs="Times New Roman"/>
          <w:b/>
          <w:bCs/>
          <w:highlight w:val="none"/>
        </w:rPr>
        <w:t>强化风险管控与治理修复过程监管。</w:t>
      </w:r>
      <w:r>
        <w:rPr>
          <w:rFonts w:cs="Times New Roman"/>
          <w:szCs w:val="30"/>
          <w:highlight w:val="none"/>
        </w:rPr>
        <w:t>以用途变更为</w:t>
      </w:r>
      <w:r>
        <w:rPr>
          <w:rFonts w:hint="eastAsia" w:cs="Times New Roman"/>
          <w:szCs w:val="30"/>
          <w:highlight w:val="none"/>
        </w:rPr>
        <w:t>“一住两公”</w:t>
      </w:r>
      <w:r>
        <w:rPr>
          <w:rFonts w:cs="Times New Roman"/>
          <w:szCs w:val="30"/>
          <w:highlight w:val="none"/>
        </w:rPr>
        <w:t>的地块为重点，依法开展风险管控和治理修复。协同进行地下水、大气环境污染和固体废物污染治理。对暂不开发利用的疑似污染地块，实施土壤污染风险管控，防止污染扩散。</w:t>
      </w:r>
      <w:r>
        <w:rPr>
          <w:rFonts w:hint="eastAsia" w:cs="Times New Roman"/>
          <w:szCs w:val="30"/>
          <w:highlight w:val="none"/>
        </w:rPr>
        <w:t>坚持污染土壤转运联单制度，防止转运污染土壤非法处置。严格效果评估，确保实现土壤污染风险管控与修复目标后方可开工建设。针对完成风险管控和治理修复的锰、钡矿以及垃圾填埋场等重点行业企业用地，强化再开发利用过程中的土壤污染应急预案，一旦发现土壤污染问题应及时报告并停止施工。</w:t>
      </w:r>
      <w:r>
        <w:rPr>
          <w:rFonts w:cs="Times New Roman"/>
          <w:szCs w:val="30"/>
          <w:highlight w:val="none"/>
        </w:rPr>
        <w:t>针对采取风险管控措施的地块，通过跟踪监测和现场检查等方式，强化后期管理。</w:t>
      </w:r>
    </w:p>
    <w:p>
      <w:pPr>
        <w:spacing w:line="594" w:lineRule="atLeast"/>
        <w:ind w:firstLine="643"/>
        <w:rPr>
          <w:rFonts w:cs="Times New Roman"/>
          <w:szCs w:val="30"/>
          <w:highlight w:val="none"/>
        </w:rPr>
      </w:pPr>
      <w:r>
        <w:rPr>
          <w:rFonts w:cs="Times New Roman"/>
          <w:b/>
          <w:bCs/>
          <w:highlight w:val="none"/>
        </w:rPr>
        <w:t>强化信息共享和联动监管。</w:t>
      </w:r>
      <w:r>
        <w:rPr>
          <w:rFonts w:cs="Times New Roman"/>
          <w:highlight w:val="none"/>
        </w:rPr>
        <w:t>县生态环境部门会同县自然资源、县住房城乡建设等部门</w:t>
      </w:r>
      <w:r>
        <w:rPr>
          <w:rFonts w:hint="eastAsia" w:cs="Times New Roman"/>
          <w:highlight w:val="none"/>
        </w:rPr>
        <w:t>，</w:t>
      </w:r>
      <w:r>
        <w:rPr>
          <w:rFonts w:cs="Times New Roman"/>
          <w:highlight w:val="none"/>
        </w:rPr>
        <w:t>建立污染地块数据库及信息平台，共享疑似污染地块及污染地块空间信息。县自然资源部门及时与县生态环境部门共享用途变更为</w:t>
      </w:r>
      <w:r>
        <w:rPr>
          <w:rFonts w:hint="eastAsia" w:cs="Times New Roman"/>
          <w:highlight w:val="none"/>
        </w:rPr>
        <w:t>“一住两公”</w:t>
      </w:r>
      <w:r>
        <w:rPr>
          <w:rFonts w:cs="Times New Roman"/>
          <w:highlight w:val="none"/>
        </w:rPr>
        <w:t>的地块信息，土壤污染重点监管单位生产经营用地用途变更或土地使用权收回、转让信息，涉及疑似污染地块、污染地块国土空间规划等相关信息。</w:t>
      </w:r>
      <w:r>
        <w:rPr>
          <w:rFonts w:hint="eastAsia" w:cs="Times New Roman"/>
          <w:highlight w:val="none"/>
        </w:rPr>
        <w:t>明确各部门牵头负责的技术单位，统一空间信息文件的格式要求，将地块空间信息叠加至国土空间规划。</w:t>
      </w:r>
      <w:r>
        <w:rPr>
          <w:rFonts w:cs="Times New Roman"/>
          <w:highlight w:val="none"/>
        </w:rPr>
        <w:t>推动利用</w:t>
      </w:r>
      <w:r>
        <w:rPr>
          <w:rFonts w:cs="Times New Roman"/>
          <w:szCs w:val="30"/>
          <w:highlight w:val="none"/>
        </w:rPr>
        <w:t>卫星遥感、无人机、视频监控等手段开展非现场检查。</w:t>
      </w:r>
    </w:p>
    <w:p>
      <w:pPr>
        <w:pStyle w:val="4"/>
        <w:bidi w:val="0"/>
        <w:rPr>
          <w:highlight w:val="none"/>
        </w:rPr>
      </w:pPr>
      <w:bookmarkStart w:id="28" w:name="_Toc27809"/>
      <w:r>
        <w:rPr>
          <w:rFonts w:hint="eastAsia"/>
          <w:highlight w:val="none"/>
        </w:rPr>
        <w:t>（</w:t>
      </w:r>
      <w:r>
        <w:rPr>
          <w:rFonts w:hint="eastAsia"/>
          <w:highlight w:val="none"/>
          <w:lang w:val="en-US" w:eastAsia="zh-CN"/>
        </w:rPr>
        <w:t>三</w:t>
      </w:r>
      <w:r>
        <w:rPr>
          <w:rFonts w:hint="eastAsia"/>
          <w:highlight w:val="none"/>
        </w:rPr>
        <w:t>）</w:t>
      </w:r>
      <w:r>
        <w:rPr>
          <w:highlight w:val="none"/>
        </w:rPr>
        <w:t>巩固提升</w:t>
      </w:r>
      <w:r>
        <w:rPr>
          <w:rFonts w:hint="eastAsia"/>
          <w:highlight w:val="none"/>
        </w:rPr>
        <w:t>农用地</w:t>
      </w:r>
      <w:r>
        <w:rPr>
          <w:highlight w:val="none"/>
        </w:rPr>
        <w:t>分类管理水平。</w:t>
      </w:r>
      <w:bookmarkEnd w:id="28"/>
    </w:p>
    <w:p>
      <w:pPr>
        <w:ind w:firstLine="643"/>
        <w:jc w:val="left"/>
        <w:rPr>
          <w:rFonts w:cs="Times New Roman"/>
          <w:highlight w:val="none"/>
        </w:rPr>
      </w:pPr>
      <w:r>
        <w:rPr>
          <w:rFonts w:cs="Times New Roman"/>
          <w:b/>
          <w:bCs/>
          <w:szCs w:val="30"/>
          <w:highlight w:val="none"/>
        </w:rPr>
        <w:t>动态调整耕地土壤环境质量类别。</w:t>
      </w:r>
      <w:r>
        <w:rPr>
          <w:rFonts w:cs="Times New Roman"/>
          <w:szCs w:val="32"/>
          <w:highlight w:val="none"/>
        </w:rPr>
        <w:t>根据土壤环境质量例行监测、农用地重点地块监测</w:t>
      </w:r>
      <w:r>
        <w:rPr>
          <w:rFonts w:cs="Times New Roman"/>
          <w:szCs w:val="30"/>
          <w:highlight w:val="none"/>
        </w:rPr>
        <w:t>、农产品检测、治理修复效果评估等成果，动态调整土壤环境质量类别，并将清单上传全国土壤环境信息平台。</w:t>
      </w:r>
      <w:r>
        <w:rPr>
          <w:rFonts w:hint="eastAsia" w:cs="Times New Roman"/>
          <w:szCs w:val="30"/>
          <w:highlight w:val="none"/>
        </w:rPr>
        <w:t>编制耕地土壤环境质量类别调整技术报告，更新耕地土壤环境质量类别分类清单和图件，按要求上报有关部门。</w:t>
      </w:r>
      <w:r>
        <w:rPr>
          <w:rFonts w:cs="Times New Roman"/>
          <w:szCs w:val="30"/>
          <w:highlight w:val="none"/>
        </w:rPr>
        <w:t>禁止曾用于生产、使用、贮存、回收、处置有毒有害物质的工矿用地复垦为食用农产品耕地。</w:t>
      </w:r>
    </w:p>
    <w:p>
      <w:pPr>
        <w:ind w:firstLine="643"/>
        <w:rPr>
          <w:rFonts w:cs="Times New Roman"/>
          <w:highlight w:val="none"/>
        </w:rPr>
      </w:pPr>
      <w:r>
        <w:rPr>
          <w:rFonts w:hint="eastAsia" w:cs="Times New Roman"/>
          <w:b/>
          <w:bCs/>
          <w:szCs w:val="30"/>
          <w:highlight w:val="none"/>
        </w:rPr>
        <w:t>加大优先保护类耕地</w:t>
      </w:r>
      <w:r>
        <w:rPr>
          <w:rFonts w:cs="Times New Roman"/>
          <w:b/>
          <w:bCs/>
          <w:szCs w:val="30"/>
          <w:highlight w:val="none"/>
        </w:rPr>
        <w:t>保护力度。</w:t>
      </w:r>
      <w:r>
        <w:rPr>
          <w:rFonts w:cs="Times New Roman"/>
          <w:highlight w:val="none"/>
        </w:rPr>
        <w:t>严格落实耕地保护目标和永久基本农田保护任务，强化国土空</w:t>
      </w:r>
      <w:r>
        <w:rPr>
          <w:rFonts w:cs="Times New Roman"/>
          <w:szCs w:val="30"/>
          <w:highlight w:val="none"/>
        </w:rPr>
        <w:t>间规划和用途管控，</w:t>
      </w:r>
      <w:r>
        <w:rPr>
          <w:rFonts w:hint="eastAsia" w:cs="Times New Roman"/>
          <w:szCs w:val="30"/>
          <w:highlight w:val="none"/>
        </w:rPr>
        <w:t>实施永久基本农田集中区域划区定界。</w:t>
      </w:r>
      <w:r>
        <w:rPr>
          <w:rFonts w:cs="Times New Roman"/>
          <w:szCs w:val="30"/>
          <w:highlight w:val="none"/>
        </w:rPr>
        <w:t>在永久基本农田集中区域，</w:t>
      </w:r>
      <w:r>
        <w:rPr>
          <w:rFonts w:hint="eastAsia" w:cs="Times New Roman"/>
          <w:szCs w:val="30"/>
          <w:highlight w:val="none"/>
        </w:rPr>
        <w:t>除法律规定的重点建设项目选址无法避让外，</w:t>
      </w:r>
      <w:r>
        <w:rPr>
          <w:rFonts w:cs="Times New Roman"/>
          <w:szCs w:val="30"/>
          <w:highlight w:val="none"/>
        </w:rPr>
        <w:t>不</w:t>
      </w:r>
      <w:r>
        <w:rPr>
          <w:rFonts w:cs="Times New Roman"/>
          <w:highlight w:val="none"/>
        </w:rPr>
        <w:t>得规划新建可能造成土壤污染的建设项目。加大优先保护类耕地保护力度，确保其面积不减少、土壤环境质量不下降。以永久基本农田保护区、粮食生产功能区、重要农产品生产保护区为重点，逐步推进农田宜机化改造，加快高标准农田建设，202</w:t>
      </w:r>
      <w:r>
        <w:rPr>
          <w:rFonts w:hint="eastAsia" w:cs="Times New Roman"/>
          <w:highlight w:val="none"/>
          <w:lang w:val="en-US" w:eastAsia="zh-CN"/>
        </w:rPr>
        <w:t>2</w:t>
      </w:r>
      <w:r>
        <w:rPr>
          <w:rFonts w:cs="Times New Roman"/>
          <w:highlight w:val="none"/>
        </w:rPr>
        <w:t>年底前，完成建设</w:t>
      </w:r>
      <w:r>
        <w:rPr>
          <w:rFonts w:hint="eastAsia" w:cs="Times New Roman"/>
          <w:highlight w:val="none"/>
          <w:lang w:val="en-US" w:eastAsia="zh-CN"/>
        </w:rPr>
        <w:t>0.5万</w:t>
      </w:r>
      <w:r>
        <w:rPr>
          <w:rFonts w:cs="Times New Roman"/>
          <w:highlight w:val="none"/>
        </w:rPr>
        <w:t>亩高标准农田。加强农业投入品质量监管，从严查处向农田施用不达标肥料等农业投入品的行为。</w:t>
      </w:r>
    </w:p>
    <w:p>
      <w:pPr>
        <w:ind w:firstLine="643"/>
        <w:rPr>
          <w:rFonts w:cs="Times New Roman"/>
          <w:highlight w:val="none"/>
        </w:rPr>
      </w:pPr>
      <w:r>
        <w:rPr>
          <w:rFonts w:hint="eastAsia" w:cs="Times New Roman"/>
          <w:b/>
          <w:bCs/>
          <w:szCs w:val="30"/>
          <w:highlight w:val="none"/>
        </w:rPr>
        <w:t>提升安全利用类耕地</w:t>
      </w:r>
      <w:r>
        <w:rPr>
          <w:rFonts w:cs="Times New Roman"/>
          <w:b/>
          <w:bCs/>
          <w:szCs w:val="30"/>
          <w:highlight w:val="none"/>
        </w:rPr>
        <w:t>安全利用</w:t>
      </w:r>
      <w:r>
        <w:rPr>
          <w:rFonts w:hint="eastAsia" w:cs="Times New Roman"/>
          <w:b/>
          <w:bCs/>
          <w:szCs w:val="30"/>
          <w:highlight w:val="none"/>
        </w:rPr>
        <w:t>水平</w:t>
      </w:r>
      <w:r>
        <w:rPr>
          <w:rFonts w:cs="Times New Roman"/>
          <w:b/>
          <w:bCs/>
          <w:szCs w:val="30"/>
          <w:highlight w:val="none"/>
        </w:rPr>
        <w:t>。</w:t>
      </w:r>
      <w:r>
        <w:rPr>
          <w:rFonts w:cs="Times New Roman"/>
          <w:highlight w:val="none"/>
        </w:rPr>
        <w:t>巩固前期安全利用工作成效，持续推进受污染耕地安全利用，通过实施测土配方施肥技术、生理阻隔、土壤调理等措施，结合大巴山现代农业综合示范园区建设，制定实施受污染耕地安全利用方案，</w:t>
      </w:r>
      <w:r>
        <w:rPr>
          <w:rFonts w:hint="eastAsia" w:cs="Times New Roman"/>
          <w:highlight w:val="none"/>
        </w:rPr>
        <w:t>落实低积累品种替代、水分调控、叶面调控、优化施肥、土壤调理、酸碱度调控等安全利用措施。建设城口县受污染耕地安全利用示范区（片），2025年底前</w:t>
      </w:r>
      <w:r>
        <w:rPr>
          <w:rFonts w:cs="Times New Roman"/>
          <w:highlight w:val="none"/>
        </w:rPr>
        <w:t>，</w:t>
      </w:r>
      <w:r>
        <w:rPr>
          <w:rFonts w:hint="eastAsia" w:cs="Times New Roman"/>
          <w:highlight w:val="none"/>
        </w:rPr>
        <w:t>受污染耕地安全利用示范区（片）面积不低于全县安全利用类耕地面积的</w:t>
      </w:r>
      <w:r>
        <w:rPr>
          <w:rFonts w:cs="Times New Roman"/>
          <w:highlight w:val="none"/>
        </w:rPr>
        <w:t>10%</w:t>
      </w:r>
      <w:r>
        <w:rPr>
          <w:rFonts w:hint="eastAsia" w:cs="Times New Roman"/>
          <w:highlight w:val="none"/>
        </w:rPr>
        <w:t>。</w:t>
      </w:r>
    </w:p>
    <w:p>
      <w:pPr>
        <w:widowControl/>
        <w:ind w:firstLine="643"/>
        <w:rPr>
          <w:rFonts w:hint="eastAsia" w:eastAsia="方正楷体_GBK" w:cs="Times New Roman"/>
          <w:bCs/>
          <w:szCs w:val="32"/>
          <w:highlight w:val="none"/>
        </w:rPr>
      </w:pPr>
      <w:r>
        <w:rPr>
          <w:rFonts w:hint="eastAsia" w:cs="Times New Roman"/>
          <w:b/>
          <w:bCs/>
          <w:szCs w:val="30"/>
          <w:highlight w:val="none"/>
        </w:rPr>
        <w:t>强化严格管控类耕地</w:t>
      </w:r>
      <w:r>
        <w:rPr>
          <w:rFonts w:cs="Times New Roman"/>
          <w:b/>
          <w:bCs/>
          <w:szCs w:val="30"/>
          <w:highlight w:val="none"/>
        </w:rPr>
        <w:t>管控措施。</w:t>
      </w:r>
      <w:r>
        <w:rPr>
          <w:rFonts w:hint="eastAsia" w:cs="Times New Roman"/>
          <w:highlight w:val="none"/>
          <w:lang w:val="en-US" w:eastAsia="zh-CN"/>
        </w:rPr>
        <w:t>加强</w:t>
      </w:r>
      <w:r>
        <w:rPr>
          <w:rFonts w:hint="eastAsia" w:cs="Times New Roman"/>
          <w:highlight w:val="none"/>
        </w:rPr>
        <w:t>严格管控类耕地</w:t>
      </w:r>
      <w:r>
        <w:rPr>
          <w:rFonts w:hint="eastAsia" w:cs="Times New Roman"/>
          <w:highlight w:val="none"/>
          <w:lang w:val="en-US" w:eastAsia="zh-CN"/>
        </w:rPr>
        <w:t>管理</w:t>
      </w:r>
      <w:r>
        <w:rPr>
          <w:rFonts w:hint="eastAsia" w:cs="Times New Roman"/>
          <w:highlight w:val="none"/>
        </w:rPr>
        <w:t>，开展土壤和农产品协同监测与评价，</w:t>
      </w:r>
      <w:r>
        <w:rPr>
          <w:rFonts w:hint="eastAsia" w:ascii="方正仿宋_GBK" w:hAnsi="方正仿宋_GBK" w:eastAsia="方正仿宋_GBK" w:cs="方正仿宋_GBK"/>
          <w:sz w:val="32"/>
          <w:szCs w:val="32"/>
          <w:highlight w:val="none"/>
          <w:lang w:val="en-US" w:eastAsia="zh-CN"/>
        </w:rPr>
        <w:t>科学划定农用耕地严格管控区域</w:t>
      </w:r>
      <w:r>
        <w:rPr>
          <w:rFonts w:hint="eastAsia" w:cs="Times New Roman"/>
          <w:highlight w:val="none"/>
        </w:rPr>
        <w:t>。因地制宜采取严格管控类耕地种植结构调整（推广种植花卉苗木、麻、蚕桑等经济作物，以及经过安全评估的特色水果、油料作物、饲用作物等农作物）或者退耕还林还草等措施</w:t>
      </w:r>
      <w:r>
        <w:rPr>
          <w:rFonts w:cs="Times New Roman"/>
          <w:highlight w:val="none"/>
        </w:rPr>
        <w:t>，</w:t>
      </w:r>
      <w:r>
        <w:rPr>
          <w:rFonts w:hint="eastAsia" w:ascii="方正仿宋_GBK" w:hAnsi="方正仿宋_GBK" w:eastAsia="方正仿宋_GBK" w:cs="方正仿宋_GBK"/>
          <w:sz w:val="32"/>
          <w:szCs w:val="32"/>
          <w:highlight w:val="none"/>
        </w:rPr>
        <w:t>加强严格管控区</w:t>
      </w:r>
      <w:r>
        <w:rPr>
          <w:rFonts w:hint="eastAsia" w:ascii="方正仿宋_GBK" w:hAnsi="方正仿宋_GBK" w:cs="方正仿宋_GBK"/>
          <w:sz w:val="32"/>
          <w:szCs w:val="32"/>
          <w:highlight w:val="none"/>
          <w:lang w:val="en-US" w:eastAsia="zh-CN"/>
        </w:rPr>
        <w:t>农</w:t>
      </w:r>
      <w:r>
        <w:rPr>
          <w:rFonts w:hint="eastAsia" w:ascii="方正仿宋_GBK" w:hAnsi="方正仿宋_GBK" w:eastAsia="方正仿宋_GBK" w:cs="方正仿宋_GBK"/>
          <w:sz w:val="32"/>
          <w:szCs w:val="32"/>
          <w:highlight w:val="none"/>
        </w:rPr>
        <w:t>作物检测监管</w:t>
      </w:r>
      <w:r>
        <w:rPr>
          <w:rFonts w:hint="eastAsia" w:ascii="方正仿宋_GBK" w:hAnsi="方正仿宋_GBK" w:cs="方正仿宋_GBK"/>
          <w:sz w:val="32"/>
          <w:szCs w:val="32"/>
          <w:highlight w:val="none"/>
          <w:lang w:eastAsia="zh-CN"/>
        </w:rPr>
        <w:t>。</w:t>
      </w:r>
      <w:r>
        <w:rPr>
          <w:rFonts w:hint="eastAsia" w:cs="Times New Roman"/>
          <w:highlight w:val="none"/>
          <w:lang w:val="en-US" w:eastAsia="zh-CN"/>
        </w:rPr>
        <w:t>强化</w:t>
      </w:r>
      <w:r>
        <w:rPr>
          <w:rFonts w:hint="eastAsia" w:cs="Times New Roman"/>
          <w:highlight w:val="none"/>
        </w:rPr>
        <w:t>粮食收储和流通环节监管，杜绝重金属超标粮食进入口粮市场。</w:t>
      </w:r>
    </w:p>
    <w:tbl>
      <w:tblPr>
        <w:tblStyle w:val="23"/>
        <w:tblW w:w="823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823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235" w:type="dxa"/>
            <w:tcBorders>
              <w:top w:val="single" w:color="000000" w:sz="8" w:space="0"/>
              <w:left w:val="single" w:color="000000" w:sz="8" w:space="0"/>
              <w:bottom w:val="single" w:color="000000" w:sz="4" w:space="0"/>
              <w:right w:val="single" w:color="000000" w:sz="8" w:space="0"/>
            </w:tcBorders>
            <w:shd w:val="clear" w:color="auto" w:fill="auto"/>
            <w:tcMar>
              <w:left w:w="115" w:type="dxa"/>
              <w:right w:w="115" w:type="dxa"/>
            </w:tcMar>
            <w:vAlign w:val="center"/>
          </w:tcPr>
          <w:p>
            <w:pPr>
              <w:pStyle w:val="20"/>
              <w:keepNext w:val="0"/>
              <w:keepLines w:val="0"/>
              <w:pageBreakBefore w:val="0"/>
              <w:widowControl/>
              <w:kinsoku/>
              <w:wordWrap/>
              <w:overflowPunct/>
              <w:topLinePunct w:val="0"/>
              <w:autoSpaceDE/>
              <w:autoSpaceDN/>
              <w:bidi w:val="0"/>
              <w:adjustRightInd w:val="0"/>
              <w:snapToGrid w:val="0"/>
              <w:spacing w:beforeAutospacing="0" w:after="144" w:afterAutospacing="0" w:line="560" w:lineRule="exact"/>
              <w:ind w:firstLine="560"/>
              <w:jc w:val="center"/>
              <w:textAlignment w:val="auto"/>
              <w:rPr>
                <w:rFonts w:ascii="Times New Roman" w:hAnsi="Times New Roman" w:cs="Times New Roman"/>
                <w:sz w:val="28"/>
                <w:szCs w:val="28"/>
                <w:highlight w:val="none"/>
              </w:rPr>
            </w:pPr>
            <w:r>
              <w:rPr>
                <w:rFonts w:ascii="Times New Roman" w:hAnsi="方正黑体_GBK" w:eastAsia="方正黑体_GBK" w:cs="Times New Roman"/>
                <w:b/>
                <w:bCs/>
                <w:color w:val="333333"/>
                <w:sz w:val="28"/>
                <w:szCs w:val="28"/>
                <w:highlight w:val="none"/>
              </w:rPr>
              <w:t>专栏</w:t>
            </w:r>
            <w:r>
              <w:rPr>
                <w:rFonts w:ascii="Times New Roman" w:hAnsi="Times New Roman" w:cs="Times New Roman"/>
                <w:b/>
                <w:bCs/>
                <w:color w:val="333333"/>
                <w:sz w:val="28"/>
                <w:szCs w:val="28"/>
                <w:highlight w:val="none"/>
              </w:rPr>
              <w:t>1 </w:t>
            </w:r>
            <w:r>
              <w:rPr>
                <w:rFonts w:hint="eastAsia" w:ascii="Times New Roman" w:hAnsi="Times New Roman" w:cs="Times New Roman"/>
                <w:b/>
                <w:bCs/>
                <w:color w:val="333333"/>
                <w:sz w:val="28"/>
                <w:szCs w:val="28"/>
                <w:highlight w:val="none"/>
              </w:rPr>
              <w:t xml:space="preserve"> </w:t>
            </w:r>
            <w:r>
              <w:rPr>
                <w:rFonts w:ascii="Times New Roman" w:hAnsi="方正黑体_GBK" w:eastAsia="方正黑体_GBK" w:cs="Times New Roman"/>
                <w:b/>
                <w:bCs/>
                <w:color w:val="333333"/>
                <w:sz w:val="28"/>
                <w:szCs w:val="28"/>
                <w:highlight w:val="none"/>
              </w:rPr>
              <w:t>土壤污染防治工程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235" w:type="dxa"/>
            <w:tcBorders>
              <w:top w:val="single" w:color="000000" w:sz="4" w:space="0"/>
              <w:left w:val="single" w:color="000000" w:sz="8" w:space="0"/>
              <w:bottom w:val="single" w:color="000000" w:sz="8" w:space="0"/>
              <w:right w:val="single" w:color="000000" w:sz="8" w:space="0"/>
            </w:tcBorders>
            <w:shd w:val="clear" w:color="auto" w:fill="auto"/>
            <w:tcMar>
              <w:left w:w="115" w:type="dxa"/>
              <w:right w:w="115" w:type="dxa"/>
            </w:tcMar>
            <w:vAlign w:val="center"/>
          </w:tcPr>
          <w:p>
            <w:pPr>
              <w:pStyle w:val="20"/>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auto"/>
              <w:rPr>
                <w:rFonts w:hint="eastAsia" w:ascii="Times New Roman" w:cs="Times New Roman"/>
                <w:sz w:val="28"/>
                <w:szCs w:val="28"/>
                <w:highlight w:val="none"/>
                <w:lang w:val="en-US" w:eastAsia="zh-CN"/>
              </w:rPr>
            </w:pPr>
            <w:r>
              <w:rPr>
                <w:rFonts w:ascii="Times New Roman" w:cs="Times New Roman"/>
                <w:sz w:val="28"/>
                <w:szCs w:val="28"/>
                <w:highlight w:val="none"/>
              </w:rPr>
              <w:t>土</w:t>
            </w:r>
            <w:r>
              <w:rPr>
                <w:rFonts w:hint="eastAsia" w:ascii="Times New Roman" w:cs="Times New Roman"/>
                <w:sz w:val="28"/>
                <w:szCs w:val="28"/>
                <w:highlight w:val="none"/>
                <w:lang w:val="en-US" w:eastAsia="zh-CN"/>
              </w:rPr>
              <w:t>壤污染源头预防项目。以土壤污染重点监管企业、涉镉等重金属行业企业以及重有色金属矿区为重点，开展在产企业防渗漏、重金属减排等提标改造工程。实施历史遗留矿山治理修复工程，对全县600余亩历史遗留矿山生态问题进行综合整治，</w:t>
            </w:r>
            <w:r>
              <w:rPr>
                <w:rFonts w:ascii="Times New Roman" w:cs="Times New Roman"/>
                <w:sz w:val="28"/>
                <w:szCs w:val="28"/>
              </w:rPr>
              <w:t>启动绿色矿山建设工程</w:t>
            </w:r>
            <w:r>
              <w:rPr>
                <w:rFonts w:hint="eastAsia" w:ascii="Times New Roman" w:cs="Times New Roman"/>
                <w:sz w:val="28"/>
                <w:szCs w:val="28"/>
                <w:highlight w:val="none"/>
                <w:lang w:val="en-US" w:eastAsia="zh-CN"/>
              </w:rPr>
              <w:t>。</w:t>
            </w:r>
          </w:p>
          <w:p>
            <w:pPr>
              <w:pStyle w:val="20"/>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auto"/>
              <w:rPr>
                <w:rFonts w:hint="eastAsia" w:ascii="Times New Roman" w:cs="Times New Roman"/>
                <w:sz w:val="28"/>
                <w:szCs w:val="28"/>
                <w:highlight w:val="none"/>
                <w:lang w:val="en-US" w:eastAsia="zh-CN"/>
              </w:rPr>
            </w:pPr>
            <w:r>
              <w:rPr>
                <w:rFonts w:hint="eastAsia" w:ascii="Times New Roman" w:cs="Times New Roman"/>
                <w:sz w:val="28"/>
                <w:szCs w:val="28"/>
                <w:highlight w:val="none"/>
                <w:lang w:val="en-US" w:eastAsia="zh-CN"/>
              </w:rPr>
              <w:t>土壤污染状况调查和风险评估项目。以用途变更为“一住两公”的地块为重点，开展重点行业企业原址土壤污染状况调查。实施污染土壤污染状况调查与风险评估，到2025年，完成重庆市城口县百步梯锰业有限公司地块土壤污染状况调查及风险评估。</w:t>
            </w:r>
          </w:p>
          <w:p>
            <w:pPr>
              <w:pStyle w:val="20"/>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auto"/>
              <w:rPr>
                <w:rFonts w:hint="eastAsia" w:ascii="Times New Roman" w:cs="Times New Roman"/>
                <w:sz w:val="28"/>
                <w:szCs w:val="28"/>
                <w:highlight w:val="none"/>
                <w:lang w:val="en-US" w:eastAsia="zh-CN"/>
              </w:rPr>
            </w:pPr>
            <w:r>
              <w:rPr>
                <w:rFonts w:hint="eastAsia" w:ascii="Times New Roman" w:cs="Times New Roman"/>
                <w:sz w:val="28"/>
                <w:szCs w:val="28"/>
                <w:highlight w:val="none"/>
                <w:lang w:val="en-US" w:eastAsia="zh-CN"/>
              </w:rPr>
              <w:t>土壤污染风险管控与修复项目。根据土壤污染状况调查和风险评估结果，对存在污染的地块实施风险管控与治理修复。</w:t>
            </w:r>
          </w:p>
          <w:p>
            <w:pPr>
              <w:pStyle w:val="20"/>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auto"/>
              <w:rPr>
                <w:rFonts w:ascii="Times New Roman" w:cs="Times New Roman"/>
                <w:sz w:val="28"/>
                <w:szCs w:val="28"/>
                <w:highlight w:val="none"/>
              </w:rPr>
            </w:pPr>
            <w:r>
              <w:rPr>
                <w:rFonts w:hint="eastAsia" w:ascii="Times New Roman" w:cs="Times New Roman"/>
                <w:sz w:val="28"/>
                <w:szCs w:val="28"/>
                <w:highlight w:val="none"/>
                <w:lang w:val="en-US" w:eastAsia="zh-CN"/>
              </w:rPr>
              <w:t>巩固提升耕地环境质量项目。推进耕地土壤环境质量类别划定，实施污染耕地分类治理。加快高标准农田建设，建设高标准农田0.5万亩。</w:t>
            </w:r>
          </w:p>
        </w:tc>
      </w:tr>
    </w:tbl>
    <w:p>
      <w:pPr>
        <w:pStyle w:val="3"/>
        <w:bidi w:val="0"/>
        <w:rPr>
          <w:highlight w:val="none"/>
        </w:rPr>
      </w:pPr>
      <w:bookmarkStart w:id="29" w:name="_Toc25966"/>
      <w:r>
        <w:rPr>
          <w:rFonts w:hint="eastAsia"/>
          <w:highlight w:val="none"/>
        </w:rPr>
        <w:t>四、持续</w:t>
      </w:r>
      <w:r>
        <w:rPr>
          <w:highlight w:val="none"/>
        </w:rPr>
        <w:t>改善农业农村生态环境</w:t>
      </w:r>
      <w:bookmarkEnd w:id="29"/>
    </w:p>
    <w:p>
      <w:pPr>
        <w:spacing w:line="594" w:lineRule="exact"/>
        <w:ind w:firstLine="640"/>
        <w:rPr>
          <w:rFonts w:cs="Times New Roman"/>
          <w:szCs w:val="32"/>
          <w:highlight w:val="none"/>
        </w:rPr>
      </w:pPr>
      <w:r>
        <w:rPr>
          <w:rFonts w:hint="eastAsia" w:cs="Times New Roman"/>
          <w:szCs w:val="32"/>
          <w:highlight w:val="none"/>
        </w:rPr>
        <w:t>加</w:t>
      </w:r>
      <w:r>
        <w:rPr>
          <w:rFonts w:hint="eastAsia" w:cs="Times New Roman"/>
          <w:szCs w:val="32"/>
          <w:highlight w:val="none"/>
        </w:rPr>
        <w:drawing>
          <wp:inline distT="0" distB="0" distL="114300" distR="114300">
            <wp:extent cx="9525" cy="9525"/>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Pr>
          <w:rFonts w:hint="eastAsia" w:cs="Times New Roman"/>
          <w:szCs w:val="32"/>
          <w:highlight w:val="none"/>
        </w:rPr>
        <w:drawing>
          <wp:inline distT="0" distB="0" distL="114300" distR="114300">
            <wp:extent cx="9525"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Pr>
          <w:rFonts w:hint="eastAsia" w:cs="Times New Roman"/>
          <w:szCs w:val="32"/>
          <w:highlight w:val="none"/>
        </w:rPr>
        <w:t>大种植业、养殖业污染防治力度，持续推进农村生活污水、生活垃圾治理，实施农村饮用水水源地保护和农村黑臭水体整治，不断</w:t>
      </w:r>
      <w:r>
        <w:rPr>
          <w:rFonts w:cs="Times New Roman"/>
          <w:szCs w:val="32"/>
          <w:highlight w:val="none"/>
        </w:rPr>
        <w:t>改善农村生态环境，</w:t>
      </w:r>
      <w:r>
        <w:rPr>
          <w:rFonts w:hint="eastAsia" w:cs="Times New Roman"/>
          <w:szCs w:val="32"/>
          <w:highlight w:val="none"/>
        </w:rPr>
        <w:t>推动农业农村实现绿色发展。</w:t>
      </w:r>
    </w:p>
    <w:p>
      <w:pPr>
        <w:pStyle w:val="4"/>
        <w:bidi w:val="0"/>
        <w:rPr>
          <w:highlight w:val="none"/>
        </w:rPr>
      </w:pPr>
      <w:bookmarkStart w:id="30" w:name="_Toc7386"/>
      <w:r>
        <w:rPr>
          <w:rFonts w:hint="eastAsia"/>
          <w:highlight w:val="none"/>
        </w:rPr>
        <w:t>（一）持续推进种植业污染防治。</w:t>
      </w:r>
      <w:bookmarkEnd w:id="30"/>
    </w:p>
    <w:p>
      <w:pPr>
        <w:spacing w:line="594" w:lineRule="exact"/>
        <w:ind w:firstLine="643"/>
        <w:rPr>
          <w:rFonts w:cs="Times New Roman"/>
          <w:highlight w:val="none"/>
        </w:rPr>
      </w:pPr>
      <w:r>
        <w:rPr>
          <w:rFonts w:cs="Times New Roman"/>
          <w:b/>
          <w:szCs w:val="32"/>
          <w:highlight w:val="none"/>
        </w:rPr>
        <w:t>推进化肥农药减量增效。</w:t>
      </w:r>
      <w:r>
        <w:rPr>
          <w:rFonts w:cs="Times New Roman"/>
          <w:highlight w:val="none"/>
        </w:rPr>
        <w:t>全面推广精准施肥，逐步推进全域化肥农药减禁工程，加大种植业投入品结构调整力度，在全县各乡镇开展化肥农药减量增效技术的宣传、培训，推广测土配方施肥技术，推动耕地土壤改良、地力培肥试点和化肥减量试验示范基地建设。分区域推进减少农药、化肥等的使用工作，在销售源头上进行扼制。严格控制高毒高风险农药使用，推广低毒低残留农药，推进病虫害统防统治和绿色防控。202</w:t>
      </w:r>
      <w:r>
        <w:rPr>
          <w:rFonts w:hint="eastAsia" w:cs="Times New Roman"/>
          <w:highlight w:val="none"/>
        </w:rPr>
        <w:t>5</w:t>
      </w:r>
      <w:r>
        <w:rPr>
          <w:rFonts w:cs="Times New Roman"/>
          <w:highlight w:val="none"/>
        </w:rPr>
        <w:t>年底前，主要农作物化肥、农药利用率</w:t>
      </w:r>
      <w:r>
        <w:rPr>
          <w:rFonts w:hint="eastAsia" w:cs="Times New Roman"/>
          <w:highlight w:val="none"/>
          <w:lang w:val="en-US" w:eastAsia="zh-CN"/>
        </w:rPr>
        <w:t>稳定在40</w:t>
      </w:r>
      <w:r>
        <w:rPr>
          <w:rFonts w:cs="Times New Roman"/>
          <w:highlight w:val="none"/>
        </w:rPr>
        <w:t>%</w:t>
      </w:r>
      <w:r>
        <w:rPr>
          <w:rFonts w:hint="eastAsia" w:cs="Times New Roman"/>
          <w:highlight w:val="none"/>
          <w:lang w:val="en-US" w:eastAsia="zh-CN"/>
        </w:rPr>
        <w:t>以上</w:t>
      </w:r>
      <w:r>
        <w:rPr>
          <w:rFonts w:cs="Times New Roman"/>
          <w:highlight w:val="none"/>
        </w:rPr>
        <w:t>，</w:t>
      </w:r>
      <w:r>
        <w:rPr>
          <w:rFonts w:hint="eastAsia" w:cs="Times New Roman"/>
          <w:highlight w:val="none"/>
        </w:rPr>
        <w:t>主要农作物病虫害专业化统防统治覆盖率达到</w:t>
      </w:r>
      <w:r>
        <w:rPr>
          <w:rFonts w:cs="Times New Roman"/>
          <w:highlight w:val="none"/>
        </w:rPr>
        <w:t>43%。</w:t>
      </w:r>
    </w:p>
    <w:p>
      <w:pPr>
        <w:spacing w:line="594" w:lineRule="exact"/>
        <w:ind w:firstLine="643"/>
        <w:rPr>
          <w:rFonts w:eastAsia="方正楷体_GBK" w:cs="Times New Roman"/>
          <w:bCs/>
          <w:szCs w:val="32"/>
          <w:highlight w:val="none"/>
        </w:rPr>
      </w:pPr>
      <w:r>
        <w:rPr>
          <w:rFonts w:hint="eastAsia" w:cs="Times New Roman"/>
          <w:b/>
          <w:szCs w:val="32"/>
          <w:highlight w:val="none"/>
        </w:rPr>
        <w:t>强化</w:t>
      </w:r>
      <w:r>
        <w:rPr>
          <w:rFonts w:cs="Times New Roman"/>
          <w:b/>
          <w:szCs w:val="32"/>
          <w:highlight w:val="none"/>
        </w:rPr>
        <w:t>农业废弃物资源化利用。</w:t>
      </w:r>
      <w:r>
        <w:rPr>
          <w:rFonts w:cs="Times New Roman"/>
          <w:highlight w:val="none"/>
        </w:rPr>
        <w:t>全面普及标准农膜，大力推进地膜源头减量，示范推广全生物</w:t>
      </w:r>
      <w:r>
        <w:rPr>
          <w:rFonts w:hint="eastAsia" w:cs="Times New Roman"/>
          <w:highlight w:val="none"/>
          <w:lang w:val="en-US" w:eastAsia="zh-CN"/>
        </w:rPr>
        <w:t>可</w:t>
      </w:r>
      <w:r>
        <w:rPr>
          <w:rFonts w:cs="Times New Roman"/>
          <w:highlight w:val="none"/>
        </w:rPr>
        <w:t>降解地膜。推进</w:t>
      </w:r>
      <w:r>
        <w:rPr>
          <w:rFonts w:hint="eastAsia" w:cs="Times New Roman"/>
          <w:highlight w:val="none"/>
          <w:lang w:val="en-US" w:eastAsia="zh-CN"/>
        </w:rPr>
        <w:t>农膜、地膜</w:t>
      </w:r>
      <w:r>
        <w:rPr>
          <w:rFonts w:cs="Times New Roman"/>
          <w:highlight w:val="none"/>
        </w:rPr>
        <w:t>回收利用，建立</w:t>
      </w:r>
      <w:r>
        <w:rPr>
          <w:rFonts w:hint="eastAsia" w:cs="Times New Roman"/>
          <w:highlight w:val="none"/>
          <w:lang w:val="en-US" w:eastAsia="zh-CN"/>
        </w:rPr>
        <w:t>废旧</w:t>
      </w:r>
      <w:r>
        <w:rPr>
          <w:rFonts w:cs="Times New Roman"/>
          <w:highlight w:val="none"/>
        </w:rPr>
        <w:t>农膜</w:t>
      </w:r>
      <w:r>
        <w:rPr>
          <w:rFonts w:hint="eastAsia" w:cs="Times New Roman"/>
          <w:highlight w:val="none"/>
          <w:lang w:val="en-US" w:eastAsia="zh-CN"/>
        </w:rPr>
        <w:t>回收网络体系</w:t>
      </w:r>
      <w:r>
        <w:rPr>
          <w:rFonts w:cs="Times New Roman"/>
          <w:highlight w:val="none"/>
        </w:rPr>
        <w:t>，提高废旧农膜回收利用和处置水平</w:t>
      </w:r>
      <w:r>
        <w:rPr>
          <w:rFonts w:hint="eastAsia" w:cs="Times New Roman"/>
          <w:highlight w:val="none"/>
          <w:lang w:eastAsia="zh-CN"/>
        </w:rPr>
        <w:t>，</w:t>
      </w:r>
      <w:r>
        <w:rPr>
          <w:rFonts w:cs="Times New Roman"/>
          <w:highlight w:val="none"/>
        </w:rPr>
        <w:t>到202</w:t>
      </w:r>
      <w:r>
        <w:rPr>
          <w:rFonts w:hint="eastAsia" w:cs="Times New Roman"/>
          <w:highlight w:val="none"/>
        </w:rPr>
        <w:t>5</w:t>
      </w:r>
      <w:r>
        <w:rPr>
          <w:rFonts w:cs="Times New Roman"/>
          <w:highlight w:val="none"/>
        </w:rPr>
        <w:t>年，全县农膜回收率</w:t>
      </w:r>
      <w:r>
        <w:rPr>
          <w:rFonts w:hint="eastAsia" w:cs="Times New Roman"/>
          <w:highlight w:val="none"/>
        </w:rPr>
        <w:t>稳定在9</w:t>
      </w:r>
      <w:r>
        <w:rPr>
          <w:rFonts w:cs="Times New Roman"/>
          <w:highlight w:val="none"/>
        </w:rPr>
        <w:t>0%以上。建立秸秆综合利用制度，大力推广秸秆全量还田、秸秆青贮氨化养畜生产等综合利用技术。加强农作物秸秆综合利用，突出肥料化、饲料化、基料化为重点利用方向，开展秸秆还田利用，到202</w:t>
      </w:r>
      <w:r>
        <w:rPr>
          <w:rFonts w:hint="eastAsia" w:cs="Times New Roman"/>
          <w:highlight w:val="none"/>
        </w:rPr>
        <w:t>5</w:t>
      </w:r>
      <w:r>
        <w:rPr>
          <w:rFonts w:cs="Times New Roman"/>
          <w:highlight w:val="none"/>
        </w:rPr>
        <w:t>年，全县农作物秸秆综合利用率</w:t>
      </w:r>
      <w:r>
        <w:rPr>
          <w:rFonts w:hint="eastAsia" w:cs="Times New Roman"/>
          <w:highlight w:val="none"/>
        </w:rPr>
        <w:t>稳定</w:t>
      </w:r>
      <w:r>
        <w:rPr>
          <w:rFonts w:cs="Times New Roman"/>
          <w:highlight w:val="none"/>
        </w:rPr>
        <w:t>在</w:t>
      </w:r>
      <w:r>
        <w:rPr>
          <w:rFonts w:hint="eastAsia" w:cs="Times New Roman"/>
          <w:highlight w:val="none"/>
        </w:rPr>
        <w:t>90</w:t>
      </w:r>
      <w:r>
        <w:rPr>
          <w:rFonts w:cs="Times New Roman"/>
          <w:highlight w:val="none"/>
        </w:rPr>
        <w:t>%以上。</w:t>
      </w:r>
    </w:p>
    <w:p>
      <w:pPr>
        <w:pStyle w:val="4"/>
        <w:bidi w:val="0"/>
        <w:rPr>
          <w:highlight w:val="none"/>
        </w:rPr>
      </w:pPr>
      <w:bookmarkStart w:id="31" w:name="_Toc31504"/>
      <w:r>
        <w:rPr>
          <w:rFonts w:hint="eastAsia"/>
          <w:highlight w:val="none"/>
        </w:rPr>
        <w:t>（二）全面实施养殖业污染防治。</w:t>
      </w:r>
      <w:bookmarkEnd w:id="31"/>
    </w:p>
    <w:p>
      <w:pPr>
        <w:ind w:firstLine="643"/>
        <w:rPr>
          <w:rFonts w:cs="Times New Roman"/>
          <w:highlight w:val="none"/>
        </w:rPr>
      </w:pPr>
      <w:r>
        <w:rPr>
          <w:rFonts w:cs="Times New Roman"/>
          <w:b/>
          <w:bCs/>
          <w:highlight w:val="none"/>
        </w:rPr>
        <w:t>加强畜禽养殖污染防治。</w:t>
      </w:r>
      <w:r>
        <w:rPr>
          <w:rFonts w:cs="Times New Roman"/>
          <w:highlight w:val="none"/>
        </w:rPr>
        <w:t>优化调整畜禽养殖布局，严格执行畜禽</w:t>
      </w:r>
      <w:r>
        <w:rPr>
          <w:rFonts w:hint="eastAsia" w:cs="Times New Roman"/>
          <w:highlight w:val="none"/>
        </w:rPr>
        <w:t>“</w:t>
      </w:r>
      <w:r>
        <w:rPr>
          <w:rFonts w:cs="Times New Roman"/>
          <w:highlight w:val="none"/>
        </w:rPr>
        <w:t>三区</w:t>
      </w:r>
      <w:r>
        <w:rPr>
          <w:rFonts w:hint="eastAsia" w:cs="Times New Roman"/>
          <w:highlight w:val="none"/>
        </w:rPr>
        <w:t>”（</w:t>
      </w:r>
      <w:r>
        <w:rPr>
          <w:rFonts w:cs="Times New Roman"/>
          <w:highlight w:val="none"/>
        </w:rPr>
        <w:t>禁养区、限养区、适养区</w:t>
      </w:r>
      <w:r>
        <w:rPr>
          <w:rFonts w:hint="eastAsia" w:cs="Times New Roman"/>
          <w:highlight w:val="none"/>
        </w:rPr>
        <w:t>）</w:t>
      </w:r>
      <w:r>
        <w:rPr>
          <w:rFonts w:cs="Times New Roman"/>
          <w:highlight w:val="none"/>
        </w:rPr>
        <w:t>管理规定，落实</w:t>
      </w:r>
      <w:r>
        <w:rPr>
          <w:rFonts w:hint="eastAsia" w:cs="Times New Roman"/>
          <w:highlight w:val="none"/>
        </w:rPr>
        <w:t>“</w:t>
      </w:r>
      <w:r>
        <w:rPr>
          <w:rFonts w:cs="Times New Roman"/>
          <w:highlight w:val="none"/>
        </w:rPr>
        <w:t>谁污染、谁治理</w:t>
      </w:r>
      <w:r>
        <w:rPr>
          <w:rFonts w:hint="eastAsia" w:cs="Times New Roman"/>
          <w:highlight w:val="none"/>
        </w:rPr>
        <w:t>”</w:t>
      </w:r>
      <w:r>
        <w:rPr>
          <w:rFonts w:cs="Times New Roman"/>
          <w:highlight w:val="none"/>
        </w:rPr>
        <w:t>的主体责任。建设病死畜禽收贮点，配备病死畜禽无害化集中处理设备，完善病死畜禽无害化收贮体系。加强畜禽养殖污染治理，支持规模养殖场建设适应粪污资源化利用要求的设施装备。到2025年，畜禽粪污综合利用率</w:t>
      </w:r>
      <w:r>
        <w:rPr>
          <w:rFonts w:hint="eastAsia" w:cs="Times New Roman"/>
          <w:highlight w:val="none"/>
        </w:rPr>
        <w:t>达到9</w:t>
      </w:r>
      <w:r>
        <w:rPr>
          <w:rFonts w:cs="Times New Roman"/>
          <w:highlight w:val="none"/>
        </w:rPr>
        <w:t>0%。</w:t>
      </w:r>
      <w:r>
        <w:rPr>
          <w:rFonts w:hint="eastAsia" w:cs="Times New Roman"/>
          <w:highlight w:val="none"/>
        </w:rPr>
        <w:t>依法严查畜禽粪污偷排、直排、丢弃等环境违法行为。推进种养结合，加强对畜禽粪污还田利用的指导，推进畜禽养殖场、专业户实施畜禽粪污资源化利用计划和台账管理，逐步开展利用计划和台账管理核查与评估。</w:t>
      </w:r>
    </w:p>
    <w:p>
      <w:pPr>
        <w:adjustRightInd/>
        <w:snapToGrid/>
        <w:spacing w:line="560" w:lineRule="exact"/>
        <w:ind w:firstLine="643"/>
        <w:rPr>
          <w:rFonts w:eastAsia="方正楷体_GBK" w:cs="Times New Roman"/>
          <w:bCs/>
          <w:szCs w:val="32"/>
          <w:highlight w:val="none"/>
        </w:rPr>
      </w:pPr>
      <w:r>
        <w:rPr>
          <w:rFonts w:hint="eastAsia" w:cs="Times New Roman"/>
          <w:b/>
          <w:bCs/>
          <w:highlight w:val="none"/>
        </w:rPr>
        <w:t>实施</w:t>
      </w:r>
      <w:r>
        <w:rPr>
          <w:rFonts w:cs="Times New Roman"/>
          <w:b/>
          <w:bCs/>
          <w:highlight w:val="none"/>
        </w:rPr>
        <w:t>水产养殖污染防治。</w:t>
      </w:r>
      <w:r>
        <w:rPr>
          <w:rFonts w:hint="eastAsia" w:cs="Times New Roman"/>
          <w:highlight w:val="none"/>
        </w:rPr>
        <w:t>开展水产养殖业污染源基础调查与监测，以</w:t>
      </w:r>
      <w:r>
        <w:rPr>
          <w:rFonts w:cs="Times New Roman"/>
          <w:highlight w:val="none"/>
        </w:rPr>
        <w:t>30</w:t>
      </w:r>
      <w:r>
        <w:rPr>
          <w:rFonts w:hint="eastAsia" w:cs="Times New Roman"/>
          <w:highlight w:val="none"/>
        </w:rPr>
        <w:t>亩以上水面养殖为重点，完善水产养殖业污染源信息数据库。科学有序推进养殖尾水治理，</w:t>
      </w:r>
      <w:r>
        <w:rPr>
          <w:rFonts w:cs="Times New Roman"/>
          <w:highlight w:val="none"/>
        </w:rPr>
        <w:t>30</w:t>
      </w:r>
      <w:r>
        <w:rPr>
          <w:rFonts w:hint="eastAsia" w:cs="Times New Roman"/>
          <w:highlight w:val="none"/>
        </w:rPr>
        <w:t>亩以上专用池塘养殖场落实尾水治理措施，实现养殖尾水达标排放、循环使用或资源化利用；</w:t>
      </w:r>
      <w:r>
        <w:rPr>
          <w:rFonts w:cs="Times New Roman"/>
          <w:highlight w:val="none"/>
        </w:rPr>
        <w:t>30</w:t>
      </w:r>
      <w:r>
        <w:rPr>
          <w:rFonts w:hint="eastAsia" w:cs="Times New Roman"/>
          <w:highlight w:val="none"/>
        </w:rPr>
        <w:t>亩以下水产养殖场，鼓励采取种养结合方式，促进废弃物等就近就地消纳利用；严禁养殖尾水未经处理直排江河湖库。加强池塘标准化改造，梯次推进大水面生态养殖。</w:t>
      </w:r>
      <w:r>
        <w:rPr>
          <w:rFonts w:cs="Times New Roman"/>
          <w:highlight w:val="none"/>
        </w:rPr>
        <w:t>在城口县巴山水库和中坝子水库试点开展以渔净水生态健康养殖。</w:t>
      </w:r>
    </w:p>
    <w:p>
      <w:pPr>
        <w:pStyle w:val="4"/>
        <w:bidi w:val="0"/>
        <w:rPr>
          <w:highlight w:val="none"/>
        </w:rPr>
      </w:pPr>
      <w:bookmarkStart w:id="32" w:name="_Toc21807"/>
      <w:r>
        <w:rPr>
          <w:rFonts w:hint="eastAsia"/>
          <w:highlight w:val="none"/>
        </w:rPr>
        <w:t>（三）扎实推进农村生活污染治理。</w:t>
      </w:r>
      <w:bookmarkEnd w:id="32"/>
    </w:p>
    <w:p>
      <w:pPr>
        <w:ind w:firstLine="643"/>
        <w:rPr>
          <w:rFonts w:cs="Times New Roman"/>
          <w:highlight w:val="none"/>
        </w:rPr>
      </w:pPr>
      <w:r>
        <w:rPr>
          <w:rFonts w:hint="eastAsia" w:cs="Times New Roman"/>
          <w:b/>
          <w:bCs/>
          <w:highlight w:val="none"/>
        </w:rPr>
        <w:t>加强</w:t>
      </w:r>
      <w:r>
        <w:rPr>
          <w:rFonts w:cs="Times New Roman"/>
          <w:b/>
          <w:bCs/>
          <w:highlight w:val="none"/>
        </w:rPr>
        <w:t>农村生活污水治理。</w:t>
      </w:r>
      <w:r>
        <w:rPr>
          <w:rFonts w:hint="eastAsia" w:cs="Times New Roman"/>
          <w:highlight w:val="none"/>
        </w:rPr>
        <w:t>结合</w:t>
      </w:r>
      <w:r>
        <w:rPr>
          <w:rFonts w:cs="Times New Roman"/>
          <w:highlight w:val="none"/>
        </w:rPr>
        <w:t>城口县农村生活污水治理专项规划</w:t>
      </w:r>
      <w:r>
        <w:rPr>
          <w:rFonts w:hint="eastAsia" w:cs="Times New Roman"/>
          <w:highlight w:val="none"/>
        </w:rPr>
        <w:t>，强化农村生活污水治理与供水改厕、农业生产等一体推进，推进设施的建设、运行和管理</w:t>
      </w:r>
      <w:r>
        <w:rPr>
          <w:rFonts w:hint="eastAsia" w:cs="Times New Roman"/>
          <w:highlight w:val="none"/>
          <w:lang w:eastAsia="zh-CN"/>
        </w:rPr>
        <w:t>，</w:t>
      </w:r>
      <w:r>
        <w:rPr>
          <w:rFonts w:hint="eastAsia" w:cs="Times New Roman"/>
          <w:highlight w:val="none"/>
          <w:lang w:val="en-US" w:eastAsia="zh-CN"/>
        </w:rPr>
        <w:t>推行城口县生活污水处理设施运营管理办法</w:t>
      </w:r>
      <w:r>
        <w:rPr>
          <w:rFonts w:hint="eastAsia" w:cs="Times New Roman"/>
          <w:highlight w:val="none"/>
        </w:rPr>
        <w:t>。</w:t>
      </w:r>
      <w:r>
        <w:rPr>
          <w:rFonts w:hint="eastAsia" w:cs="Times New Roman"/>
          <w:highlight w:val="none"/>
          <w:lang w:val="en-US" w:eastAsia="zh-CN"/>
        </w:rPr>
        <w:t>持续推进农村常住人口200户（或500人）以上的聚居点污水集中处理设施及管网建设，逐步补齐农村环境基础设施短板。</w:t>
      </w:r>
      <w:r>
        <w:rPr>
          <w:rFonts w:hint="eastAsia" w:cs="Times New Roman"/>
          <w:highlight w:val="none"/>
        </w:rPr>
        <w:t>持续推进分散农户生活污水有效管控，指导和推动分散农户生活污水资源利用，提升分散农户生活污水处置水平。加强监督指导，组织开展绩效评估和监测评价。</w:t>
      </w:r>
      <w:r>
        <w:rPr>
          <w:rFonts w:cs="Times New Roman"/>
          <w:highlight w:val="none"/>
        </w:rPr>
        <w:t>强化设施建设与运行一体推进的管理制度，</w:t>
      </w:r>
      <w:r>
        <w:rPr>
          <w:rFonts w:hint="eastAsia" w:cs="Times New Roman"/>
          <w:highlight w:val="none"/>
          <w:lang w:val="en-US" w:eastAsia="zh-CN"/>
        </w:rPr>
        <w:t>持续推进</w:t>
      </w:r>
      <w:r>
        <w:rPr>
          <w:rFonts w:cs="Times New Roman"/>
          <w:highlight w:val="none"/>
        </w:rPr>
        <w:t>兴隆村六合场污水处理站等</w:t>
      </w:r>
      <w:r>
        <w:rPr>
          <w:rFonts w:hint="eastAsia" w:cs="Times New Roman"/>
          <w:highlight w:val="none"/>
        </w:rPr>
        <w:t>26</w:t>
      </w:r>
      <w:r>
        <w:rPr>
          <w:rFonts w:cs="Times New Roman"/>
          <w:highlight w:val="none"/>
        </w:rPr>
        <w:t>个已建污水处理设施</w:t>
      </w:r>
      <w:r>
        <w:rPr>
          <w:rFonts w:hint="eastAsia" w:cs="Times New Roman"/>
          <w:highlight w:val="none"/>
          <w:lang w:eastAsia="zh-CN"/>
        </w:rPr>
        <w:t>，</w:t>
      </w:r>
      <w:r>
        <w:rPr>
          <w:rFonts w:cs="Times New Roman"/>
          <w:highlight w:val="none"/>
        </w:rPr>
        <w:t>以及河鱼乡平溪村等新建污水处理设施运行维护管理，保障农村生活污水治理设施持续运行。2025年底前，全县104个优先治理行政村生活污水得到全面治理，农村生活污水治理农户覆盖率达到</w:t>
      </w:r>
      <w:r>
        <w:rPr>
          <w:rFonts w:hint="eastAsia" w:cs="Times New Roman"/>
          <w:highlight w:val="none"/>
          <w:lang w:val="en-US" w:eastAsia="zh-CN"/>
        </w:rPr>
        <w:t>80</w:t>
      </w:r>
      <w:r>
        <w:rPr>
          <w:rFonts w:cs="Times New Roman"/>
          <w:highlight w:val="none"/>
        </w:rPr>
        <w:t>%以上，农村生活污水治理率达到</w:t>
      </w:r>
      <w:r>
        <w:rPr>
          <w:rFonts w:hint="eastAsia" w:cs="Times New Roman"/>
          <w:highlight w:val="none"/>
          <w:lang w:val="en-US" w:eastAsia="zh-CN"/>
        </w:rPr>
        <w:t>50</w:t>
      </w:r>
      <w:r>
        <w:rPr>
          <w:rFonts w:cs="Times New Roman"/>
          <w:highlight w:val="none"/>
        </w:rPr>
        <w:t>%以上。</w:t>
      </w:r>
    </w:p>
    <w:p>
      <w:pPr>
        <w:ind w:firstLine="643"/>
        <w:rPr>
          <w:rFonts w:cs="Times New Roman"/>
          <w:highlight w:val="none"/>
        </w:rPr>
      </w:pPr>
      <w:r>
        <w:rPr>
          <w:rFonts w:hint="eastAsia" w:cs="Times New Roman"/>
          <w:b/>
          <w:bCs/>
          <w:highlight w:val="none"/>
        </w:rPr>
        <w:t>推进</w:t>
      </w:r>
      <w:r>
        <w:rPr>
          <w:rFonts w:cs="Times New Roman"/>
          <w:b/>
          <w:bCs/>
          <w:highlight w:val="none"/>
        </w:rPr>
        <w:t>农村生活垃圾治理。</w:t>
      </w:r>
      <w:r>
        <w:rPr>
          <w:rFonts w:cs="Times New Roman"/>
          <w:highlight w:val="none"/>
        </w:rPr>
        <w:t>结合</w:t>
      </w:r>
      <w:r>
        <w:rPr>
          <w:rFonts w:hint="eastAsia" w:cs="Times New Roman"/>
          <w:highlight w:val="none"/>
          <w:lang w:eastAsia="zh-CN"/>
        </w:rPr>
        <w:t>“</w:t>
      </w:r>
      <w:r>
        <w:rPr>
          <w:rFonts w:cs="Times New Roman"/>
          <w:highlight w:val="none"/>
        </w:rPr>
        <w:t>无废城市</w:t>
      </w:r>
      <w:r>
        <w:rPr>
          <w:rFonts w:hint="eastAsia" w:cs="Times New Roman"/>
          <w:highlight w:val="none"/>
          <w:lang w:eastAsia="zh-CN"/>
        </w:rPr>
        <w:t>”</w:t>
      </w:r>
      <w:r>
        <w:rPr>
          <w:rFonts w:cs="Times New Roman"/>
          <w:highlight w:val="none"/>
        </w:rPr>
        <w:t>建设要求，</w:t>
      </w:r>
      <w:r>
        <w:rPr>
          <w:rFonts w:hint="eastAsia" w:cs="Times New Roman"/>
          <w:highlight w:val="none"/>
        </w:rPr>
        <w:t>建立健全农村生活垃圾收集、转运和处置体系，</w:t>
      </w:r>
      <w:r>
        <w:rPr>
          <w:rFonts w:cs="Times New Roman"/>
          <w:highlight w:val="none"/>
        </w:rPr>
        <w:t>2025年底</w:t>
      </w:r>
      <w:r>
        <w:rPr>
          <w:rFonts w:hint="eastAsia" w:cs="Times New Roman"/>
          <w:highlight w:val="none"/>
          <w:lang w:val="en-US" w:eastAsia="zh-CN"/>
        </w:rPr>
        <w:t>前</w:t>
      </w:r>
      <w:r>
        <w:rPr>
          <w:rFonts w:cs="Times New Roman"/>
          <w:highlight w:val="none"/>
        </w:rPr>
        <w:t>，</w:t>
      </w:r>
      <w:r>
        <w:rPr>
          <w:rFonts w:hint="eastAsia" w:cs="Times New Roman"/>
          <w:highlight w:val="none"/>
        </w:rPr>
        <w:t>全县实现生活垃圾收运处置体系覆盖100</w:t>
      </w:r>
      <w:r>
        <w:rPr>
          <w:rFonts w:cs="Times New Roman"/>
          <w:highlight w:val="none"/>
        </w:rPr>
        <w:t>%</w:t>
      </w:r>
      <w:r>
        <w:rPr>
          <w:rFonts w:hint="eastAsia" w:cs="Times New Roman"/>
          <w:highlight w:val="none"/>
        </w:rPr>
        <w:t>的自然村（组）。推进农村生活垃圾分类和资源化利用，探索适宜城口县山区特点的农村生活垃圾简易分类模式，引导农户采取庭院堆肥或村域集中处理消纳厨余垃圾。</w:t>
      </w:r>
      <w:r>
        <w:rPr>
          <w:rFonts w:cs="Times New Roman"/>
          <w:highlight w:val="none"/>
        </w:rPr>
        <w:t>借鉴</w:t>
      </w:r>
      <w:r>
        <w:rPr>
          <w:rFonts w:hint="eastAsia" w:cs="Times New Roman"/>
          <w:highlight w:val="none"/>
          <w:lang w:val="en-US" w:eastAsia="zh-CN"/>
        </w:rPr>
        <w:t>农田</w:t>
      </w:r>
      <w:r>
        <w:rPr>
          <w:rFonts w:cs="Times New Roman"/>
          <w:highlight w:val="none"/>
        </w:rPr>
        <w:t>乡</w:t>
      </w:r>
      <w:r>
        <w:rPr>
          <w:rFonts w:hint="eastAsia" w:cs="Times New Roman"/>
          <w:highlight w:val="none"/>
          <w:lang w:val="en-US" w:eastAsia="zh-CN"/>
        </w:rPr>
        <w:t>联丰</w:t>
      </w:r>
      <w:r>
        <w:rPr>
          <w:rFonts w:cs="Times New Roman"/>
          <w:highlight w:val="none"/>
        </w:rPr>
        <w:t>村的生活垃圾分类示范点经验，实施垃圾</w:t>
      </w:r>
      <w:r>
        <w:rPr>
          <w:rFonts w:hint="eastAsia" w:cs="Times New Roman"/>
          <w:highlight w:val="none"/>
        </w:rPr>
        <w:t>“</w:t>
      </w:r>
      <w:r>
        <w:rPr>
          <w:rFonts w:cs="Times New Roman"/>
          <w:highlight w:val="none"/>
        </w:rPr>
        <w:t>零废弃</w:t>
      </w:r>
      <w:r>
        <w:rPr>
          <w:rFonts w:hint="eastAsia" w:cs="Times New Roman"/>
          <w:highlight w:val="none"/>
        </w:rPr>
        <w:t>”</w:t>
      </w:r>
      <w:r>
        <w:rPr>
          <w:rFonts w:cs="Times New Roman"/>
          <w:highlight w:val="none"/>
        </w:rPr>
        <w:t>村庄建设试点。</w:t>
      </w:r>
      <w:r>
        <w:rPr>
          <w:rFonts w:hint="eastAsia" w:cs="Times New Roman"/>
          <w:highlight w:val="none"/>
        </w:rPr>
        <w:t>完善农村生活垃圾治理长效机制，建立农村保洁人员配备机制，探索村庄保洁市场化运营机制，健全行政村生活垃圾收运、分类、资源化利用的检查和考核制度。</w:t>
      </w:r>
    </w:p>
    <w:p>
      <w:pPr>
        <w:pStyle w:val="4"/>
        <w:bidi w:val="0"/>
        <w:rPr>
          <w:highlight w:val="none"/>
        </w:rPr>
      </w:pPr>
      <w:bookmarkStart w:id="33" w:name="_Toc8707"/>
      <w:r>
        <w:rPr>
          <w:highlight w:val="none"/>
        </w:rPr>
        <w:t>（四）持续开展农村环境综合整治。</w:t>
      </w:r>
      <w:bookmarkEnd w:id="33"/>
    </w:p>
    <w:p>
      <w:pPr>
        <w:ind w:firstLine="643"/>
        <w:rPr>
          <w:rFonts w:eastAsia="方正楷体_GBK" w:cs="Times New Roman"/>
          <w:bCs/>
          <w:szCs w:val="32"/>
          <w:highlight w:val="none"/>
        </w:rPr>
      </w:pPr>
      <w:r>
        <w:rPr>
          <w:rFonts w:cs="Times New Roman"/>
          <w:b/>
          <w:bCs/>
          <w:highlight w:val="none"/>
        </w:rPr>
        <w:t>加强农村饮用水水源地保护。</w:t>
      </w:r>
      <w:r>
        <w:rPr>
          <w:rFonts w:hint="eastAsia" w:cs="Times New Roman"/>
          <w:highlight w:val="none"/>
        </w:rPr>
        <w:t>推进</w:t>
      </w:r>
      <w:r>
        <w:rPr>
          <w:rFonts w:cs="Times New Roman"/>
          <w:highlight w:val="none"/>
        </w:rPr>
        <w:t>全县集中式饮用水水源地基础信息调查，</w:t>
      </w:r>
      <w:r>
        <w:rPr>
          <w:rFonts w:hint="eastAsia" w:cs="Times New Roman"/>
          <w:highlight w:val="none"/>
        </w:rPr>
        <w:t>建立完善农村集中式饮用水源地名录和信息台账</w:t>
      </w:r>
      <w:r>
        <w:rPr>
          <w:rFonts w:cs="Times New Roman"/>
          <w:highlight w:val="none"/>
        </w:rPr>
        <w:t>。</w:t>
      </w:r>
      <w:r>
        <w:rPr>
          <w:rFonts w:hint="eastAsia" w:cs="Times New Roman"/>
          <w:highlight w:val="none"/>
        </w:rPr>
        <w:t>以乡镇集中式饮用水水源地为重点，加快整治周边环境污染问题，持续推进</w:t>
      </w:r>
      <w:r>
        <w:rPr>
          <w:rFonts w:cs="Times New Roman"/>
          <w:highlight w:val="none"/>
        </w:rPr>
        <w:t>集中式饮用水水源地规范化建设。2025</w:t>
      </w:r>
      <w:r>
        <w:rPr>
          <w:rFonts w:hint="eastAsia" w:cs="Times New Roman"/>
          <w:highlight w:val="none"/>
        </w:rPr>
        <w:t>年底前，全县乡镇集中式饮用水水源地规范化建设完成比例达到</w:t>
      </w:r>
      <w:r>
        <w:rPr>
          <w:rFonts w:cs="Times New Roman"/>
          <w:highlight w:val="none"/>
        </w:rPr>
        <w:t>95%</w:t>
      </w:r>
      <w:r>
        <w:rPr>
          <w:rFonts w:hint="eastAsia" w:cs="Times New Roman"/>
          <w:highlight w:val="none"/>
        </w:rPr>
        <w:t>。加强农村集中式饮用水水源保护区监督管理，实施饮用水水源、供水单位供水和用户水龙头水质状况监测评估，依法向社会公开饮用水安全状况信息。</w:t>
      </w:r>
    </w:p>
    <w:p>
      <w:pPr>
        <w:ind w:firstLine="643"/>
        <w:rPr>
          <w:rFonts w:cs="Times New Roman"/>
          <w:szCs w:val="32"/>
          <w:highlight w:val="none"/>
        </w:rPr>
      </w:pPr>
      <w:bookmarkStart w:id="34" w:name="_Toc87286778"/>
      <w:r>
        <w:rPr>
          <w:rFonts w:cs="Times New Roman"/>
          <w:b/>
          <w:bCs/>
          <w:highlight w:val="none"/>
        </w:rPr>
        <w:t>开展农村黑臭水体整治</w:t>
      </w:r>
      <w:bookmarkEnd w:id="34"/>
      <w:r>
        <w:rPr>
          <w:rFonts w:cs="Times New Roman"/>
          <w:b/>
          <w:bCs/>
          <w:highlight w:val="none"/>
        </w:rPr>
        <w:t>。</w:t>
      </w:r>
      <w:r>
        <w:rPr>
          <w:rFonts w:hint="eastAsia" w:cs="Times New Roman"/>
          <w:highlight w:val="none"/>
          <w:lang w:val="en-US" w:eastAsia="zh-CN"/>
        </w:rPr>
        <w:t>持续</w:t>
      </w:r>
      <w:r>
        <w:rPr>
          <w:rFonts w:hint="eastAsia" w:cs="Times New Roman"/>
          <w:highlight w:val="none"/>
        </w:rPr>
        <w:t>开展农村黑臭水体污染排查、跟踪监测，建立清单，分类施治，</w:t>
      </w:r>
      <w:r>
        <w:rPr>
          <w:rFonts w:cs="Times New Roman"/>
          <w:highlight w:val="none"/>
        </w:rPr>
        <w:t>动态更新农村黑臭水体治理台账。</w:t>
      </w:r>
      <w:r>
        <w:rPr>
          <w:rFonts w:hint="eastAsia" w:cs="Times New Roman"/>
          <w:highlight w:val="none"/>
        </w:rPr>
        <w:t>突出精准治污，因地制宜选择制度性、生态性、工程性措施对黑臭水体实施综合治理。</w:t>
      </w:r>
      <w:r>
        <w:rPr>
          <w:rFonts w:cs="Times New Roman"/>
          <w:highlight w:val="none"/>
        </w:rPr>
        <w:t>强化河长制、湖长制体系向村级延伸，农村黑臭水体所在河湖的河长、湖长要切实履行</w:t>
      </w:r>
      <w:r>
        <w:rPr>
          <w:rFonts w:cs="Times New Roman"/>
          <w:szCs w:val="32"/>
          <w:highlight w:val="none"/>
        </w:rPr>
        <w:t>责任，实现农村黑臭水体有效治理和长效管护。</w:t>
      </w:r>
    </w:p>
    <w:p>
      <w:pPr>
        <w:ind w:firstLine="643"/>
        <w:rPr>
          <w:rFonts w:cs="Times New Roman"/>
          <w:szCs w:val="32"/>
          <w:highlight w:val="none"/>
        </w:rPr>
      </w:pPr>
      <w:r>
        <w:rPr>
          <w:rFonts w:cs="Times New Roman"/>
          <w:b/>
          <w:bCs/>
          <w:highlight w:val="none"/>
        </w:rPr>
        <w:t>推进农村生态系统恢复。</w:t>
      </w:r>
      <w:r>
        <w:rPr>
          <w:rFonts w:cs="Times New Roman"/>
          <w:szCs w:val="32"/>
          <w:highlight w:val="none"/>
        </w:rPr>
        <w:t>统筹推进农村生态系统保护与山水林田湖草系统治理</w:t>
      </w:r>
      <w:r>
        <w:rPr>
          <w:rFonts w:cs="Times New Roman"/>
          <w:highlight w:val="none"/>
        </w:rPr>
        <w:t>，加强森林生态系统、湿地生态系统修复和山系、水系、廊道生态修复。构建以任河、前河为主体，其他支流、水库为支撑的绿色生态廊道。</w:t>
      </w:r>
      <w:r>
        <w:rPr>
          <w:rFonts w:cs="Times New Roman"/>
          <w:szCs w:val="32"/>
          <w:highlight w:val="none"/>
        </w:rPr>
        <w:t>严厉打击非法采砂、洗砂、取土等破坏农村生态环境行为。</w:t>
      </w:r>
    </w:p>
    <w:p>
      <w:pPr>
        <w:pStyle w:val="9"/>
        <w:rPr>
          <w:rFonts w:cs="Times New Roman"/>
          <w:szCs w:val="32"/>
          <w:highlight w:val="none"/>
        </w:rPr>
      </w:pPr>
    </w:p>
    <w:p>
      <w:pPr>
        <w:pStyle w:val="10"/>
      </w:pPr>
    </w:p>
    <w:tbl>
      <w:tblPr>
        <w:tblStyle w:val="23"/>
        <w:tblW w:w="810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81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100" w:type="dxa"/>
            <w:tcBorders>
              <w:top w:val="single" w:color="000000" w:sz="8" w:space="0"/>
              <w:left w:val="single" w:color="000000" w:sz="8" w:space="0"/>
              <w:bottom w:val="single" w:color="000000" w:sz="4" w:space="0"/>
              <w:right w:val="single" w:color="000000" w:sz="8" w:space="0"/>
            </w:tcBorders>
            <w:shd w:val="clear" w:color="auto" w:fill="auto"/>
            <w:tcMar>
              <w:left w:w="115" w:type="dxa"/>
              <w:right w:w="115" w:type="dxa"/>
            </w:tcMar>
            <w:vAlign w:val="center"/>
          </w:tcPr>
          <w:p>
            <w:pPr>
              <w:pStyle w:val="20"/>
              <w:keepNext w:val="0"/>
              <w:keepLines w:val="0"/>
              <w:pageBreakBefore w:val="0"/>
              <w:widowControl/>
              <w:kinsoku/>
              <w:wordWrap/>
              <w:overflowPunct/>
              <w:topLinePunct w:val="0"/>
              <w:autoSpaceDE/>
              <w:autoSpaceDN/>
              <w:bidi w:val="0"/>
              <w:adjustRightInd w:val="0"/>
              <w:snapToGrid w:val="0"/>
              <w:spacing w:beforeAutospacing="0" w:after="144" w:afterAutospacing="0" w:line="560" w:lineRule="exact"/>
              <w:ind w:firstLine="560"/>
              <w:jc w:val="center"/>
              <w:textAlignment w:val="auto"/>
              <w:rPr>
                <w:rFonts w:ascii="Times New Roman" w:hAnsi="Times New Roman" w:cs="Times New Roman"/>
                <w:sz w:val="28"/>
                <w:szCs w:val="28"/>
                <w:highlight w:val="none"/>
              </w:rPr>
            </w:pPr>
            <w:r>
              <w:rPr>
                <w:rFonts w:ascii="Times New Roman" w:hAnsi="方正黑体_GBK" w:eastAsia="方正黑体_GBK" w:cs="Times New Roman"/>
                <w:b/>
                <w:bCs/>
                <w:color w:val="333333"/>
                <w:sz w:val="28"/>
                <w:szCs w:val="28"/>
                <w:highlight w:val="none"/>
              </w:rPr>
              <w:t>专栏</w:t>
            </w:r>
            <w:r>
              <w:rPr>
                <w:rFonts w:hint="eastAsia" w:ascii="Times New Roman" w:hAnsi="Times New Roman" w:cs="Times New Roman"/>
                <w:b/>
                <w:bCs/>
                <w:color w:val="333333"/>
                <w:sz w:val="28"/>
                <w:szCs w:val="28"/>
                <w:highlight w:val="none"/>
              </w:rPr>
              <w:t>2</w:t>
            </w:r>
            <w:r>
              <w:rPr>
                <w:rFonts w:ascii="Times New Roman" w:hAnsi="Times New Roman" w:cs="Times New Roman"/>
                <w:b/>
                <w:bCs/>
                <w:color w:val="333333"/>
                <w:sz w:val="28"/>
                <w:szCs w:val="28"/>
                <w:highlight w:val="none"/>
              </w:rPr>
              <w:t> </w:t>
            </w:r>
            <w:r>
              <w:rPr>
                <w:rFonts w:hint="eastAsia" w:ascii="Times New Roman" w:hAnsi="Times New Roman" w:cs="Times New Roman"/>
                <w:b/>
                <w:bCs/>
                <w:color w:val="333333"/>
                <w:sz w:val="28"/>
                <w:szCs w:val="28"/>
                <w:highlight w:val="none"/>
              </w:rPr>
              <w:t xml:space="preserve"> </w:t>
            </w:r>
            <w:r>
              <w:rPr>
                <w:rFonts w:hint="eastAsia" w:ascii="Times New Roman" w:hAnsi="方正黑体_GBK" w:eastAsia="方正黑体_GBK" w:cs="Times New Roman"/>
                <w:b/>
                <w:bCs/>
                <w:color w:val="333333"/>
                <w:sz w:val="28"/>
                <w:szCs w:val="28"/>
                <w:highlight w:val="none"/>
              </w:rPr>
              <w:t>农业</w:t>
            </w:r>
            <w:r>
              <w:rPr>
                <w:rFonts w:ascii="Times New Roman" w:hAnsi="方正黑体_GBK" w:eastAsia="方正黑体_GBK" w:cs="Times New Roman"/>
                <w:b/>
                <w:bCs/>
                <w:color w:val="333333"/>
                <w:sz w:val="28"/>
                <w:szCs w:val="28"/>
                <w:highlight w:val="none"/>
              </w:rPr>
              <w:t>农村生态环境保护工程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100" w:type="dxa"/>
            <w:tcBorders>
              <w:top w:val="single" w:color="000000" w:sz="4" w:space="0"/>
              <w:left w:val="single" w:color="000000" w:sz="8" w:space="0"/>
              <w:bottom w:val="single" w:color="000000" w:sz="8" w:space="0"/>
              <w:right w:val="single" w:color="000000" w:sz="8" w:space="0"/>
            </w:tcBorders>
            <w:shd w:val="clear" w:color="auto" w:fill="auto"/>
            <w:tcMar>
              <w:left w:w="115" w:type="dxa"/>
              <w:right w:w="115" w:type="dxa"/>
            </w:tcMar>
            <w:vAlign w:val="center"/>
          </w:tcPr>
          <w:p>
            <w:pPr>
              <w:pStyle w:val="20"/>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jc w:val="both"/>
              <w:textAlignment w:val="auto"/>
              <w:rPr>
                <w:rFonts w:ascii="Times New Roman" w:cs="Times New Roman"/>
                <w:sz w:val="28"/>
                <w:szCs w:val="28"/>
                <w:highlight w:val="none"/>
              </w:rPr>
            </w:pPr>
            <w:r>
              <w:rPr>
                <w:rFonts w:hint="eastAsia" w:ascii="Times New Roman" w:cs="Times New Roman"/>
                <w:sz w:val="28"/>
                <w:szCs w:val="28"/>
                <w:highlight w:val="none"/>
              </w:rPr>
              <w:t>1.</w:t>
            </w:r>
            <w:r>
              <w:rPr>
                <w:rFonts w:ascii="Times New Roman" w:cs="Times New Roman"/>
                <w:sz w:val="28"/>
                <w:szCs w:val="28"/>
                <w:highlight w:val="none"/>
              </w:rPr>
              <w:t>种植业污染防治。建设3个秸秆综合利用示范点，开展秸秆综合利用。</w:t>
            </w:r>
            <w:r>
              <w:rPr>
                <w:rFonts w:hint="eastAsia" w:ascii="Times New Roman" w:cs="Times New Roman"/>
                <w:sz w:val="28"/>
                <w:szCs w:val="28"/>
                <w:highlight w:val="none"/>
              </w:rPr>
              <w:t xml:space="preserve"> </w:t>
            </w:r>
          </w:p>
          <w:p>
            <w:pPr>
              <w:pStyle w:val="20"/>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jc w:val="both"/>
              <w:textAlignment w:val="auto"/>
              <w:rPr>
                <w:rFonts w:ascii="Times New Roman" w:cs="Times New Roman"/>
                <w:sz w:val="28"/>
                <w:szCs w:val="28"/>
                <w:highlight w:val="none"/>
              </w:rPr>
            </w:pPr>
            <w:r>
              <w:rPr>
                <w:rFonts w:hint="eastAsia" w:ascii="Times New Roman" w:cs="Times New Roman"/>
                <w:sz w:val="28"/>
                <w:szCs w:val="28"/>
                <w:highlight w:val="none"/>
              </w:rPr>
              <w:t>2.养殖</w:t>
            </w:r>
            <w:r>
              <w:rPr>
                <w:rFonts w:ascii="Times New Roman" w:cs="Times New Roman"/>
                <w:sz w:val="28"/>
                <w:szCs w:val="28"/>
                <w:highlight w:val="none"/>
              </w:rPr>
              <w:t>业污染防治。</w:t>
            </w:r>
            <w:r>
              <w:rPr>
                <w:rFonts w:hint="eastAsia" w:ascii="Times New Roman" w:cs="Times New Roman"/>
                <w:sz w:val="28"/>
                <w:szCs w:val="28"/>
                <w:highlight w:val="none"/>
                <w:lang w:val="en-US" w:eastAsia="zh-CN"/>
              </w:rPr>
              <w:t>推进</w:t>
            </w:r>
            <w:r>
              <w:rPr>
                <w:rFonts w:hint="eastAsia" w:ascii="Times New Roman" w:cs="Times New Roman"/>
                <w:sz w:val="28"/>
                <w:szCs w:val="28"/>
                <w:highlight w:val="none"/>
              </w:rPr>
              <w:t>城口县2022年畜禽粪污资源化利用项目</w:t>
            </w:r>
            <w:r>
              <w:rPr>
                <w:rFonts w:hint="eastAsia" w:ascii="Times New Roman" w:cs="Times New Roman"/>
                <w:sz w:val="28"/>
                <w:szCs w:val="28"/>
                <w:highlight w:val="none"/>
                <w:lang w:val="en-US" w:eastAsia="zh-CN"/>
              </w:rPr>
              <w:t>建设</w:t>
            </w:r>
            <w:r>
              <w:rPr>
                <w:rFonts w:ascii="Times New Roman" w:cs="Times New Roman"/>
                <w:sz w:val="28"/>
                <w:szCs w:val="28"/>
                <w:highlight w:val="none"/>
              </w:rPr>
              <w:t>，</w:t>
            </w:r>
            <w:r>
              <w:rPr>
                <w:rFonts w:hint="eastAsia" w:ascii="Times New Roman" w:cs="Times New Roman"/>
                <w:sz w:val="28"/>
                <w:szCs w:val="28"/>
                <w:highlight w:val="none"/>
                <w:lang w:val="en-US" w:eastAsia="zh-CN"/>
              </w:rPr>
              <w:t>包括</w:t>
            </w:r>
            <w:r>
              <w:rPr>
                <w:rFonts w:hint="eastAsia" w:ascii="Times New Roman" w:cs="Times New Roman"/>
                <w:sz w:val="28"/>
                <w:szCs w:val="28"/>
                <w:highlight w:val="none"/>
              </w:rPr>
              <w:t>养殖场（户）粪污处理设施建设</w:t>
            </w:r>
            <w:r>
              <w:rPr>
                <w:rFonts w:hint="eastAsia" w:ascii="Times New Roman" w:cs="Times New Roman"/>
                <w:sz w:val="28"/>
                <w:szCs w:val="28"/>
                <w:highlight w:val="none"/>
                <w:lang w:val="en-US" w:eastAsia="zh-CN"/>
              </w:rPr>
              <w:t>和</w:t>
            </w:r>
            <w:r>
              <w:rPr>
                <w:rFonts w:hint="eastAsia" w:ascii="Times New Roman" w:cs="Times New Roman"/>
                <w:sz w:val="28"/>
                <w:szCs w:val="28"/>
                <w:highlight w:val="none"/>
                <w:lang w:eastAsia="zh-CN"/>
              </w:rPr>
              <w:t>4万亩生态种养循环示范基地建设。根据城口水稻，中药材，蔬菜种植特性，结合周边区域养殖场（户）养殖种类和规模，配套种养循环基地设施设备，</w:t>
            </w:r>
            <w:r>
              <w:rPr>
                <w:rFonts w:hint="eastAsia" w:ascii="Times New Roman" w:cs="Times New Roman"/>
                <w:sz w:val="28"/>
                <w:szCs w:val="28"/>
                <w:highlight w:val="none"/>
                <w:lang w:val="en-US" w:eastAsia="zh-CN"/>
              </w:rPr>
              <w:t>新建</w:t>
            </w:r>
            <w:r>
              <w:rPr>
                <w:rFonts w:hint="eastAsia" w:ascii="Times New Roman" w:cs="Times New Roman"/>
                <w:sz w:val="28"/>
                <w:szCs w:val="28"/>
                <w:highlight w:val="none"/>
                <w:lang w:eastAsia="zh-CN"/>
              </w:rPr>
              <w:t>田间储液池容积合计23170立方米，购置灌溉管网655296米。</w:t>
            </w:r>
            <w:r>
              <w:rPr>
                <w:rFonts w:ascii="Times New Roman" w:cs="Times New Roman"/>
                <w:sz w:val="28"/>
                <w:szCs w:val="28"/>
                <w:highlight w:val="none"/>
              </w:rPr>
              <w:t>建设病死畜禽收贮点，配备病死畜禽无害化集中处理设备。</w:t>
            </w:r>
          </w:p>
          <w:p>
            <w:pPr>
              <w:pStyle w:val="20"/>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jc w:val="both"/>
              <w:textAlignment w:val="auto"/>
              <w:rPr>
                <w:rFonts w:ascii="Times New Roman" w:cs="Times New Roman"/>
                <w:sz w:val="28"/>
                <w:szCs w:val="28"/>
                <w:highlight w:val="none"/>
              </w:rPr>
            </w:pPr>
            <w:r>
              <w:rPr>
                <w:rFonts w:hint="eastAsia" w:ascii="Times New Roman" w:cs="Times New Roman"/>
                <w:sz w:val="28"/>
                <w:szCs w:val="28"/>
                <w:highlight w:val="none"/>
                <w:lang w:val="en-US" w:eastAsia="zh-CN"/>
              </w:rPr>
              <w:t>3</w:t>
            </w:r>
            <w:r>
              <w:rPr>
                <w:rFonts w:hint="eastAsia" w:ascii="Times New Roman" w:cs="Times New Roman"/>
                <w:sz w:val="28"/>
                <w:szCs w:val="28"/>
                <w:highlight w:val="none"/>
              </w:rPr>
              <w:t>.农村生活污染治理。实施</w:t>
            </w:r>
            <w:r>
              <w:rPr>
                <w:rFonts w:ascii="Times New Roman" w:cs="Times New Roman"/>
                <w:sz w:val="28"/>
                <w:szCs w:val="28"/>
                <w:highlight w:val="none"/>
              </w:rPr>
              <w:t>中明通镇白台村生活污水处理站改造</w:t>
            </w:r>
            <w:r>
              <w:rPr>
                <w:rFonts w:hint="eastAsia" w:ascii="Times New Roman" w:cs="Times New Roman"/>
                <w:sz w:val="28"/>
                <w:szCs w:val="28"/>
                <w:highlight w:val="none"/>
              </w:rPr>
              <w:t>工程</w:t>
            </w:r>
            <w:r>
              <w:rPr>
                <w:rFonts w:hint="eastAsia" w:ascii="Times New Roman" w:cs="Times New Roman"/>
                <w:sz w:val="28"/>
                <w:szCs w:val="28"/>
                <w:highlight w:val="none"/>
                <w:lang w:eastAsia="zh-CN"/>
              </w:rPr>
              <w:t>，</w:t>
            </w:r>
            <w:r>
              <w:rPr>
                <w:rFonts w:hint="eastAsia" w:ascii="Times New Roman" w:cs="Times New Roman"/>
                <w:sz w:val="28"/>
                <w:szCs w:val="28"/>
                <w:highlight w:val="none"/>
              </w:rPr>
              <w:t>实施</w:t>
            </w:r>
            <w:r>
              <w:rPr>
                <w:rFonts w:ascii="Times New Roman" w:cs="Times New Roman"/>
                <w:sz w:val="28"/>
                <w:szCs w:val="28"/>
                <w:highlight w:val="none"/>
              </w:rPr>
              <w:t>104个优先治理行政村生活污水治理</w:t>
            </w:r>
            <w:r>
              <w:rPr>
                <w:rFonts w:hint="eastAsia" w:ascii="Times New Roman" w:cs="Times New Roman"/>
                <w:sz w:val="28"/>
                <w:szCs w:val="28"/>
                <w:highlight w:val="none"/>
              </w:rPr>
              <w:t>工程</w:t>
            </w:r>
            <w:r>
              <w:rPr>
                <w:rFonts w:ascii="Times New Roman" w:cs="Times New Roman"/>
                <w:sz w:val="28"/>
                <w:szCs w:val="28"/>
                <w:highlight w:val="none"/>
              </w:rPr>
              <w:t>。</w:t>
            </w:r>
            <w:r>
              <w:rPr>
                <w:rFonts w:hint="eastAsia" w:ascii="Times New Roman" w:cs="Times New Roman"/>
                <w:sz w:val="28"/>
                <w:szCs w:val="28"/>
                <w:highlight w:val="none"/>
                <w:lang w:val="en-US" w:eastAsia="zh-CN"/>
              </w:rPr>
              <w:t>持续推进</w:t>
            </w:r>
            <w:r>
              <w:rPr>
                <w:rFonts w:ascii="Times New Roman" w:cs="Times New Roman"/>
                <w:sz w:val="28"/>
                <w:szCs w:val="28"/>
                <w:highlight w:val="none"/>
              </w:rPr>
              <w:t>河鱼乡平溪村、高燕镇西沟村等污水处理设施</w:t>
            </w:r>
            <w:r>
              <w:rPr>
                <w:rFonts w:hint="eastAsia" w:ascii="Times New Roman" w:cs="Times New Roman"/>
                <w:sz w:val="28"/>
                <w:szCs w:val="28"/>
                <w:highlight w:val="none"/>
                <w:lang w:val="en-US" w:eastAsia="zh-CN"/>
              </w:rPr>
              <w:t>建设</w:t>
            </w:r>
            <w:r>
              <w:rPr>
                <w:rFonts w:ascii="Times New Roman" w:cs="Times New Roman"/>
                <w:sz w:val="28"/>
                <w:szCs w:val="28"/>
                <w:highlight w:val="none"/>
              </w:rPr>
              <w:t>。</w:t>
            </w:r>
          </w:p>
          <w:p>
            <w:pPr>
              <w:pStyle w:val="20"/>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jc w:val="both"/>
              <w:textAlignment w:val="auto"/>
              <w:rPr>
                <w:rFonts w:ascii="Times New Roman" w:hAnsi="Times New Roman" w:cs="Times New Roman"/>
                <w:sz w:val="28"/>
                <w:szCs w:val="28"/>
                <w:highlight w:val="none"/>
              </w:rPr>
            </w:pPr>
            <w:r>
              <w:rPr>
                <w:rFonts w:hint="eastAsia" w:ascii="Times New Roman" w:cs="Times New Roman"/>
                <w:sz w:val="28"/>
                <w:szCs w:val="28"/>
                <w:highlight w:val="none"/>
                <w:lang w:val="en-US" w:eastAsia="zh-CN"/>
              </w:rPr>
              <w:t>4</w:t>
            </w:r>
            <w:r>
              <w:rPr>
                <w:rFonts w:hint="eastAsia" w:ascii="Times New Roman" w:cs="Times New Roman"/>
                <w:sz w:val="28"/>
                <w:szCs w:val="28"/>
                <w:highlight w:val="none"/>
              </w:rPr>
              <w:t>.农村环境综合整治。实施农村饮用水水源地保护，</w:t>
            </w:r>
            <w:r>
              <w:rPr>
                <w:rFonts w:ascii="Times New Roman" w:cs="Times New Roman"/>
                <w:sz w:val="28"/>
                <w:szCs w:val="28"/>
                <w:highlight w:val="none"/>
              </w:rPr>
              <w:t>以四方碑东安亢谷水厂水源地等6个</w:t>
            </w:r>
            <w:r>
              <w:rPr>
                <w:rFonts w:hint="eastAsia" w:ascii="Times New Roman" w:cs="Times New Roman"/>
                <w:sz w:val="28"/>
                <w:szCs w:val="28"/>
                <w:highlight w:val="none"/>
              </w:rPr>
              <w:t>“</w:t>
            </w:r>
            <w:r>
              <w:rPr>
                <w:rFonts w:ascii="Times New Roman" w:cs="Times New Roman"/>
                <w:sz w:val="28"/>
                <w:szCs w:val="28"/>
                <w:highlight w:val="none"/>
              </w:rPr>
              <w:t>千吨万人</w:t>
            </w:r>
            <w:r>
              <w:rPr>
                <w:rFonts w:hint="eastAsia" w:ascii="Times New Roman" w:cs="Times New Roman"/>
                <w:sz w:val="28"/>
                <w:szCs w:val="28"/>
                <w:highlight w:val="none"/>
              </w:rPr>
              <w:t>”</w:t>
            </w:r>
            <w:r>
              <w:rPr>
                <w:rFonts w:ascii="Times New Roman" w:cs="Times New Roman"/>
                <w:sz w:val="28"/>
                <w:szCs w:val="28"/>
                <w:highlight w:val="none"/>
              </w:rPr>
              <w:t>乡镇集中式饮用水水源地为重点，</w:t>
            </w:r>
            <w:r>
              <w:rPr>
                <w:rFonts w:hint="eastAsia" w:ascii="Times New Roman" w:cs="Times New Roman"/>
                <w:sz w:val="28"/>
                <w:szCs w:val="28"/>
                <w:highlight w:val="none"/>
              </w:rPr>
              <w:t>完善乡镇集中式饮用水水源地规范化建设。</w:t>
            </w:r>
          </w:p>
        </w:tc>
      </w:tr>
    </w:tbl>
    <w:p>
      <w:pPr>
        <w:pStyle w:val="3"/>
        <w:bidi w:val="0"/>
        <w:rPr>
          <w:highlight w:val="none"/>
        </w:rPr>
      </w:pPr>
      <w:bookmarkStart w:id="35" w:name="_Toc15778"/>
      <w:r>
        <w:rPr>
          <w:rFonts w:hint="eastAsia"/>
          <w:highlight w:val="none"/>
        </w:rPr>
        <w:t>五、</w:t>
      </w:r>
      <w:r>
        <w:rPr>
          <w:highlight w:val="none"/>
        </w:rPr>
        <w:t>稳步推进地下水生态环境保护</w:t>
      </w:r>
      <w:bookmarkEnd w:id="35"/>
    </w:p>
    <w:p>
      <w:pPr>
        <w:ind w:firstLine="640"/>
        <w:rPr>
          <w:rFonts w:cs="Times New Roman"/>
          <w:highlight w:val="none"/>
        </w:rPr>
      </w:pPr>
      <w:r>
        <w:rPr>
          <w:rFonts w:cs="Times New Roman"/>
          <w:highlight w:val="none"/>
        </w:rPr>
        <w:t>开展地下水生态环境状况调查评估，加强地下水重点污染源监督管理，</w:t>
      </w:r>
      <w:r>
        <w:rPr>
          <w:rFonts w:hint="eastAsia" w:cs="Times New Roman"/>
          <w:highlight w:val="none"/>
        </w:rPr>
        <w:t>逐步建立地下水污染防治管理体系，确保地下水环境质量总体稳定。</w:t>
      </w:r>
    </w:p>
    <w:p>
      <w:pPr>
        <w:pStyle w:val="4"/>
        <w:bidi w:val="0"/>
        <w:rPr>
          <w:highlight w:val="none"/>
        </w:rPr>
      </w:pPr>
      <w:bookmarkStart w:id="36" w:name="_Toc26976"/>
      <w:r>
        <w:rPr>
          <w:highlight w:val="none"/>
        </w:rPr>
        <w:t>（</w:t>
      </w:r>
      <w:r>
        <w:rPr>
          <w:rFonts w:hint="eastAsia"/>
          <w:highlight w:val="none"/>
          <w:lang w:val="en-US" w:eastAsia="zh-CN"/>
        </w:rPr>
        <w:t>一</w:t>
      </w:r>
      <w:r>
        <w:rPr>
          <w:highlight w:val="none"/>
        </w:rPr>
        <w:t>）</w:t>
      </w:r>
      <w:r>
        <w:rPr>
          <w:rFonts w:hint="eastAsia"/>
          <w:highlight w:val="none"/>
        </w:rPr>
        <w:t>实施地下水</w:t>
      </w:r>
      <w:r>
        <w:rPr>
          <w:highlight w:val="none"/>
        </w:rPr>
        <w:t>重点污染源监督管理。</w:t>
      </w:r>
      <w:bookmarkEnd w:id="36"/>
    </w:p>
    <w:p>
      <w:pPr>
        <w:ind w:firstLine="643"/>
        <w:rPr>
          <w:rFonts w:eastAsia="方正楷体_GBK" w:cs="Times New Roman"/>
          <w:bCs/>
          <w:szCs w:val="32"/>
          <w:highlight w:val="none"/>
        </w:rPr>
      </w:pPr>
      <w:r>
        <w:rPr>
          <w:rFonts w:cs="Times New Roman"/>
          <w:b/>
          <w:bCs/>
          <w:highlight w:val="none"/>
        </w:rPr>
        <w:t>调查评估重点污染源周边地下水环境状况。</w:t>
      </w:r>
      <w:r>
        <w:rPr>
          <w:rFonts w:cs="Times New Roman"/>
          <w:highlight w:val="none"/>
        </w:rPr>
        <w:t>以锰钡矿废渣处置场、垃圾填埋场、矿山开采区、加油站地下油罐等为重点区域，开展</w:t>
      </w:r>
      <w:r>
        <w:rPr>
          <w:rFonts w:hint="eastAsia" w:cs="Times New Roman"/>
          <w:highlight w:val="none"/>
        </w:rPr>
        <w:t>“</w:t>
      </w:r>
      <w:r>
        <w:rPr>
          <w:rFonts w:cs="Times New Roman"/>
          <w:highlight w:val="none"/>
        </w:rPr>
        <w:t>一企一库</w:t>
      </w:r>
      <w:r>
        <w:rPr>
          <w:rFonts w:hint="eastAsia" w:cs="Times New Roman"/>
          <w:highlight w:val="none"/>
        </w:rPr>
        <w:t>”“</w:t>
      </w:r>
      <w:r>
        <w:rPr>
          <w:rFonts w:cs="Times New Roman"/>
          <w:highlight w:val="none"/>
        </w:rPr>
        <w:t>两场两区</w:t>
      </w:r>
      <w:r>
        <w:rPr>
          <w:rFonts w:hint="eastAsia" w:cs="Times New Roman"/>
          <w:highlight w:val="none"/>
        </w:rPr>
        <w:t>”</w:t>
      </w:r>
      <w:r>
        <w:rPr>
          <w:rFonts w:cs="Times New Roman"/>
          <w:highlight w:val="none"/>
        </w:rPr>
        <w:t>（即化学品生产企业、尾矿库、危险废物处置场、垃圾填埋场、工业集聚区、矿山开采区）地下水环境状况调查评估。衔接污染源普查和重点行业企业用地调查等成果，查清基本信息、环境管理、水质状况等内容，评估地下水环境风险，识别地下水环境风险与管控重点。</w:t>
      </w:r>
    </w:p>
    <w:p>
      <w:pPr>
        <w:widowControl/>
        <w:ind w:firstLine="643"/>
        <w:rPr>
          <w:rFonts w:cs="Times New Roman"/>
          <w:highlight w:val="none"/>
        </w:rPr>
      </w:pPr>
      <w:r>
        <w:rPr>
          <w:rFonts w:cs="Times New Roman"/>
          <w:b/>
          <w:bCs/>
          <w:highlight w:val="none"/>
        </w:rPr>
        <w:t>落实重点污染源防渗和监测措施。</w:t>
      </w:r>
      <w:r>
        <w:rPr>
          <w:highlight w:val="none"/>
        </w:rPr>
        <w:t>化学品生产企业、垃圾填埋场等申领排污许可证时，载明地下水污染防渗和水质监测相关义务，逐步推进地下水环境自行监测，建立监测数据报送制度。严防渣场尾矿库、垃圾填埋场</w:t>
      </w:r>
      <w:r>
        <w:rPr>
          <w:rFonts w:hint="eastAsia"/>
          <w:highlight w:val="none"/>
        </w:rPr>
        <w:t>、</w:t>
      </w:r>
      <w:r>
        <w:rPr>
          <w:highlight w:val="none"/>
        </w:rPr>
        <w:t>加油站等区域渗漏对地下水污染，加大日常监管力度和检查频次。</w:t>
      </w:r>
    </w:p>
    <w:p>
      <w:pPr>
        <w:pStyle w:val="4"/>
        <w:bidi w:val="0"/>
        <w:rPr>
          <w:highlight w:val="none"/>
        </w:rPr>
      </w:pPr>
      <w:bookmarkStart w:id="37" w:name="_Toc7047"/>
      <w:r>
        <w:rPr>
          <w:rFonts w:hint="eastAsia"/>
          <w:highlight w:val="none"/>
        </w:rPr>
        <w:t>（</w:t>
      </w:r>
      <w:r>
        <w:rPr>
          <w:rFonts w:hint="eastAsia"/>
          <w:highlight w:val="none"/>
          <w:lang w:val="en-US" w:eastAsia="zh-CN"/>
        </w:rPr>
        <w:t>二</w:t>
      </w:r>
      <w:r>
        <w:rPr>
          <w:rFonts w:hint="eastAsia"/>
          <w:highlight w:val="none"/>
        </w:rPr>
        <w:t>）试点推进</w:t>
      </w:r>
      <w:r>
        <w:rPr>
          <w:highlight w:val="none"/>
        </w:rPr>
        <w:t>地下水污染风险管控和修复。</w:t>
      </w:r>
      <w:bookmarkEnd w:id="37"/>
    </w:p>
    <w:p>
      <w:pPr>
        <w:bidi w:val="0"/>
        <w:rPr>
          <w:rFonts w:cs="Times New Roman"/>
          <w:highlight w:val="none"/>
        </w:rPr>
      </w:pPr>
      <w:r>
        <w:rPr>
          <w:rFonts w:cs="Times New Roman"/>
          <w:b/>
          <w:bCs/>
          <w:highlight w:val="none"/>
        </w:rPr>
        <w:t>推进</w:t>
      </w:r>
      <w:r>
        <w:rPr>
          <w:rFonts w:hint="eastAsia" w:cs="Times New Roman"/>
          <w:b/>
          <w:bCs/>
          <w:highlight w:val="none"/>
          <w:lang w:val="en-US" w:eastAsia="zh-CN"/>
        </w:rPr>
        <w:t>工业</w:t>
      </w:r>
      <w:r>
        <w:rPr>
          <w:rFonts w:cs="Times New Roman"/>
          <w:b/>
          <w:bCs/>
          <w:highlight w:val="none"/>
        </w:rPr>
        <w:t>园区地下水污染风险管控。</w:t>
      </w:r>
      <w:r>
        <w:rPr>
          <w:rFonts w:hint="eastAsia" w:cs="Times New Roman"/>
          <w:szCs w:val="32"/>
          <w:highlight w:val="none"/>
        </w:rPr>
        <w:t>根据</w:t>
      </w:r>
      <w:r>
        <w:rPr>
          <w:rFonts w:cs="Times New Roman"/>
          <w:szCs w:val="32"/>
          <w:highlight w:val="none"/>
        </w:rPr>
        <w:t>工业园区高燕组团、庙坝组团、巴山组团等区域地下水环境状况调查评估</w:t>
      </w:r>
      <w:r>
        <w:rPr>
          <w:rFonts w:cs="Times New Roman"/>
          <w:highlight w:val="none"/>
        </w:rPr>
        <w:t>结果，对环境风险不可接受的，实施地下水污染风险管控，阻止地下水污染扩散，加强风险管控后期地下水环境监管，规范工业园区地下水监测管理。</w:t>
      </w:r>
    </w:p>
    <w:p>
      <w:pPr>
        <w:ind w:firstLine="643"/>
        <w:rPr>
          <w:rFonts w:cs="Times New Roman"/>
          <w:highlight w:val="none"/>
        </w:rPr>
      </w:pPr>
      <w:r>
        <w:rPr>
          <w:rFonts w:hint="eastAsia" w:cs="Times New Roman"/>
          <w:b/>
          <w:bCs/>
          <w:highlight w:val="none"/>
        </w:rPr>
        <w:t>防控</w:t>
      </w:r>
      <w:r>
        <w:rPr>
          <w:rFonts w:cs="Times New Roman"/>
          <w:b/>
          <w:bCs/>
          <w:highlight w:val="none"/>
        </w:rPr>
        <w:t>危险废物填埋场地下水污染。</w:t>
      </w:r>
      <w:r>
        <w:rPr>
          <w:rFonts w:cs="Times New Roman"/>
          <w:szCs w:val="32"/>
          <w:highlight w:val="none"/>
        </w:rPr>
        <w:t>根据渗漏检测层渗漏量、地下水监测等结果，发现地下水污染的</w:t>
      </w:r>
      <w:r>
        <w:rPr>
          <w:rFonts w:hint="eastAsia" w:cs="Times New Roman"/>
          <w:szCs w:val="32"/>
          <w:highlight w:val="none"/>
        </w:rPr>
        <w:t>应</w:t>
      </w:r>
      <w:r>
        <w:rPr>
          <w:rFonts w:cs="Times New Roman"/>
          <w:szCs w:val="32"/>
          <w:highlight w:val="none"/>
        </w:rPr>
        <w:t>及时采取管控措施。</w:t>
      </w:r>
      <w:r>
        <w:rPr>
          <w:rFonts w:cs="Times New Roman"/>
          <w:highlight w:val="none"/>
        </w:rPr>
        <w:t>在巴山组团钡废渣处置场运行期间，每两年至少开展1次填埋场环境安全性能评估。</w:t>
      </w:r>
    </w:p>
    <w:p>
      <w:pPr>
        <w:ind w:firstLine="643"/>
        <w:rPr>
          <w:rFonts w:hint="eastAsia" w:eastAsia="方正楷体_GBK" w:cs="Times New Roman"/>
          <w:bCs/>
          <w:szCs w:val="32"/>
          <w:highlight w:val="none"/>
        </w:rPr>
      </w:pPr>
      <w:r>
        <w:rPr>
          <w:rFonts w:cs="Times New Roman"/>
          <w:b/>
          <w:bCs/>
          <w:highlight w:val="none"/>
        </w:rPr>
        <w:t>健全部门间地下水环境信息共享机制。</w:t>
      </w:r>
      <w:r>
        <w:rPr>
          <w:rFonts w:cs="Times New Roman"/>
          <w:highlight w:val="none"/>
        </w:rPr>
        <w:t>完善县生态环境</w:t>
      </w:r>
      <w:r>
        <w:rPr>
          <w:rFonts w:hint="eastAsia" w:cs="Times New Roman"/>
          <w:highlight w:val="none"/>
          <w:lang w:val="en-US" w:eastAsia="zh-CN"/>
        </w:rPr>
        <w:t>局</w:t>
      </w:r>
      <w:r>
        <w:rPr>
          <w:rFonts w:cs="Times New Roman"/>
          <w:highlight w:val="none"/>
        </w:rPr>
        <w:t>、</w:t>
      </w:r>
      <w:r>
        <w:rPr>
          <w:rFonts w:hint="eastAsia" w:cs="Times New Roman"/>
          <w:highlight w:val="none"/>
          <w:lang w:val="en-US" w:eastAsia="zh-CN"/>
        </w:rPr>
        <w:t>规划</w:t>
      </w:r>
      <w:r>
        <w:rPr>
          <w:rFonts w:cs="Times New Roman"/>
          <w:highlight w:val="none"/>
        </w:rPr>
        <w:t>自然资源</w:t>
      </w:r>
      <w:r>
        <w:rPr>
          <w:rFonts w:hint="eastAsia" w:cs="Times New Roman"/>
          <w:highlight w:val="none"/>
          <w:lang w:val="en-US" w:eastAsia="zh-CN"/>
        </w:rPr>
        <w:t>局</w:t>
      </w:r>
      <w:r>
        <w:rPr>
          <w:rFonts w:cs="Times New Roman"/>
          <w:highlight w:val="none"/>
        </w:rPr>
        <w:t>、水利</w:t>
      </w:r>
      <w:r>
        <w:rPr>
          <w:rFonts w:hint="eastAsia" w:cs="Times New Roman"/>
          <w:highlight w:val="none"/>
          <w:lang w:val="en-US" w:eastAsia="zh-CN"/>
        </w:rPr>
        <w:t>局</w:t>
      </w:r>
      <w:r>
        <w:rPr>
          <w:rFonts w:cs="Times New Roman"/>
          <w:highlight w:val="none"/>
        </w:rPr>
        <w:t>等部门联动监管机制，共享地下水环境状况调查、水文地质勘查、地下水资源调查等信息。县生态环境局会同相关部门推进地下水环境</w:t>
      </w:r>
      <w:r>
        <w:rPr>
          <w:rFonts w:hint="eastAsia" w:cs="Times New Roman"/>
          <w:highlight w:val="none"/>
        </w:rPr>
        <w:t>“</w:t>
      </w:r>
      <w:r>
        <w:rPr>
          <w:rFonts w:cs="Times New Roman"/>
          <w:highlight w:val="none"/>
        </w:rPr>
        <w:t>一张图</w:t>
      </w:r>
      <w:r>
        <w:rPr>
          <w:rFonts w:hint="eastAsia" w:cs="Times New Roman"/>
          <w:highlight w:val="none"/>
        </w:rPr>
        <w:t>”</w:t>
      </w:r>
      <w:r>
        <w:rPr>
          <w:rFonts w:cs="Times New Roman"/>
          <w:highlight w:val="none"/>
        </w:rPr>
        <w:t>管理，实现水文地质分区、地下水型饮用水水源保护区、重点污染源等信息共享。</w:t>
      </w:r>
    </w:p>
    <w:tbl>
      <w:tblPr>
        <w:tblStyle w:val="23"/>
        <w:tblW w:w="803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autofit"/>
        <w:tblCellMar>
          <w:top w:w="0" w:type="dxa"/>
          <w:left w:w="0" w:type="dxa"/>
          <w:bottom w:w="0" w:type="dxa"/>
          <w:right w:w="0" w:type="dxa"/>
        </w:tblCellMar>
      </w:tblPr>
      <w:tblGrid>
        <w:gridCol w:w="803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038" w:type="dxa"/>
            <w:tcBorders>
              <w:top w:val="single" w:color="000000" w:sz="8" w:space="0"/>
              <w:left w:val="single" w:color="000000" w:sz="8" w:space="0"/>
              <w:bottom w:val="single" w:color="000000" w:sz="4" w:space="0"/>
              <w:right w:val="single" w:color="000000" w:sz="8" w:space="0"/>
            </w:tcBorders>
            <w:shd w:val="clear" w:color="auto" w:fill="auto"/>
            <w:tcMar>
              <w:left w:w="115" w:type="dxa"/>
              <w:right w:w="115" w:type="dxa"/>
            </w:tcMar>
            <w:vAlign w:val="center"/>
          </w:tcPr>
          <w:p>
            <w:pPr>
              <w:pStyle w:val="20"/>
              <w:keepNext w:val="0"/>
              <w:keepLines w:val="0"/>
              <w:pageBreakBefore w:val="0"/>
              <w:widowControl/>
              <w:kinsoku/>
              <w:wordWrap/>
              <w:overflowPunct/>
              <w:topLinePunct w:val="0"/>
              <w:autoSpaceDE/>
              <w:autoSpaceDN/>
              <w:bidi w:val="0"/>
              <w:adjustRightInd w:val="0"/>
              <w:snapToGrid w:val="0"/>
              <w:spacing w:beforeAutospacing="0" w:after="144" w:afterAutospacing="0" w:line="560" w:lineRule="exact"/>
              <w:ind w:firstLine="560"/>
              <w:jc w:val="center"/>
              <w:textAlignment w:val="auto"/>
              <w:rPr>
                <w:rFonts w:ascii="Times New Roman" w:hAnsi="Times New Roman" w:cs="Times New Roman"/>
                <w:sz w:val="28"/>
                <w:szCs w:val="28"/>
                <w:highlight w:val="none"/>
              </w:rPr>
            </w:pPr>
            <w:r>
              <w:rPr>
                <w:rFonts w:ascii="Times New Roman" w:hAnsi="方正黑体_GBK" w:eastAsia="方正黑体_GBK" w:cs="Times New Roman"/>
                <w:b/>
                <w:bCs/>
                <w:color w:val="333333"/>
                <w:sz w:val="28"/>
                <w:szCs w:val="28"/>
                <w:highlight w:val="none"/>
              </w:rPr>
              <w:t>专栏</w:t>
            </w:r>
            <w:r>
              <w:rPr>
                <w:rFonts w:hint="eastAsia" w:ascii="Times New Roman" w:hAnsi="Times New Roman" w:cs="Times New Roman"/>
                <w:b/>
                <w:bCs/>
                <w:color w:val="333333"/>
                <w:sz w:val="28"/>
                <w:szCs w:val="28"/>
                <w:highlight w:val="none"/>
              </w:rPr>
              <w:t>3</w:t>
            </w:r>
            <w:r>
              <w:rPr>
                <w:rFonts w:ascii="Times New Roman" w:hAnsi="Times New Roman" w:cs="Times New Roman"/>
                <w:b/>
                <w:bCs/>
                <w:color w:val="333333"/>
                <w:sz w:val="28"/>
                <w:szCs w:val="28"/>
                <w:highlight w:val="none"/>
              </w:rPr>
              <w:t> </w:t>
            </w:r>
            <w:r>
              <w:rPr>
                <w:rFonts w:hint="eastAsia" w:ascii="Times New Roman" w:hAnsi="Times New Roman" w:cs="Times New Roman"/>
                <w:b/>
                <w:bCs/>
                <w:color w:val="333333"/>
                <w:sz w:val="28"/>
                <w:szCs w:val="28"/>
                <w:highlight w:val="none"/>
              </w:rPr>
              <w:t xml:space="preserve"> </w:t>
            </w:r>
            <w:r>
              <w:rPr>
                <w:rFonts w:hint="eastAsia" w:ascii="Times New Roman" w:hAnsi="方正黑体_GBK" w:eastAsia="方正黑体_GBK" w:cs="Times New Roman"/>
                <w:b/>
                <w:bCs/>
                <w:color w:val="333333"/>
                <w:sz w:val="28"/>
                <w:szCs w:val="28"/>
                <w:highlight w:val="none"/>
              </w:rPr>
              <w:t>地下水</w:t>
            </w:r>
            <w:r>
              <w:rPr>
                <w:rFonts w:ascii="Times New Roman" w:hAnsi="方正黑体_GBK" w:eastAsia="方正黑体_GBK" w:cs="Times New Roman"/>
                <w:b/>
                <w:bCs/>
                <w:color w:val="333333"/>
                <w:sz w:val="28"/>
                <w:szCs w:val="28"/>
                <w:highlight w:val="none"/>
              </w:rPr>
              <w:t>污染防治工程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038" w:type="dxa"/>
            <w:tcBorders>
              <w:top w:val="single" w:color="000000" w:sz="4" w:space="0"/>
              <w:left w:val="single" w:color="000000" w:sz="8" w:space="0"/>
              <w:bottom w:val="single" w:color="000000" w:sz="8" w:space="0"/>
              <w:right w:val="single" w:color="000000" w:sz="8" w:space="0"/>
            </w:tcBorders>
            <w:shd w:val="clear" w:color="auto" w:fill="auto"/>
            <w:tcMar>
              <w:left w:w="115" w:type="dxa"/>
              <w:right w:w="115" w:type="dxa"/>
            </w:tcMar>
            <w:vAlign w:val="center"/>
          </w:tcPr>
          <w:p>
            <w:pPr>
              <w:pStyle w:val="20"/>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jc w:val="both"/>
              <w:textAlignment w:val="auto"/>
              <w:rPr>
                <w:rFonts w:hint="eastAsia" w:ascii="Times New Roman" w:hAnsi="宋体" w:eastAsia="方正仿宋_GBK" w:cs="Times New Roman"/>
                <w:sz w:val="28"/>
                <w:szCs w:val="28"/>
                <w:highlight w:val="none"/>
                <w:lang w:eastAsia="zh-CN"/>
              </w:rPr>
            </w:pPr>
            <w:r>
              <w:rPr>
                <w:rFonts w:hint="eastAsia" w:ascii="Times New Roman" w:hAnsi="宋体" w:cs="Times New Roman"/>
                <w:sz w:val="28"/>
                <w:szCs w:val="28"/>
                <w:highlight w:val="none"/>
              </w:rPr>
              <w:t>1</w:t>
            </w:r>
            <w:r>
              <w:rPr>
                <w:rFonts w:hint="eastAsia" w:ascii="Times New Roman" w:cs="Times New Roman"/>
                <w:sz w:val="28"/>
                <w:szCs w:val="28"/>
                <w:highlight w:val="none"/>
                <w:lang w:eastAsia="zh-CN"/>
              </w:rPr>
              <w:t>.</w:t>
            </w:r>
            <w:r>
              <w:rPr>
                <w:rFonts w:hint="eastAsia" w:ascii="Times New Roman" w:hAnsi="宋体" w:cs="Times New Roman"/>
                <w:sz w:val="28"/>
                <w:szCs w:val="28"/>
                <w:highlight w:val="none"/>
              </w:rPr>
              <w:t>地下水污染防治</w:t>
            </w:r>
            <w:r>
              <w:rPr>
                <w:rFonts w:hint="eastAsia" w:ascii="Times New Roman" w:cs="Times New Roman"/>
                <w:sz w:val="28"/>
                <w:szCs w:val="28"/>
                <w:highlight w:val="none"/>
                <w:lang w:eastAsia="zh-CN"/>
              </w:rPr>
              <w:t>。</w:t>
            </w:r>
            <w:r>
              <w:rPr>
                <w:rFonts w:hint="eastAsia" w:ascii="Times New Roman" w:cs="Times New Roman"/>
                <w:sz w:val="28"/>
                <w:szCs w:val="28"/>
                <w:highlight w:val="none"/>
                <w:lang w:val="en-US" w:eastAsia="zh-CN"/>
              </w:rPr>
              <w:t>持续开展“双源”调查。</w:t>
            </w:r>
          </w:p>
          <w:p>
            <w:pPr>
              <w:pStyle w:val="20"/>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jc w:val="both"/>
              <w:textAlignment w:val="auto"/>
              <w:rPr>
                <w:rFonts w:hint="eastAsia" w:ascii="Times New Roman" w:hAnsi="宋体" w:cs="Times New Roman"/>
                <w:sz w:val="28"/>
                <w:szCs w:val="28"/>
                <w:highlight w:val="none"/>
              </w:rPr>
            </w:pPr>
            <w:r>
              <w:rPr>
                <w:rFonts w:hint="eastAsia" w:ascii="Times New Roman" w:cs="Times New Roman"/>
                <w:sz w:val="28"/>
                <w:szCs w:val="28"/>
                <w:highlight w:val="none"/>
                <w:lang w:val="en-US" w:eastAsia="zh-CN"/>
              </w:rPr>
              <w:t>2.</w:t>
            </w:r>
            <w:r>
              <w:rPr>
                <w:rFonts w:hint="eastAsia" w:ascii="Times New Roman" w:hAnsi="宋体" w:cs="Times New Roman"/>
                <w:sz w:val="28"/>
                <w:szCs w:val="28"/>
                <w:highlight w:val="none"/>
              </w:rPr>
              <w:t>地下水环境状况调查评估。实施城口县垃圾填埋场、工业园区（高燕组团）废渣处置场等典型重点污染源地下水环境状况调查评估。</w:t>
            </w:r>
          </w:p>
          <w:p>
            <w:pPr>
              <w:pStyle w:val="20"/>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jc w:val="both"/>
              <w:textAlignment w:val="auto"/>
              <w:rPr>
                <w:rFonts w:ascii="Times New Roman" w:cs="Times New Roman"/>
                <w:sz w:val="28"/>
                <w:szCs w:val="28"/>
                <w:highlight w:val="none"/>
              </w:rPr>
            </w:pPr>
            <w:r>
              <w:rPr>
                <w:rFonts w:hint="eastAsia" w:ascii="Times New Roman" w:cs="Times New Roman"/>
                <w:sz w:val="28"/>
                <w:szCs w:val="28"/>
                <w:highlight w:val="none"/>
                <w:lang w:val="en-US" w:eastAsia="zh-CN"/>
              </w:rPr>
              <w:t>3.</w:t>
            </w:r>
            <w:r>
              <w:rPr>
                <w:rFonts w:hint="eastAsia" w:ascii="Times New Roman" w:hAnsi="宋体" w:cs="Times New Roman"/>
                <w:sz w:val="28"/>
                <w:szCs w:val="28"/>
                <w:highlight w:val="none"/>
              </w:rPr>
              <w:t>地下水污染源头预防。实施城口县垃圾填埋场、工业园区（高燕组团）废渣处置场地下水污染防渗改造工程。</w:t>
            </w:r>
          </w:p>
        </w:tc>
      </w:tr>
    </w:tbl>
    <w:p>
      <w:pPr>
        <w:pStyle w:val="3"/>
        <w:bidi w:val="0"/>
        <w:rPr>
          <w:highlight w:val="none"/>
        </w:rPr>
      </w:pPr>
      <w:bookmarkStart w:id="38" w:name="_Toc4449"/>
      <w:r>
        <w:rPr>
          <w:rFonts w:hint="eastAsia"/>
          <w:highlight w:val="none"/>
        </w:rPr>
        <w:t>六</w:t>
      </w:r>
      <w:r>
        <w:rPr>
          <w:highlight w:val="none"/>
        </w:rPr>
        <w:t>、提升生态环境监管能力</w:t>
      </w:r>
      <w:bookmarkEnd w:id="38"/>
    </w:p>
    <w:p>
      <w:pPr>
        <w:pStyle w:val="4"/>
        <w:bidi w:val="0"/>
        <w:rPr>
          <w:highlight w:val="none"/>
        </w:rPr>
      </w:pPr>
      <w:bookmarkStart w:id="39" w:name="_Toc17815"/>
      <w:r>
        <w:rPr>
          <w:rFonts w:hint="eastAsia"/>
          <w:highlight w:val="none"/>
        </w:rPr>
        <w:t>（一）</w:t>
      </w:r>
      <w:r>
        <w:rPr>
          <w:highlight w:val="none"/>
        </w:rPr>
        <w:t>健全监测监控网络。</w:t>
      </w:r>
      <w:bookmarkEnd w:id="39"/>
    </w:p>
    <w:p>
      <w:pPr>
        <w:pStyle w:val="9"/>
        <w:ind w:firstLine="640"/>
        <w:rPr>
          <w:rFonts w:eastAsia="方正楷体_GBK" w:cs="Times New Roman"/>
          <w:bCs/>
          <w:szCs w:val="32"/>
          <w:highlight w:val="none"/>
        </w:rPr>
      </w:pPr>
      <w:r>
        <w:rPr>
          <w:szCs w:val="32"/>
          <w:highlight w:val="none"/>
        </w:rPr>
        <w:t>完善</w:t>
      </w:r>
      <w:r>
        <w:rPr>
          <w:rFonts w:hint="eastAsia"/>
          <w:szCs w:val="32"/>
          <w:highlight w:val="none"/>
        </w:rPr>
        <w:t>城口县</w:t>
      </w:r>
      <w:r>
        <w:rPr>
          <w:szCs w:val="32"/>
          <w:highlight w:val="none"/>
        </w:rPr>
        <w:t>土壤环境监测网</w:t>
      </w:r>
      <w:r>
        <w:rPr>
          <w:rFonts w:hint="eastAsia"/>
          <w:szCs w:val="32"/>
          <w:highlight w:val="none"/>
        </w:rPr>
        <w:t>，开展农产品产地土壤与农产品协同监测。开展锰、钡等因子的土壤环境背景值调查以及典型行业企业用地及周边土壤污染状况调查。定期</w:t>
      </w:r>
      <w:r>
        <w:rPr>
          <w:szCs w:val="32"/>
          <w:highlight w:val="none"/>
        </w:rPr>
        <w:t>开展土壤污染重点监管单位周边土壤和地下水</w:t>
      </w:r>
      <w:r>
        <w:rPr>
          <w:rFonts w:hint="eastAsia"/>
          <w:szCs w:val="32"/>
          <w:highlight w:val="none"/>
        </w:rPr>
        <w:t>环境</w:t>
      </w:r>
      <w:r>
        <w:rPr>
          <w:szCs w:val="32"/>
          <w:highlight w:val="none"/>
        </w:rPr>
        <w:t>监测。</w:t>
      </w:r>
      <w:r>
        <w:rPr>
          <w:rFonts w:hint="eastAsia"/>
          <w:szCs w:val="32"/>
          <w:highlight w:val="none"/>
        </w:rPr>
        <w:t>充分利用无人机、视频监控等手段开展非现场检查，监控污染地块风险管控、修复与开发利用情况。开展农村生活污水集中处理设施出水水质监测、农村黑臭水体评估监测、水产养殖尾水排放监测，逐步建立完善农业农村监测网络。</w:t>
      </w:r>
      <w:r>
        <w:rPr>
          <w:rFonts w:hint="eastAsia"/>
        </w:rPr>
        <w:t>逐步优化和整合“双源”地下水环境监测井，初步构建区域监管和“双源”监控相结合的地下水环境监测网，加强现有地下水</w:t>
      </w:r>
      <w:r>
        <w:rPr>
          <w:rFonts w:hint="eastAsia"/>
          <w:szCs w:val="32"/>
          <w:highlight w:val="none"/>
        </w:rPr>
        <w:t>环境监测井的运行维护和管理。</w:t>
      </w:r>
    </w:p>
    <w:p>
      <w:pPr>
        <w:pStyle w:val="4"/>
        <w:bidi w:val="0"/>
        <w:rPr>
          <w:highlight w:val="none"/>
        </w:rPr>
      </w:pPr>
      <w:bookmarkStart w:id="40" w:name="_Toc30619"/>
      <w:r>
        <w:rPr>
          <w:rFonts w:hint="eastAsia"/>
          <w:highlight w:val="none"/>
        </w:rPr>
        <w:t>（二）</w:t>
      </w:r>
      <w:r>
        <w:rPr>
          <w:highlight w:val="none"/>
        </w:rPr>
        <w:t>加强执法能力建设。</w:t>
      </w:r>
      <w:bookmarkEnd w:id="40"/>
    </w:p>
    <w:p>
      <w:pPr>
        <w:ind w:firstLine="640"/>
        <w:rPr>
          <w:rFonts w:eastAsia="方正楷体_GBK" w:cs="Times New Roman"/>
          <w:bCs/>
          <w:szCs w:val="32"/>
          <w:highlight w:val="none"/>
        </w:rPr>
      </w:pPr>
      <w:r>
        <w:rPr>
          <w:rFonts w:cs="Times New Roman"/>
          <w:highlight w:val="none"/>
        </w:rPr>
        <w:t>依法开展土壤、农业农村和地下水生态环境保护综合行政执法。</w:t>
      </w:r>
      <w:r>
        <w:rPr>
          <w:rFonts w:hint="eastAsia" w:cs="Times New Roman"/>
          <w:highlight w:val="none"/>
        </w:rPr>
        <w:t>持续开展土壤污染重点监管单位、建设用地土壤污染风险管控和修复名录地块以及从业单位的执法监管，依法查处篡改、伪造监测数据等弄虚作假行为。</w:t>
      </w:r>
      <w:r>
        <w:rPr>
          <w:rFonts w:cs="Times New Roman"/>
          <w:highlight w:val="none"/>
        </w:rPr>
        <w:t>严厉打击危险废物非法倾倒或填埋，以及利用渗井、渗坑、裂隙、溶洞等逃避监管的方式向地下排放污染物等行为。</w:t>
      </w:r>
      <w:r>
        <w:rPr>
          <w:rFonts w:hint="eastAsia" w:cs="Times New Roman"/>
          <w:highlight w:val="none"/>
        </w:rPr>
        <w:t>强化秸秆露天禁烧执法检查。</w:t>
      </w:r>
      <w:r>
        <w:rPr>
          <w:rFonts w:cs="Times New Roman"/>
          <w:highlight w:val="none"/>
        </w:rPr>
        <w:t>提升执法水平，组织开展监管执法工作培训，配备便携式污染检测仪器等设备。提升突发环境事件土壤、农业农村</w:t>
      </w:r>
      <w:r>
        <w:rPr>
          <w:rFonts w:hint="eastAsia" w:cs="Times New Roman"/>
          <w:highlight w:val="none"/>
          <w:lang w:val="en-US" w:eastAsia="zh-CN"/>
        </w:rPr>
        <w:t>与</w:t>
      </w:r>
      <w:r>
        <w:rPr>
          <w:rFonts w:cs="Times New Roman"/>
          <w:highlight w:val="none"/>
        </w:rPr>
        <w:t>地下水生态环境保护应急处置能力，各相关单位制定的突发环境事件应急预案应当包括防止土壤和地下水环境污染内容</w:t>
      </w:r>
      <w:r>
        <w:rPr>
          <w:rFonts w:cs="Times New Roman"/>
          <w:szCs w:val="32"/>
          <w:highlight w:val="none"/>
        </w:rPr>
        <w:t>。</w:t>
      </w:r>
    </w:p>
    <w:p>
      <w:pPr>
        <w:pStyle w:val="3"/>
        <w:spacing w:before="156" w:after="156"/>
        <w:rPr>
          <w:rFonts w:cs="Times New Roman"/>
          <w:highlight w:val="none"/>
        </w:rPr>
      </w:pPr>
      <w:bookmarkStart w:id="41" w:name="_Toc1483"/>
      <w:r>
        <w:rPr>
          <w:rFonts w:hint="eastAsia" w:cs="Times New Roman"/>
          <w:highlight w:val="none"/>
        </w:rPr>
        <w:t>七、强化规划实施保障措施</w:t>
      </w:r>
      <w:bookmarkEnd w:id="41"/>
    </w:p>
    <w:p>
      <w:pPr>
        <w:pStyle w:val="4"/>
        <w:bidi w:val="0"/>
        <w:rPr>
          <w:highlight w:val="none"/>
        </w:rPr>
      </w:pPr>
      <w:bookmarkStart w:id="42" w:name="_Toc32243"/>
      <w:r>
        <w:rPr>
          <w:highlight w:val="none"/>
        </w:rPr>
        <w:t>（一）加强组织领导。</w:t>
      </w:r>
      <w:bookmarkEnd w:id="42"/>
    </w:p>
    <w:p>
      <w:pPr>
        <w:widowControl/>
        <w:ind w:firstLine="640"/>
        <w:jc w:val="left"/>
        <w:rPr>
          <w:rFonts w:cs="Times New Roman"/>
          <w:highlight w:val="none"/>
        </w:rPr>
      </w:pPr>
      <w:bookmarkStart w:id="43" w:name="OLE_LINK98"/>
      <w:r>
        <w:rPr>
          <w:rFonts w:cs="Times New Roman"/>
          <w:highlight w:val="none"/>
        </w:rPr>
        <w:t>相关部门及各镇街要高度重视污染防治工作，切实担负起本县内土壤（地下水、农业农村）污染防治目标责任。</w:t>
      </w:r>
      <w:r>
        <w:rPr>
          <w:rFonts w:ascii="方正仿宋_GBK" w:hAnsi="方正仿宋_GBK" w:cs="方正仿宋_GBK"/>
          <w:color w:val="000000"/>
          <w:kern w:val="0"/>
          <w:sz w:val="31"/>
          <w:szCs w:val="31"/>
          <w:highlight w:val="none"/>
        </w:rPr>
        <w:t>建立各级主要领导负责，统分结合的生态环境</w:t>
      </w:r>
      <w:r>
        <w:rPr>
          <w:rFonts w:hint="eastAsia" w:ascii="方正仿宋_GBK" w:hAnsi="方正仿宋_GBK" w:cs="方正仿宋_GBK"/>
          <w:color w:val="000000"/>
          <w:kern w:val="0"/>
          <w:sz w:val="31"/>
          <w:szCs w:val="31"/>
          <w:highlight w:val="none"/>
        </w:rPr>
        <w:t>保护工作机制，细化部门工作分工，明确牵头部门和工作责任，加强部门间协商沟通，研究解决规划实施过程中的问题，</w:t>
      </w:r>
      <w:r>
        <w:rPr>
          <w:rFonts w:cs="Times New Roman"/>
          <w:highlight w:val="none"/>
        </w:rPr>
        <w:t>落实</w:t>
      </w:r>
      <w:r>
        <w:rPr>
          <w:rFonts w:hint="eastAsia" w:cs="Times New Roman"/>
          <w:highlight w:val="none"/>
        </w:rPr>
        <w:t>“</w:t>
      </w:r>
      <w:r>
        <w:rPr>
          <w:rFonts w:cs="Times New Roman"/>
          <w:highlight w:val="none"/>
        </w:rPr>
        <w:t>一岗双责</w:t>
      </w:r>
      <w:r>
        <w:rPr>
          <w:rFonts w:hint="eastAsia" w:cs="Times New Roman"/>
          <w:highlight w:val="none"/>
        </w:rPr>
        <w:t>”</w:t>
      </w:r>
      <w:r>
        <w:rPr>
          <w:rFonts w:cs="Times New Roman"/>
          <w:highlight w:val="none"/>
        </w:rPr>
        <w:t>，密切协作配合，形成工作合力。党政主要领导抓重点，分管领导抓落实，统筹协调各部门的任务分解，明确各部门责任，完善政策措施，创新投融资模式，强化监督管理，</w:t>
      </w:r>
      <w:r>
        <w:rPr>
          <w:rFonts w:hint="eastAsia" w:ascii="方正仿宋_GBK" w:hAnsi="方正仿宋_GBK" w:cs="方正仿宋_GBK"/>
          <w:color w:val="000000"/>
          <w:kern w:val="0"/>
          <w:sz w:val="31"/>
          <w:szCs w:val="31"/>
          <w:highlight w:val="none"/>
        </w:rPr>
        <w:t>细化落实本规划确定的目标任务要求，</w:t>
      </w:r>
      <w:r>
        <w:rPr>
          <w:rFonts w:cs="Times New Roman"/>
          <w:highlight w:val="none"/>
        </w:rPr>
        <w:t>确保土壤（地下水、农业农村）污染防治工作有序推进。</w:t>
      </w:r>
      <w:bookmarkEnd w:id="43"/>
    </w:p>
    <w:p>
      <w:pPr>
        <w:pStyle w:val="4"/>
        <w:bidi w:val="0"/>
        <w:rPr>
          <w:highlight w:val="none"/>
        </w:rPr>
      </w:pPr>
      <w:bookmarkStart w:id="44" w:name="_Toc16128"/>
      <w:r>
        <w:rPr>
          <w:highlight w:val="none"/>
        </w:rPr>
        <w:t>（二）完善</w:t>
      </w:r>
      <w:r>
        <w:rPr>
          <w:rFonts w:hint="eastAsia"/>
          <w:highlight w:val="none"/>
        </w:rPr>
        <w:t>投入</w:t>
      </w:r>
      <w:r>
        <w:rPr>
          <w:highlight w:val="none"/>
        </w:rPr>
        <w:t>政策。</w:t>
      </w:r>
      <w:bookmarkEnd w:id="44"/>
    </w:p>
    <w:p>
      <w:pPr>
        <w:spacing w:line="560" w:lineRule="exact"/>
        <w:ind w:firstLine="640"/>
        <w:rPr>
          <w:rFonts w:cs="Times New Roman"/>
          <w:highlight w:val="none"/>
        </w:rPr>
      </w:pPr>
      <w:r>
        <w:rPr>
          <w:rFonts w:cs="Times New Roman"/>
          <w:highlight w:val="none"/>
        </w:rPr>
        <w:t>加强土壤、农业农村</w:t>
      </w:r>
      <w:r>
        <w:rPr>
          <w:rFonts w:hint="eastAsia" w:cs="Times New Roman"/>
          <w:highlight w:val="none"/>
          <w:lang w:val="en-US" w:eastAsia="zh-CN"/>
        </w:rPr>
        <w:t>与</w:t>
      </w:r>
      <w:r>
        <w:rPr>
          <w:rFonts w:cs="Times New Roman"/>
          <w:highlight w:val="none"/>
        </w:rPr>
        <w:t>地下水污染防治财政资金投入保障。</w:t>
      </w:r>
      <w:r>
        <w:rPr>
          <w:rFonts w:hint="eastAsia" w:cs="Times New Roman"/>
          <w:highlight w:val="none"/>
        </w:rPr>
        <w:t>做好土壤污染防治、农业农村环境整治、地下水生态环境保护项目储备，</w:t>
      </w:r>
      <w:r>
        <w:rPr>
          <w:rFonts w:hint="eastAsia" w:cs="Times New Roman"/>
          <w:highlight w:val="none"/>
          <w:lang w:val="en-US" w:eastAsia="zh-CN"/>
        </w:rPr>
        <w:t>积</w:t>
      </w:r>
      <w:r>
        <w:rPr>
          <w:highlight w:val="none"/>
        </w:rPr>
        <w:t>极争取中央</w:t>
      </w:r>
      <w:r>
        <w:rPr>
          <w:rFonts w:hint="eastAsia"/>
          <w:highlight w:val="none"/>
          <w:lang w:eastAsia="zh-CN"/>
        </w:rPr>
        <w:t>水、土壤、农业农村污染防治</w:t>
      </w:r>
      <w:r>
        <w:rPr>
          <w:highlight w:val="none"/>
        </w:rPr>
        <w:t>专项资金</w:t>
      </w:r>
      <w:r>
        <w:rPr>
          <w:rFonts w:hint="eastAsia" w:cs="Times New Roman"/>
          <w:highlight w:val="none"/>
        </w:rPr>
        <w:t>。</w:t>
      </w:r>
      <w:r>
        <w:rPr>
          <w:rFonts w:cs="Times New Roman"/>
          <w:highlight w:val="none"/>
        </w:rPr>
        <w:t>针对县内重点矿山开采等地下水环境高风险领域，研究建立环境污染强制责任保险制度，探索废弃矿山酸性废水长期管控机制。简易审批投资规模较小、技术方案相对简单、建设内容较为单一的农村生活污水治理等村庄环境整治项目。加大有机肥替代化肥、生物防治替代化学防治财政转移支付补贴力度。</w:t>
      </w:r>
      <w:r>
        <w:rPr>
          <w:rFonts w:cs="Times New Roman"/>
          <w:color w:val="000000"/>
          <w:highlight w:val="none"/>
        </w:rPr>
        <w:t>支持农业废弃物综合利用，探索实施畜禽粪污、农药包装、农膜、秸秆等废弃物回收处理与利用补贴力度，</w:t>
      </w:r>
      <w:r>
        <w:rPr>
          <w:rFonts w:cs="Times New Roman"/>
          <w:highlight w:val="none"/>
        </w:rPr>
        <w:t>鼓励资源企业提高资源利用效率、发展可再生能源。</w:t>
      </w:r>
      <w:r>
        <w:rPr>
          <w:rFonts w:cs="Times New Roman"/>
          <w:color w:val="000000"/>
          <w:highlight w:val="none"/>
        </w:rPr>
        <w:t>将符合条件的畜禽养殖等废弃物资源化利用装备列入农机购置补贴目录。</w:t>
      </w:r>
      <w:r>
        <w:rPr>
          <w:rFonts w:cs="Times New Roman"/>
          <w:highlight w:val="none"/>
        </w:rPr>
        <w:t>紧密衔接国土空间规划编制，统筹保障农村生活污水和农业面源污染治理等设施的合理用地需求。</w:t>
      </w:r>
    </w:p>
    <w:p>
      <w:pPr>
        <w:pStyle w:val="4"/>
        <w:bidi w:val="0"/>
        <w:rPr>
          <w:highlight w:val="none"/>
        </w:rPr>
      </w:pPr>
      <w:bookmarkStart w:id="45" w:name="_Toc78618846"/>
      <w:bookmarkStart w:id="46" w:name="_Toc2615"/>
      <w:bookmarkStart w:id="47" w:name="_Toc7399"/>
      <w:bookmarkStart w:id="48" w:name="_Toc58707395"/>
      <w:bookmarkStart w:id="49" w:name="_Toc3220"/>
      <w:r>
        <w:rPr>
          <w:highlight w:val="none"/>
        </w:rPr>
        <w:t>（三）加大宣传引导</w:t>
      </w:r>
      <w:bookmarkEnd w:id="45"/>
      <w:r>
        <w:rPr>
          <w:highlight w:val="none"/>
        </w:rPr>
        <w:t>。</w:t>
      </w:r>
      <w:bookmarkEnd w:id="46"/>
    </w:p>
    <w:p>
      <w:pPr>
        <w:ind w:firstLine="640"/>
        <w:rPr>
          <w:rFonts w:cs="Times New Roman"/>
          <w:highlight w:val="none"/>
        </w:rPr>
      </w:pPr>
      <w:r>
        <w:rPr>
          <w:rFonts w:cs="Times New Roman"/>
          <w:highlight w:val="none"/>
        </w:rPr>
        <w:t>充分利用电视、广播、互联网等媒体，有针对性地宣传普及土壤、农业农村</w:t>
      </w:r>
      <w:r>
        <w:rPr>
          <w:rFonts w:hint="eastAsia" w:cs="Times New Roman"/>
          <w:highlight w:val="none"/>
          <w:lang w:val="en-US" w:eastAsia="zh-CN"/>
        </w:rPr>
        <w:t>与</w:t>
      </w:r>
      <w:r>
        <w:rPr>
          <w:rFonts w:cs="Times New Roman"/>
          <w:highlight w:val="none"/>
        </w:rPr>
        <w:t>地下水生态环境保护知识，增强公众生态环境意识和责任意识。</w:t>
      </w:r>
      <w:r>
        <w:rPr>
          <w:rFonts w:hint="eastAsia" w:cs="Times New Roman"/>
          <w:highlight w:val="none"/>
        </w:rPr>
        <w:t>畅通公众投诉举报意见建议渠道，强化群众对污染地块风险管控和修复措施的监督。</w:t>
      </w:r>
      <w:r>
        <w:rPr>
          <w:rFonts w:cs="Times New Roman"/>
          <w:highlight w:val="none"/>
        </w:rPr>
        <w:t>强化宣传培训，采用现场会、视频会等形式，组织召开土壤污染风险管控和修复、农村环境整治项目申报、农村生活污水治理、农业面源污染防治等技术培训。推进土壤、农业农村</w:t>
      </w:r>
      <w:r>
        <w:rPr>
          <w:rFonts w:hint="eastAsia" w:cs="Times New Roman"/>
          <w:highlight w:val="none"/>
          <w:lang w:val="en-US" w:eastAsia="zh-CN"/>
        </w:rPr>
        <w:t>与</w:t>
      </w:r>
      <w:r>
        <w:rPr>
          <w:rFonts w:cs="Times New Roman"/>
          <w:highlight w:val="none"/>
        </w:rPr>
        <w:t>地下水生态环境保护融入党政机关、学校、工厂、社区、农村等环境宣传培训工作，大力推广绿色生产生活方式，形成全社会保护土壤、农业农村</w:t>
      </w:r>
      <w:r>
        <w:rPr>
          <w:rFonts w:hint="eastAsia" w:cs="Times New Roman"/>
          <w:highlight w:val="none"/>
          <w:lang w:val="en-US" w:eastAsia="zh-CN"/>
        </w:rPr>
        <w:t>与</w:t>
      </w:r>
      <w:r>
        <w:rPr>
          <w:rFonts w:cs="Times New Roman"/>
          <w:highlight w:val="none"/>
        </w:rPr>
        <w:t>地下水的良好氛围。</w:t>
      </w:r>
    </w:p>
    <w:p>
      <w:pPr>
        <w:pStyle w:val="4"/>
        <w:bidi w:val="0"/>
        <w:rPr>
          <w:highlight w:val="none"/>
        </w:rPr>
      </w:pPr>
      <w:bookmarkStart w:id="50" w:name="_Toc7336"/>
      <w:r>
        <w:rPr>
          <w:rFonts w:hint="eastAsia"/>
          <w:highlight w:val="none"/>
        </w:rPr>
        <w:t>（四）实施考核评估。</w:t>
      </w:r>
      <w:bookmarkEnd w:id="50"/>
    </w:p>
    <w:p>
      <w:pPr>
        <w:ind w:firstLine="640"/>
        <w:rPr>
          <w:rFonts w:cs="Times New Roman"/>
          <w:highlight w:val="none"/>
        </w:rPr>
      </w:pPr>
      <w:r>
        <w:rPr>
          <w:rFonts w:hint="eastAsia" w:cs="Times New Roman"/>
          <w:highlight w:val="none"/>
        </w:rPr>
        <w:t>实行目标责任制和考核评价制度，分解落实目标任务。县生态环境局根据国家和市级的工作部署，会同相关部门对本规划目标指标、主要任务、重大工程相关进展情况进行调度。在</w:t>
      </w:r>
      <w:r>
        <w:rPr>
          <w:rFonts w:cs="Times New Roman"/>
          <w:highlight w:val="none"/>
        </w:rPr>
        <w:t>2023</w:t>
      </w:r>
      <w:r>
        <w:rPr>
          <w:rFonts w:hint="eastAsia" w:cs="Times New Roman"/>
          <w:highlight w:val="none"/>
        </w:rPr>
        <w:t>年、</w:t>
      </w:r>
      <w:r>
        <w:rPr>
          <w:rFonts w:cs="Times New Roman"/>
          <w:highlight w:val="none"/>
        </w:rPr>
        <w:t>2025</w:t>
      </w:r>
      <w:r>
        <w:rPr>
          <w:rFonts w:hint="eastAsia" w:cs="Times New Roman"/>
          <w:highlight w:val="none"/>
        </w:rPr>
        <w:t>年底，分别对本规划的实施情况进行中期评估和总结评估。</w:t>
      </w:r>
    </w:p>
    <w:bookmarkEnd w:id="47"/>
    <w:bookmarkEnd w:id="48"/>
    <w:bookmarkEnd w:id="49"/>
    <w:p>
      <w:pPr>
        <w:pStyle w:val="3"/>
        <w:spacing w:before="156" w:after="156"/>
        <w:ind w:firstLine="643"/>
        <w:rPr>
          <w:rFonts w:cs="Times New Roman"/>
          <w:highlight w:val="none"/>
        </w:rPr>
      </w:pPr>
      <w:bookmarkStart w:id="51" w:name="_Toc27524"/>
      <w:r>
        <w:rPr>
          <w:rFonts w:cs="Times New Roman"/>
          <w:highlight w:val="none"/>
        </w:rPr>
        <w:fldChar w:fldCharType="begin"/>
      </w:r>
      <w:r>
        <w:rPr>
          <w:rFonts w:cs="Times New Roman"/>
          <w:highlight w:val="none"/>
        </w:rPr>
        <w:instrText xml:space="preserve"> HYPERLINK \l "_Toc507189710"</w:instrText>
      </w:r>
      <w:r>
        <w:rPr>
          <w:rFonts w:cs="Times New Roman"/>
          <w:highlight w:val="none"/>
        </w:rPr>
        <w:fldChar w:fldCharType="separate"/>
      </w:r>
      <w:r>
        <w:rPr>
          <w:rFonts w:hint="eastAsia" w:cs="Times New Roman"/>
          <w:highlight w:val="none"/>
        </w:rPr>
        <w:t>八</w:t>
      </w:r>
      <w:r>
        <w:rPr>
          <w:rFonts w:cs="Times New Roman"/>
          <w:highlight w:val="none"/>
        </w:rPr>
        <w:t>、附</w:t>
      </w:r>
      <w:r>
        <w:rPr>
          <w:rFonts w:hint="eastAsia" w:cs="Times New Roman"/>
          <w:highlight w:val="none"/>
        </w:rPr>
        <w:t>表</w:t>
      </w:r>
      <w:r>
        <w:rPr>
          <w:rFonts w:cs="Times New Roman"/>
          <w:highlight w:val="none"/>
        </w:rPr>
        <w:fldChar w:fldCharType="end"/>
      </w:r>
      <w:bookmarkEnd w:id="51"/>
    </w:p>
    <w:p>
      <w:pPr>
        <w:ind w:firstLine="640"/>
        <w:rPr>
          <w:rFonts w:cs="Times New Roman"/>
          <w:highlight w:val="none"/>
        </w:rPr>
      </w:pPr>
      <w:r>
        <w:rPr>
          <w:rFonts w:cs="Times New Roman"/>
          <w:highlight w:val="none"/>
        </w:rPr>
        <w:t>附</w:t>
      </w:r>
      <w:r>
        <w:rPr>
          <w:rFonts w:hint="eastAsia" w:cs="Times New Roman"/>
          <w:highlight w:val="none"/>
          <w:lang w:val="en-US" w:eastAsia="zh-CN"/>
        </w:rPr>
        <w:t>件</w:t>
      </w:r>
      <w:r>
        <w:rPr>
          <w:rFonts w:cs="Times New Roman"/>
          <w:highlight w:val="none"/>
        </w:rPr>
        <w:t>1</w:t>
      </w:r>
      <w:r>
        <w:rPr>
          <w:rFonts w:hint="eastAsia" w:cs="Times New Roman"/>
          <w:highlight w:val="none"/>
          <w:lang w:val="en-US" w:eastAsia="zh-CN"/>
        </w:rPr>
        <w:t xml:space="preserve"> </w:t>
      </w:r>
      <w:r>
        <w:rPr>
          <w:rFonts w:cs="Times New Roman"/>
          <w:highlight w:val="none"/>
        </w:rPr>
        <w:t>规划任务分解表</w:t>
      </w:r>
    </w:p>
    <w:p>
      <w:pPr>
        <w:ind w:firstLine="640"/>
        <w:rPr>
          <w:rFonts w:cs="Times New Roman"/>
          <w:highlight w:val="none"/>
        </w:rPr>
      </w:pPr>
      <w:r>
        <w:rPr>
          <w:rFonts w:cs="Times New Roman"/>
          <w:highlight w:val="none"/>
        </w:rPr>
        <w:t>附</w:t>
      </w:r>
      <w:r>
        <w:rPr>
          <w:rFonts w:hint="eastAsia" w:cs="Times New Roman"/>
          <w:highlight w:val="none"/>
          <w:lang w:val="en-US" w:eastAsia="zh-CN"/>
        </w:rPr>
        <w:t>件</w:t>
      </w:r>
      <w:r>
        <w:rPr>
          <w:rFonts w:hint="eastAsia" w:cs="Times New Roman"/>
          <w:highlight w:val="none"/>
        </w:rPr>
        <w:t>2</w:t>
      </w:r>
      <w:r>
        <w:rPr>
          <w:rFonts w:hint="eastAsia" w:cs="Times New Roman"/>
          <w:highlight w:val="none"/>
          <w:lang w:val="en-US" w:eastAsia="zh-CN"/>
        </w:rPr>
        <w:t xml:space="preserve"> 名词与指标解释</w:t>
      </w:r>
    </w:p>
    <w:p>
      <w:pPr>
        <w:tabs>
          <w:tab w:val="left" w:pos="3418"/>
        </w:tabs>
        <w:ind w:firstLine="640"/>
        <w:jc w:val="left"/>
        <w:rPr>
          <w:highlight w:val="none"/>
        </w:rPr>
        <w:sectPr>
          <w:footerReference r:id="rId5" w:type="default"/>
          <w:pgSz w:w="11906" w:h="16838"/>
          <w:pgMar w:top="1440" w:right="1800" w:bottom="1440" w:left="1803" w:header="851" w:footer="992" w:gutter="0"/>
          <w:pgNumType w:fmt="decimal" w:start="1"/>
          <w:cols w:space="425" w:num="1"/>
          <w:docGrid w:type="lines" w:linePitch="312" w:charSpace="0"/>
        </w:sectPr>
      </w:pPr>
      <w:r>
        <w:rPr>
          <w:rFonts w:hint="eastAsia"/>
          <w:highlight w:val="none"/>
        </w:rPr>
        <w:tab/>
      </w:r>
    </w:p>
    <w:p>
      <w:pPr>
        <w:pStyle w:val="4"/>
        <w:bidi w:val="0"/>
        <w:rPr>
          <w:highlight w:val="none"/>
        </w:rPr>
      </w:pPr>
      <w:bookmarkStart w:id="52" w:name="_Toc1302"/>
      <w:r>
        <w:rPr>
          <w:rFonts w:hint="eastAsia"/>
          <w:highlight w:val="none"/>
          <w:lang w:val="en-US" w:eastAsia="zh-CN"/>
        </w:rPr>
        <w:t>附件</w:t>
      </w:r>
      <w:r>
        <w:rPr>
          <w:highlight w:val="none"/>
        </w:rPr>
        <w:t xml:space="preserve">1 </w:t>
      </w:r>
      <w:bookmarkStart w:id="53" w:name="_Toc477442692"/>
      <w:r>
        <w:rPr>
          <w:highlight w:val="none"/>
        </w:rPr>
        <w:t>规划任务分解表</w:t>
      </w:r>
      <w:bookmarkEnd w:id="52"/>
      <w:bookmarkEnd w:id="53"/>
    </w:p>
    <w:tbl>
      <w:tblPr>
        <w:tblStyle w:val="23"/>
        <w:tblW w:w="14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998"/>
        <w:gridCol w:w="1180"/>
        <w:gridCol w:w="7449"/>
        <w:gridCol w:w="1321"/>
        <w:gridCol w:w="1444"/>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9" w:type="dxa"/>
            <w:shd w:val="clear" w:color="auto" w:fill="auto"/>
            <w:vAlign w:val="center"/>
          </w:tcPr>
          <w:p>
            <w:pPr>
              <w:widowControl/>
              <w:spacing w:line="312" w:lineRule="exact"/>
              <w:ind w:firstLine="0" w:firstLineChars="0"/>
              <w:jc w:val="center"/>
              <w:rPr>
                <w:rFonts w:eastAsia="仿宋" w:cs="Times New Roman"/>
                <w:b/>
                <w:kern w:val="0"/>
                <w:sz w:val="24"/>
                <w:szCs w:val="24"/>
                <w:highlight w:val="none"/>
              </w:rPr>
            </w:pPr>
            <w:r>
              <w:rPr>
                <w:rFonts w:eastAsia="仿宋" w:cs="Times New Roman"/>
                <w:b/>
                <w:kern w:val="0"/>
                <w:sz w:val="24"/>
                <w:szCs w:val="24"/>
                <w:highlight w:val="none"/>
              </w:rPr>
              <w:t>序号</w:t>
            </w:r>
          </w:p>
        </w:tc>
        <w:tc>
          <w:tcPr>
            <w:tcW w:w="998" w:type="dxa"/>
            <w:shd w:val="clear" w:color="auto" w:fill="auto"/>
            <w:vAlign w:val="center"/>
          </w:tcPr>
          <w:p>
            <w:pPr>
              <w:widowControl/>
              <w:spacing w:line="312" w:lineRule="exact"/>
              <w:ind w:firstLine="0" w:firstLineChars="0"/>
              <w:jc w:val="center"/>
              <w:rPr>
                <w:rFonts w:eastAsia="仿宋" w:cs="Times New Roman"/>
                <w:b/>
                <w:kern w:val="0"/>
                <w:sz w:val="24"/>
                <w:szCs w:val="24"/>
                <w:highlight w:val="none"/>
              </w:rPr>
            </w:pPr>
            <w:r>
              <w:rPr>
                <w:rFonts w:eastAsia="仿宋" w:cs="Times New Roman"/>
                <w:b/>
                <w:kern w:val="0"/>
                <w:sz w:val="24"/>
                <w:szCs w:val="24"/>
                <w:highlight w:val="none"/>
              </w:rPr>
              <w:t>条</w:t>
            </w:r>
          </w:p>
        </w:tc>
        <w:tc>
          <w:tcPr>
            <w:tcW w:w="1180" w:type="dxa"/>
            <w:shd w:val="clear" w:color="auto" w:fill="auto"/>
            <w:vAlign w:val="center"/>
          </w:tcPr>
          <w:p>
            <w:pPr>
              <w:widowControl/>
              <w:spacing w:line="312" w:lineRule="exact"/>
              <w:ind w:firstLine="0" w:firstLineChars="0"/>
              <w:jc w:val="center"/>
              <w:rPr>
                <w:rFonts w:eastAsia="仿宋" w:cs="Times New Roman"/>
                <w:b/>
                <w:kern w:val="0"/>
                <w:sz w:val="24"/>
                <w:szCs w:val="24"/>
                <w:highlight w:val="none"/>
              </w:rPr>
            </w:pPr>
            <w:r>
              <w:rPr>
                <w:rFonts w:eastAsia="仿宋" w:cs="Times New Roman"/>
                <w:b/>
                <w:kern w:val="0"/>
                <w:sz w:val="24"/>
                <w:szCs w:val="24"/>
                <w:highlight w:val="none"/>
              </w:rPr>
              <w:t>款</w:t>
            </w:r>
          </w:p>
        </w:tc>
        <w:tc>
          <w:tcPr>
            <w:tcW w:w="7449" w:type="dxa"/>
            <w:shd w:val="clear" w:color="auto" w:fill="auto"/>
            <w:vAlign w:val="center"/>
          </w:tcPr>
          <w:p>
            <w:pPr>
              <w:widowControl/>
              <w:spacing w:line="312" w:lineRule="exact"/>
              <w:ind w:firstLine="0" w:firstLineChars="0"/>
              <w:jc w:val="center"/>
              <w:rPr>
                <w:rFonts w:eastAsia="仿宋" w:cs="Times New Roman"/>
                <w:b/>
                <w:kern w:val="0"/>
                <w:sz w:val="24"/>
                <w:szCs w:val="24"/>
                <w:highlight w:val="none"/>
              </w:rPr>
            </w:pPr>
            <w:r>
              <w:rPr>
                <w:rFonts w:eastAsia="仿宋" w:cs="Times New Roman"/>
                <w:b/>
                <w:kern w:val="0"/>
                <w:sz w:val="24"/>
                <w:szCs w:val="24"/>
                <w:highlight w:val="none"/>
              </w:rPr>
              <w:t>任务措施</w:t>
            </w:r>
          </w:p>
        </w:tc>
        <w:tc>
          <w:tcPr>
            <w:tcW w:w="1321" w:type="dxa"/>
            <w:shd w:val="clear" w:color="auto" w:fill="auto"/>
            <w:vAlign w:val="center"/>
          </w:tcPr>
          <w:p>
            <w:pPr>
              <w:widowControl/>
              <w:spacing w:line="312" w:lineRule="exact"/>
              <w:ind w:firstLine="0" w:firstLineChars="0"/>
              <w:jc w:val="center"/>
              <w:rPr>
                <w:rFonts w:eastAsia="仿宋" w:cs="Times New Roman"/>
                <w:b/>
                <w:kern w:val="0"/>
                <w:sz w:val="24"/>
                <w:szCs w:val="24"/>
                <w:highlight w:val="none"/>
              </w:rPr>
            </w:pPr>
            <w:r>
              <w:rPr>
                <w:rFonts w:eastAsia="仿宋" w:cs="Times New Roman"/>
                <w:b/>
                <w:kern w:val="0"/>
                <w:sz w:val="24"/>
                <w:szCs w:val="24"/>
                <w:highlight w:val="none"/>
              </w:rPr>
              <w:t>牵头部门</w:t>
            </w:r>
          </w:p>
        </w:tc>
        <w:tc>
          <w:tcPr>
            <w:tcW w:w="1444" w:type="dxa"/>
            <w:shd w:val="clear" w:color="auto" w:fill="auto"/>
            <w:vAlign w:val="center"/>
          </w:tcPr>
          <w:p>
            <w:pPr>
              <w:widowControl/>
              <w:spacing w:line="312" w:lineRule="exact"/>
              <w:ind w:firstLine="0" w:firstLineChars="0"/>
              <w:jc w:val="center"/>
              <w:rPr>
                <w:rFonts w:eastAsia="仿宋" w:cs="Times New Roman"/>
                <w:b/>
                <w:kern w:val="0"/>
                <w:sz w:val="24"/>
                <w:szCs w:val="24"/>
                <w:highlight w:val="none"/>
              </w:rPr>
            </w:pPr>
            <w:r>
              <w:rPr>
                <w:rFonts w:eastAsia="仿宋" w:cs="Times New Roman"/>
                <w:b/>
                <w:kern w:val="0"/>
                <w:sz w:val="24"/>
                <w:szCs w:val="24"/>
                <w:highlight w:val="none"/>
              </w:rPr>
              <w:t>参与部门</w:t>
            </w:r>
          </w:p>
        </w:tc>
        <w:tc>
          <w:tcPr>
            <w:tcW w:w="1200" w:type="dxa"/>
            <w:shd w:val="clear" w:color="auto" w:fill="auto"/>
            <w:vAlign w:val="center"/>
          </w:tcPr>
          <w:p>
            <w:pPr>
              <w:widowControl/>
              <w:spacing w:line="312" w:lineRule="exact"/>
              <w:ind w:firstLine="0" w:firstLineChars="0"/>
              <w:jc w:val="center"/>
              <w:rPr>
                <w:rFonts w:eastAsia="仿宋" w:cs="Times New Roman"/>
                <w:b/>
                <w:kern w:val="0"/>
                <w:sz w:val="24"/>
                <w:szCs w:val="24"/>
                <w:highlight w:val="none"/>
              </w:rPr>
            </w:pPr>
            <w:r>
              <w:rPr>
                <w:rFonts w:eastAsia="仿宋" w:cs="Times New Roman"/>
                <w:b/>
                <w:kern w:val="0"/>
                <w:sz w:val="24"/>
                <w:szCs w:val="24"/>
                <w:highlight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1" w:type="dxa"/>
            <w:gridSpan w:val="7"/>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b/>
                <w:bCs/>
                <w:kern w:val="0"/>
                <w:sz w:val="24"/>
                <w:szCs w:val="24"/>
                <w:highlight w:val="none"/>
              </w:rPr>
              <w:t>（一）</w:t>
            </w:r>
            <w:r>
              <w:rPr>
                <w:highlight w:val="none"/>
              </w:rPr>
              <w:fldChar w:fldCharType="begin"/>
            </w:r>
            <w:r>
              <w:rPr>
                <w:highlight w:val="none"/>
              </w:rPr>
              <w:instrText xml:space="preserve"> HYPERLINK \l "_Toc507189662" </w:instrText>
            </w:r>
            <w:r>
              <w:rPr>
                <w:highlight w:val="none"/>
              </w:rPr>
              <w:fldChar w:fldCharType="separate"/>
            </w:r>
            <w:r>
              <w:rPr>
                <w:rFonts w:eastAsia="仿宋" w:cs="Times New Roman"/>
                <w:b/>
                <w:bCs/>
                <w:sz w:val="24"/>
                <w:szCs w:val="24"/>
                <w:highlight w:val="none"/>
              </w:rPr>
              <w:t>深入推进土壤污染防治攻坚行动</w:t>
            </w:r>
            <w:r>
              <w:rPr>
                <w:rFonts w:eastAsia="仿宋" w:cs="Times New Roman"/>
                <w:b/>
                <w:bCs/>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hint="eastAsia" w:eastAsia="仿宋" w:cs="Times New Roman"/>
                <w:sz w:val="24"/>
                <w:szCs w:val="24"/>
                <w:highlight w:val="none"/>
              </w:rPr>
              <w:t>（一）</w:t>
            </w:r>
            <w:r>
              <w:rPr>
                <w:rFonts w:eastAsia="仿宋" w:cs="Times New Roman"/>
                <w:sz w:val="24"/>
                <w:szCs w:val="24"/>
                <w:highlight w:val="none"/>
              </w:rPr>
              <w:t>严格受污染建设用地再开发利用准入管理</w:t>
            </w:r>
          </w:p>
        </w:tc>
        <w:tc>
          <w:tcPr>
            <w:tcW w:w="1180" w:type="dxa"/>
            <w:vMerge w:val="restart"/>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扎实开展土壤污染状况调查评估</w:t>
            </w:r>
          </w:p>
        </w:tc>
        <w:tc>
          <w:tcPr>
            <w:tcW w:w="7449" w:type="dxa"/>
            <w:shd w:val="clear" w:color="auto" w:fill="auto"/>
            <w:vAlign w:val="center"/>
          </w:tcPr>
          <w:p>
            <w:pPr>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以用途变更为住宅、公共管理与公共服务用地的地块为重点，依法开展土壤污染状况调查。</w:t>
            </w:r>
            <w:r>
              <w:rPr>
                <w:rFonts w:hint="eastAsia" w:eastAsia="仿宋" w:cs="Times New Roman"/>
                <w:sz w:val="24"/>
                <w:szCs w:val="24"/>
                <w:highlight w:val="none"/>
              </w:rPr>
              <w:t>调查表明土壤污染可能对人体健康造成风险的，依法依规进一步开展风险评估，确定风险水平是否可接受。</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县规划自然资源局</w:t>
            </w:r>
            <w:r>
              <w:rPr>
                <w:rFonts w:eastAsia="仿宋" w:cs="Times New Roman"/>
                <w:sz w:val="24"/>
                <w:szCs w:val="24"/>
                <w:highlight w:val="none"/>
              </w:rPr>
              <w:t>、</w:t>
            </w:r>
            <w:r>
              <w:rPr>
                <w:rFonts w:hint="eastAsia" w:eastAsia="仿宋" w:cs="Times New Roman"/>
                <w:sz w:val="24"/>
                <w:szCs w:val="24"/>
                <w:highlight w:val="none"/>
                <w:lang w:eastAsia="zh-CN"/>
              </w:rPr>
              <w:t>县住房城乡建委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hint="eastAsia" w:eastAsia="仿宋" w:cs="Times New Roman"/>
                <w:kern w:val="0"/>
                <w:sz w:val="24"/>
                <w:szCs w:val="24"/>
                <w:highlight w:val="none"/>
                <w:lang w:val="en-US" w:eastAsia="zh-CN"/>
              </w:rPr>
              <w:t>2025</w:t>
            </w:r>
            <w:r>
              <w:rPr>
                <w:rFonts w:eastAsia="仿宋" w:cs="Times New Roman"/>
                <w:kern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shd w:val="clear" w:color="auto" w:fill="auto"/>
            <w:vAlign w:val="center"/>
          </w:tcPr>
          <w:p>
            <w:pPr>
              <w:widowControl/>
              <w:spacing w:line="312" w:lineRule="exact"/>
              <w:ind w:firstLine="0" w:firstLineChars="0"/>
              <w:jc w:val="center"/>
              <w:rPr>
                <w:rFonts w:hint="eastAsia" w:eastAsia="仿宋" w:cs="Times New Roman"/>
                <w:sz w:val="24"/>
                <w:szCs w:val="24"/>
                <w:highlight w:val="none"/>
              </w:rPr>
            </w:pPr>
          </w:p>
        </w:tc>
        <w:tc>
          <w:tcPr>
            <w:tcW w:w="1180" w:type="dxa"/>
            <w:vMerge w:val="continue"/>
            <w:shd w:val="clear" w:color="auto" w:fill="auto"/>
            <w:vAlign w:val="center"/>
          </w:tcPr>
          <w:p>
            <w:pPr>
              <w:widowControl/>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spacing w:line="312" w:lineRule="exact"/>
              <w:ind w:firstLine="0" w:firstLineChars="0"/>
              <w:jc w:val="left"/>
              <w:rPr>
                <w:rFonts w:hint="eastAsia" w:eastAsia="仿宋" w:cs="Times New Roman"/>
                <w:sz w:val="24"/>
                <w:szCs w:val="24"/>
                <w:highlight w:val="none"/>
                <w:lang w:eastAsia="zh-CN"/>
              </w:rPr>
            </w:pPr>
            <w:r>
              <w:rPr>
                <w:rFonts w:hint="eastAsia" w:eastAsia="仿宋" w:cs="Times New Roman"/>
                <w:sz w:val="24"/>
                <w:szCs w:val="24"/>
                <w:highlight w:val="none"/>
              </w:rPr>
              <w:t>县规划自然资源部门提出建设用地年度供地计划</w:t>
            </w:r>
            <w:r>
              <w:rPr>
                <w:rFonts w:hint="eastAsia" w:eastAsia="仿宋" w:cs="Times New Roman"/>
                <w:sz w:val="24"/>
                <w:szCs w:val="24"/>
                <w:highlight w:val="none"/>
                <w:lang w:eastAsia="zh-CN"/>
              </w:rPr>
              <w:t>。</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县规划自然资源局</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hint="eastAsia" w:eastAsia="仿宋" w:cs="Times New Roman"/>
                <w:kern w:val="0"/>
                <w:sz w:val="24"/>
                <w:szCs w:val="24"/>
                <w:highlight w:val="none"/>
                <w:lang w:val="en-US" w:eastAsia="zh-CN"/>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shd w:val="clear" w:color="auto" w:fill="auto"/>
            <w:vAlign w:val="center"/>
          </w:tcPr>
          <w:p>
            <w:pPr>
              <w:widowControl/>
              <w:spacing w:line="312" w:lineRule="exact"/>
              <w:ind w:firstLine="0" w:firstLineChars="0"/>
              <w:jc w:val="center"/>
              <w:rPr>
                <w:rFonts w:hint="eastAsia" w:eastAsia="仿宋" w:cs="Times New Roman"/>
                <w:sz w:val="24"/>
                <w:szCs w:val="24"/>
                <w:highlight w:val="none"/>
              </w:rPr>
            </w:pPr>
          </w:p>
        </w:tc>
        <w:tc>
          <w:tcPr>
            <w:tcW w:w="1180" w:type="dxa"/>
            <w:vMerge w:val="continue"/>
            <w:shd w:val="clear" w:color="auto" w:fill="auto"/>
            <w:vAlign w:val="center"/>
          </w:tcPr>
          <w:p>
            <w:pPr>
              <w:widowControl/>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spacing w:line="312" w:lineRule="exact"/>
              <w:ind w:firstLine="0" w:firstLineChars="0"/>
              <w:jc w:val="left"/>
              <w:rPr>
                <w:rFonts w:hint="eastAsia" w:eastAsia="仿宋" w:cs="Times New Roman"/>
                <w:sz w:val="24"/>
                <w:szCs w:val="24"/>
                <w:highlight w:val="none"/>
              </w:rPr>
            </w:pPr>
            <w:r>
              <w:rPr>
                <w:rFonts w:hint="eastAsia" w:eastAsia="仿宋" w:cs="Times New Roman"/>
                <w:sz w:val="24"/>
                <w:szCs w:val="24"/>
                <w:highlight w:val="none"/>
              </w:rPr>
              <w:t>县生态环境部门指导土地使用权人或土壤污染责任人及时开展调查评估，保障重点项目建设用地需求。</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县规划自然资源局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shd w:val="clear" w:color="auto" w:fill="auto"/>
            <w:vAlign w:val="center"/>
          </w:tcPr>
          <w:p>
            <w:pPr>
              <w:widowControl/>
              <w:spacing w:line="312" w:lineRule="exact"/>
              <w:ind w:firstLine="0" w:firstLineChars="0"/>
              <w:jc w:val="center"/>
              <w:rPr>
                <w:rFonts w:hint="eastAsia" w:eastAsia="仿宋" w:cs="Times New Roman"/>
                <w:sz w:val="24"/>
                <w:szCs w:val="24"/>
                <w:highlight w:val="none"/>
              </w:rPr>
            </w:pPr>
          </w:p>
        </w:tc>
        <w:tc>
          <w:tcPr>
            <w:tcW w:w="1180" w:type="dxa"/>
            <w:vMerge w:val="continue"/>
            <w:shd w:val="clear" w:color="auto" w:fill="auto"/>
            <w:vAlign w:val="center"/>
          </w:tcPr>
          <w:p>
            <w:pPr>
              <w:widowControl/>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spacing w:line="312" w:lineRule="exact"/>
              <w:ind w:firstLine="0" w:firstLineChars="0"/>
              <w:jc w:val="left"/>
              <w:rPr>
                <w:rFonts w:hint="eastAsia" w:eastAsia="仿宋" w:cs="Times New Roman"/>
                <w:sz w:val="24"/>
                <w:szCs w:val="24"/>
                <w:highlight w:val="none"/>
              </w:rPr>
            </w:pPr>
            <w:r>
              <w:rPr>
                <w:rFonts w:eastAsia="仿宋" w:cs="Times New Roman"/>
                <w:sz w:val="24"/>
                <w:szCs w:val="24"/>
                <w:highlight w:val="none"/>
              </w:rPr>
              <w:t>开展关停搬迁企业地块污染状况排查，实施污染土壤污染状况调查与风险评估，建立潜在污染场地清单，落实监管措施。</w:t>
            </w:r>
            <w:r>
              <w:rPr>
                <w:rFonts w:hint="eastAsia" w:eastAsia="仿宋" w:cs="Times New Roman"/>
                <w:sz w:val="24"/>
                <w:szCs w:val="24"/>
                <w:highlight w:val="none"/>
                <w:lang w:val="en-US" w:eastAsia="zh-CN"/>
              </w:rPr>
              <w:t>到</w:t>
            </w:r>
            <w:r>
              <w:rPr>
                <w:rFonts w:hint="eastAsia" w:eastAsia="仿宋" w:cs="Times New Roman"/>
                <w:sz w:val="24"/>
                <w:szCs w:val="24"/>
                <w:highlight w:val="none"/>
              </w:rPr>
              <w:t>202</w:t>
            </w:r>
            <w:r>
              <w:rPr>
                <w:rFonts w:hint="eastAsia" w:eastAsia="仿宋" w:cs="Times New Roman"/>
                <w:sz w:val="24"/>
                <w:szCs w:val="24"/>
                <w:highlight w:val="none"/>
                <w:lang w:val="en-US" w:eastAsia="zh-CN"/>
              </w:rPr>
              <w:t>5</w:t>
            </w:r>
            <w:r>
              <w:rPr>
                <w:rFonts w:hint="eastAsia" w:eastAsia="仿宋" w:cs="Times New Roman"/>
                <w:sz w:val="24"/>
                <w:szCs w:val="24"/>
                <w:highlight w:val="none"/>
              </w:rPr>
              <w:t>年，完成</w:t>
            </w:r>
            <w:r>
              <w:rPr>
                <w:rFonts w:eastAsia="仿宋" w:cs="Times New Roman"/>
                <w:sz w:val="24"/>
                <w:szCs w:val="24"/>
                <w:highlight w:val="none"/>
              </w:rPr>
              <w:t>重庆市城口县百步梯锰业有限公司</w:t>
            </w:r>
            <w:r>
              <w:rPr>
                <w:rFonts w:hint="eastAsia" w:eastAsia="仿宋" w:cs="Times New Roman"/>
                <w:sz w:val="24"/>
                <w:szCs w:val="24"/>
                <w:highlight w:val="none"/>
              </w:rPr>
              <w:t>地块土壤污染状况调查及风险评估</w:t>
            </w:r>
            <w:r>
              <w:rPr>
                <w:rFonts w:eastAsia="仿宋" w:cs="Times New Roman"/>
                <w:sz w:val="24"/>
                <w:szCs w:val="24"/>
                <w:highlight w:val="none"/>
              </w:rPr>
              <w:t>。</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县规划自然资源局</w:t>
            </w:r>
          </w:p>
        </w:tc>
        <w:tc>
          <w:tcPr>
            <w:tcW w:w="1200" w:type="dxa"/>
            <w:shd w:val="clear" w:color="auto" w:fill="auto"/>
            <w:vAlign w:val="center"/>
          </w:tcPr>
          <w:p>
            <w:pPr>
              <w:widowControl/>
              <w:spacing w:line="312" w:lineRule="exact"/>
              <w:ind w:firstLine="0" w:firstLineChars="0"/>
              <w:jc w:val="center"/>
              <w:rPr>
                <w:rFonts w:hint="eastAsia" w:eastAsia="仿宋" w:cs="Times New Roman"/>
                <w:kern w:val="0"/>
                <w:sz w:val="24"/>
                <w:szCs w:val="24"/>
                <w:highlight w:val="none"/>
                <w:lang w:val="en-US" w:eastAsia="zh-CN"/>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严格落实污染地块再开发管控要求</w:t>
            </w:r>
          </w:p>
        </w:tc>
        <w:tc>
          <w:tcPr>
            <w:tcW w:w="7449" w:type="dxa"/>
            <w:shd w:val="clear" w:color="auto" w:fill="auto"/>
            <w:vAlign w:val="center"/>
          </w:tcPr>
          <w:p>
            <w:pPr>
              <w:spacing w:line="312" w:lineRule="exact"/>
              <w:ind w:firstLine="0" w:firstLineChars="0"/>
              <w:jc w:val="left"/>
              <w:rPr>
                <w:rFonts w:eastAsia="仿宋" w:cs="Times New Roman"/>
                <w:sz w:val="24"/>
                <w:szCs w:val="24"/>
                <w:highlight w:val="none"/>
              </w:rPr>
            </w:pPr>
            <w:r>
              <w:rPr>
                <w:rFonts w:hint="eastAsia" w:eastAsia="仿宋" w:cs="Times New Roman"/>
                <w:sz w:val="24"/>
                <w:szCs w:val="24"/>
                <w:highlight w:val="none"/>
              </w:rPr>
              <w:t>应当开展土壤污染状况调查评估而未开展或尚未完成的地块，以及未达到风险管控、修复目标的地块，不得开工建设与风险管控、修复无关的项目。加强“一住两公”重点建设用地管理，在办理土地征收、收回、收购、土地供应、用途变更以及核发用地或工程规划许可证前，落实地块是否依法开展土壤污染状况调查评估工作，对未开展的要督促开展。对列入建设用地土壤污染风险管控和修复名录的地块，未治理修复并达到土壤环境质量要求之前，县规划自然资源部门不得作为住宅、公共管理与公共服务用地供应；对已经规划为“一住两公”的，未修复达到土壤环境质量要求之前，不得办理土地征收、收回、收购、土地供应以及核发用地或工程规划许可证等手续。及时梳理已核发建设工程规划许可证的情况，督促违规开发利用地块完成整改</w:t>
            </w:r>
            <w:r>
              <w:rPr>
                <w:rFonts w:eastAsia="仿宋" w:cs="Times New Roman"/>
                <w:sz w:val="24"/>
                <w:szCs w:val="24"/>
                <w:highlight w:val="none"/>
              </w:rPr>
              <w:t>。</w:t>
            </w:r>
            <w:r>
              <w:rPr>
                <w:rFonts w:hint="eastAsia" w:eastAsia="仿宋" w:cs="Times New Roman"/>
                <w:sz w:val="24"/>
                <w:szCs w:val="24"/>
                <w:highlight w:val="none"/>
              </w:rPr>
              <w:t xml:space="preserve"> </w:t>
            </w:r>
          </w:p>
        </w:tc>
        <w:tc>
          <w:tcPr>
            <w:tcW w:w="1321" w:type="dxa"/>
            <w:shd w:val="clear" w:color="auto" w:fill="auto"/>
            <w:vAlign w:val="center"/>
          </w:tcPr>
          <w:p>
            <w:pPr>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县生态环境局</w:t>
            </w:r>
          </w:p>
        </w:tc>
        <w:tc>
          <w:tcPr>
            <w:tcW w:w="1444" w:type="dxa"/>
            <w:shd w:val="clear" w:color="auto" w:fill="auto"/>
            <w:vAlign w:val="center"/>
          </w:tcPr>
          <w:p>
            <w:pPr>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县规划自然资源局</w:t>
            </w:r>
            <w:r>
              <w:rPr>
                <w:rFonts w:eastAsia="仿宋" w:cs="Times New Roman"/>
                <w:sz w:val="24"/>
                <w:szCs w:val="24"/>
                <w:highlight w:val="none"/>
              </w:rPr>
              <w:t>、</w:t>
            </w:r>
            <w:r>
              <w:rPr>
                <w:rFonts w:hint="eastAsia" w:eastAsia="仿宋" w:cs="Times New Roman"/>
                <w:sz w:val="24"/>
                <w:szCs w:val="24"/>
                <w:highlight w:val="none"/>
                <w:lang w:eastAsia="zh-CN"/>
              </w:rPr>
              <w:t>县住房城乡建委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restart"/>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强化风险管控与治理修复过程监管</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以用途变更为</w:t>
            </w:r>
            <w:r>
              <w:rPr>
                <w:rFonts w:hint="eastAsia" w:eastAsia="仿宋" w:cs="Times New Roman"/>
                <w:sz w:val="24"/>
                <w:szCs w:val="24"/>
                <w:highlight w:val="none"/>
              </w:rPr>
              <w:t>“一住两公”</w:t>
            </w:r>
            <w:r>
              <w:rPr>
                <w:rFonts w:eastAsia="仿宋" w:cs="Times New Roman"/>
                <w:sz w:val="24"/>
                <w:szCs w:val="24"/>
                <w:highlight w:val="none"/>
              </w:rPr>
              <w:t>的地块为重点，依法开展风险管控和治理修复。协同进行地下水、大气环境污染和固体废物污染治理。对暂不开发利用的疑似污染地块，实施土壤污染风险管控，防止污染扩散。</w:t>
            </w:r>
            <w:r>
              <w:rPr>
                <w:rFonts w:hint="eastAsia" w:eastAsia="仿宋" w:cs="Times New Roman"/>
                <w:sz w:val="24"/>
                <w:szCs w:val="24"/>
                <w:highlight w:val="none"/>
              </w:rPr>
              <w:t>坚持污染土壤转运联单制度，防止转运污染土壤非法处置。</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县住房城乡建委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continue"/>
            <w:vAlign w:val="center"/>
          </w:tcPr>
          <w:p>
            <w:pPr>
              <w:widowControl/>
              <w:spacing w:line="312" w:lineRule="exact"/>
              <w:ind w:firstLine="0" w:firstLineChars="0"/>
              <w:jc w:val="center"/>
              <w:rPr>
                <w:rFonts w:hint="eastAsia" w:eastAsia="仿宋" w:cs="Times New Roman"/>
                <w:sz w:val="24"/>
                <w:szCs w:val="24"/>
                <w:highlight w:val="none"/>
              </w:rPr>
            </w:pPr>
          </w:p>
        </w:tc>
        <w:tc>
          <w:tcPr>
            <w:tcW w:w="7449" w:type="dxa"/>
            <w:shd w:val="clear" w:color="auto" w:fill="auto"/>
            <w:vAlign w:val="center"/>
          </w:tcPr>
          <w:p>
            <w:pPr>
              <w:widowControl/>
              <w:spacing w:line="312" w:lineRule="exact"/>
              <w:ind w:firstLine="0" w:firstLineChars="0"/>
              <w:jc w:val="left"/>
              <w:rPr>
                <w:rFonts w:hint="eastAsia" w:eastAsia="仿宋" w:cs="Times New Roman"/>
                <w:sz w:val="24"/>
                <w:szCs w:val="24"/>
                <w:highlight w:val="none"/>
              </w:rPr>
            </w:pPr>
            <w:r>
              <w:rPr>
                <w:rFonts w:hint="eastAsia" w:eastAsia="仿宋" w:cs="Times New Roman"/>
                <w:sz w:val="24"/>
                <w:szCs w:val="24"/>
                <w:highlight w:val="none"/>
              </w:rPr>
              <w:t>严格效果评估，确保实现土壤污染风险管控与修复目标后方可开工建设。针对完成风险管控和治理修复的锰、钡矿以及垃圾填埋场等重点行业企业用地，强化再开发利用过程中的土壤污染应急预案，一旦发现土壤污染问题应及时报告并停止施工。针对采取风险管控措施的地块，通过跟踪监测和现场检查等方式，强化后期管理。</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县住房城乡建委、县规划自然资源局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restart"/>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强化信息共享和联动监管</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县生态环境部门会同县自然资源、县住房城乡建设等部门</w:t>
            </w:r>
            <w:r>
              <w:rPr>
                <w:rFonts w:hint="eastAsia" w:eastAsia="仿宋" w:cs="Times New Roman"/>
                <w:sz w:val="24"/>
                <w:szCs w:val="24"/>
                <w:highlight w:val="none"/>
              </w:rPr>
              <w:t>，</w:t>
            </w:r>
            <w:r>
              <w:rPr>
                <w:rFonts w:eastAsia="仿宋" w:cs="Times New Roman"/>
                <w:sz w:val="24"/>
                <w:szCs w:val="24"/>
                <w:highlight w:val="none"/>
              </w:rPr>
              <w:t>建立污染地块数据库及信息平台，共享疑似污染地块及污染地块空间信息。</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县住房城乡建委、</w:t>
            </w:r>
            <w:r>
              <w:rPr>
                <w:rFonts w:hint="eastAsia" w:eastAsia="仿宋" w:cs="Times New Roman"/>
                <w:sz w:val="24"/>
                <w:szCs w:val="24"/>
                <w:highlight w:val="none"/>
                <w:lang w:val="en-US" w:eastAsia="zh-CN"/>
              </w:rPr>
              <w:t>县规划自然资源局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continue"/>
            <w:shd w:val="clear" w:color="auto" w:fill="auto"/>
            <w:vAlign w:val="center"/>
          </w:tcPr>
          <w:p>
            <w:pPr>
              <w:widowControl/>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widowControl/>
              <w:spacing w:line="312" w:lineRule="exact"/>
              <w:ind w:firstLine="0" w:firstLineChars="0"/>
              <w:jc w:val="left"/>
              <w:rPr>
                <w:rFonts w:hint="eastAsia" w:eastAsia="仿宋" w:cs="Times New Roman"/>
                <w:sz w:val="24"/>
                <w:szCs w:val="24"/>
                <w:highlight w:val="none"/>
              </w:rPr>
            </w:pPr>
            <w:r>
              <w:rPr>
                <w:rFonts w:hint="eastAsia" w:eastAsia="仿宋" w:cs="Times New Roman"/>
                <w:sz w:val="24"/>
                <w:szCs w:val="24"/>
                <w:highlight w:val="none"/>
              </w:rPr>
              <w:t>县自然资源部门及时与县生态环境部门共享用途变更为“一住两公”的地块信息，土壤污染重点监管单位生产经营用地用途变更或土地使用权收回、转让信息，涉及疑似污染地块、污染地块国土空间规划等相关信息。明确各部门牵头负责的技术单位，统一空间信息文件的格式要求，将地块空间信息叠加至国土空间规划。推动利用卫星遥感、无人机、视频监控等手段开展非现场检查。</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rPr>
            </w:pPr>
            <w:r>
              <w:rPr>
                <w:rFonts w:hint="eastAsia" w:eastAsia="仿宋" w:cs="Times New Roman"/>
                <w:sz w:val="24"/>
                <w:szCs w:val="24"/>
                <w:highlight w:val="none"/>
                <w:lang w:val="en-US" w:eastAsia="zh-CN"/>
              </w:rPr>
              <w:t>县规划自然资源局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rPr>
              <w:t>县生态环境局</w:t>
            </w:r>
            <w:r>
              <w:rPr>
                <w:rFonts w:hint="eastAsia" w:eastAsia="仿宋" w:cs="Times New Roman"/>
                <w:sz w:val="24"/>
                <w:szCs w:val="24"/>
                <w:highlight w:val="none"/>
                <w:lang w:eastAsia="zh-CN"/>
              </w:rPr>
              <w:t>、县住房城乡建委</w:t>
            </w:r>
          </w:p>
        </w:tc>
        <w:tc>
          <w:tcPr>
            <w:tcW w:w="1200"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rPr>
            </w:pPr>
            <w:r>
              <w:rPr>
                <w:rFonts w:hint="eastAsia" w:eastAsia="仿宋" w:cs="Times New Roman"/>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（二）</w:t>
            </w:r>
            <w:r>
              <w:rPr>
                <w:rFonts w:eastAsia="仿宋" w:cs="Times New Roman"/>
                <w:sz w:val="24"/>
                <w:szCs w:val="24"/>
                <w:highlight w:val="none"/>
              </w:rPr>
              <w:t>巩固提升</w:t>
            </w:r>
            <w:r>
              <w:rPr>
                <w:rFonts w:hint="eastAsia" w:eastAsia="仿宋" w:cs="Times New Roman"/>
                <w:sz w:val="24"/>
                <w:szCs w:val="24"/>
                <w:highlight w:val="none"/>
              </w:rPr>
              <w:t>农用地</w:t>
            </w:r>
            <w:r>
              <w:rPr>
                <w:rFonts w:eastAsia="仿宋" w:cs="Times New Roman"/>
                <w:sz w:val="24"/>
                <w:szCs w:val="24"/>
                <w:highlight w:val="none"/>
              </w:rPr>
              <w:t>分类管理水平</w:t>
            </w:r>
          </w:p>
        </w:tc>
        <w:tc>
          <w:tcPr>
            <w:tcW w:w="1180" w:type="dxa"/>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动态调整耕地土壤环境质量类别</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根据土壤环境质量例行监测、农用地重点地块监测、农产品检测、治理修复效果评估等成果，动态调整土壤环境质量类别，并将清单上传全国土壤环境信息平台。</w:t>
            </w:r>
            <w:r>
              <w:rPr>
                <w:rFonts w:hint="eastAsia" w:eastAsia="仿宋" w:cs="Times New Roman"/>
                <w:sz w:val="24"/>
                <w:szCs w:val="24"/>
                <w:highlight w:val="none"/>
              </w:rPr>
              <w:t>编制耕地土壤环境质量类别调整技术报告，更新耕地土壤环境质量类别分类清单和图件，按要求上报有关部门。</w:t>
            </w:r>
            <w:r>
              <w:rPr>
                <w:rFonts w:eastAsia="仿宋" w:cs="Times New Roman"/>
                <w:sz w:val="24"/>
                <w:szCs w:val="24"/>
                <w:highlight w:val="none"/>
              </w:rPr>
              <w:t>禁止曾用于生产、使用、贮存、回收、处置有毒有害物质的工矿用地复垦为食用农产品耕地。</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rPr>
              <w:t>县生态环境局、</w:t>
            </w:r>
            <w:r>
              <w:rPr>
                <w:rFonts w:hint="eastAsia" w:eastAsia="仿宋" w:cs="Times New Roman"/>
                <w:sz w:val="24"/>
                <w:szCs w:val="24"/>
                <w:highlight w:val="none"/>
                <w:lang w:eastAsia="zh-CN"/>
              </w:rPr>
              <w:t>县规划自然资源局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1180" w:type="dxa"/>
            <w:vMerge w:val="restart"/>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加大优先保护类耕地</w:t>
            </w:r>
            <w:r>
              <w:rPr>
                <w:rFonts w:eastAsia="仿宋" w:cs="Times New Roman"/>
                <w:sz w:val="24"/>
                <w:szCs w:val="24"/>
                <w:highlight w:val="none"/>
              </w:rPr>
              <w:t>保护力度</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严格落实耕地保护目标和永久基本农田保护任务，强化国土空间规划和用途管控，</w:t>
            </w:r>
            <w:r>
              <w:rPr>
                <w:rFonts w:hint="eastAsia" w:eastAsia="仿宋" w:cs="Times New Roman"/>
                <w:sz w:val="24"/>
                <w:szCs w:val="24"/>
                <w:highlight w:val="none"/>
              </w:rPr>
              <w:t>实施永久基本农田集中区域划区定界。</w:t>
            </w:r>
            <w:r>
              <w:rPr>
                <w:rFonts w:eastAsia="仿宋" w:cs="Times New Roman"/>
                <w:sz w:val="24"/>
                <w:szCs w:val="24"/>
                <w:highlight w:val="none"/>
              </w:rPr>
              <w:t>在永久基本农田集中区域，</w:t>
            </w:r>
            <w:r>
              <w:rPr>
                <w:rFonts w:hint="eastAsia" w:eastAsia="仿宋" w:cs="Times New Roman"/>
                <w:sz w:val="24"/>
                <w:szCs w:val="24"/>
                <w:highlight w:val="none"/>
              </w:rPr>
              <w:t>除法律规定的重点建设项目选址无法避让外，</w:t>
            </w:r>
            <w:r>
              <w:rPr>
                <w:rFonts w:eastAsia="仿宋" w:cs="Times New Roman"/>
                <w:sz w:val="24"/>
                <w:szCs w:val="24"/>
                <w:highlight w:val="none"/>
              </w:rPr>
              <w:t>不得规划新建可能造成土壤污染的建设项目。</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县规划自然资源局</w:t>
            </w:r>
            <w:r>
              <w:rPr>
                <w:rFonts w:eastAsia="仿宋" w:cs="Times New Roman"/>
                <w:sz w:val="24"/>
                <w:szCs w:val="24"/>
                <w:highlight w:val="none"/>
              </w:rPr>
              <w:t>、</w:t>
            </w:r>
            <w:r>
              <w:rPr>
                <w:rFonts w:hint="eastAsia" w:eastAsia="仿宋" w:cs="Times New Roman"/>
                <w:sz w:val="24"/>
                <w:szCs w:val="24"/>
                <w:highlight w:val="none"/>
                <w:lang w:eastAsia="zh-CN"/>
              </w:rPr>
              <w:t>县农业农村委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1180" w:type="dxa"/>
            <w:vMerge w:val="continue"/>
            <w:vAlign w:val="center"/>
          </w:tcPr>
          <w:p>
            <w:pPr>
              <w:widowControl/>
              <w:spacing w:line="312" w:lineRule="exact"/>
              <w:ind w:firstLine="0" w:firstLineChars="0"/>
              <w:jc w:val="center"/>
              <w:rPr>
                <w:rFonts w:hint="eastAsia" w:eastAsia="仿宋" w:cs="Times New Roman"/>
                <w:sz w:val="24"/>
                <w:szCs w:val="24"/>
                <w:highlight w:val="none"/>
              </w:rPr>
            </w:pP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加大优先保护类耕地保护力度，确保其面积不减少、土壤环境质量不下降。以永久基本农田保护区、粮食生产功能区、重要农产品生产保护区为重点，逐步推进农田宜机化改造，加快高标准农田建设，202</w:t>
            </w:r>
            <w:r>
              <w:rPr>
                <w:rFonts w:hint="eastAsia" w:eastAsia="仿宋" w:cs="Times New Roman"/>
                <w:sz w:val="24"/>
                <w:szCs w:val="24"/>
                <w:highlight w:val="none"/>
                <w:lang w:val="en-US" w:eastAsia="zh-CN"/>
              </w:rPr>
              <w:t>2</w:t>
            </w:r>
            <w:r>
              <w:rPr>
                <w:rFonts w:eastAsia="仿宋" w:cs="Times New Roman"/>
                <w:sz w:val="24"/>
                <w:szCs w:val="24"/>
                <w:highlight w:val="none"/>
              </w:rPr>
              <w:t>年底前，完成建设</w:t>
            </w:r>
            <w:r>
              <w:rPr>
                <w:rFonts w:hint="eastAsia" w:eastAsia="仿宋" w:cs="Times New Roman"/>
                <w:sz w:val="24"/>
                <w:szCs w:val="24"/>
                <w:highlight w:val="none"/>
                <w:lang w:val="en-US" w:eastAsia="zh-CN"/>
              </w:rPr>
              <w:t>0.5万</w:t>
            </w:r>
            <w:r>
              <w:rPr>
                <w:rFonts w:eastAsia="仿宋" w:cs="Times New Roman"/>
                <w:sz w:val="24"/>
                <w:szCs w:val="24"/>
                <w:highlight w:val="none"/>
              </w:rPr>
              <w:t>亩高标准农田。加强农业投入品质量监管，从严查处向农田施用不达标肥料等农业投入品的行为。</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县规划自然资源局</w:t>
            </w: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w:t>
            </w:r>
            <w:r>
              <w:rPr>
                <w:rFonts w:hint="eastAsia" w:eastAsia="仿宋" w:cs="Times New Roman"/>
                <w:kern w:val="0"/>
                <w:sz w:val="24"/>
                <w:szCs w:val="24"/>
                <w:highlight w:val="none"/>
                <w:lang w:val="en-US" w:eastAsia="zh-CN"/>
              </w:rPr>
              <w:t>2</w:t>
            </w:r>
            <w:r>
              <w:rPr>
                <w:rFonts w:eastAsia="仿宋" w:cs="Times New Roman"/>
                <w:kern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Align w:val="center"/>
          </w:tcPr>
          <w:p>
            <w:pPr>
              <w:widowControl/>
              <w:spacing w:line="312" w:lineRule="exact"/>
              <w:ind w:firstLine="0" w:firstLineChars="0"/>
              <w:jc w:val="center"/>
              <w:rPr>
                <w:rFonts w:hint="eastAsia" w:eastAsia="仿宋" w:cs="Times New Roman"/>
                <w:sz w:val="24"/>
                <w:szCs w:val="24"/>
                <w:highlight w:val="none"/>
              </w:rPr>
            </w:pPr>
            <w:r>
              <w:rPr>
                <w:rFonts w:hint="eastAsia" w:eastAsia="仿宋" w:cs="Times New Roman"/>
                <w:sz w:val="24"/>
                <w:szCs w:val="24"/>
                <w:highlight w:val="none"/>
              </w:rPr>
              <w:t>提升安全利用类耕地</w:t>
            </w:r>
            <w:r>
              <w:rPr>
                <w:rFonts w:eastAsia="仿宋" w:cs="Times New Roman"/>
                <w:sz w:val="24"/>
                <w:szCs w:val="24"/>
                <w:highlight w:val="none"/>
              </w:rPr>
              <w:t>安全利用</w:t>
            </w:r>
            <w:r>
              <w:rPr>
                <w:rFonts w:hint="eastAsia" w:eastAsia="仿宋" w:cs="Times New Roman"/>
                <w:sz w:val="24"/>
                <w:szCs w:val="24"/>
                <w:highlight w:val="none"/>
              </w:rPr>
              <w:t>水平</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巩固前期安全利用工作成效，持续推进受污染耕地安全利用，通过实施测土配方施肥技术、生理阻隔、土壤调理等措施，结合大巴山现代农业综合示范园区建设，制定实施受污染耕地安全利用方案，</w:t>
            </w:r>
            <w:r>
              <w:rPr>
                <w:rFonts w:hint="eastAsia" w:eastAsia="仿宋" w:cs="Times New Roman"/>
                <w:sz w:val="24"/>
                <w:szCs w:val="24"/>
                <w:highlight w:val="none"/>
              </w:rPr>
              <w:t>落实低积累品种替代、水分调控、叶面调控、优化施肥、土壤调理、酸碱度调控等安全利用措施。建设城口县受污染耕地安全利用示范区（片），2025年底前，受污染耕地安全利用示范区（片）面积不低于全县安全利用类耕地面积的10%。</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restart"/>
            <w:vAlign w:val="center"/>
          </w:tcPr>
          <w:p>
            <w:pPr>
              <w:widowControl/>
              <w:spacing w:line="312" w:lineRule="exact"/>
              <w:ind w:firstLine="0" w:firstLineChars="0"/>
              <w:jc w:val="center"/>
              <w:rPr>
                <w:rFonts w:hint="eastAsia" w:eastAsia="仿宋" w:cs="Times New Roman"/>
                <w:sz w:val="24"/>
                <w:szCs w:val="24"/>
                <w:highlight w:val="none"/>
              </w:rPr>
            </w:pPr>
            <w:r>
              <w:rPr>
                <w:rFonts w:hint="eastAsia" w:eastAsia="仿宋" w:cs="Times New Roman"/>
                <w:sz w:val="24"/>
                <w:szCs w:val="24"/>
                <w:highlight w:val="none"/>
              </w:rPr>
              <w:t>强化严格管控类耕地</w:t>
            </w:r>
            <w:r>
              <w:rPr>
                <w:rFonts w:eastAsia="仿宋" w:cs="Times New Roman"/>
                <w:sz w:val="24"/>
                <w:szCs w:val="24"/>
                <w:highlight w:val="none"/>
              </w:rPr>
              <w:t>管控措施</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hint="eastAsia" w:eastAsia="仿宋" w:cs="Times New Roman"/>
                <w:sz w:val="24"/>
                <w:szCs w:val="24"/>
                <w:highlight w:val="none"/>
                <w:lang w:val="en-US" w:eastAsia="zh-CN"/>
              </w:rPr>
              <w:t>加强</w:t>
            </w:r>
            <w:r>
              <w:rPr>
                <w:rFonts w:hint="eastAsia" w:eastAsia="仿宋" w:cs="Times New Roman"/>
                <w:sz w:val="24"/>
                <w:szCs w:val="24"/>
                <w:highlight w:val="none"/>
              </w:rPr>
              <w:t>严格管控类耕地</w:t>
            </w:r>
            <w:r>
              <w:rPr>
                <w:rFonts w:hint="eastAsia" w:eastAsia="仿宋" w:cs="Times New Roman"/>
                <w:sz w:val="24"/>
                <w:szCs w:val="24"/>
                <w:highlight w:val="none"/>
                <w:lang w:val="en-US" w:eastAsia="zh-CN"/>
              </w:rPr>
              <w:t>管理</w:t>
            </w:r>
            <w:r>
              <w:rPr>
                <w:rFonts w:hint="eastAsia" w:eastAsia="仿宋" w:cs="Times New Roman"/>
                <w:sz w:val="24"/>
                <w:szCs w:val="24"/>
                <w:highlight w:val="none"/>
              </w:rPr>
              <w:t>，开展土壤和农产品协同监测与评价，</w:t>
            </w:r>
            <w:r>
              <w:rPr>
                <w:rFonts w:hint="eastAsia" w:eastAsia="仿宋" w:cs="Times New Roman"/>
                <w:sz w:val="24"/>
                <w:szCs w:val="24"/>
                <w:highlight w:val="none"/>
                <w:lang w:val="en-US" w:eastAsia="zh-CN"/>
              </w:rPr>
              <w:t>科学划定农用耕地严格管控区域</w:t>
            </w:r>
            <w:r>
              <w:rPr>
                <w:rFonts w:hint="eastAsia" w:eastAsia="仿宋" w:cs="Times New Roman"/>
                <w:sz w:val="24"/>
                <w:szCs w:val="24"/>
                <w:highlight w:val="none"/>
              </w:rPr>
              <w:t>。因地制宜采取严格管控类耕地种植结构调整（推广种植花卉苗木、麻、蚕桑等经济作物，以及经过安全评估的特色水果、油料作物、饲用作物等农作物）或者退耕还林还草等措施</w:t>
            </w:r>
            <w:r>
              <w:rPr>
                <w:rFonts w:eastAsia="仿宋" w:cs="Times New Roman"/>
                <w:sz w:val="24"/>
                <w:szCs w:val="24"/>
                <w:highlight w:val="none"/>
              </w:rPr>
              <w:t>，</w:t>
            </w:r>
            <w:r>
              <w:rPr>
                <w:rFonts w:hint="eastAsia" w:eastAsia="仿宋" w:cs="Times New Roman"/>
                <w:sz w:val="24"/>
                <w:szCs w:val="24"/>
                <w:highlight w:val="none"/>
              </w:rPr>
              <w:t>加强严格管控区</w:t>
            </w:r>
            <w:r>
              <w:rPr>
                <w:rFonts w:hint="eastAsia" w:eastAsia="仿宋" w:cs="Times New Roman"/>
                <w:sz w:val="24"/>
                <w:szCs w:val="24"/>
                <w:highlight w:val="none"/>
                <w:lang w:val="en-US" w:eastAsia="zh-CN"/>
              </w:rPr>
              <w:t>农</w:t>
            </w:r>
            <w:r>
              <w:rPr>
                <w:rFonts w:hint="eastAsia" w:eastAsia="仿宋" w:cs="Times New Roman"/>
                <w:sz w:val="24"/>
                <w:szCs w:val="24"/>
                <w:highlight w:val="none"/>
              </w:rPr>
              <w:t>作物检测监管</w:t>
            </w:r>
            <w:r>
              <w:rPr>
                <w:rFonts w:hint="eastAsia" w:eastAsia="仿宋" w:cs="Times New Roman"/>
                <w:sz w:val="24"/>
                <w:szCs w:val="24"/>
                <w:highlight w:val="none"/>
                <w:lang w:eastAsia="zh-CN"/>
              </w:rPr>
              <w:t>。</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县规划自然资源局</w:t>
            </w: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continue"/>
            <w:vAlign w:val="center"/>
          </w:tcPr>
          <w:p>
            <w:pPr>
              <w:widowControl/>
              <w:spacing w:line="312" w:lineRule="exact"/>
              <w:ind w:firstLine="0" w:firstLineChars="0"/>
              <w:jc w:val="center"/>
              <w:rPr>
                <w:rFonts w:hint="eastAsia" w:eastAsia="仿宋" w:cs="Times New Roman"/>
                <w:sz w:val="24"/>
                <w:szCs w:val="24"/>
                <w:highlight w:val="none"/>
              </w:rPr>
            </w:pPr>
          </w:p>
        </w:tc>
        <w:tc>
          <w:tcPr>
            <w:tcW w:w="7449" w:type="dxa"/>
            <w:shd w:val="clear" w:color="auto" w:fill="auto"/>
            <w:vAlign w:val="center"/>
          </w:tcPr>
          <w:p>
            <w:pPr>
              <w:widowControl/>
              <w:spacing w:line="312" w:lineRule="exact"/>
              <w:ind w:firstLine="0" w:firstLineChars="0"/>
              <w:jc w:val="left"/>
              <w:rPr>
                <w:rFonts w:hint="eastAsia" w:cs="Times New Roman"/>
                <w:highlight w:val="none"/>
                <w:lang w:val="en-US" w:eastAsia="zh-CN"/>
              </w:rPr>
            </w:pPr>
            <w:r>
              <w:rPr>
                <w:rFonts w:hint="eastAsia" w:eastAsia="仿宋" w:cs="Times New Roman"/>
                <w:sz w:val="24"/>
                <w:szCs w:val="24"/>
                <w:highlight w:val="none"/>
                <w:lang w:val="en-US" w:eastAsia="zh-CN"/>
              </w:rPr>
              <w:t>强化</w:t>
            </w:r>
            <w:r>
              <w:rPr>
                <w:rFonts w:hint="eastAsia" w:eastAsia="仿宋" w:cs="Times New Roman"/>
                <w:sz w:val="24"/>
                <w:szCs w:val="24"/>
                <w:highlight w:val="none"/>
              </w:rPr>
              <w:t>粮食收储和流通环节监管，杜绝重金属超标粮食进入口粮市场。</w:t>
            </w:r>
          </w:p>
        </w:tc>
        <w:tc>
          <w:tcPr>
            <w:tcW w:w="1321" w:type="dxa"/>
            <w:shd w:val="clear" w:color="auto" w:fill="auto"/>
            <w:vAlign w:val="center"/>
          </w:tcPr>
          <w:p>
            <w:pPr>
              <w:widowControl/>
              <w:spacing w:line="312" w:lineRule="exact"/>
              <w:ind w:firstLine="0" w:firstLineChars="0"/>
              <w:jc w:val="center"/>
              <w:rPr>
                <w:rFonts w:hint="default" w:eastAsia="仿宋" w:cs="Times New Roman"/>
                <w:sz w:val="24"/>
                <w:szCs w:val="24"/>
                <w:highlight w:val="none"/>
                <w:lang w:val="en-US" w:eastAsia="zh-CN"/>
              </w:rPr>
            </w:pPr>
            <w:r>
              <w:rPr>
                <w:rFonts w:hint="eastAsia" w:eastAsia="仿宋" w:cs="Times New Roman"/>
                <w:sz w:val="24"/>
                <w:szCs w:val="24"/>
                <w:highlight w:val="none"/>
                <w:lang w:val="en-US" w:eastAsia="zh-CN"/>
              </w:rPr>
              <w:t>县商务委</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（三）</w:t>
            </w:r>
            <w:r>
              <w:rPr>
                <w:rFonts w:eastAsia="仿宋" w:cs="Times New Roman"/>
                <w:sz w:val="24"/>
                <w:szCs w:val="24"/>
                <w:highlight w:val="none"/>
              </w:rPr>
              <w:t>推进工矿企业土壤污染源头防治</w:t>
            </w:r>
          </w:p>
        </w:tc>
        <w:tc>
          <w:tcPr>
            <w:tcW w:w="1180"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开展耕地土壤重金属污染成因排查</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hint="eastAsia" w:eastAsia="仿宋" w:cs="Times New Roman"/>
                <w:sz w:val="24"/>
                <w:szCs w:val="24"/>
                <w:highlight w:val="none"/>
              </w:rPr>
              <w:t>实施“十三五”涉镉等重金属行业企业污染源整治成效“回头看”。建立并动态更新全县涉镉等重金属行业企业污染源排查整治清单，实施以切断镉等重金属污染物进入耕地途径为目标的整治措施。</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县经济信息委、县农业农村委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1180"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严格控制涉重金属行业污染物排放</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hint="eastAsia" w:eastAsia="仿宋" w:cs="Times New Roman"/>
                <w:sz w:val="24"/>
                <w:szCs w:val="24"/>
                <w:highlight w:val="none"/>
              </w:rPr>
              <w:t>根据《大气污染防治法》《水污染防治法》以及重点排污单位名录管理有关规定，将符合条件的排放镉、汞、砷、铅、铬等有毒有害大气、水污染物的企业，纳入并</w:t>
            </w:r>
            <w:r>
              <w:rPr>
                <w:rFonts w:eastAsia="仿宋" w:cs="Times New Roman"/>
                <w:sz w:val="24"/>
                <w:szCs w:val="24"/>
                <w:highlight w:val="none"/>
              </w:rPr>
              <w:t>动态更新大气、水污染物重点排污单位名录</w:t>
            </w:r>
            <w:r>
              <w:rPr>
                <w:rFonts w:hint="eastAsia" w:eastAsia="仿宋" w:cs="Times New Roman"/>
                <w:sz w:val="24"/>
                <w:szCs w:val="24"/>
                <w:highlight w:val="none"/>
              </w:rPr>
              <w:t>。</w:t>
            </w:r>
            <w:r>
              <w:rPr>
                <w:rFonts w:eastAsia="仿宋" w:cs="Times New Roman"/>
                <w:sz w:val="24"/>
                <w:szCs w:val="24"/>
                <w:highlight w:val="none"/>
              </w:rPr>
              <w:t>对纳入大气重点排污单位名录的涉镉等重金属排放企业，2023年6月底前</w:t>
            </w:r>
            <w:r>
              <w:rPr>
                <w:rFonts w:hint="eastAsia" w:eastAsia="仿宋" w:cs="Times New Roman"/>
                <w:sz w:val="24"/>
                <w:szCs w:val="24"/>
                <w:highlight w:val="none"/>
              </w:rPr>
              <w:t>对大气污染物中的颗粒物按排污许可证规定实现自动监测，并以监测数据核算颗粒物等排放量。</w:t>
            </w:r>
            <w:r>
              <w:rPr>
                <w:rFonts w:eastAsia="仿宋" w:cs="Times New Roman"/>
                <w:sz w:val="24"/>
                <w:szCs w:val="24"/>
                <w:highlight w:val="none"/>
              </w:rPr>
              <w:t>持续推进涉镉等重金属行业企业排查整治，严格落实</w:t>
            </w:r>
            <w:r>
              <w:rPr>
                <w:rFonts w:hint="eastAsia" w:eastAsia="仿宋" w:cs="Times New Roman"/>
                <w:sz w:val="24"/>
                <w:szCs w:val="24"/>
                <w:highlight w:val="none"/>
              </w:rPr>
              <w:t>《铅、锌工业污染物排放标准》《铜、镍、钴工业污染物排放标准》《无机化学工业污染物排放标准》中颗粒物和镉等重点重金属污染物特别排放限值要求</w:t>
            </w:r>
            <w:r>
              <w:rPr>
                <w:rFonts w:eastAsia="仿宋" w:cs="Times New Roman"/>
                <w:sz w:val="24"/>
                <w:szCs w:val="24"/>
                <w:highlight w:val="none"/>
              </w:rPr>
              <w:t>。</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县经济信息委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hint="eastAsia" w:eastAsia="仿宋" w:cs="Times New Roman"/>
                <w:kern w:val="0"/>
                <w:sz w:val="24"/>
                <w:szCs w:val="24"/>
                <w:highlight w:val="none"/>
                <w:lang w:val="en-US" w:eastAsia="zh-CN"/>
              </w:rPr>
              <w:t>2023</w:t>
            </w:r>
            <w:r>
              <w:rPr>
                <w:rFonts w:eastAsia="仿宋" w:cs="Times New Roman"/>
                <w:kern w:val="0"/>
                <w:sz w:val="24"/>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1180" w:type="dxa"/>
            <w:vMerge w:val="restart"/>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整治矿区历史遗留固体废物</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聚焦</w:t>
            </w:r>
            <w:r>
              <w:rPr>
                <w:rFonts w:hint="eastAsia" w:eastAsia="仿宋" w:cs="Times New Roman"/>
                <w:sz w:val="24"/>
                <w:szCs w:val="24"/>
                <w:highlight w:val="none"/>
              </w:rPr>
              <w:t>锰矿、钡矿</w:t>
            </w:r>
            <w:r>
              <w:rPr>
                <w:rFonts w:eastAsia="仿宋" w:cs="Times New Roman"/>
                <w:sz w:val="24"/>
                <w:szCs w:val="24"/>
                <w:highlight w:val="none"/>
              </w:rPr>
              <w:t>等矿区以及安全利用类和严格管控类耕地集中区域周边的矿区，综合应用高清视频监控、无人机和现场踏勘等方式，全面排查整治矿区无序堆存的历史遗留废物。</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县经济信息委</w:t>
            </w:r>
            <w:r>
              <w:rPr>
                <w:rFonts w:eastAsia="仿宋" w:cs="Times New Roman"/>
                <w:sz w:val="24"/>
                <w:szCs w:val="24"/>
                <w:highlight w:val="none"/>
              </w:rPr>
              <w:t>、</w:t>
            </w:r>
            <w:r>
              <w:rPr>
                <w:rFonts w:hint="eastAsia" w:eastAsia="仿宋" w:cs="Times New Roman"/>
                <w:sz w:val="24"/>
                <w:szCs w:val="24"/>
                <w:highlight w:val="none"/>
                <w:lang w:eastAsia="zh-CN"/>
              </w:rPr>
              <w:t>县规划自然资源局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1180"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以任河、前河、中河等三条河流沿线区域为重点，按照</w:t>
            </w:r>
            <w:r>
              <w:rPr>
                <w:rFonts w:hint="eastAsia" w:eastAsia="仿宋" w:cs="Times New Roman"/>
                <w:sz w:val="24"/>
                <w:szCs w:val="24"/>
                <w:highlight w:val="none"/>
              </w:rPr>
              <w:t>“</w:t>
            </w:r>
            <w:r>
              <w:rPr>
                <w:rFonts w:eastAsia="仿宋" w:cs="Times New Roman"/>
                <w:sz w:val="24"/>
                <w:szCs w:val="24"/>
                <w:highlight w:val="none"/>
              </w:rPr>
              <w:t>谁破坏、谁治理</w:t>
            </w:r>
            <w:r>
              <w:rPr>
                <w:rFonts w:hint="eastAsia" w:eastAsia="仿宋" w:cs="Times New Roman"/>
                <w:sz w:val="24"/>
                <w:szCs w:val="24"/>
                <w:highlight w:val="none"/>
              </w:rPr>
              <w:t>”</w:t>
            </w:r>
            <w:r>
              <w:rPr>
                <w:rFonts w:eastAsia="仿宋" w:cs="Times New Roman"/>
                <w:sz w:val="24"/>
                <w:szCs w:val="24"/>
                <w:highlight w:val="none"/>
              </w:rPr>
              <w:t>的要求，以</w:t>
            </w:r>
            <w:r>
              <w:rPr>
                <w:rFonts w:hint="eastAsia" w:eastAsia="仿宋" w:cs="Times New Roman"/>
                <w:sz w:val="24"/>
                <w:szCs w:val="24"/>
                <w:highlight w:val="none"/>
              </w:rPr>
              <w:t>“</w:t>
            </w:r>
            <w:r>
              <w:rPr>
                <w:rFonts w:eastAsia="仿宋" w:cs="Times New Roman"/>
                <w:sz w:val="24"/>
                <w:szCs w:val="24"/>
                <w:highlight w:val="none"/>
              </w:rPr>
              <w:t>自然修复为主、工程治理为辅</w:t>
            </w:r>
            <w:r>
              <w:rPr>
                <w:rFonts w:hint="eastAsia" w:eastAsia="仿宋" w:cs="Times New Roman"/>
                <w:sz w:val="24"/>
                <w:szCs w:val="24"/>
                <w:highlight w:val="none"/>
              </w:rPr>
              <w:t>”</w:t>
            </w:r>
            <w:r>
              <w:rPr>
                <w:rFonts w:eastAsia="仿宋" w:cs="Times New Roman"/>
                <w:sz w:val="24"/>
                <w:szCs w:val="24"/>
                <w:highlight w:val="none"/>
              </w:rPr>
              <w:t>，开展矿山生态环境修复治理。</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县规划自然资源局</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r>
              <w:rPr>
                <w:rFonts w:hint="eastAsia" w:eastAsia="仿宋" w:cs="Times New Roman"/>
                <w:sz w:val="24"/>
                <w:szCs w:val="24"/>
                <w:highlight w:val="none"/>
                <w:lang w:eastAsia="zh-CN"/>
              </w:rPr>
              <w:t>、</w:t>
            </w:r>
            <w:r>
              <w:rPr>
                <w:rFonts w:eastAsia="仿宋" w:cs="Times New Roman"/>
                <w:sz w:val="24"/>
                <w:szCs w:val="24"/>
                <w:highlight w:val="none"/>
              </w:rPr>
              <w:t>县</w:t>
            </w:r>
            <w:r>
              <w:rPr>
                <w:rFonts w:hint="eastAsia" w:eastAsia="仿宋" w:cs="Times New Roman"/>
                <w:sz w:val="24"/>
                <w:szCs w:val="24"/>
                <w:highlight w:val="none"/>
              </w:rPr>
              <w:t>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restart"/>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强化土壤污染重点监管单位监管</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hint="eastAsia" w:eastAsia="仿宋" w:cs="Times New Roman"/>
                <w:sz w:val="24"/>
                <w:szCs w:val="24"/>
                <w:highlight w:val="none"/>
              </w:rPr>
              <w:t>动态更新增补土壤污染重点监管单位名录，监督全面落实土壤污染防治义务，依法纳入排污许可管理。</w:t>
            </w:r>
            <w:r>
              <w:rPr>
                <w:rFonts w:eastAsia="仿宋" w:cs="Times New Roman"/>
                <w:sz w:val="24"/>
                <w:szCs w:val="24"/>
                <w:highlight w:val="none"/>
              </w:rPr>
              <w:t>2025</w:t>
            </w:r>
            <w:r>
              <w:rPr>
                <w:rFonts w:hint="eastAsia" w:eastAsia="仿宋" w:cs="Times New Roman"/>
                <w:sz w:val="24"/>
                <w:szCs w:val="24"/>
                <w:highlight w:val="none"/>
              </w:rPr>
              <w:t>年底前，至少完成</w:t>
            </w:r>
            <w:r>
              <w:rPr>
                <w:rFonts w:eastAsia="仿宋" w:cs="Times New Roman"/>
                <w:sz w:val="24"/>
                <w:szCs w:val="24"/>
                <w:highlight w:val="none"/>
              </w:rPr>
              <w:t>1</w:t>
            </w:r>
            <w:r>
              <w:rPr>
                <w:rFonts w:hint="eastAsia" w:eastAsia="仿宋" w:cs="Times New Roman"/>
                <w:sz w:val="24"/>
                <w:szCs w:val="24"/>
                <w:highlight w:val="none"/>
              </w:rPr>
              <w:t>轮土壤和地下水污染隐患排查整改。</w:t>
            </w:r>
            <w:r>
              <w:rPr>
                <w:rFonts w:eastAsia="仿宋" w:cs="Times New Roman"/>
                <w:sz w:val="24"/>
                <w:szCs w:val="24"/>
                <w:highlight w:val="none"/>
              </w:rPr>
              <w:t>定期开展土壤污染重点监管单位周边土壤环境监测。</w:t>
            </w:r>
            <w:r>
              <w:rPr>
                <w:rFonts w:hint="eastAsia" w:eastAsia="仿宋" w:cs="Times New Roman"/>
                <w:sz w:val="24"/>
                <w:szCs w:val="24"/>
                <w:highlight w:val="none"/>
              </w:rPr>
              <w:t>对涉及有毒有害物质可能造成土壤污染的新（改、扩）建项目，要在环境影响评价报告中提出并落实防腐蚀、防渗漏、防遗撒等土壤污染防治具体措施。</w:t>
            </w:r>
            <w:r>
              <w:rPr>
                <w:rFonts w:eastAsia="仿宋" w:cs="Times New Roman"/>
                <w:sz w:val="24"/>
                <w:szCs w:val="24"/>
                <w:highlight w:val="none"/>
              </w:rPr>
              <w:t>加强企业拆除活动污染防治现场检查，督促企业落实拆除活动污染防治措施。</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县经济信息委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widowControl/>
              <w:spacing w:line="312" w:lineRule="exact"/>
              <w:ind w:firstLine="0" w:firstLineChars="0"/>
              <w:jc w:val="left"/>
              <w:rPr>
                <w:rFonts w:hint="eastAsia" w:eastAsia="仿宋" w:cs="Times New Roman"/>
                <w:sz w:val="24"/>
                <w:szCs w:val="24"/>
                <w:highlight w:val="none"/>
              </w:rPr>
            </w:pPr>
            <w:r>
              <w:rPr>
                <w:rFonts w:eastAsia="仿宋" w:cs="Times New Roman"/>
                <w:sz w:val="24"/>
                <w:szCs w:val="24"/>
                <w:highlight w:val="none"/>
              </w:rPr>
              <w:t>引导和</w:t>
            </w:r>
            <w:r>
              <w:rPr>
                <w:rFonts w:hint="eastAsia" w:eastAsia="仿宋" w:cs="Times New Roman"/>
                <w:sz w:val="24"/>
                <w:szCs w:val="24"/>
                <w:highlight w:val="none"/>
              </w:rPr>
              <w:t>鼓励土壤污染重点监管单位因地制宜实施管道化、密闭化改造，重点区域防腐防渗改造，以及物料、污水管线架空建设和绿色化改造。</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县经济信息委</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县发展改革委</w:t>
            </w: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1" w:type="dxa"/>
            <w:gridSpan w:val="7"/>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b/>
                <w:bCs/>
                <w:kern w:val="0"/>
                <w:sz w:val="24"/>
                <w:szCs w:val="24"/>
                <w:highlight w:val="none"/>
              </w:rPr>
              <w:t>（二）</w:t>
            </w:r>
            <w:r>
              <w:rPr>
                <w:rFonts w:hint="eastAsia" w:eastAsia="仿宋" w:cs="Times New Roman"/>
                <w:b/>
                <w:bCs/>
                <w:sz w:val="24"/>
                <w:szCs w:val="24"/>
                <w:highlight w:val="none"/>
              </w:rPr>
              <w:t>持续</w:t>
            </w:r>
            <w:r>
              <w:rPr>
                <w:rFonts w:eastAsia="仿宋" w:cs="Times New Roman"/>
                <w:b/>
                <w:bCs/>
                <w:sz w:val="24"/>
                <w:szCs w:val="24"/>
                <w:highlight w:val="none"/>
              </w:rPr>
              <w:t>改善农业农村生态环境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shd w:val="clear" w:color="auto" w:fill="auto"/>
            <w:vAlign w:val="center"/>
          </w:tcPr>
          <w:p>
            <w:pPr>
              <w:widowControl/>
              <w:spacing w:line="312" w:lineRule="exact"/>
              <w:ind w:firstLine="0" w:firstLineChars="0"/>
              <w:jc w:val="center"/>
              <w:rPr>
                <w:rFonts w:eastAsia="仿宋" w:cs="Times New Roman"/>
                <w:sz w:val="24"/>
                <w:szCs w:val="24"/>
                <w:highlight w:val="none"/>
              </w:rPr>
            </w:pPr>
          </w:p>
          <w:p>
            <w:pPr>
              <w:widowControl/>
              <w:spacing w:line="312" w:lineRule="exact"/>
              <w:ind w:firstLine="0" w:firstLineChars="0"/>
              <w:jc w:val="center"/>
              <w:rPr>
                <w:rFonts w:eastAsia="仿宋" w:cs="Times New Roman"/>
                <w:sz w:val="24"/>
                <w:szCs w:val="24"/>
                <w:highlight w:val="none"/>
              </w:rPr>
            </w:pPr>
          </w:p>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（一）持续推进种植业污染防治</w:t>
            </w:r>
          </w:p>
        </w:tc>
        <w:tc>
          <w:tcPr>
            <w:tcW w:w="1180"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推进化肥农药减量增效</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全面推广精准施肥，逐步推进全域化肥农药减禁工程，加大种植业投入品结构调整力度，在全县各乡镇开展化肥农药减量增效技术的宣传、培训，推广测土配方施肥技术，推动耕地土壤改良、地力培肥试点和化肥减量试验示范基地建设。分区域推进减少农药、化肥等的使用工作，在销售源头上进行扼制。严格控制高毒高风险农药使用，推广低毒低残留农药，推进病虫害统防统治和绿色防控。2025年底</w:t>
            </w:r>
            <w:r>
              <w:rPr>
                <w:rFonts w:hint="eastAsia" w:eastAsia="仿宋" w:cs="Times New Roman"/>
                <w:sz w:val="24"/>
                <w:szCs w:val="24"/>
                <w:highlight w:val="none"/>
                <w:lang w:val="en-US" w:eastAsia="zh-CN"/>
              </w:rPr>
              <w:t>前</w:t>
            </w:r>
            <w:r>
              <w:rPr>
                <w:rFonts w:eastAsia="仿宋" w:cs="Times New Roman"/>
                <w:sz w:val="24"/>
                <w:szCs w:val="24"/>
                <w:highlight w:val="none"/>
              </w:rPr>
              <w:t>，主要农作物化肥、农药利用率</w:t>
            </w:r>
            <w:r>
              <w:rPr>
                <w:rFonts w:hint="eastAsia" w:eastAsia="仿宋" w:cs="Times New Roman"/>
                <w:sz w:val="24"/>
                <w:szCs w:val="24"/>
                <w:highlight w:val="none"/>
                <w:lang w:val="en-US" w:eastAsia="zh-CN"/>
              </w:rPr>
              <w:t>稳定在40%以上</w:t>
            </w:r>
            <w:r>
              <w:rPr>
                <w:rFonts w:eastAsia="仿宋" w:cs="Times New Roman"/>
                <w:sz w:val="24"/>
                <w:szCs w:val="24"/>
                <w:highlight w:val="none"/>
              </w:rPr>
              <w:t>，</w:t>
            </w:r>
            <w:r>
              <w:rPr>
                <w:rFonts w:hint="eastAsia" w:eastAsia="仿宋" w:cs="Times New Roman"/>
                <w:sz w:val="24"/>
                <w:szCs w:val="24"/>
                <w:highlight w:val="none"/>
              </w:rPr>
              <w:t>主要农作物病虫害专业化统防统治覆盖率达到</w:t>
            </w:r>
            <w:r>
              <w:rPr>
                <w:rFonts w:eastAsia="仿宋" w:cs="Times New Roman"/>
                <w:sz w:val="24"/>
                <w:szCs w:val="24"/>
                <w:highlight w:val="none"/>
              </w:rPr>
              <w:t>43%。</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县生态环境局、县水利局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shd w:val="clear" w:color="auto" w:fill="auto"/>
            <w:vAlign w:val="center"/>
          </w:tcPr>
          <w:p>
            <w:pPr>
              <w:widowControl/>
              <w:spacing w:line="312" w:lineRule="exact"/>
              <w:ind w:firstLine="0" w:firstLineChars="0"/>
              <w:jc w:val="center"/>
              <w:rPr>
                <w:rFonts w:hint="eastAsia" w:eastAsia="仿宋" w:cs="Times New Roman"/>
                <w:sz w:val="24"/>
                <w:szCs w:val="24"/>
                <w:highlight w:val="none"/>
              </w:rPr>
            </w:pPr>
          </w:p>
        </w:tc>
        <w:tc>
          <w:tcPr>
            <w:tcW w:w="1180" w:type="dxa"/>
            <w:vMerge w:val="restart"/>
            <w:shd w:val="clear" w:color="auto" w:fill="auto"/>
            <w:vAlign w:val="center"/>
          </w:tcPr>
          <w:p>
            <w:pPr>
              <w:widowControl/>
              <w:spacing w:line="240" w:lineRule="auto"/>
              <w:ind w:firstLine="0" w:firstLineChars="0"/>
              <w:jc w:val="center"/>
              <w:rPr>
                <w:rFonts w:eastAsia="仿宋" w:cs="Times New Roman"/>
                <w:sz w:val="24"/>
                <w:szCs w:val="24"/>
                <w:highlight w:val="none"/>
              </w:rPr>
            </w:pPr>
          </w:p>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强化</w:t>
            </w:r>
            <w:r>
              <w:rPr>
                <w:rFonts w:eastAsia="仿宋" w:cs="Times New Roman"/>
                <w:sz w:val="24"/>
                <w:szCs w:val="24"/>
                <w:highlight w:val="none"/>
              </w:rPr>
              <w:t>农业废弃物资源化利用</w:t>
            </w:r>
          </w:p>
        </w:tc>
        <w:tc>
          <w:tcPr>
            <w:tcW w:w="7449" w:type="dxa"/>
            <w:shd w:val="clear" w:color="auto" w:fill="auto"/>
            <w:vAlign w:val="center"/>
          </w:tcPr>
          <w:p>
            <w:pPr>
              <w:widowControl/>
              <w:spacing w:line="312" w:lineRule="exact"/>
              <w:ind w:firstLine="0" w:firstLineChars="0"/>
              <w:jc w:val="left"/>
              <w:rPr>
                <w:rFonts w:eastAsia="仿宋" w:cs="Times New Roman"/>
                <w:sz w:val="24"/>
                <w:szCs w:val="24"/>
                <w:highlight w:val="none"/>
              </w:rPr>
            </w:pPr>
            <w:r>
              <w:rPr>
                <w:rFonts w:eastAsia="仿宋" w:cs="Times New Roman"/>
                <w:sz w:val="24"/>
                <w:szCs w:val="24"/>
                <w:highlight w:val="none"/>
              </w:rPr>
              <w:t>全面普及标准农膜，大力推进地膜源头减量，示范推广全生物</w:t>
            </w:r>
            <w:r>
              <w:rPr>
                <w:rFonts w:hint="eastAsia" w:eastAsia="仿宋" w:cs="Times New Roman"/>
                <w:sz w:val="24"/>
                <w:szCs w:val="24"/>
                <w:highlight w:val="none"/>
                <w:lang w:val="en-US" w:eastAsia="zh-CN"/>
              </w:rPr>
              <w:t>可</w:t>
            </w:r>
            <w:r>
              <w:rPr>
                <w:rFonts w:eastAsia="仿宋" w:cs="Times New Roman"/>
                <w:sz w:val="24"/>
                <w:szCs w:val="24"/>
                <w:highlight w:val="none"/>
              </w:rPr>
              <w:t>降解地膜。推进</w:t>
            </w:r>
            <w:r>
              <w:rPr>
                <w:rFonts w:hint="eastAsia" w:eastAsia="仿宋" w:cs="Times New Roman"/>
                <w:sz w:val="24"/>
                <w:szCs w:val="24"/>
                <w:highlight w:val="none"/>
                <w:lang w:val="en-US" w:eastAsia="zh-CN"/>
              </w:rPr>
              <w:t>农膜、地膜</w:t>
            </w:r>
            <w:r>
              <w:rPr>
                <w:rFonts w:eastAsia="仿宋" w:cs="Times New Roman"/>
                <w:sz w:val="24"/>
                <w:szCs w:val="24"/>
                <w:highlight w:val="none"/>
              </w:rPr>
              <w:t>回收利用，建立</w:t>
            </w:r>
            <w:r>
              <w:rPr>
                <w:rFonts w:hint="eastAsia" w:eastAsia="仿宋" w:cs="Times New Roman"/>
                <w:sz w:val="24"/>
                <w:szCs w:val="24"/>
                <w:highlight w:val="none"/>
                <w:lang w:val="en-US" w:eastAsia="zh-CN"/>
              </w:rPr>
              <w:t>废旧</w:t>
            </w:r>
            <w:r>
              <w:rPr>
                <w:rFonts w:eastAsia="仿宋" w:cs="Times New Roman"/>
                <w:sz w:val="24"/>
                <w:szCs w:val="24"/>
                <w:highlight w:val="none"/>
              </w:rPr>
              <w:t>农膜</w:t>
            </w:r>
            <w:r>
              <w:rPr>
                <w:rFonts w:hint="eastAsia" w:eastAsia="仿宋" w:cs="Times New Roman"/>
                <w:sz w:val="24"/>
                <w:szCs w:val="24"/>
                <w:highlight w:val="none"/>
                <w:lang w:val="en-US" w:eastAsia="zh-CN"/>
              </w:rPr>
              <w:t>回收网络体系</w:t>
            </w:r>
            <w:r>
              <w:rPr>
                <w:rFonts w:eastAsia="仿宋" w:cs="Times New Roman"/>
                <w:sz w:val="24"/>
                <w:szCs w:val="24"/>
                <w:highlight w:val="none"/>
              </w:rPr>
              <w:t>，提高废旧农膜回收利用和处置水平</w:t>
            </w:r>
            <w:r>
              <w:rPr>
                <w:rFonts w:hint="eastAsia" w:eastAsia="仿宋" w:cs="Times New Roman"/>
                <w:sz w:val="24"/>
                <w:szCs w:val="24"/>
                <w:highlight w:val="none"/>
                <w:lang w:eastAsia="zh-CN"/>
              </w:rPr>
              <w:t>，</w:t>
            </w:r>
            <w:r>
              <w:rPr>
                <w:rFonts w:eastAsia="仿宋" w:cs="Times New Roman"/>
                <w:sz w:val="24"/>
                <w:szCs w:val="24"/>
                <w:highlight w:val="none"/>
              </w:rPr>
              <w:t>到202</w:t>
            </w:r>
            <w:r>
              <w:rPr>
                <w:rFonts w:hint="eastAsia" w:eastAsia="仿宋" w:cs="Times New Roman"/>
                <w:sz w:val="24"/>
                <w:szCs w:val="24"/>
                <w:highlight w:val="none"/>
              </w:rPr>
              <w:t>5</w:t>
            </w:r>
            <w:r>
              <w:rPr>
                <w:rFonts w:eastAsia="仿宋" w:cs="Times New Roman"/>
                <w:sz w:val="24"/>
                <w:szCs w:val="24"/>
                <w:highlight w:val="none"/>
              </w:rPr>
              <w:t>年，全县农膜回收率</w:t>
            </w:r>
            <w:r>
              <w:rPr>
                <w:rFonts w:hint="eastAsia" w:eastAsia="仿宋" w:cs="Times New Roman"/>
                <w:sz w:val="24"/>
                <w:szCs w:val="24"/>
                <w:highlight w:val="none"/>
              </w:rPr>
              <w:t>稳定在9</w:t>
            </w:r>
            <w:r>
              <w:rPr>
                <w:rFonts w:eastAsia="仿宋" w:cs="Times New Roman"/>
                <w:sz w:val="24"/>
                <w:szCs w:val="24"/>
                <w:highlight w:val="none"/>
              </w:rPr>
              <w:t>0%以上。</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县供销社</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县生态环境局</w:t>
            </w:r>
            <w:r>
              <w:rPr>
                <w:rFonts w:hint="eastAsia" w:eastAsia="仿宋" w:cs="Times New Roman"/>
                <w:sz w:val="24"/>
                <w:szCs w:val="24"/>
                <w:highlight w:val="none"/>
                <w:lang w:eastAsia="zh-CN"/>
              </w:rPr>
              <w:t>、县农业农村委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1180" w:type="dxa"/>
            <w:vMerge w:val="continue"/>
            <w:vAlign w:val="center"/>
          </w:tcPr>
          <w:p>
            <w:pPr>
              <w:widowControl/>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spacing w:line="312" w:lineRule="exact"/>
              <w:ind w:firstLine="0" w:firstLineChars="0"/>
              <w:rPr>
                <w:rFonts w:eastAsia="仿宋" w:cs="Times New Roman"/>
                <w:sz w:val="24"/>
                <w:szCs w:val="24"/>
                <w:highlight w:val="none"/>
              </w:rPr>
            </w:pPr>
            <w:r>
              <w:rPr>
                <w:rFonts w:eastAsia="仿宋" w:cs="Times New Roman"/>
                <w:sz w:val="24"/>
                <w:szCs w:val="24"/>
                <w:highlight w:val="none"/>
              </w:rPr>
              <w:t>建立秸秆综合利用制度，大力推广秸秆全量还田、秸秆青贮氨化养畜生产等综合利用技术。加强农作物秸秆综合利用，突出肥料化、饲料化、基料化为重点利用方向，开展秸秆还田利用，到202</w:t>
            </w:r>
            <w:r>
              <w:rPr>
                <w:rFonts w:hint="eastAsia" w:eastAsia="仿宋" w:cs="Times New Roman"/>
                <w:sz w:val="24"/>
                <w:szCs w:val="24"/>
                <w:highlight w:val="none"/>
              </w:rPr>
              <w:t>5</w:t>
            </w:r>
            <w:r>
              <w:rPr>
                <w:rFonts w:eastAsia="仿宋" w:cs="Times New Roman"/>
                <w:sz w:val="24"/>
                <w:szCs w:val="24"/>
                <w:highlight w:val="none"/>
              </w:rPr>
              <w:t>年，全县农作物秸秆综合利用率</w:t>
            </w:r>
            <w:r>
              <w:rPr>
                <w:rFonts w:hint="eastAsia" w:eastAsia="仿宋" w:cs="Times New Roman"/>
                <w:sz w:val="24"/>
                <w:szCs w:val="24"/>
                <w:highlight w:val="none"/>
              </w:rPr>
              <w:t>稳定</w:t>
            </w:r>
            <w:r>
              <w:rPr>
                <w:rFonts w:eastAsia="仿宋" w:cs="Times New Roman"/>
                <w:sz w:val="24"/>
                <w:szCs w:val="24"/>
                <w:highlight w:val="none"/>
              </w:rPr>
              <w:t>在</w:t>
            </w:r>
            <w:r>
              <w:rPr>
                <w:rFonts w:hint="eastAsia" w:eastAsia="仿宋" w:cs="Times New Roman"/>
                <w:sz w:val="24"/>
                <w:szCs w:val="24"/>
                <w:highlight w:val="none"/>
              </w:rPr>
              <w:t>90</w:t>
            </w:r>
            <w:r>
              <w:rPr>
                <w:rFonts w:eastAsia="仿宋" w:cs="Times New Roman"/>
                <w:sz w:val="24"/>
                <w:szCs w:val="24"/>
                <w:highlight w:val="none"/>
              </w:rPr>
              <w:t>%以上。</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（二）全面实施养殖业污染防治</w:t>
            </w:r>
          </w:p>
        </w:tc>
        <w:tc>
          <w:tcPr>
            <w:tcW w:w="1180" w:type="dxa"/>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加强畜禽养殖污染防治</w:t>
            </w:r>
          </w:p>
        </w:tc>
        <w:tc>
          <w:tcPr>
            <w:tcW w:w="7449" w:type="dxa"/>
            <w:shd w:val="clear" w:color="auto" w:fill="auto"/>
            <w:vAlign w:val="center"/>
          </w:tcPr>
          <w:p>
            <w:pPr>
              <w:spacing w:line="312" w:lineRule="exact"/>
              <w:ind w:firstLine="0" w:firstLineChars="0"/>
              <w:rPr>
                <w:rFonts w:eastAsia="仿宋" w:cs="Times New Roman"/>
                <w:sz w:val="24"/>
                <w:szCs w:val="24"/>
                <w:highlight w:val="none"/>
              </w:rPr>
            </w:pPr>
            <w:r>
              <w:rPr>
                <w:rFonts w:eastAsia="仿宋" w:cs="Times New Roman"/>
                <w:sz w:val="24"/>
                <w:szCs w:val="24"/>
                <w:highlight w:val="none"/>
              </w:rPr>
              <w:t>优化调整畜禽养殖布局，严格执行畜禽</w:t>
            </w:r>
            <w:r>
              <w:rPr>
                <w:rFonts w:hint="eastAsia" w:eastAsia="仿宋" w:cs="Times New Roman"/>
                <w:sz w:val="24"/>
                <w:szCs w:val="24"/>
                <w:highlight w:val="none"/>
              </w:rPr>
              <w:t>“</w:t>
            </w:r>
            <w:r>
              <w:rPr>
                <w:rFonts w:eastAsia="仿宋" w:cs="Times New Roman"/>
                <w:sz w:val="24"/>
                <w:szCs w:val="24"/>
                <w:highlight w:val="none"/>
              </w:rPr>
              <w:t>三区</w:t>
            </w:r>
            <w:r>
              <w:rPr>
                <w:rFonts w:hint="eastAsia" w:eastAsia="仿宋" w:cs="Times New Roman"/>
                <w:sz w:val="24"/>
                <w:szCs w:val="24"/>
                <w:highlight w:val="none"/>
              </w:rPr>
              <w:t>”（</w:t>
            </w:r>
            <w:r>
              <w:rPr>
                <w:rFonts w:eastAsia="仿宋" w:cs="Times New Roman"/>
                <w:sz w:val="24"/>
                <w:szCs w:val="24"/>
                <w:highlight w:val="none"/>
              </w:rPr>
              <w:t>禁养区、限养区、适养区</w:t>
            </w:r>
            <w:r>
              <w:rPr>
                <w:rFonts w:hint="eastAsia" w:eastAsia="仿宋" w:cs="Times New Roman"/>
                <w:sz w:val="24"/>
                <w:szCs w:val="24"/>
                <w:highlight w:val="none"/>
              </w:rPr>
              <w:t>）</w:t>
            </w:r>
            <w:r>
              <w:rPr>
                <w:rFonts w:eastAsia="仿宋" w:cs="Times New Roman"/>
                <w:sz w:val="24"/>
                <w:szCs w:val="24"/>
                <w:highlight w:val="none"/>
              </w:rPr>
              <w:t>管理规定，落实</w:t>
            </w:r>
            <w:r>
              <w:rPr>
                <w:rFonts w:hint="eastAsia" w:eastAsia="仿宋" w:cs="Times New Roman"/>
                <w:sz w:val="24"/>
                <w:szCs w:val="24"/>
                <w:highlight w:val="none"/>
              </w:rPr>
              <w:t>“</w:t>
            </w:r>
            <w:r>
              <w:rPr>
                <w:rFonts w:eastAsia="仿宋" w:cs="Times New Roman"/>
                <w:sz w:val="24"/>
                <w:szCs w:val="24"/>
                <w:highlight w:val="none"/>
              </w:rPr>
              <w:t>谁污染、谁治理</w:t>
            </w:r>
            <w:r>
              <w:rPr>
                <w:rFonts w:hint="eastAsia" w:eastAsia="仿宋" w:cs="Times New Roman"/>
                <w:sz w:val="24"/>
                <w:szCs w:val="24"/>
                <w:highlight w:val="none"/>
              </w:rPr>
              <w:t>”</w:t>
            </w:r>
            <w:r>
              <w:rPr>
                <w:rFonts w:eastAsia="仿宋" w:cs="Times New Roman"/>
                <w:sz w:val="24"/>
                <w:szCs w:val="24"/>
                <w:highlight w:val="none"/>
              </w:rPr>
              <w:t>的主体责任。建设病死畜禽收贮点，配备病死畜禽无害化集中处理设备，完善病死畜禽无害化收贮体系。加强畜禽养殖污染治理，支持规模养殖场建设适应粪污资源化利用要求的设施装备。到2025年，畜禽粪污综合利用率</w:t>
            </w:r>
            <w:r>
              <w:rPr>
                <w:rFonts w:hint="eastAsia" w:eastAsia="仿宋" w:cs="Times New Roman"/>
                <w:sz w:val="24"/>
                <w:szCs w:val="24"/>
                <w:highlight w:val="none"/>
              </w:rPr>
              <w:t>达到9</w:t>
            </w:r>
            <w:r>
              <w:rPr>
                <w:rFonts w:eastAsia="仿宋" w:cs="Times New Roman"/>
                <w:sz w:val="24"/>
                <w:szCs w:val="24"/>
                <w:highlight w:val="none"/>
              </w:rPr>
              <w:t>0%。</w:t>
            </w:r>
            <w:r>
              <w:rPr>
                <w:rFonts w:hint="eastAsia" w:eastAsia="仿宋" w:cs="Times New Roman"/>
                <w:sz w:val="24"/>
                <w:szCs w:val="24"/>
                <w:highlight w:val="none"/>
              </w:rPr>
              <w:t>依法严查畜禽粪污偷排、直排、丢弃等环境违法行为。推进种养结合，加强对畜禽粪污还田利用的指导，推进畜禽养殖场、专业户实施畜禽粪污资源化利用计划和台账管理，逐步开展利用计划和台账管理核查与评估。</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县发展改革委、</w:t>
            </w: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hint="eastAsia" w:eastAsia="仿宋" w:cs="Times New Roman"/>
                <w:sz w:val="24"/>
                <w:szCs w:val="24"/>
                <w:highlight w:val="none"/>
              </w:rPr>
            </w:pPr>
          </w:p>
        </w:tc>
        <w:tc>
          <w:tcPr>
            <w:tcW w:w="1180" w:type="dxa"/>
            <w:vMerge w:val="restart"/>
            <w:vAlign w:val="center"/>
          </w:tcPr>
          <w:p>
            <w:pPr>
              <w:widowControl/>
              <w:spacing w:line="312" w:lineRule="exact"/>
              <w:ind w:firstLine="0" w:firstLineChars="0"/>
              <w:jc w:val="center"/>
              <w:rPr>
                <w:rFonts w:hint="eastAsia" w:eastAsia="仿宋" w:cs="Times New Roman"/>
                <w:sz w:val="24"/>
                <w:szCs w:val="24"/>
                <w:highlight w:val="none"/>
              </w:rPr>
            </w:pPr>
            <w:r>
              <w:rPr>
                <w:rFonts w:hint="eastAsia" w:eastAsia="仿宋" w:cs="Times New Roman"/>
                <w:sz w:val="24"/>
                <w:szCs w:val="24"/>
                <w:highlight w:val="none"/>
              </w:rPr>
              <w:t>实施</w:t>
            </w:r>
            <w:r>
              <w:rPr>
                <w:rFonts w:eastAsia="仿宋" w:cs="Times New Roman"/>
                <w:sz w:val="24"/>
                <w:szCs w:val="24"/>
                <w:highlight w:val="none"/>
              </w:rPr>
              <w:t>水产养殖污染防治</w:t>
            </w:r>
          </w:p>
        </w:tc>
        <w:tc>
          <w:tcPr>
            <w:tcW w:w="7449" w:type="dxa"/>
            <w:shd w:val="clear" w:color="auto" w:fill="auto"/>
            <w:vAlign w:val="center"/>
          </w:tcPr>
          <w:p>
            <w:pPr>
              <w:spacing w:line="312" w:lineRule="exact"/>
              <w:ind w:firstLine="0" w:firstLineChars="0"/>
              <w:rPr>
                <w:rFonts w:eastAsia="仿宋" w:cs="Times New Roman"/>
                <w:sz w:val="24"/>
                <w:szCs w:val="24"/>
                <w:highlight w:val="none"/>
              </w:rPr>
            </w:pPr>
            <w:r>
              <w:rPr>
                <w:rFonts w:hint="eastAsia" w:eastAsia="仿宋" w:cs="Times New Roman"/>
                <w:sz w:val="24"/>
                <w:szCs w:val="24"/>
                <w:highlight w:val="none"/>
              </w:rPr>
              <w:t>开展水产养殖业污染源基础调查与监测，以</w:t>
            </w:r>
            <w:r>
              <w:rPr>
                <w:rFonts w:eastAsia="仿宋" w:cs="Times New Roman"/>
                <w:sz w:val="24"/>
                <w:szCs w:val="24"/>
                <w:highlight w:val="none"/>
              </w:rPr>
              <w:t>30</w:t>
            </w:r>
            <w:r>
              <w:rPr>
                <w:rFonts w:hint="eastAsia" w:eastAsia="仿宋" w:cs="Times New Roman"/>
                <w:sz w:val="24"/>
                <w:szCs w:val="24"/>
                <w:highlight w:val="none"/>
              </w:rPr>
              <w:t>亩以上水面养殖为重点，完善水产养殖业污染源信息数据库。科学有序推进养殖尾水治理</w:t>
            </w:r>
            <w:r>
              <w:rPr>
                <w:rFonts w:hint="eastAsia" w:eastAsia="仿宋" w:cs="Times New Roman"/>
                <w:sz w:val="24"/>
                <w:szCs w:val="24"/>
                <w:highlight w:val="none"/>
                <w:lang w:eastAsia="zh-CN"/>
              </w:rPr>
              <w:t>，</w:t>
            </w:r>
            <w:r>
              <w:rPr>
                <w:rFonts w:eastAsia="仿宋" w:cs="Times New Roman"/>
                <w:sz w:val="24"/>
                <w:szCs w:val="24"/>
                <w:highlight w:val="none"/>
              </w:rPr>
              <w:t>30</w:t>
            </w:r>
            <w:r>
              <w:rPr>
                <w:rFonts w:hint="eastAsia" w:eastAsia="仿宋" w:cs="Times New Roman"/>
                <w:sz w:val="24"/>
                <w:szCs w:val="24"/>
                <w:highlight w:val="none"/>
              </w:rPr>
              <w:t>亩以上专用池塘养殖场落实尾水治理措施，实现养殖尾水达标排放、循环使用或资源化利用；</w:t>
            </w:r>
            <w:r>
              <w:rPr>
                <w:rFonts w:eastAsia="仿宋" w:cs="Times New Roman"/>
                <w:sz w:val="24"/>
                <w:szCs w:val="24"/>
                <w:highlight w:val="none"/>
              </w:rPr>
              <w:t>30</w:t>
            </w:r>
            <w:r>
              <w:rPr>
                <w:rFonts w:hint="eastAsia" w:eastAsia="仿宋" w:cs="Times New Roman"/>
                <w:sz w:val="24"/>
                <w:szCs w:val="24"/>
                <w:highlight w:val="none"/>
              </w:rPr>
              <w:t>亩以下水产养殖场，鼓励采取种养结合方式，促进废弃物等就近就地消纳利用；严禁养殖尾水未经处理直排江河湖库。</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hint="eastAsia" w:eastAsia="仿宋" w:cs="Times New Roman"/>
                <w:sz w:val="24"/>
                <w:szCs w:val="24"/>
                <w:highlight w:val="none"/>
              </w:rPr>
            </w:pPr>
          </w:p>
        </w:tc>
        <w:tc>
          <w:tcPr>
            <w:tcW w:w="1180" w:type="dxa"/>
            <w:vMerge w:val="continue"/>
            <w:vAlign w:val="center"/>
          </w:tcPr>
          <w:p>
            <w:pPr>
              <w:widowControl/>
              <w:spacing w:line="312" w:lineRule="exact"/>
              <w:ind w:firstLine="0" w:firstLineChars="0"/>
              <w:jc w:val="center"/>
              <w:rPr>
                <w:rFonts w:hint="eastAsia" w:eastAsia="仿宋" w:cs="Times New Roman"/>
                <w:sz w:val="24"/>
                <w:szCs w:val="24"/>
                <w:highlight w:val="none"/>
              </w:rPr>
            </w:pPr>
          </w:p>
        </w:tc>
        <w:tc>
          <w:tcPr>
            <w:tcW w:w="7449" w:type="dxa"/>
            <w:shd w:val="clear" w:color="auto" w:fill="auto"/>
            <w:vAlign w:val="center"/>
          </w:tcPr>
          <w:p>
            <w:pPr>
              <w:spacing w:line="312" w:lineRule="exact"/>
              <w:ind w:firstLine="0" w:firstLineChars="0"/>
              <w:rPr>
                <w:rFonts w:eastAsia="仿宋" w:cs="Times New Roman"/>
                <w:sz w:val="24"/>
                <w:szCs w:val="24"/>
                <w:highlight w:val="none"/>
              </w:rPr>
            </w:pPr>
            <w:r>
              <w:rPr>
                <w:rFonts w:hint="eastAsia" w:eastAsia="仿宋" w:cs="Times New Roman"/>
                <w:sz w:val="24"/>
                <w:szCs w:val="24"/>
                <w:highlight w:val="none"/>
              </w:rPr>
              <w:t>加强池塘标准化改造，梯次推进大水面生态养殖。</w:t>
            </w:r>
            <w:r>
              <w:rPr>
                <w:rFonts w:eastAsia="仿宋" w:cs="Times New Roman"/>
                <w:sz w:val="24"/>
                <w:szCs w:val="24"/>
                <w:highlight w:val="none"/>
              </w:rPr>
              <w:t>在城口县巴山水库</w:t>
            </w:r>
            <w:r>
              <w:rPr>
                <w:rFonts w:hint="eastAsia" w:eastAsia="仿宋" w:cs="Times New Roman"/>
                <w:sz w:val="24"/>
                <w:szCs w:val="24"/>
                <w:highlight w:val="none"/>
                <w:lang w:val="en-US" w:eastAsia="zh-CN"/>
              </w:rPr>
              <w:t>和</w:t>
            </w:r>
            <w:r>
              <w:rPr>
                <w:rFonts w:eastAsia="仿宋" w:cs="Times New Roman"/>
                <w:sz w:val="24"/>
                <w:szCs w:val="24"/>
                <w:highlight w:val="none"/>
              </w:rPr>
              <w:t>中坝子水库试点开展以渔净水生态健康养殖。</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县规划自然资源局</w:t>
            </w:r>
            <w:r>
              <w:rPr>
                <w:rFonts w:eastAsia="仿宋" w:cs="Times New Roman"/>
                <w:sz w:val="24"/>
                <w:szCs w:val="24"/>
                <w:highlight w:val="none"/>
              </w:rPr>
              <w:t>、县水利局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（三）扎实推进农村生活污染治理</w:t>
            </w:r>
          </w:p>
        </w:tc>
        <w:tc>
          <w:tcPr>
            <w:tcW w:w="1180" w:type="dxa"/>
            <w:vMerge w:val="restart"/>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加强</w:t>
            </w:r>
            <w:r>
              <w:rPr>
                <w:rFonts w:eastAsia="仿宋" w:cs="Times New Roman"/>
                <w:sz w:val="24"/>
                <w:szCs w:val="24"/>
                <w:highlight w:val="none"/>
              </w:rPr>
              <w:t>农村生活污水治理</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hint="eastAsia" w:eastAsia="仿宋" w:cs="Times New Roman"/>
                <w:sz w:val="24"/>
                <w:szCs w:val="24"/>
                <w:highlight w:val="none"/>
              </w:rPr>
              <w:t>结合</w:t>
            </w:r>
            <w:r>
              <w:rPr>
                <w:rFonts w:eastAsia="仿宋" w:cs="Times New Roman"/>
                <w:sz w:val="24"/>
                <w:szCs w:val="24"/>
                <w:highlight w:val="none"/>
              </w:rPr>
              <w:t>城口县农村生活污水治理专项规划</w:t>
            </w:r>
            <w:r>
              <w:rPr>
                <w:rFonts w:hint="eastAsia" w:eastAsia="仿宋" w:cs="Times New Roman"/>
                <w:sz w:val="24"/>
                <w:szCs w:val="24"/>
                <w:highlight w:val="none"/>
              </w:rPr>
              <w:t>，强化农村生活污水治理与供水改厕、农业生产等一体推进，推进设施的建设、运行和管理</w:t>
            </w:r>
            <w:r>
              <w:rPr>
                <w:rFonts w:hint="eastAsia" w:eastAsia="仿宋" w:cs="Times New Roman"/>
                <w:sz w:val="24"/>
                <w:szCs w:val="24"/>
                <w:highlight w:val="none"/>
                <w:lang w:eastAsia="zh-CN"/>
              </w:rPr>
              <w:t>，</w:t>
            </w:r>
            <w:r>
              <w:rPr>
                <w:rFonts w:hint="eastAsia" w:eastAsia="仿宋" w:cs="Times New Roman"/>
                <w:sz w:val="24"/>
                <w:szCs w:val="24"/>
                <w:highlight w:val="none"/>
                <w:lang w:val="en-US" w:eastAsia="zh-CN"/>
              </w:rPr>
              <w:t>推行城口县生活污水处理设施运营管理办法</w:t>
            </w:r>
            <w:r>
              <w:rPr>
                <w:rFonts w:hint="eastAsia" w:eastAsia="仿宋" w:cs="Times New Roman"/>
                <w:sz w:val="24"/>
                <w:szCs w:val="24"/>
                <w:highlight w:val="none"/>
              </w:rPr>
              <w:t>。</w:t>
            </w:r>
            <w:r>
              <w:rPr>
                <w:rFonts w:hint="eastAsia" w:eastAsia="仿宋" w:cs="Times New Roman"/>
                <w:sz w:val="24"/>
                <w:szCs w:val="24"/>
                <w:highlight w:val="none"/>
                <w:lang w:val="en-US" w:eastAsia="zh-CN"/>
              </w:rPr>
              <w:t>持续推进农村常住人口200户（或500人）以上的聚居点污水集中处理设施及管网建设，逐步补齐农村环境基础设施短板。</w:t>
            </w:r>
          </w:p>
        </w:tc>
        <w:tc>
          <w:tcPr>
            <w:tcW w:w="1321"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县发展改革委</w:t>
            </w:r>
            <w:r>
              <w:rPr>
                <w:rFonts w:eastAsia="仿宋" w:cs="Times New Roman"/>
                <w:sz w:val="24"/>
                <w:szCs w:val="24"/>
                <w:highlight w:val="none"/>
              </w:rPr>
              <w:t>、</w:t>
            </w:r>
            <w:r>
              <w:rPr>
                <w:rFonts w:hint="eastAsia" w:eastAsia="仿宋" w:cs="Times New Roman"/>
                <w:sz w:val="24"/>
                <w:szCs w:val="24"/>
                <w:highlight w:val="none"/>
                <w:lang w:eastAsia="zh-CN"/>
              </w:rPr>
              <w:t>县规划自然资源局、</w:t>
            </w:r>
            <w:r>
              <w:rPr>
                <w:rFonts w:hint="eastAsia" w:eastAsia="仿宋" w:cs="Times New Roman"/>
                <w:sz w:val="24"/>
                <w:szCs w:val="24"/>
                <w:highlight w:val="none"/>
                <w:lang w:val="en-US" w:eastAsia="zh-CN"/>
              </w:rPr>
              <w:t>县乡村振兴局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hint="eastAsia" w:eastAsia="仿宋" w:cs="Times New Roman"/>
                <w:sz w:val="24"/>
                <w:szCs w:val="24"/>
                <w:highlight w:val="none"/>
              </w:rPr>
            </w:pPr>
          </w:p>
        </w:tc>
        <w:tc>
          <w:tcPr>
            <w:tcW w:w="1180" w:type="dxa"/>
            <w:vMerge w:val="continue"/>
            <w:shd w:val="clear" w:color="auto" w:fill="auto"/>
            <w:vAlign w:val="center"/>
          </w:tcPr>
          <w:p>
            <w:pPr>
              <w:widowControl/>
              <w:spacing w:line="312" w:lineRule="exact"/>
              <w:ind w:firstLine="0" w:firstLineChars="0"/>
              <w:jc w:val="center"/>
              <w:rPr>
                <w:rFonts w:hint="eastAsia" w:eastAsia="仿宋" w:cs="Times New Roman"/>
                <w:sz w:val="24"/>
                <w:szCs w:val="24"/>
                <w:highlight w:val="none"/>
              </w:rPr>
            </w:pPr>
          </w:p>
        </w:tc>
        <w:tc>
          <w:tcPr>
            <w:tcW w:w="7449" w:type="dxa"/>
            <w:shd w:val="clear" w:color="auto" w:fill="auto"/>
            <w:vAlign w:val="center"/>
          </w:tcPr>
          <w:p>
            <w:pPr>
              <w:topLinePunct/>
              <w:spacing w:line="312" w:lineRule="exact"/>
              <w:ind w:firstLine="0" w:firstLineChars="0"/>
              <w:rPr>
                <w:rFonts w:hint="eastAsia" w:eastAsia="仿宋" w:cs="Times New Roman"/>
                <w:sz w:val="24"/>
                <w:szCs w:val="24"/>
                <w:highlight w:val="none"/>
              </w:rPr>
            </w:pPr>
            <w:r>
              <w:rPr>
                <w:rFonts w:hint="eastAsia" w:eastAsia="仿宋" w:cs="Times New Roman"/>
                <w:sz w:val="24"/>
                <w:szCs w:val="24"/>
                <w:highlight w:val="none"/>
              </w:rPr>
              <w:t>持续推进分散农户生活污水有效管控，指导和推动分散农户生活污水资源利用，提升分散农户生活污水处置水平。加强监督指导，组织开展绩效评估和监测评价。强化设施建设与运行一体推进的管理制度，</w:t>
            </w:r>
            <w:r>
              <w:rPr>
                <w:rFonts w:hint="eastAsia" w:eastAsia="仿宋" w:cs="Times New Roman"/>
                <w:sz w:val="24"/>
                <w:szCs w:val="24"/>
                <w:highlight w:val="none"/>
                <w:lang w:val="en-US" w:eastAsia="zh-CN"/>
              </w:rPr>
              <w:t>持续推进</w:t>
            </w:r>
            <w:r>
              <w:rPr>
                <w:rFonts w:hint="eastAsia" w:eastAsia="仿宋" w:cs="Times New Roman"/>
                <w:sz w:val="24"/>
                <w:szCs w:val="24"/>
                <w:highlight w:val="none"/>
              </w:rPr>
              <w:t>兴隆村六合场污水处理站等26个已建污水处理设施</w:t>
            </w:r>
            <w:r>
              <w:rPr>
                <w:rFonts w:hint="eastAsia" w:eastAsia="仿宋" w:cs="Times New Roman"/>
                <w:sz w:val="24"/>
                <w:szCs w:val="24"/>
                <w:highlight w:val="none"/>
                <w:lang w:eastAsia="zh-CN"/>
              </w:rPr>
              <w:t>，</w:t>
            </w:r>
            <w:r>
              <w:rPr>
                <w:rFonts w:hint="eastAsia" w:eastAsia="仿宋" w:cs="Times New Roman"/>
                <w:sz w:val="24"/>
                <w:szCs w:val="24"/>
                <w:highlight w:val="none"/>
              </w:rPr>
              <w:t>以及河鱼乡平溪村等新建污水处理设施运行维护管理，保障农村生活污水治理设施持续运行。2025年底前，全县104个优先治理行政村生活污水得到全面治理，农村生活污水治理农户覆盖率达到</w:t>
            </w:r>
            <w:r>
              <w:rPr>
                <w:rFonts w:hint="eastAsia" w:eastAsia="仿宋" w:cs="Times New Roman"/>
                <w:sz w:val="24"/>
                <w:szCs w:val="24"/>
                <w:highlight w:val="none"/>
                <w:lang w:val="en-US" w:eastAsia="zh-CN"/>
              </w:rPr>
              <w:t>80</w:t>
            </w:r>
            <w:r>
              <w:rPr>
                <w:rFonts w:hint="eastAsia" w:eastAsia="仿宋" w:cs="Times New Roman"/>
                <w:sz w:val="24"/>
                <w:szCs w:val="24"/>
                <w:highlight w:val="none"/>
              </w:rPr>
              <w:t>%以上，农村生活污水治理率达到</w:t>
            </w:r>
            <w:r>
              <w:rPr>
                <w:rFonts w:hint="eastAsia" w:eastAsia="仿宋" w:cs="Times New Roman"/>
                <w:sz w:val="24"/>
                <w:szCs w:val="24"/>
                <w:highlight w:val="none"/>
                <w:lang w:val="en-US" w:eastAsia="zh-CN"/>
              </w:rPr>
              <w:t>50</w:t>
            </w:r>
            <w:r>
              <w:rPr>
                <w:rFonts w:hint="eastAsia" w:eastAsia="仿宋" w:cs="Times New Roman"/>
                <w:sz w:val="24"/>
                <w:szCs w:val="24"/>
                <w:highlight w:val="none"/>
              </w:rPr>
              <w:t>%以上。</w:t>
            </w:r>
          </w:p>
        </w:tc>
        <w:tc>
          <w:tcPr>
            <w:tcW w:w="1321" w:type="dxa"/>
            <w:shd w:val="clear" w:color="auto" w:fill="auto"/>
            <w:vAlign w:val="center"/>
          </w:tcPr>
          <w:p>
            <w:pPr>
              <w:widowControl/>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widowControl/>
              <w:spacing w:line="312" w:lineRule="exact"/>
              <w:ind w:firstLine="0" w:firstLineChars="0"/>
              <w:jc w:val="center"/>
              <w:rPr>
                <w:rFonts w:hint="eastAsia" w:ascii="Times New Roman" w:hAnsi="Times New Roman" w:eastAsia="仿宋" w:cs="Times New Roman"/>
                <w:kern w:val="2"/>
                <w:sz w:val="24"/>
                <w:szCs w:val="24"/>
                <w:highlight w:val="none"/>
                <w:lang w:val="en-US" w:eastAsia="zh-CN" w:bidi="ar-SA"/>
              </w:rPr>
            </w:pPr>
            <w:r>
              <w:rPr>
                <w:rFonts w:hint="eastAsia" w:eastAsia="仿宋" w:cs="Times New Roman"/>
                <w:sz w:val="24"/>
                <w:szCs w:val="24"/>
                <w:highlight w:val="none"/>
                <w:lang w:eastAsia="zh-CN"/>
              </w:rPr>
              <w:t>县发展改革委</w:t>
            </w:r>
            <w:r>
              <w:rPr>
                <w:rFonts w:eastAsia="仿宋" w:cs="Times New Roman"/>
                <w:sz w:val="24"/>
                <w:szCs w:val="24"/>
                <w:highlight w:val="none"/>
              </w:rPr>
              <w:t>、</w:t>
            </w:r>
            <w:r>
              <w:rPr>
                <w:rFonts w:hint="eastAsia" w:eastAsia="仿宋" w:cs="Times New Roman"/>
                <w:sz w:val="24"/>
                <w:szCs w:val="24"/>
                <w:highlight w:val="none"/>
                <w:lang w:eastAsia="zh-CN"/>
              </w:rPr>
              <w:t>县规划自然资源局</w:t>
            </w:r>
          </w:p>
        </w:tc>
        <w:tc>
          <w:tcPr>
            <w:tcW w:w="1200" w:type="dxa"/>
            <w:shd w:val="clear" w:color="auto" w:fill="auto"/>
            <w:vAlign w:val="center"/>
          </w:tcPr>
          <w:p>
            <w:pPr>
              <w:widowControl/>
              <w:spacing w:line="312" w:lineRule="exact"/>
              <w:ind w:firstLine="0" w:firstLineChars="0"/>
              <w:jc w:val="center"/>
              <w:rPr>
                <w:rFonts w:ascii="Times New Roman" w:hAnsi="Times New Roman" w:eastAsia="仿宋" w:cs="Times New Roman"/>
                <w:kern w:val="0"/>
                <w:sz w:val="24"/>
                <w:szCs w:val="24"/>
                <w:highlight w:val="none"/>
                <w:lang w:val="en-US" w:eastAsia="zh-CN" w:bidi="ar-SA"/>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widowControl/>
              <w:spacing w:line="312" w:lineRule="exact"/>
              <w:ind w:firstLine="0" w:firstLineChars="0"/>
              <w:jc w:val="center"/>
              <w:rPr>
                <w:rFonts w:eastAsia="仿宋" w:cs="Times New Roman"/>
                <w:kern w:val="0"/>
                <w:sz w:val="24"/>
                <w:szCs w:val="24"/>
                <w:highlight w:val="none"/>
              </w:rPr>
            </w:pPr>
          </w:p>
        </w:tc>
        <w:tc>
          <w:tcPr>
            <w:tcW w:w="1180" w:type="dxa"/>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推进</w:t>
            </w:r>
            <w:r>
              <w:rPr>
                <w:rFonts w:eastAsia="仿宋" w:cs="Times New Roman"/>
                <w:sz w:val="24"/>
                <w:szCs w:val="24"/>
                <w:highlight w:val="none"/>
              </w:rPr>
              <w:t>农村生活垃圾治理</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结合</w:t>
            </w:r>
            <w:r>
              <w:rPr>
                <w:rFonts w:hint="eastAsia" w:eastAsia="仿宋" w:cs="Times New Roman"/>
                <w:sz w:val="24"/>
                <w:szCs w:val="24"/>
                <w:highlight w:val="none"/>
                <w:lang w:eastAsia="zh-CN"/>
              </w:rPr>
              <w:t>“</w:t>
            </w:r>
            <w:r>
              <w:rPr>
                <w:rFonts w:eastAsia="仿宋" w:cs="Times New Roman"/>
                <w:sz w:val="24"/>
                <w:szCs w:val="24"/>
                <w:highlight w:val="none"/>
              </w:rPr>
              <w:t>无废城市</w:t>
            </w:r>
            <w:r>
              <w:rPr>
                <w:rFonts w:hint="eastAsia" w:eastAsia="仿宋" w:cs="Times New Roman"/>
                <w:sz w:val="24"/>
                <w:szCs w:val="24"/>
                <w:highlight w:val="none"/>
                <w:lang w:eastAsia="zh-CN"/>
              </w:rPr>
              <w:t>”</w:t>
            </w:r>
            <w:r>
              <w:rPr>
                <w:rFonts w:eastAsia="仿宋" w:cs="Times New Roman"/>
                <w:sz w:val="24"/>
                <w:szCs w:val="24"/>
                <w:highlight w:val="none"/>
              </w:rPr>
              <w:t>建设要求，</w:t>
            </w:r>
            <w:r>
              <w:rPr>
                <w:rFonts w:hint="eastAsia" w:eastAsia="仿宋" w:cs="Times New Roman"/>
                <w:sz w:val="24"/>
                <w:szCs w:val="24"/>
                <w:highlight w:val="none"/>
              </w:rPr>
              <w:t>建立健全农村生活垃圾收集、转运和处置体系，</w:t>
            </w:r>
            <w:r>
              <w:rPr>
                <w:rFonts w:eastAsia="仿宋" w:cs="Times New Roman"/>
                <w:sz w:val="24"/>
                <w:szCs w:val="24"/>
                <w:highlight w:val="none"/>
              </w:rPr>
              <w:t>2025年底</w:t>
            </w:r>
            <w:r>
              <w:rPr>
                <w:rFonts w:hint="eastAsia" w:eastAsia="仿宋" w:cs="Times New Roman"/>
                <w:sz w:val="24"/>
                <w:szCs w:val="24"/>
                <w:highlight w:val="none"/>
                <w:lang w:val="en-US" w:eastAsia="zh-CN"/>
              </w:rPr>
              <w:t>前</w:t>
            </w:r>
            <w:r>
              <w:rPr>
                <w:rFonts w:eastAsia="仿宋" w:cs="Times New Roman"/>
                <w:sz w:val="24"/>
                <w:szCs w:val="24"/>
                <w:highlight w:val="none"/>
              </w:rPr>
              <w:t>，</w:t>
            </w:r>
            <w:r>
              <w:rPr>
                <w:rFonts w:hint="eastAsia" w:eastAsia="仿宋" w:cs="Times New Roman"/>
                <w:sz w:val="24"/>
                <w:szCs w:val="24"/>
                <w:highlight w:val="none"/>
              </w:rPr>
              <w:t>全县实现生活垃圾收运处置体系覆盖100</w:t>
            </w:r>
            <w:r>
              <w:rPr>
                <w:rFonts w:eastAsia="仿宋" w:cs="Times New Roman"/>
                <w:sz w:val="24"/>
                <w:szCs w:val="24"/>
                <w:highlight w:val="none"/>
              </w:rPr>
              <w:t>%</w:t>
            </w:r>
            <w:r>
              <w:rPr>
                <w:rFonts w:hint="eastAsia" w:eastAsia="仿宋" w:cs="Times New Roman"/>
                <w:sz w:val="24"/>
                <w:szCs w:val="24"/>
                <w:highlight w:val="none"/>
              </w:rPr>
              <w:t>的自然村（组）。推进农村生活垃圾分类和资源化利用，探索适宜城口县山区特点的农村生活垃圾简易分类模式，引导农户采取庭院堆肥或村域集中处理消纳厨余垃圾。</w:t>
            </w:r>
            <w:r>
              <w:rPr>
                <w:rFonts w:eastAsia="仿宋" w:cs="Times New Roman"/>
                <w:sz w:val="24"/>
                <w:szCs w:val="24"/>
                <w:highlight w:val="none"/>
              </w:rPr>
              <w:t>借鉴</w:t>
            </w:r>
            <w:r>
              <w:rPr>
                <w:rFonts w:hint="eastAsia" w:eastAsia="仿宋" w:cs="Times New Roman"/>
                <w:sz w:val="24"/>
                <w:szCs w:val="24"/>
                <w:highlight w:val="none"/>
                <w:lang w:val="en-US" w:eastAsia="zh-CN"/>
              </w:rPr>
              <w:t>农田</w:t>
            </w:r>
            <w:r>
              <w:rPr>
                <w:rFonts w:eastAsia="仿宋" w:cs="Times New Roman"/>
                <w:sz w:val="24"/>
                <w:szCs w:val="24"/>
                <w:highlight w:val="none"/>
              </w:rPr>
              <w:t>乡</w:t>
            </w:r>
            <w:r>
              <w:rPr>
                <w:rFonts w:hint="eastAsia" w:eastAsia="仿宋" w:cs="Times New Roman"/>
                <w:sz w:val="24"/>
                <w:szCs w:val="24"/>
                <w:highlight w:val="none"/>
                <w:lang w:val="en-US" w:eastAsia="zh-CN"/>
              </w:rPr>
              <w:t>联丰</w:t>
            </w:r>
            <w:r>
              <w:rPr>
                <w:rFonts w:eastAsia="仿宋" w:cs="Times New Roman"/>
                <w:sz w:val="24"/>
                <w:szCs w:val="24"/>
                <w:highlight w:val="none"/>
              </w:rPr>
              <w:t>村的生活垃圾分类示范点经验，实施垃圾</w:t>
            </w:r>
            <w:r>
              <w:rPr>
                <w:rFonts w:hint="eastAsia" w:eastAsia="仿宋" w:cs="Times New Roman"/>
                <w:sz w:val="24"/>
                <w:szCs w:val="24"/>
                <w:highlight w:val="none"/>
              </w:rPr>
              <w:t>“</w:t>
            </w:r>
            <w:r>
              <w:rPr>
                <w:rFonts w:eastAsia="仿宋" w:cs="Times New Roman"/>
                <w:sz w:val="24"/>
                <w:szCs w:val="24"/>
                <w:highlight w:val="none"/>
              </w:rPr>
              <w:t>零废弃</w:t>
            </w:r>
            <w:r>
              <w:rPr>
                <w:rFonts w:hint="eastAsia" w:eastAsia="仿宋" w:cs="Times New Roman"/>
                <w:sz w:val="24"/>
                <w:szCs w:val="24"/>
                <w:highlight w:val="none"/>
              </w:rPr>
              <w:t>”</w:t>
            </w:r>
            <w:r>
              <w:rPr>
                <w:rFonts w:eastAsia="仿宋" w:cs="Times New Roman"/>
                <w:sz w:val="24"/>
                <w:szCs w:val="24"/>
                <w:highlight w:val="none"/>
              </w:rPr>
              <w:t>村庄建设试点。</w:t>
            </w:r>
            <w:r>
              <w:rPr>
                <w:rFonts w:hint="eastAsia" w:eastAsia="仿宋" w:cs="Times New Roman"/>
                <w:sz w:val="24"/>
                <w:szCs w:val="24"/>
                <w:highlight w:val="none"/>
              </w:rPr>
              <w:t>完善农村生活垃圾治理长效机制，建立农村保洁人员配备机制，探索村庄保洁市场化运营机制，健全行政村生活垃圾收运、分类、资源化利用的检查和考核制度。</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县住房城乡建委</w:t>
            </w:r>
          </w:p>
        </w:tc>
        <w:tc>
          <w:tcPr>
            <w:tcW w:w="1444"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（四）持续开展农村环境综合整治</w:t>
            </w:r>
          </w:p>
        </w:tc>
        <w:tc>
          <w:tcPr>
            <w:tcW w:w="1180" w:type="dxa"/>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加强农村饮用水水源地保护</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hint="eastAsia" w:eastAsia="仿宋" w:cs="Times New Roman"/>
                <w:sz w:val="24"/>
                <w:szCs w:val="24"/>
                <w:highlight w:val="none"/>
              </w:rPr>
              <w:t>推进</w:t>
            </w:r>
            <w:r>
              <w:rPr>
                <w:rFonts w:eastAsia="仿宋" w:cs="Times New Roman"/>
                <w:sz w:val="24"/>
                <w:szCs w:val="24"/>
                <w:highlight w:val="none"/>
              </w:rPr>
              <w:t>全县集中式饮用水水源地基础信息调查，</w:t>
            </w:r>
            <w:r>
              <w:rPr>
                <w:rFonts w:hint="eastAsia" w:eastAsia="仿宋" w:cs="Times New Roman"/>
                <w:sz w:val="24"/>
                <w:szCs w:val="24"/>
                <w:highlight w:val="none"/>
              </w:rPr>
              <w:t>建立完善农村集中式饮用水源地名录和信息台账</w:t>
            </w:r>
            <w:r>
              <w:rPr>
                <w:rFonts w:eastAsia="仿宋" w:cs="Times New Roman"/>
                <w:sz w:val="24"/>
                <w:szCs w:val="24"/>
                <w:highlight w:val="none"/>
              </w:rPr>
              <w:t>。</w:t>
            </w:r>
            <w:r>
              <w:rPr>
                <w:rFonts w:hint="eastAsia" w:eastAsia="仿宋" w:cs="Times New Roman"/>
                <w:sz w:val="24"/>
                <w:szCs w:val="24"/>
                <w:highlight w:val="none"/>
              </w:rPr>
              <w:t>以乡镇集中式饮用水水源地为重点，加快整治周边环境污染问题，持续推进</w:t>
            </w:r>
            <w:r>
              <w:rPr>
                <w:rFonts w:eastAsia="仿宋" w:cs="Times New Roman"/>
                <w:sz w:val="24"/>
                <w:szCs w:val="24"/>
                <w:highlight w:val="none"/>
              </w:rPr>
              <w:t>集中式饮用水水源地规范化建设。2025</w:t>
            </w:r>
            <w:r>
              <w:rPr>
                <w:rFonts w:hint="eastAsia" w:eastAsia="仿宋" w:cs="Times New Roman"/>
                <w:sz w:val="24"/>
                <w:szCs w:val="24"/>
                <w:highlight w:val="none"/>
              </w:rPr>
              <w:t>年底前，全县乡镇集中式饮用水水源地规范化建设完成比例达到</w:t>
            </w:r>
            <w:r>
              <w:rPr>
                <w:rFonts w:eastAsia="仿宋" w:cs="Times New Roman"/>
                <w:sz w:val="24"/>
                <w:szCs w:val="24"/>
                <w:highlight w:val="none"/>
              </w:rPr>
              <w:t>95%</w:t>
            </w:r>
            <w:r>
              <w:rPr>
                <w:rFonts w:hint="eastAsia" w:eastAsia="仿宋" w:cs="Times New Roman"/>
                <w:sz w:val="24"/>
                <w:szCs w:val="24"/>
                <w:highlight w:val="none"/>
              </w:rPr>
              <w:t>。加强农村集中式饮用水水源保护区监督管理，实施饮用水水源、供水单位供水和用户水龙头水质状况监测评估，依法向社会公开饮用水安全状况信息。</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县水利局</w:t>
            </w:r>
            <w:r>
              <w:rPr>
                <w:rFonts w:hint="eastAsia" w:eastAsia="仿宋" w:cs="Times New Roman"/>
                <w:sz w:val="24"/>
                <w:szCs w:val="24"/>
                <w:highlight w:val="none"/>
                <w:lang w:eastAsia="zh-CN"/>
              </w:rPr>
              <w:t>、</w:t>
            </w:r>
            <w:r>
              <w:rPr>
                <w:rFonts w:hint="eastAsia" w:eastAsia="仿宋" w:cs="Times New Roman"/>
                <w:sz w:val="24"/>
                <w:szCs w:val="24"/>
                <w:highlight w:val="none"/>
                <w:lang w:val="en-US" w:eastAsia="zh-CN"/>
              </w:rPr>
              <w:t>县乡村振兴局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1180" w:type="dxa"/>
            <w:vMerge w:val="restart"/>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开展农村黑臭水体整治</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hint="eastAsia" w:eastAsia="仿宋" w:cs="Times New Roman"/>
                <w:sz w:val="24"/>
                <w:szCs w:val="24"/>
                <w:highlight w:val="none"/>
                <w:lang w:val="en-US" w:eastAsia="zh-CN"/>
              </w:rPr>
              <w:t>持续</w:t>
            </w:r>
            <w:r>
              <w:rPr>
                <w:rFonts w:hint="eastAsia" w:eastAsia="仿宋" w:cs="Times New Roman"/>
                <w:sz w:val="24"/>
                <w:szCs w:val="24"/>
                <w:highlight w:val="none"/>
              </w:rPr>
              <w:t>开展农村黑臭水体污染排查、跟踪监测，建立清单，分类施治，</w:t>
            </w:r>
            <w:r>
              <w:rPr>
                <w:rFonts w:eastAsia="仿宋" w:cs="Times New Roman"/>
                <w:sz w:val="24"/>
                <w:szCs w:val="24"/>
                <w:highlight w:val="none"/>
              </w:rPr>
              <w:t>动态更新农村黑臭水体治理台账。</w:t>
            </w:r>
            <w:r>
              <w:rPr>
                <w:rFonts w:hint="eastAsia" w:eastAsia="仿宋" w:cs="Times New Roman"/>
                <w:sz w:val="24"/>
                <w:szCs w:val="24"/>
                <w:highlight w:val="none"/>
              </w:rPr>
              <w:t>突出精准治污，因地制宜选择制度性、生态性、工程性措施对黑臭水体实施综合治理。</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hint="eastAsia" w:eastAsia="仿宋" w:cs="Times New Roman"/>
                <w:sz w:val="24"/>
                <w:szCs w:val="24"/>
                <w:highlight w:val="none"/>
                <w:lang w:eastAsia="zh-CN"/>
              </w:rPr>
            </w:pPr>
            <w:r>
              <w:rPr>
                <w:rFonts w:eastAsia="仿宋" w:cs="Times New Roman"/>
                <w:sz w:val="24"/>
                <w:szCs w:val="24"/>
                <w:highlight w:val="none"/>
              </w:rPr>
              <w:t>县水利局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1180"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topLinePunct/>
              <w:spacing w:line="312" w:lineRule="exact"/>
              <w:ind w:firstLine="0" w:firstLineChars="0"/>
              <w:rPr>
                <w:rFonts w:hint="eastAsia" w:eastAsia="仿宋" w:cs="Times New Roman"/>
                <w:sz w:val="24"/>
                <w:szCs w:val="24"/>
                <w:highlight w:val="none"/>
                <w:lang w:val="en-US" w:eastAsia="zh-CN"/>
              </w:rPr>
            </w:pPr>
            <w:r>
              <w:rPr>
                <w:rFonts w:eastAsia="仿宋" w:cs="Times New Roman"/>
                <w:sz w:val="24"/>
                <w:szCs w:val="24"/>
                <w:highlight w:val="none"/>
              </w:rPr>
              <w:t>强化河长制、湖长制体系向村级延伸，农村黑臭水体所在河湖的河长、湖长要切实履行责任，实现农村黑臭水体有效治理和长效管护。</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县水利局</w:t>
            </w:r>
          </w:p>
        </w:tc>
        <w:tc>
          <w:tcPr>
            <w:tcW w:w="1444" w:type="dxa"/>
            <w:shd w:val="clear" w:color="auto" w:fill="auto"/>
            <w:vAlign w:val="center"/>
          </w:tcPr>
          <w:p>
            <w:pPr>
              <w:topLinePunct/>
              <w:spacing w:line="312" w:lineRule="exact"/>
              <w:ind w:firstLine="0" w:firstLineChars="0"/>
              <w:jc w:val="center"/>
              <w:rPr>
                <w:rFonts w:hint="eastAsia" w:ascii="Times New Roman" w:hAnsi="Times New Roman" w:eastAsia="仿宋" w:cs="Times New Roman"/>
                <w:kern w:val="2"/>
                <w:sz w:val="24"/>
                <w:szCs w:val="24"/>
                <w:highlight w:val="none"/>
                <w:lang w:val="en-US" w:eastAsia="zh-CN" w:bidi="ar-SA"/>
              </w:rPr>
            </w:pPr>
            <w:r>
              <w:rPr>
                <w:rFonts w:eastAsia="仿宋" w:cs="Times New Roman"/>
                <w:sz w:val="24"/>
                <w:szCs w:val="24"/>
                <w:highlight w:val="none"/>
              </w:rPr>
              <w:t>县生态环境局</w:t>
            </w:r>
          </w:p>
        </w:tc>
        <w:tc>
          <w:tcPr>
            <w:tcW w:w="1200" w:type="dxa"/>
            <w:shd w:val="clear" w:color="auto" w:fill="auto"/>
            <w:vAlign w:val="center"/>
          </w:tcPr>
          <w:p>
            <w:pPr>
              <w:widowControl/>
              <w:spacing w:line="312" w:lineRule="exact"/>
              <w:ind w:firstLine="0" w:firstLineChars="0"/>
              <w:jc w:val="center"/>
              <w:rPr>
                <w:rFonts w:ascii="Times New Roman" w:hAnsi="Times New Roman" w:eastAsia="仿宋" w:cs="Times New Roman"/>
                <w:kern w:val="0"/>
                <w:sz w:val="24"/>
                <w:szCs w:val="24"/>
                <w:highlight w:val="none"/>
                <w:lang w:val="en-US" w:eastAsia="zh-CN" w:bidi="ar-SA"/>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1180" w:type="dxa"/>
            <w:vMerge w:val="restart"/>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推进农村生态系统恢复</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统筹推进农村生态系统保护与山水林田湖草系统治理，加强森林生态系统、湿地生态系统修复和山系、水系、廊道生态修复。严厉打击非法采砂、洗砂、取土等破坏农村生态环境行为。</w:t>
            </w:r>
          </w:p>
        </w:tc>
        <w:tc>
          <w:tcPr>
            <w:tcW w:w="1321" w:type="dxa"/>
            <w:shd w:val="clear" w:color="auto" w:fill="auto"/>
            <w:vAlign w:val="center"/>
          </w:tcPr>
          <w:p>
            <w:pPr>
              <w:topLinePunct/>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县规划自然资源局</w:t>
            </w:r>
          </w:p>
        </w:tc>
        <w:tc>
          <w:tcPr>
            <w:tcW w:w="1444" w:type="dxa"/>
            <w:shd w:val="clear" w:color="auto" w:fill="auto"/>
            <w:vAlign w:val="center"/>
          </w:tcPr>
          <w:p>
            <w:pPr>
              <w:topLinePunct/>
              <w:spacing w:line="312" w:lineRule="exact"/>
              <w:ind w:firstLine="0" w:firstLineChars="0"/>
              <w:jc w:val="center"/>
              <w:rPr>
                <w:rFonts w:hint="default" w:eastAsia="仿宋" w:cs="Times New Roman"/>
                <w:sz w:val="24"/>
                <w:szCs w:val="24"/>
                <w:highlight w:val="none"/>
                <w:lang w:val="en-US"/>
              </w:rPr>
            </w:pPr>
            <w:r>
              <w:rPr>
                <w:rFonts w:eastAsia="仿宋" w:cs="Times New Roman"/>
                <w:sz w:val="24"/>
                <w:szCs w:val="24"/>
                <w:highlight w:val="none"/>
              </w:rPr>
              <w:t>县生态环境局</w:t>
            </w:r>
            <w:r>
              <w:rPr>
                <w:rFonts w:hint="eastAsia" w:eastAsia="仿宋" w:cs="Times New Roman"/>
                <w:sz w:val="24"/>
                <w:szCs w:val="24"/>
                <w:highlight w:val="none"/>
                <w:lang w:eastAsia="zh-CN"/>
              </w:rPr>
              <w:t>、</w:t>
            </w:r>
            <w:r>
              <w:rPr>
                <w:rFonts w:hint="eastAsia" w:eastAsia="仿宋" w:cs="Times New Roman"/>
                <w:sz w:val="24"/>
                <w:szCs w:val="24"/>
                <w:highlight w:val="none"/>
                <w:lang w:val="en-US" w:eastAsia="zh-CN"/>
              </w:rPr>
              <w:t>县水利局、县林业局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1180"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构建以任河、前河为主体，其他支流、水库为支撑的绿色生态廊道。</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县水利局</w:t>
            </w:r>
          </w:p>
        </w:tc>
        <w:tc>
          <w:tcPr>
            <w:tcW w:w="1444" w:type="dxa"/>
            <w:shd w:val="clear" w:color="auto" w:fill="auto"/>
            <w:vAlign w:val="center"/>
          </w:tcPr>
          <w:p>
            <w:pPr>
              <w:topLinePunct/>
              <w:spacing w:line="312" w:lineRule="exact"/>
              <w:ind w:firstLine="0" w:firstLineChars="0"/>
              <w:jc w:val="center"/>
              <w:rPr>
                <w:rFonts w:hint="default" w:eastAsia="仿宋" w:cs="Times New Roman"/>
                <w:sz w:val="24"/>
                <w:szCs w:val="24"/>
                <w:highlight w:val="none"/>
                <w:lang w:val="en-US" w:eastAsia="zh-CN"/>
              </w:rPr>
            </w:pPr>
            <w:r>
              <w:rPr>
                <w:rFonts w:eastAsia="仿宋" w:cs="Times New Roman"/>
                <w:sz w:val="24"/>
                <w:szCs w:val="24"/>
                <w:highlight w:val="none"/>
              </w:rPr>
              <w:t>县生态环境局</w:t>
            </w:r>
            <w:r>
              <w:rPr>
                <w:rFonts w:hint="eastAsia" w:eastAsia="仿宋" w:cs="Times New Roman"/>
                <w:sz w:val="24"/>
                <w:szCs w:val="24"/>
                <w:highlight w:val="none"/>
                <w:lang w:eastAsia="zh-CN"/>
              </w:rPr>
              <w:t>、</w:t>
            </w:r>
            <w:r>
              <w:rPr>
                <w:rFonts w:hint="eastAsia" w:eastAsia="仿宋" w:cs="Times New Roman"/>
                <w:sz w:val="24"/>
                <w:szCs w:val="24"/>
                <w:highlight w:val="none"/>
                <w:lang w:val="en-US" w:eastAsia="zh-CN"/>
              </w:rPr>
              <w:t>县林业局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1" w:type="dxa"/>
            <w:gridSpan w:val="7"/>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b/>
                <w:bCs/>
                <w:kern w:val="0"/>
                <w:sz w:val="24"/>
                <w:szCs w:val="24"/>
                <w:highlight w:val="none"/>
              </w:rPr>
              <w:t>（三）稳步推进地下水生态环境保护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w:t>
            </w:r>
            <w:r>
              <w:rPr>
                <w:rFonts w:hint="eastAsia" w:eastAsia="仿宋" w:cs="Times New Roman"/>
                <w:sz w:val="24"/>
                <w:szCs w:val="24"/>
                <w:highlight w:val="none"/>
                <w:lang w:val="en-US" w:eastAsia="zh-CN"/>
              </w:rPr>
              <w:t>一</w:t>
            </w:r>
            <w:r>
              <w:rPr>
                <w:rFonts w:eastAsia="仿宋" w:cs="Times New Roman"/>
                <w:sz w:val="24"/>
                <w:szCs w:val="24"/>
                <w:highlight w:val="none"/>
              </w:rPr>
              <w:t>）</w:t>
            </w:r>
            <w:r>
              <w:rPr>
                <w:rFonts w:hint="eastAsia" w:eastAsia="仿宋" w:cs="Times New Roman"/>
                <w:sz w:val="24"/>
                <w:szCs w:val="24"/>
                <w:highlight w:val="none"/>
              </w:rPr>
              <w:t>实施地下水</w:t>
            </w:r>
            <w:r>
              <w:rPr>
                <w:rFonts w:eastAsia="仿宋" w:cs="Times New Roman"/>
                <w:sz w:val="24"/>
                <w:szCs w:val="24"/>
                <w:highlight w:val="none"/>
              </w:rPr>
              <w:t>重点污染源监督管理</w:t>
            </w:r>
          </w:p>
        </w:tc>
        <w:tc>
          <w:tcPr>
            <w:tcW w:w="1180"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调查评估重点污染源周边地下水环境状况</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以锰钡矿废渣处置场、垃圾填埋场、矿山开采区、加油站地下油罐等为重点区域，开展</w:t>
            </w:r>
            <w:r>
              <w:rPr>
                <w:rFonts w:hint="eastAsia" w:eastAsia="仿宋" w:cs="Times New Roman"/>
                <w:sz w:val="24"/>
                <w:szCs w:val="24"/>
                <w:highlight w:val="none"/>
              </w:rPr>
              <w:t>“</w:t>
            </w:r>
            <w:r>
              <w:rPr>
                <w:rFonts w:eastAsia="仿宋" w:cs="Times New Roman"/>
                <w:sz w:val="24"/>
                <w:szCs w:val="24"/>
                <w:highlight w:val="none"/>
              </w:rPr>
              <w:t>一企一库</w:t>
            </w:r>
            <w:r>
              <w:rPr>
                <w:rFonts w:hint="eastAsia" w:eastAsia="仿宋" w:cs="Times New Roman"/>
                <w:sz w:val="24"/>
                <w:szCs w:val="24"/>
                <w:highlight w:val="none"/>
              </w:rPr>
              <w:t>”“</w:t>
            </w:r>
            <w:r>
              <w:rPr>
                <w:rFonts w:eastAsia="仿宋" w:cs="Times New Roman"/>
                <w:sz w:val="24"/>
                <w:szCs w:val="24"/>
                <w:highlight w:val="none"/>
              </w:rPr>
              <w:t>两场两区</w:t>
            </w:r>
            <w:r>
              <w:rPr>
                <w:rFonts w:hint="eastAsia" w:eastAsia="仿宋" w:cs="Times New Roman"/>
                <w:sz w:val="24"/>
                <w:szCs w:val="24"/>
                <w:highlight w:val="none"/>
              </w:rPr>
              <w:t>”</w:t>
            </w:r>
            <w:r>
              <w:rPr>
                <w:rFonts w:eastAsia="仿宋" w:cs="Times New Roman"/>
                <w:sz w:val="24"/>
                <w:szCs w:val="24"/>
                <w:highlight w:val="none"/>
              </w:rPr>
              <w:t>（即化学品生产企业、尾矿库、危险废物处置场、垃圾填埋场、工业集聚区、矿山开采区）地下水环境状况调查评估。衔接污染源普查和重点行业企业用地调查等成果，查清基本信息、环境管理、水质状况等内容，评估地下水环境风险，识别地下水环境风险与管控重点。</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县经济信息委</w:t>
            </w:r>
            <w:r>
              <w:rPr>
                <w:rFonts w:eastAsia="仿宋" w:cs="Times New Roman"/>
                <w:sz w:val="24"/>
                <w:szCs w:val="24"/>
                <w:highlight w:val="none"/>
              </w:rPr>
              <w:t>、</w:t>
            </w:r>
            <w:r>
              <w:rPr>
                <w:rFonts w:hint="eastAsia" w:eastAsia="仿宋" w:cs="Times New Roman"/>
                <w:sz w:val="24"/>
                <w:szCs w:val="24"/>
                <w:highlight w:val="none"/>
                <w:lang w:eastAsia="zh-CN"/>
              </w:rPr>
              <w:t>县规划自然资源局</w:t>
            </w:r>
            <w:r>
              <w:rPr>
                <w:rFonts w:eastAsia="仿宋" w:cs="Times New Roman"/>
                <w:sz w:val="24"/>
                <w:szCs w:val="24"/>
                <w:highlight w:val="none"/>
              </w:rPr>
              <w:t>、</w:t>
            </w:r>
            <w:r>
              <w:rPr>
                <w:rFonts w:hint="eastAsia" w:eastAsia="仿宋" w:cs="Times New Roman"/>
                <w:sz w:val="24"/>
                <w:szCs w:val="24"/>
                <w:highlight w:val="none"/>
                <w:lang w:eastAsia="zh-CN"/>
              </w:rPr>
              <w:t>县住房城乡建委、</w:t>
            </w:r>
            <w:r>
              <w:rPr>
                <w:rFonts w:eastAsia="仿宋" w:cs="Times New Roman"/>
                <w:sz w:val="24"/>
                <w:szCs w:val="24"/>
                <w:highlight w:val="none"/>
              </w:rPr>
              <w:t>县水利局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1180"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落实重点污染源防渗和监测措施</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化学品生产企业、垃圾填埋场等申领排污许可证时，载明地下水污染防渗和水质监测相关义务，逐步推进地下水环境自行监测，建立监测数据报送制度。严防渣场尾矿库、垃圾填埋场</w:t>
            </w:r>
            <w:r>
              <w:rPr>
                <w:rFonts w:hint="eastAsia" w:eastAsia="仿宋" w:cs="Times New Roman"/>
                <w:sz w:val="24"/>
                <w:szCs w:val="24"/>
                <w:highlight w:val="none"/>
              </w:rPr>
              <w:t>、</w:t>
            </w:r>
            <w:r>
              <w:rPr>
                <w:rFonts w:eastAsia="仿宋" w:cs="Times New Roman"/>
                <w:sz w:val="24"/>
                <w:szCs w:val="24"/>
                <w:highlight w:val="none"/>
              </w:rPr>
              <w:t>加油站等区域渗漏对地下水污染，加大日常监管力度和检查频次。</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县经济信息委</w:t>
            </w:r>
            <w:r>
              <w:rPr>
                <w:rFonts w:eastAsia="仿宋" w:cs="Times New Roman"/>
                <w:sz w:val="24"/>
                <w:szCs w:val="24"/>
                <w:highlight w:val="none"/>
              </w:rPr>
              <w:t>、</w:t>
            </w:r>
            <w:r>
              <w:rPr>
                <w:rFonts w:hint="eastAsia" w:eastAsia="仿宋" w:cs="Times New Roman"/>
                <w:sz w:val="24"/>
                <w:szCs w:val="24"/>
                <w:highlight w:val="none"/>
                <w:lang w:eastAsia="zh-CN"/>
              </w:rPr>
              <w:t>县住房城乡建委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restart"/>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w:t>
            </w:r>
            <w:r>
              <w:rPr>
                <w:rFonts w:hint="eastAsia" w:eastAsia="仿宋" w:cs="Times New Roman"/>
                <w:sz w:val="24"/>
                <w:szCs w:val="24"/>
                <w:highlight w:val="none"/>
                <w:lang w:val="en-US" w:eastAsia="zh-CN"/>
              </w:rPr>
              <w:t>二</w:t>
            </w:r>
            <w:r>
              <w:rPr>
                <w:rFonts w:hint="eastAsia" w:eastAsia="仿宋" w:cs="Times New Roman"/>
                <w:sz w:val="24"/>
                <w:szCs w:val="24"/>
                <w:highlight w:val="none"/>
              </w:rPr>
              <w:t>）试点推进</w:t>
            </w:r>
            <w:r>
              <w:rPr>
                <w:rFonts w:eastAsia="仿宋" w:cs="Times New Roman"/>
                <w:sz w:val="24"/>
                <w:szCs w:val="24"/>
                <w:highlight w:val="none"/>
              </w:rPr>
              <w:t>地下水污染风险管控和修复</w:t>
            </w:r>
          </w:p>
        </w:tc>
        <w:tc>
          <w:tcPr>
            <w:tcW w:w="1180" w:type="dxa"/>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推进</w:t>
            </w:r>
            <w:r>
              <w:rPr>
                <w:rFonts w:hint="eastAsia" w:eastAsia="仿宋" w:cs="Times New Roman"/>
                <w:sz w:val="24"/>
                <w:szCs w:val="24"/>
                <w:highlight w:val="none"/>
                <w:lang w:val="en-US" w:eastAsia="zh-CN"/>
              </w:rPr>
              <w:t>工业</w:t>
            </w:r>
            <w:r>
              <w:rPr>
                <w:rFonts w:eastAsia="仿宋" w:cs="Times New Roman"/>
                <w:sz w:val="24"/>
                <w:szCs w:val="24"/>
                <w:highlight w:val="none"/>
              </w:rPr>
              <w:t>园区地下水污染风险管控</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hint="eastAsia" w:eastAsia="仿宋" w:cs="Times New Roman"/>
                <w:sz w:val="24"/>
                <w:szCs w:val="24"/>
                <w:highlight w:val="none"/>
              </w:rPr>
              <w:t>根据</w:t>
            </w:r>
            <w:r>
              <w:rPr>
                <w:rFonts w:eastAsia="仿宋" w:cs="Times New Roman"/>
                <w:sz w:val="24"/>
                <w:szCs w:val="24"/>
                <w:highlight w:val="none"/>
              </w:rPr>
              <w:t>工业园区高燕组团、庙坝组团、巴山组团等区域地下水环境状况调查评估结果，对环境风险不可接受的，实施地下水污染风险管控，阻止地下水污染扩散，加强风险管控后期地下水环境监管，规范工业园区地下水监测管理。</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县规划自然资源局</w:t>
            </w:r>
            <w:r>
              <w:rPr>
                <w:rFonts w:eastAsia="仿宋" w:cs="Times New Roman"/>
                <w:sz w:val="24"/>
                <w:szCs w:val="24"/>
                <w:highlight w:val="none"/>
              </w:rPr>
              <w:t>、县水利局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1180" w:type="dxa"/>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防控</w:t>
            </w:r>
            <w:r>
              <w:rPr>
                <w:rFonts w:eastAsia="仿宋" w:cs="Times New Roman"/>
                <w:sz w:val="24"/>
                <w:szCs w:val="24"/>
                <w:highlight w:val="none"/>
              </w:rPr>
              <w:t>危险废物填埋场地下水污染</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根据渗漏检测层渗漏量、地下水监测等结果，发现地下水污染的</w:t>
            </w:r>
            <w:r>
              <w:rPr>
                <w:rFonts w:hint="eastAsia" w:eastAsia="仿宋" w:cs="Times New Roman"/>
                <w:sz w:val="24"/>
                <w:szCs w:val="24"/>
                <w:highlight w:val="none"/>
              </w:rPr>
              <w:t>应</w:t>
            </w:r>
            <w:r>
              <w:rPr>
                <w:rFonts w:eastAsia="仿宋" w:cs="Times New Roman"/>
                <w:sz w:val="24"/>
                <w:szCs w:val="24"/>
                <w:highlight w:val="none"/>
              </w:rPr>
              <w:t>及时采取管控措施。在巴山组团钡废渣处置场运行期间，每两年至少开展1次填埋场环境安全性能评估。</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县住房城乡建委</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widowControl/>
              <w:numPr>
                <w:ilvl w:val="0"/>
                <w:numId w:val="2"/>
              </w:numPr>
              <w:spacing w:line="312" w:lineRule="exact"/>
              <w:ind w:left="0" w:right="-189" w:rightChars="-59" w:firstLine="0" w:firstLineChars="0"/>
              <w:jc w:val="center"/>
              <w:rPr>
                <w:rFonts w:eastAsia="仿宋" w:cs="Times New Roman"/>
                <w:kern w:val="0"/>
                <w:sz w:val="24"/>
                <w:szCs w:val="24"/>
                <w:highlight w:val="none"/>
              </w:rPr>
            </w:pPr>
          </w:p>
        </w:tc>
        <w:tc>
          <w:tcPr>
            <w:tcW w:w="998" w:type="dxa"/>
            <w:vMerge w:val="continue"/>
            <w:vAlign w:val="center"/>
          </w:tcPr>
          <w:p>
            <w:pPr>
              <w:topLinePunct/>
              <w:spacing w:line="312" w:lineRule="exact"/>
              <w:ind w:firstLine="0" w:firstLineChars="0"/>
              <w:jc w:val="center"/>
              <w:rPr>
                <w:rFonts w:eastAsia="仿宋" w:cs="Times New Roman"/>
                <w:sz w:val="24"/>
                <w:szCs w:val="24"/>
                <w:highlight w:val="none"/>
              </w:rPr>
            </w:pPr>
          </w:p>
        </w:tc>
        <w:tc>
          <w:tcPr>
            <w:tcW w:w="1180" w:type="dxa"/>
            <w:vAlign w:val="center"/>
          </w:tcPr>
          <w:p>
            <w:pPr>
              <w:topLinePunct/>
              <w:spacing w:line="312" w:lineRule="exact"/>
              <w:ind w:firstLine="0" w:firstLineChars="0"/>
              <w:jc w:val="center"/>
              <w:rPr>
                <w:rFonts w:hint="eastAsia" w:eastAsia="仿宋" w:cs="Times New Roman"/>
                <w:sz w:val="24"/>
                <w:szCs w:val="24"/>
                <w:highlight w:val="none"/>
              </w:rPr>
            </w:pPr>
            <w:r>
              <w:rPr>
                <w:rFonts w:eastAsia="仿宋" w:cs="Times New Roman"/>
                <w:sz w:val="24"/>
                <w:szCs w:val="24"/>
                <w:highlight w:val="none"/>
              </w:rPr>
              <w:t>健全部门间地下水环境信息共享机制</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完善县生态环境</w:t>
            </w:r>
            <w:r>
              <w:rPr>
                <w:rFonts w:hint="eastAsia" w:eastAsia="仿宋" w:cs="Times New Roman"/>
                <w:sz w:val="24"/>
                <w:szCs w:val="24"/>
                <w:highlight w:val="none"/>
                <w:lang w:val="en-US" w:eastAsia="zh-CN"/>
              </w:rPr>
              <w:t>局</w:t>
            </w:r>
            <w:r>
              <w:rPr>
                <w:rFonts w:eastAsia="仿宋" w:cs="Times New Roman"/>
                <w:sz w:val="24"/>
                <w:szCs w:val="24"/>
                <w:highlight w:val="none"/>
              </w:rPr>
              <w:t>、</w:t>
            </w:r>
            <w:r>
              <w:rPr>
                <w:rFonts w:hint="eastAsia" w:eastAsia="仿宋" w:cs="Times New Roman"/>
                <w:sz w:val="24"/>
                <w:szCs w:val="24"/>
                <w:highlight w:val="none"/>
                <w:lang w:val="en-US" w:eastAsia="zh-CN"/>
              </w:rPr>
              <w:t>规划</w:t>
            </w:r>
            <w:r>
              <w:rPr>
                <w:rFonts w:eastAsia="仿宋" w:cs="Times New Roman"/>
                <w:sz w:val="24"/>
                <w:szCs w:val="24"/>
                <w:highlight w:val="none"/>
              </w:rPr>
              <w:t>自然资源</w:t>
            </w:r>
            <w:r>
              <w:rPr>
                <w:rFonts w:hint="eastAsia" w:eastAsia="仿宋" w:cs="Times New Roman"/>
                <w:sz w:val="24"/>
                <w:szCs w:val="24"/>
                <w:highlight w:val="none"/>
                <w:lang w:val="en-US" w:eastAsia="zh-CN"/>
              </w:rPr>
              <w:t>局</w:t>
            </w:r>
            <w:r>
              <w:rPr>
                <w:rFonts w:eastAsia="仿宋" w:cs="Times New Roman"/>
                <w:sz w:val="24"/>
                <w:szCs w:val="24"/>
                <w:highlight w:val="none"/>
              </w:rPr>
              <w:t>、水利</w:t>
            </w:r>
            <w:r>
              <w:rPr>
                <w:rFonts w:hint="eastAsia" w:eastAsia="仿宋" w:cs="Times New Roman"/>
                <w:sz w:val="24"/>
                <w:szCs w:val="24"/>
                <w:highlight w:val="none"/>
                <w:lang w:val="en-US" w:eastAsia="zh-CN"/>
              </w:rPr>
              <w:t>局</w:t>
            </w:r>
            <w:r>
              <w:rPr>
                <w:rFonts w:eastAsia="仿宋" w:cs="Times New Roman"/>
                <w:sz w:val="24"/>
                <w:szCs w:val="24"/>
                <w:highlight w:val="none"/>
              </w:rPr>
              <w:t>等部门联动监管机制，共享地下水环境状况调查、水文地质勘查、地下水资源调查等信息。县生态环境局会同相关部门推进地下水环境</w:t>
            </w:r>
            <w:r>
              <w:rPr>
                <w:rFonts w:hint="eastAsia" w:eastAsia="仿宋" w:cs="Times New Roman"/>
                <w:sz w:val="24"/>
                <w:szCs w:val="24"/>
                <w:highlight w:val="none"/>
              </w:rPr>
              <w:t>“</w:t>
            </w:r>
            <w:r>
              <w:rPr>
                <w:rFonts w:eastAsia="仿宋" w:cs="Times New Roman"/>
                <w:sz w:val="24"/>
                <w:szCs w:val="24"/>
                <w:highlight w:val="none"/>
              </w:rPr>
              <w:t>一张图</w:t>
            </w:r>
            <w:r>
              <w:rPr>
                <w:rFonts w:hint="eastAsia" w:eastAsia="仿宋" w:cs="Times New Roman"/>
                <w:sz w:val="24"/>
                <w:szCs w:val="24"/>
                <w:highlight w:val="none"/>
              </w:rPr>
              <w:t>”</w:t>
            </w:r>
            <w:r>
              <w:rPr>
                <w:rFonts w:eastAsia="仿宋" w:cs="Times New Roman"/>
                <w:sz w:val="24"/>
                <w:szCs w:val="24"/>
                <w:highlight w:val="none"/>
              </w:rPr>
              <w:t>管理，实现水文地质分区、地下水型饮用水水源保护区、重点污染源等信息共享。</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lang w:eastAsia="zh-CN"/>
              </w:rPr>
              <w:t>县规划自然资源局</w:t>
            </w:r>
            <w:r>
              <w:rPr>
                <w:rFonts w:eastAsia="仿宋" w:cs="Times New Roman"/>
                <w:sz w:val="24"/>
                <w:szCs w:val="24"/>
                <w:highlight w:val="none"/>
              </w:rPr>
              <w:t>、县水利局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1" w:type="dxa"/>
            <w:gridSpan w:val="7"/>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b/>
                <w:bCs/>
                <w:kern w:val="0"/>
                <w:sz w:val="24"/>
                <w:szCs w:val="24"/>
                <w:highlight w:val="none"/>
              </w:rPr>
              <w:t>（四）提升生态环境监管能力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topLinePunct/>
              <w:spacing w:line="312" w:lineRule="exact"/>
              <w:ind w:firstLine="0" w:firstLineChars="0"/>
              <w:jc w:val="center"/>
              <w:rPr>
                <w:rFonts w:hint="default" w:eastAsia="仿宋" w:cs="Times New Roman"/>
                <w:sz w:val="24"/>
                <w:szCs w:val="24"/>
                <w:highlight w:val="none"/>
                <w:lang w:val="en-US" w:eastAsia="zh-CN"/>
              </w:rPr>
            </w:pPr>
            <w:r>
              <w:rPr>
                <w:rFonts w:hint="eastAsia" w:eastAsia="仿宋" w:cs="Times New Roman"/>
                <w:sz w:val="24"/>
                <w:szCs w:val="24"/>
                <w:highlight w:val="none"/>
                <w:lang w:val="en-US" w:eastAsia="zh-CN"/>
              </w:rPr>
              <w:t>41</w:t>
            </w:r>
          </w:p>
        </w:tc>
        <w:tc>
          <w:tcPr>
            <w:tcW w:w="998" w:type="dxa"/>
            <w:vMerge w:val="restart"/>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（一）</w:t>
            </w:r>
            <w:r>
              <w:rPr>
                <w:rFonts w:eastAsia="仿宋" w:cs="Times New Roman"/>
                <w:sz w:val="24"/>
                <w:szCs w:val="24"/>
                <w:highlight w:val="none"/>
              </w:rPr>
              <w:t>健全监测监控网络</w:t>
            </w:r>
          </w:p>
        </w:tc>
        <w:tc>
          <w:tcPr>
            <w:tcW w:w="1180" w:type="dxa"/>
            <w:vMerge w:val="restart"/>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完善</w:t>
            </w:r>
            <w:r>
              <w:rPr>
                <w:rFonts w:hint="eastAsia" w:eastAsia="仿宋" w:cs="Times New Roman"/>
                <w:sz w:val="24"/>
                <w:szCs w:val="24"/>
                <w:highlight w:val="none"/>
              </w:rPr>
              <w:t>城口县</w:t>
            </w:r>
            <w:r>
              <w:rPr>
                <w:rFonts w:eastAsia="仿宋" w:cs="Times New Roman"/>
                <w:sz w:val="24"/>
                <w:szCs w:val="24"/>
                <w:highlight w:val="none"/>
              </w:rPr>
              <w:t>土壤环境监测网</w:t>
            </w:r>
            <w:r>
              <w:rPr>
                <w:rFonts w:hint="eastAsia" w:eastAsia="仿宋" w:cs="Times New Roman"/>
                <w:sz w:val="24"/>
                <w:szCs w:val="24"/>
                <w:highlight w:val="none"/>
              </w:rPr>
              <w:t>，开展农产品产地土壤与农产品协同监测。</w:t>
            </w:r>
          </w:p>
        </w:tc>
        <w:tc>
          <w:tcPr>
            <w:tcW w:w="1321" w:type="dxa"/>
            <w:shd w:val="clear" w:color="auto" w:fill="auto"/>
            <w:vAlign w:val="center"/>
          </w:tcPr>
          <w:p>
            <w:pPr>
              <w:topLinePunct/>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县农业农村委</w:t>
            </w:r>
          </w:p>
        </w:tc>
        <w:tc>
          <w:tcPr>
            <w:tcW w:w="1444"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县规划自然资源局、县生态环境局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topLinePunct/>
              <w:spacing w:line="312" w:lineRule="exact"/>
              <w:ind w:firstLine="0" w:firstLineChars="0"/>
              <w:jc w:val="center"/>
              <w:rPr>
                <w:rFonts w:hint="default" w:eastAsia="仿宋" w:cs="Times New Roman"/>
                <w:sz w:val="24"/>
                <w:szCs w:val="24"/>
                <w:highlight w:val="none"/>
                <w:lang w:val="en-US" w:eastAsia="zh-CN"/>
              </w:rPr>
            </w:pPr>
            <w:r>
              <w:rPr>
                <w:rFonts w:hint="eastAsia" w:eastAsia="仿宋" w:cs="Times New Roman"/>
                <w:sz w:val="24"/>
                <w:szCs w:val="24"/>
                <w:highlight w:val="none"/>
                <w:lang w:val="en-US" w:eastAsia="zh-CN"/>
              </w:rPr>
              <w:t>42</w:t>
            </w:r>
          </w:p>
        </w:tc>
        <w:tc>
          <w:tcPr>
            <w:tcW w:w="998" w:type="dxa"/>
            <w:vMerge w:val="continue"/>
            <w:shd w:val="clear" w:color="auto" w:fill="auto"/>
            <w:vAlign w:val="center"/>
          </w:tcPr>
          <w:p>
            <w:pPr>
              <w:topLinePunct/>
              <w:spacing w:line="312" w:lineRule="exact"/>
              <w:ind w:firstLine="0" w:firstLineChars="0"/>
              <w:jc w:val="center"/>
              <w:rPr>
                <w:rFonts w:hint="eastAsia" w:eastAsia="仿宋" w:cs="Times New Roman"/>
                <w:sz w:val="24"/>
                <w:szCs w:val="24"/>
                <w:highlight w:val="none"/>
              </w:rPr>
            </w:pPr>
          </w:p>
        </w:tc>
        <w:tc>
          <w:tcPr>
            <w:tcW w:w="1180" w:type="dxa"/>
            <w:vMerge w:val="continue"/>
            <w:shd w:val="clear" w:color="auto" w:fill="auto"/>
            <w:vAlign w:val="center"/>
          </w:tcPr>
          <w:p>
            <w:pPr>
              <w:topLinePunct/>
              <w:spacing w:line="312" w:lineRule="exact"/>
              <w:ind w:firstLine="0" w:firstLineChars="0"/>
              <w:jc w:val="center"/>
              <w:rPr>
                <w:rFonts w:eastAsia="仿宋" w:cs="Times New Roman"/>
                <w:sz w:val="24"/>
                <w:szCs w:val="24"/>
                <w:highlight w:val="none"/>
              </w:rPr>
            </w:pP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hint="eastAsia" w:eastAsia="仿宋" w:cs="Times New Roman"/>
                <w:sz w:val="24"/>
                <w:szCs w:val="24"/>
                <w:highlight w:val="none"/>
              </w:rPr>
              <w:t>开展锰、钡等因子的土壤环境背景值调查以及典型行业企业用地及周边土壤污染状况调查。定期</w:t>
            </w:r>
            <w:r>
              <w:rPr>
                <w:rFonts w:eastAsia="仿宋" w:cs="Times New Roman"/>
                <w:sz w:val="24"/>
                <w:szCs w:val="24"/>
                <w:highlight w:val="none"/>
              </w:rPr>
              <w:t>开展土壤污染重点监管单位周边土壤和地下水</w:t>
            </w:r>
            <w:r>
              <w:rPr>
                <w:rFonts w:hint="eastAsia" w:eastAsia="仿宋" w:cs="Times New Roman"/>
                <w:sz w:val="24"/>
                <w:szCs w:val="24"/>
                <w:highlight w:val="none"/>
              </w:rPr>
              <w:t>环境</w:t>
            </w:r>
            <w:r>
              <w:rPr>
                <w:rFonts w:eastAsia="仿宋" w:cs="Times New Roman"/>
                <w:sz w:val="24"/>
                <w:szCs w:val="24"/>
                <w:highlight w:val="none"/>
              </w:rPr>
              <w:t>监测。</w:t>
            </w:r>
            <w:r>
              <w:rPr>
                <w:rFonts w:hint="eastAsia" w:eastAsia="仿宋" w:cs="Times New Roman"/>
                <w:sz w:val="24"/>
                <w:szCs w:val="24"/>
                <w:highlight w:val="none"/>
              </w:rPr>
              <w:t>充分利用无人机、视频监控等手段开展非现场检查，监控污染地块风险管控、修复与开发利用情况。开展农村生活污水集中处理设施出水水质监测、农村黑臭水体评估监测、水产养殖尾水排放监测，逐步建立完善农业农村监测网络。逐步优化和整合“双源”地下水环境监测井，初步构建区域监管和“双源”监控相结合的地下水环境监测网，加强现有地下水环境监测井的运行维护和管理。</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县规划自然资源局、</w:t>
            </w:r>
            <w:r>
              <w:rPr>
                <w:rFonts w:hint="eastAsia" w:eastAsia="仿宋" w:cs="Times New Roman"/>
                <w:sz w:val="24"/>
                <w:szCs w:val="24"/>
                <w:highlight w:val="none"/>
                <w:lang w:eastAsia="zh-CN"/>
              </w:rPr>
              <w:t>县农业农村委、</w:t>
            </w:r>
            <w:r>
              <w:rPr>
                <w:rFonts w:eastAsia="仿宋" w:cs="Times New Roman"/>
                <w:sz w:val="24"/>
                <w:szCs w:val="24"/>
                <w:highlight w:val="none"/>
              </w:rPr>
              <w:t>县水利局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 w:type="dxa"/>
            <w:shd w:val="clear" w:color="auto" w:fill="auto"/>
            <w:vAlign w:val="center"/>
          </w:tcPr>
          <w:p>
            <w:pPr>
              <w:topLinePunct/>
              <w:spacing w:line="312" w:lineRule="exact"/>
              <w:ind w:firstLine="0" w:firstLineChars="0"/>
              <w:jc w:val="center"/>
              <w:rPr>
                <w:rFonts w:hint="default" w:eastAsia="仿宋" w:cs="Times New Roman"/>
                <w:sz w:val="24"/>
                <w:szCs w:val="24"/>
                <w:highlight w:val="none"/>
                <w:lang w:val="en-US" w:eastAsia="zh-CN"/>
              </w:rPr>
            </w:pPr>
            <w:r>
              <w:rPr>
                <w:rFonts w:hint="eastAsia" w:eastAsia="仿宋" w:cs="Times New Roman"/>
                <w:sz w:val="24"/>
                <w:szCs w:val="24"/>
                <w:highlight w:val="none"/>
                <w:lang w:val="en-US" w:eastAsia="zh-CN"/>
              </w:rPr>
              <w:t>43</w:t>
            </w:r>
          </w:p>
        </w:tc>
        <w:tc>
          <w:tcPr>
            <w:tcW w:w="998" w:type="dxa"/>
            <w:vAlign w:val="center"/>
          </w:tcPr>
          <w:p>
            <w:pPr>
              <w:topLinePunct/>
              <w:spacing w:line="312" w:lineRule="exact"/>
              <w:ind w:firstLine="0" w:firstLineChars="0"/>
              <w:jc w:val="center"/>
              <w:rPr>
                <w:rFonts w:eastAsia="仿宋" w:cs="Times New Roman"/>
                <w:sz w:val="24"/>
                <w:szCs w:val="24"/>
                <w:highlight w:val="none"/>
              </w:rPr>
            </w:pPr>
            <w:r>
              <w:rPr>
                <w:rFonts w:hint="eastAsia" w:eastAsia="仿宋" w:cs="Times New Roman"/>
                <w:sz w:val="24"/>
                <w:szCs w:val="24"/>
                <w:highlight w:val="none"/>
              </w:rPr>
              <w:t>（二）</w:t>
            </w:r>
            <w:r>
              <w:rPr>
                <w:rFonts w:eastAsia="仿宋" w:cs="Times New Roman"/>
                <w:sz w:val="24"/>
                <w:szCs w:val="24"/>
                <w:highlight w:val="none"/>
              </w:rPr>
              <w:t>加强执法能力建设</w:t>
            </w:r>
          </w:p>
        </w:tc>
        <w:tc>
          <w:tcPr>
            <w:tcW w:w="1180"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w:t>
            </w:r>
          </w:p>
        </w:tc>
        <w:tc>
          <w:tcPr>
            <w:tcW w:w="7449" w:type="dxa"/>
            <w:shd w:val="clear" w:color="auto" w:fill="auto"/>
            <w:vAlign w:val="center"/>
          </w:tcPr>
          <w:p>
            <w:pPr>
              <w:topLinePunct/>
              <w:spacing w:line="312" w:lineRule="exact"/>
              <w:ind w:firstLine="0" w:firstLineChars="0"/>
              <w:rPr>
                <w:rFonts w:eastAsia="仿宋" w:cs="Times New Roman"/>
                <w:sz w:val="24"/>
                <w:szCs w:val="24"/>
                <w:highlight w:val="none"/>
              </w:rPr>
            </w:pPr>
            <w:r>
              <w:rPr>
                <w:rFonts w:eastAsia="仿宋" w:cs="Times New Roman"/>
                <w:sz w:val="24"/>
                <w:szCs w:val="24"/>
                <w:highlight w:val="none"/>
              </w:rPr>
              <w:t>依法开展土壤、农业农村</w:t>
            </w:r>
            <w:r>
              <w:rPr>
                <w:rFonts w:hint="eastAsia" w:eastAsia="仿宋" w:cs="Times New Roman"/>
                <w:sz w:val="24"/>
                <w:szCs w:val="24"/>
                <w:highlight w:val="none"/>
                <w:lang w:val="en-US" w:eastAsia="zh-CN"/>
              </w:rPr>
              <w:t>与</w:t>
            </w:r>
            <w:r>
              <w:rPr>
                <w:rFonts w:eastAsia="仿宋" w:cs="Times New Roman"/>
                <w:sz w:val="24"/>
                <w:szCs w:val="24"/>
                <w:highlight w:val="none"/>
              </w:rPr>
              <w:t>地下水生态环境保护综合行政执法。</w:t>
            </w:r>
            <w:r>
              <w:rPr>
                <w:rFonts w:hint="eastAsia" w:eastAsia="仿宋" w:cs="Times New Roman"/>
                <w:sz w:val="24"/>
                <w:szCs w:val="24"/>
                <w:highlight w:val="none"/>
              </w:rPr>
              <w:t>持续开展土壤污染重点监管单位、建设用地土壤污染风险管控和修复名录地块以及从业单位的执法监管，依法查处篡改、伪造监测数据等弄虚作假行为。</w:t>
            </w:r>
            <w:r>
              <w:rPr>
                <w:rFonts w:eastAsia="仿宋" w:cs="Times New Roman"/>
                <w:sz w:val="24"/>
                <w:szCs w:val="24"/>
                <w:highlight w:val="none"/>
              </w:rPr>
              <w:t>严厉打击危险废物非法倾倒或填埋，以及利用渗井、渗坑、裂隙、溶洞等逃避监管的方式向地下排放污染物等行为。</w:t>
            </w:r>
            <w:r>
              <w:rPr>
                <w:rFonts w:hint="eastAsia" w:eastAsia="仿宋" w:cs="Times New Roman"/>
                <w:sz w:val="24"/>
                <w:szCs w:val="24"/>
                <w:highlight w:val="none"/>
              </w:rPr>
              <w:t>强化秸秆露天禁烧执法检查。</w:t>
            </w:r>
            <w:r>
              <w:rPr>
                <w:rFonts w:eastAsia="仿宋" w:cs="Times New Roman"/>
                <w:sz w:val="24"/>
                <w:szCs w:val="24"/>
                <w:highlight w:val="none"/>
              </w:rPr>
              <w:t>提升执法水平，组织开展监管执法工作培训，配备便携式污染检测仪器等设备。提升突发环境事件土壤、农业农村</w:t>
            </w:r>
            <w:r>
              <w:rPr>
                <w:rFonts w:hint="eastAsia" w:eastAsia="仿宋" w:cs="Times New Roman"/>
                <w:sz w:val="24"/>
                <w:szCs w:val="24"/>
                <w:highlight w:val="none"/>
                <w:lang w:val="en-US" w:eastAsia="zh-CN"/>
              </w:rPr>
              <w:t>与</w:t>
            </w:r>
            <w:r>
              <w:rPr>
                <w:rFonts w:eastAsia="仿宋" w:cs="Times New Roman"/>
                <w:sz w:val="24"/>
                <w:szCs w:val="24"/>
                <w:highlight w:val="none"/>
              </w:rPr>
              <w:t>地下水生态环境保护应急处置能力，各相关单位制定的突发环境事件应急预案应当包括防止土壤和地下水环境污染内容。</w:t>
            </w:r>
          </w:p>
        </w:tc>
        <w:tc>
          <w:tcPr>
            <w:tcW w:w="1321" w:type="dxa"/>
            <w:shd w:val="clear" w:color="auto" w:fill="auto"/>
            <w:vAlign w:val="center"/>
          </w:tcPr>
          <w:p>
            <w:pPr>
              <w:topLinePunct/>
              <w:spacing w:line="312" w:lineRule="exact"/>
              <w:ind w:firstLine="0" w:firstLineChars="0"/>
              <w:jc w:val="center"/>
              <w:rPr>
                <w:rFonts w:eastAsia="仿宋" w:cs="Times New Roman"/>
                <w:sz w:val="24"/>
                <w:szCs w:val="24"/>
                <w:highlight w:val="none"/>
              </w:rPr>
            </w:pPr>
            <w:r>
              <w:rPr>
                <w:rFonts w:eastAsia="仿宋" w:cs="Times New Roman"/>
                <w:sz w:val="24"/>
                <w:szCs w:val="24"/>
                <w:highlight w:val="none"/>
              </w:rPr>
              <w:t>县生态环境局</w:t>
            </w:r>
          </w:p>
        </w:tc>
        <w:tc>
          <w:tcPr>
            <w:tcW w:w="1444" w:type="dxa"/>
            <w:shd w:val="clear" w:color="auto" w:fill="auto"/>
            <w:vAlign w:val="center"/>
          </w:tcPr>
          <w:p>
            <w:pPr>
              <w:topLinePunct/>
              <w:spacing w:line="312" w:lineRule="exact"/>
              <w:ind w:firstLine="0" w:firstLineChars="0"/>
              <w:jc w:val="center"/>
              <w:rPr>
                <w:rFonts w:hint="eastAsia" w:eastAsia="仿宋" w:cs="Times New Roman"/>
                <w:sz w:val="24"/>
                <w:szCs w:val="24"/>
                <w:highlight w:val="none"/>
                <w:lang w:eastAsia="zh-CN"/>
              </w:rPr>
            </w:pPr>
            <w:r>
              <w:rPr>
                <w:rFonts w:hint="eastAsia" w:eastAsia="仿宋" w:cs="Times New Roman"/>
                <w:sz w:val="24"/>
                <w:szCs w:val="24"/>
                <w:highlight w:val="none"/>
                <w:lang w:eastAsia="zh-CN"/>
              </w:rPr>
              <w:t>县住房城乡建委</w:t>
            </w:r>
            <w:r>
              <w:rPr>
                <w:rFonts w:eastAsia="仿宋" w:cs="Times New Roman"/>
                <w:sz w:val="24"/>
                <w:szCs w:val="24"/>
                <w:highlight w:val="none"/>
              </w:rPr>
              <w:t>、</w:t>
            </w:r>
            <w:r>
              <w:rPr>
                <w:rFonts w:hint="eastAsia" w:eastAsia="仿宋" w:cs="Times New Roman"/>
                <w:sz w:val="24"/>
                <w:szCs w:val="24"/>
                <w:highlight w:val="none"/>
                <w:lang w:eastAsia="zh-CN"/>
              </w:rPr>
              <w:t>县农业农村委</w:t>
            </w:r>
            <w:r>
              <w:rPr>
                <w:rFonts w:eastAsia="仿宋" w:cs="Times New Roman"/>
                <w:sz w:val="24"/>
                <w:szCs w:val="24"/>
                <w:highlight w:val="none"/>
              </w:rPr>
              <w:t>、县水利局、县应急局</w:t>
            </w:r>
          </w:p>
        </w:tc>
        <w:tc>
          <w:tcPr>
            <w:tcW w:w="1200" w:type="dxa"/>
            <w:shd w:val="clear" w:color="auto" w:fill="auto"/>
            <w:vAlign w:val="center"/>
          </w:tcPr>
          <w:p>
            <w:pPr>
              <w:widowControl/>
              <w:spacing w:line="312" w:lineRule="exact"/>
              <w:ind w:firstLine="0" w:firstLineChars="0"/>
              <w:jc w:val="center"/>
              <w:rPr>
                <w:rFonts w:eastAsia="仿宋" w:cs="Times New Roman"/>
                <w:kern w:val="0"/>
                <w:sz w:val="24"/>
                <w:szCs w:val="24"/>
                <w:highlight w:val="none"/>
              </w:rPr>
            </w:pPr>
            <w:r>
              <w:rPr>
                <w:rFonts w:eastAsia="仿宋" w:cs="Times New Roman"/>
                <w:kern w:val="0"/>
                <w:sz w:val="24"/>
                <w:szCs w:val="24"/>
                <w:highlight w:val="none"/>
              </w:rPr>
              <w:t>2025年</w:t>
            </w:r>
          </w:p>
        </w:tc>
      </w:tr>
    </w:tbl>
    <w:p>
      <w:pPr>
        <w:rPr>
          <w:highlight w:val="none"/>
        </w:rPr>
        <w:sectPr>
          <w:footerReference r:id="rId6" w:type="default"/>
          <w:pgSz w:w="16838" w:h="11906" w:orient="landscape"/>
          <w:pgMar w:top="1860" w:right="1440" w:bottom="1800" w:left="1440" w:header="851" w:footer="992" w:gutter="0"/>
          <w:pgNumType w:fmt="decimal"/>
          <w:cols w:space="425" w:num="1"/>
          <w:docGrid w:type="lines" w:linePitch="312" w:charSpace="0"/>
        </w:sectPr>
      </w:pPr>
      <w:r>
        <w:rPr>
          <w:highlight w:val="none"/>
        </w:rPr>
        <w:br w:type="page"/>
      </w:r>
    </w:p>
    <w:p>
      <w:pPr>
        <w:pStyle w:val="4"/>
        <w:bidi w:val="0"/>
        <w:rPr>
          <w:highlight w:val="none"/>
        </w:rPr>
      </w:pPr>
      <w:bookmarkStart w:id="54" w:name="_Toc193"/>
      <w:bookmarkStart w:id="55" w:name="_Toc18542"/>
      <w:bookmarkStart w:id="56" w:name="_Toc7137"/>
      <w:bookmarkStart w:id="57" w:name="_Toc31303"/>
      <w:r>
        <w:rPr>
          <w:rFonts w:hint="eastAsia"/>
          <w:highlight w:val="none"/>
          <w:lang w:val="en-US" w:eastAsia="zh-CN"/>
        </w:rPr>
        <w:t>附件2 名词与指标</w:t>
      </w:r>
      <w:r>
        <w:rPr>
          <w:rFonts w:hint="eastAsia"/>
          <w:highlight w:val="none"/>
        </w:rPr>
        <w:t>解释</w:t>
      </w:r>
      <w:bookmarkEnd w:id="54"/>
      <w:bookmarkEnd w:id="55"/>
      <w:bookmarkEnd w:id="56"/>
      <w:bookmarkEnd w:id="57"/>
    </w:p>
    <w:p>
      <w:pPr>
        <w:bidi w:val="0"/>
        <w:rPr>
          <w:rFonts w:hint="eastAsia"/>
          <w:b/>
          <w:bCs/>
          <w:highlight w:val="none"/>
          <w:lang w:val="en-US" w:eastAsia="zh-CN"/>
        </w:rPr>
      </w:pPr>
      <w:r>
        <w:rPr>
          <w:rFonts w:hint="eastAsia" w:ascii="Times New Roman" w:hAnsi="Times New Roman"/>
          <w:b/>
          <w:bCs/>
          <w:szCs w:val="32"/>
          <w:highlight w:val="none"/>
          <w:lang w:val="en-US" w:eastAsia="zh-CN"/>
        </w:rPr>
        <w:t>1.“</w:t>
      </w:r>
      <w:r>
        <w:rPr>
          <w:rFonts w:hint="eastAsia"/>
          <w:b/>
          <w:bCs/>
          <w:highlight w:val="none"/>
          <w:lang w:val="en-US" w:eastAsia="zh-CN"/>
        </w:rPr>
        <w:t>无废城市”</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b w:val="0"/>
          <w:bCs w:val="0"/>
          <w:kern w:val="2"/>
          <w:sz w:val="32"/>
          <w:szCs w:val="32"/>
          <w:highlight w:val="none"/>
          <w:lang w:val="en-US" w:eastAsia="zh-CN" w:bidi="ar-SA"/>
        </w:rPr>
      </w:pPr>
      <w:r>
        <w:rPr>
          <w:rFonts w:hint="eastAsia" w:ascii="方正仿宋_GBK" w:hAnsi="方正仿宋_GBK" w:cs="方正仿宋_GBK"/>
          <w:b w:val="0"/>
          <w:bCs w:val="0"/>
          <w:kern w:val="2"/>
          <w:sz w:val="32"/>
          <w:szCs w:val="32"/>
          <w:highlight w:val="none"/>
          <w:lang w:val="en-US" w:eastAsia="zh-CN" w:bidi="ar-SA"/>
        </w:rPr>
        <w:t>名词解释：</w:t>
      </w:r>
      <w:r>
        <w:rPr>
          <w:rFonts w:hint="eastAsia" w:ascii="方正仿宋_GBK" w:hAnsi="方正仿宋_GBK" w:eastAsia="方正仿宋_GBK" w:cs="方正仿宋_GBK"/>
          <w:b w:val="0"/>
          <w:bCs w:val="0"/>
          <w:kern w:val="2"/>
          <w:sz w:val="32"/>
          <w:szCs w:val="32"/>
          <w:highlight w:val="none"/>
          <w:lang w:val="en-US" w:eastAsia="zh-CN" w:bidi="ar-SA"/>
        </w:rPr>
        <w:t>是指</w:t>
      </w:r>
      <w:r>
        <w:rPr>
          <w:rFonts w:hint="default" w:ascii="方正仿宋_GBK" w:hAnsi="方正仿宋_GBK" w:eastAsia="方正仿宋_GBK" w:cs="方正仿宋_GBK"/>
          <w:b w:val="0"/>
          <w:bCs w:val="0"/>
          <w:kern w:val="2"/>
          <w:sz w:val="32"/>
          <w:szCs w:val="32"/>
          <w:highlight w:val="none"/>
          <w:lang w:val="en-US" w:eastAsia="zh-CN" w:bidi="ar-SA"/>
        </w:rPr>
        <w:t>以创新、协调、绿色、开放、共享的新发展理念为引领，通过推动形成绿色发展方式和生活方式，持续推进固体废物源头减量和资源化利用，最大限度减少填埋量，将固体废物环境影响降至最低的城市发展模式。</w:t>
      </w:r>
    </w:p>
    <w:p>
      <w:pPr>
        <w:numPr>
          <w:ilvl w:val="0"/>
          <w:numId w:val="0"/>
        </w:numPr>
        <w:bidi w:val="0"/>
        <w:ind w:left="592" w:leftChars="0"/>
        <w:rPr>
          <w:rFonts w:hint="eastAsia"/>
          <w:b/>
          <w:bCs/>
          <w:highlight w:val="none"/>
          <w:lang w:val="en-US" w:eastAsia="zh-CN"/>
        </w:rPr>
      </w:pPr>
      <w:r>
        <w:rPr>
          <w:rFonts w:hint="eastAsia"/>
          <w:b/>
          <w:bCs/>
          <w:highlight w:val="none"/>
          <w:lang w:val="en-US" w:eastAsia="zh-CN"/>
        </w:rPr>
        <w:t>2.受污染耕地安全利用率</w:t>
      </w:r>
    </w:p>
    <w:p>
      <w:pPr>
        <w:bidi w:val="0"/>
        <w:rPr>
          <w:rFonts w:hint="eastAsia"/>
          <w:highlight w:val="none"/>
          <w:lang w:val="en-US" w:eastAsia="zh-CN"/>
        </w:rPr>
      </w:pPr>
      <w:r>
        <w:rPr>
          <w:rFonts w:hint="eastAsia"/>
          <w:highlight w:val="none"/>
          <w:lang w:val="en-US" w:eastAsia="zh-CN"/>
        </w:rPr>
        <w:t>指标解释：指实现安全利用的受污染耕地面积，占行政区受污染耕地总面积的比例。</w:t>
      </w:r>
    </w:p>
    <w:p>
      <w:pPr>
        <w:numPr>
          <w:ilvl w:val="0"/>
          <w:numId w:val="0"/>
        </w:numPr>
        <w:bidi w:val="0"/>
        <w:ind w:left="592" w:leftChars="0"/>
        <w:rPr>
          <w:rFonts w:hint="eastAsia" w:ascii="Times New Roman" w:hAnsi="Times New Roman"/>
          <w:b/>
          <w:bCs/>
          <w:szCs w:val="32"/>
          <w:highlight w:val="none"/>
          <w:lang w:val="en-US" w:eastAsia="zh-CN"/>
        </w:rPr>
      </w:pPr>
      <w:r>
        <w:rPr>
          <w:rFonts w:hint="eastAsia"/>
          <w:b/>
          <w:bCs/>
          <w:szCs w:val="32"/>
          <w:highlight w:val="none"/>
          <w:lang w:val="en-US" w:eastAsia="zh-CN"/>
        </w:rPr>
        <w:t>3</w:t>
      </w:r>
      <w:r>
        <w:rPr>
          <w:rFonts w:hint="eastAsia" w:ascii="Times New Roman" w:hAnsi="Times New Roman"/>
          <w:b/>
          <w:bCs/>
          <w:szCs w:val="32"/>
          <w:highlight w:val="none"/>
          <w:lang w:val="en-US" w:eastAsia="zh-CN"/>
        </w:rPr>
        <w:t>.重点建设用地安全利用得到有效保障</w:t>
      </w:r>
    </w:p>
    <w:p>
      <w:pPr>
        <w:bidi w:val="0"/>
        <w:rPr>
          <w:rFonts w:hint="eastAsia"/>
          <w:highlight w:val="none"/>
        </w:rPr>
      </w:pPr>
      <w:r>
        <w:rPr>
          <w:rFonts w:hint="eastAsia"/>
          <w:b w:val="0"/>
          <w:bCs w:val="0"/>
          <w:highlight w:val="none"/>
          <w:lang w:val="en-US" w:eastAsia="zh-CN"/>
        </w:rPr>
        <w:t>指标解释：</w:t>
      </w:r>
      <w:r>
        <w:rPr>
          <w:rFonts w:hint="eastAsia" w:ascii="Times New Roman" w:hAnsi="Times New Roman"/>
          <w:highlight w:val="none"/>
          <w:lang w:val="en-US" w:eastAsia="zh-CN"/>
        </w:rPr>
        <w:t>指用途变更为居</w:t>
      </w:r>
      <w:r>
        <w:rPr>
          <w:rFonts w:hint="eastAsia" w:ascii="Times New Roman" w:hAnsi="Times New Roman"/>
          <w:highlight w:val="none"/>
        </w:rPr>
        <w:t>住用地、公共管理与公共服务用地的地块</w:t>
      </w:r>
      <w:r>
        <w:rPr>
          <w:rFonts w:hint="eastAsia" w:ascii="Times New Roman" w:hAnsi="Times New Roman"/>
          <w:highlight w:val="none"/>
          <w:lang w:eastAsia="zh-CN"/>
        </w:rPr>
        <w:t>，</w:t>
      </w:r>
      <w:r>
        <w:rPr>
          <w:rFonts w:hint="eastAsia" w:ascii="Times New Roman" w:hAnsi="Times New Roman"/>
          <w:highlight w:val="none"/>
        </w:rPr>
        <w:t>未出现违法违规开发利用情形的比例达到100</w:t>
      </w:r>
      <w:r>
        <w:rPr>
          <w:rFonts w:hint="eastAsia" w:ascii="Times New Roman" w:hAnsi="Times New Roman"/>
          <w:highlight w:val="none"/>
          <w:lang w:val="en-US" w:eastAsia="zh-CN"/>
        </w:rPr>
        <w:t>%</w:t>
      </w:r>
      <w:r>
        <w:rPr>
          <w:rFonts w:hint="eastAsia" w:ascii="Times New Roman" w:hAnsi="Times New Roman"/>
          <w:highlight w:val="none"/>
          <w:lang w:eastAsia="zh-CN"/>
        </w:rPr>
        <w:t>，</w:t>
      </w:r>
      <w:r>
        <w:rPr>
          <w:rFonts w:hint="eastAsia" w:ascii="Times New Roman" w:hAnsi="Times New Roman"/>
          <w:highlight w:val="none"/>
        </w:rPr>
        <w:t>或者达到95</w:t>
      </w:r>
      <w:r>
        <w:rPr>
          <w:rFonts w:hint="eastAsia" w:ascii="Times New Roman" w:hAnsi="Times New Roman"/>
          <w:highlight w:val="none"/>
          <w:lang w:val="en-US" w:eastAsia="zh-CN"/>
        </w:rPr>
        <w:t>%</w:t>
      </w:r>
      <w:r>
        <w:rPr>
          <w:rFonts w:hint="eastAsia" w:ascii="Times New Roman" w:hAnsi="Times New Roman"/>
          <w:highlight w:val="none"/>
        </w:rPr>
        <w:t>以上且对违</w:t>
      </w:r>
      <w:r>
        <w:rPr>
          <w:rFonts w:hint="eastAsia"/>
          <w:highlight w:val="none"/>
        </w:rPr>
        <w:t>法违规利用的地块全部处罚整改到位、未对人居环境造成风险。</w:t>
      </w:r>
    </w:p>
    <w:p>
      <w:pPr>
        <w:numPr>
          <w:ilvl w:val="0"/>
          <w:numId w:val="0"/>
        </w:numPr>
        <w:bidi w:val="0"/>
        <w:ind w:left="592" w:leftChars="0"/>
        <w:rPr>
          <w:rFonts w:hint="eastAsia" w:ascii="Times New Roman" w:hAnsi="Times New Roman"/>
          <w:b/>
          <w:bCs/>
          <w:szCs w:val="32"/>
          <w:highlight w:val="none"/>
          <w:lang w:val="en-US" w:eastAsia="zh-CN"/>
        </w:rPr>
      </w:pPr>
      <w:r>
        <w:rPr>
          <w:rFonts w:hint="eastAsia"/>
          <w:b/>
          <w:bCs/>
          <w:szCs w:val="32"/>
          <w:highlight w:val="none"/>
          <w:lang w:val="en-US" w:eastAsia="zh-CN"/>
        </w:rPr>
        <w:t>4</w:t>
      </w:r>
      <w:r>
        <w:rPr>
          <w:rFonts w:hint="eastAsia" w:ascii="Times New Roman" w:hAnsi="Times New Roman"/>
          <w:b/>
          <w:bCs/>
          <w:szCs w:val="32"/>
          <w:highlight w:val="none"/>
          <w:lang w:val="en-US" w:eastAsia="zh-CN"/>
        </w:rPr>
        <w:t>.化肥使用量</w:t>
      </w:r>
    </w:p>
    <w:p>
      <w:pPr>
        <w:bidi w:val="0"/>
        <w:rPr>
          <w:rFonts w:hint="eastAsia"/>
          <w:highlight w:val="none"/>
          <w:lang w:val="en-US" w:eastAsia="zh-CN"/>
        </w:rPr>
      </w:pPr>
      <w:r>
        <w:rPr>
          <w:highlight w:val="none"/>
        </w:rPr>
        <w:t>指标解释：指城市农村地区当年化肥的使用量。该指标主要是推动控制和减少农业生产中化肥使用量，促进应用有机肥，加强农业面源污染治理，不断提升农业可持续发展支撑能力。</w:t>
      </w:r>
    </w:p>
    <w:p>
      <w:pPr>
        <w:numPr>
          <w:ilvl w:val="0"/>
          <w:numId w:val="0"/>
        </w:numPr>
        <w:bidi w:val="0"/>
        <w:ind w:left="592" w:leftChars="0"/>
        <w:rPr>
          <w:rFonts w:hint="eastAsia" w:ascii="Times New Roman" w:hAnsi="Times New Roman"/>
          <w:b/>
          <w:bCs/>
          <w:szCs w:val="32"/>
          <w:highlight w:val="none"/>
          <w:lang w:val="en-US" w:eastAsia="zh-CN"/>
        </w:rPr>
      </w:pPr>
      <w:r>
        <w:rPr>
          <w:rFonts w:hint="eastAsia"/>
          <w:b/>
          <w:bCs/>
          <w:szCs w:val="32"/>
          <w:highlight w:val="none"/>
          <w:lang w:val="en-US" w:eastAsia="zh-CN"/>
        </w:rPr>
        <w:t>5</w:t>
      </w:r>
      <w:r>
        <w:rPr>
          <w:rFonts w:hint="eastAsia" w:ascii="Times New Roman" w:hAnsi="Times New Roman"/>
          <w:b/>
          <w:bCs/>
          <w:szCs w:val="32"/>
          <w:highlight w:val="none"/>
          <w:lang w:val="en-US" w:eastAsia="zh-CN"/>
        </w:rPr>
        <w:t>.农药使用量</w:t>
      </w:r>
    </w:p>
    <w:p>
      <w:pPr>
        <w:bidi w:val="0"/>
        <w:rPr>
          <w:rFonts w:hint="eastAsia"/>
          <w:highlight w:val="none"/>
          <w:lang w:val="en-US" w:eastAsia="zh-CN"/>
        </w:rPr>
      </w:pPr>
      <w:r>
        <w:rPr>
          <w:rFonts w:hint="eastAsia"/>
          <w:highlight w:val="none"/>
          <w:lang w:val="en-US" w:eastAsia="zh-CN"/>
        </w:rPr>
        <w:t>指标解释：</w:t>
      </w:r>
      <w:r>
        <w:rPr>
          <w:highlight w:val="none"/>
        </w:rPr>
        <w:t>指城市农村地区当年农药使用量。该指标主要是推动控制和减少农业生产中农药使用量，加强农业面源污染治理，不断提升农业可持续发展支撑能力。</w:t>
      </w:r>
    </w:p>
    <w:p>
      <w:pPr>
        <w:numPr>
          <w:ilvl w:val="0"/>
          <w:numId w:val="0"/>
        </w:numPr>
        <w:bidi w:val="0"/>
        <w:ind w:left="592" w:leftChars="0"/>
        <w:rPr>
          <w:rFonts w:hint="eastAsia" w:ascii="Times New Roman" w:hAnsi="Times New Roman"/>
          <w:b/>
          <w:bCs/>
          <w:szCs w:val="32"/>
          <w:highlight w:val="none"/>
          <w:lang w:val="en-US" w:eastAsia="zh-CN"/>
        </w:rPr>
      </w:pPr>
      <w:r>
        <w:rPr>
          <w:rFonts w:hint="eastAsia"/>
          <w:b/>
          <w:bCs/>
          <w:szCs w:val="32"/>
          <w:highlight w:val="none"/>
          <w:lang w:val="en-US" w:eastAsia="zh-CN"/>
        </w:rPr>
        <w:t>6</w:t>
      </w:r>
      <w:r>
        <w:rPr>
          <w:rFonts w:hint="eastAsia" w:ascii="Times New Roman" w:hAnsi="Times New Roman"/>
          <w:b/>
          <w:bCs/>
          <w:szCs w:val="32"/>
          <w:highlight w:val="none"/>
          <w:lang w:val="en-US" w:eastAsia="zh-CN"/>
        </w:rPr>
        <w:t>.农村环境整治村庄数量</w:t>
      </w:r>
    </w:p>
    <w:p>
      <w:pPr>
        <w:bidi w:val="0"/>
        <w:rPr>
          <w:rFonts w:hint="eastAsia"/>
          <w:highlight w:val="none"/>
        </w:rPr>
      </w:pPr>
      <w:r>
        <w:rPr>
          <w:rFonts w:hint="eastAsia"/>
          <w:highlight w:val="none"/>
          <w:lang w:val="en-US" w:eastAsia="zh-CN"/>
        </w:rPr>
        <w:t>指标解释：</w:t>
      </w:r>
      <w:r>
        <w:rPr>
          <w:rFonts w:hint="eastAsia"/>
          <w:highlight w:val="none"/>
        </w:rPr>
        <w:t>是指生活污水得到处理和资源化利用的行政村数占行政村总数的比例。</w:t>
      </w:r>
    </w:p>
    <w:p>
      <w:pPr>
        <w:numPr>
          <w:ilvl w:val="0"/>
          <w:numId w:val="0"/>
        </w:numPr>
        <w:bidi w:val="0"/>
        <w:ind w:left="592" w:leftChars="0"/>
        <w:rPr>
          <w:rFonts w:hint="eastAsia" w:ascii="Times New Roman" w:hAnsi="Times New Roman"/>
          <w:b/>
          <w:bCs/>
          <w:szCs w:val="32"/>
          <w:highlight w:val="none"/>
          <w:lang w:val="en-US" w:eastAsia="zh-CN"/>
        </w:rPr>
      </w:pPr>
      <w:r>
        <w:rPr>
          <w:rFonts w:hint="eastAsia"/>
          <w:b/>
          <w:bCs/>
          <w:szCs w:val="32"/>
          <w:highlight w:val="none"/>
          <w:lang w:val="en-US" w:eastAsia="zh-CN"/>
        </w:rPr>
        <w:t>7</w:t>
      </w:r>
      <w:r>
        <w:rPr>
          <w:rFonts w:hint="eastAsia" w:ascii="Times New Roman" w:hAnsi="Times New Roman"/>
          <w:b/>
          <w:bCs/>
          <w:szCs w:val="32"/>
          <w:highlight w:val="none"/>
          <w:lang w:val="en-US" w:eastAsia="zh-CN"/>
        </w:rPr>
        <w:t>.农村生活污水治理率</w:t>
      </w:r>
    </w:p>
    <w:p>
      <w:pPr>
        <w:bidi w:val="0"/>
        <w:rPr>
          <w:rFonts w:hint="eastAsia"/>
          <w:highlight w:val="none"/>
        </w:rPr>
      </w:pPr>
      <w:r>
        <w:rPr>
          <w:rFonts w:hint="eastAsia"/>
          <w:highlight w:val="none"/>
          <w:lang w:val="en-US" w:eastAsia="zh-CN"/>
        </w:rPr>
        <w:t>指标解释：指地区内完成生活污水治理的自然村（含农林场队）数量占该地区内自然村总数的比例，是评价及考核该地区农村人居环境整治成效的重要指标。</w:t>
      </w:r>
    </w:p>
    <w:p>
      <w:pPr>
        <w:bidi w:val="0"/>
        <w:rPr>
          <w:rFonts w:hint="eastAsia"/>
          <w:b/>
          <w:bCs/>
          <w:highlight w:val="none"/>
          <w:lang w:val="en-US" w:eastAsia="zh-CN"/>
        </w:rPr>
      </w:pPr>
      <w:r>
        <w:rPr>
          <w:rFonts w:hint="eastAsia"/>
          <w:b/>
          <w:bCs/>
          <w:highlight w:val="none"/>
          <w:lang w:val="en-US" w:eastAsia="zh-CN"/>
        </w:rPr>
        <w:t>8.污染源风险监控点位</w:t>
      </w:r>
    </w:p>
    <w:p>
      <w:pPr>
        <w:ind w:left="0" w:leftChars="0" w:firstLine="640" w:firstLineChars="200"/>
        <w:rPr>
          <w:rFonts w:hint="eastAsia"/>
          <w:highlight w:val="none"/>
          <w:lang w:val="en-US" w:eastAsia="zh-CN"/>
        </w:rPr>
      </w:pPr>
      <w:r>
        <w:rPr>
          <w:rFonts w:hint="eastAsia"/>
          <w:highlight w:val="none"/>
          <w:lang w:val="en-US" w:eastAsia="zh-CN"/>
        </w:rPr>
        <w:t>名词解释：“污染源风险监控点位”来源于“双源”点位，“双源”点位指地下水型饮用水水源点位、污染源风险监控点位。城口县无</w:t>
      </w:r>
      <w:r>
        <w:rPr>
          <w:highlight w:val="none"/>
        </w:rPr>
        <w:t>集中式地下水型饮用</w:t>
      </w:r>
      <w:r>
        <w:rPr>
          <w:rFonts w:hint="eastAsia"/>
          <w:highlight w:val="none"/>
          <w:lang w:val="en-US" w:eastAsia="zh-CN"/>
        </w:rPr>
        <w:t>水</w:t>
      </w:r>
      <w:r>
        <w:rPr>
          <w:highlight w:val="none"/>
        </w:rPr>
        <w:t>水源</w:t>
      </w:r>
      <w:r>
        <w:rPr>
          <w:rFonts w:hint="eastAsia"/>
          <w:highlight w:val="none"/>
          <w:lang w:val="en-US" w:eastAsia="zh-CN"/>
        </w:rPr>
        <w:t>。</w:t>
      </w:r>
    </w:p>
    <w:p>
      <w:pPr>
        <w:ind w:left="0" w:leftChars="0" w:firstLine="640" w:firstLineChars="200"/>
        <w:rPr>
          <w:highlight w:val="none"/>
        </w:rPr>
      </w:pPr>
    </w:p>
    <w:sectPr>
      <w:pgSz w:w="11906" w:h="16838"/>
      <w:pgMar w:top="1440" w:right="1800" w:bottom="1440" w:left="186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4D426793-257A-47F2-9135-6FE9F494481F}"/>
  </w:font>
  <w:font w:name="方正黑体_GBK">
    <w:panose1 w:val="03000509000000000000"/>
    <w:charset w:val="86"/>
    <w:family w:val="script"/>
    <w:pitch w:val="default"/>
    <w:sig w:usb0="00000001" w:usb1="080E0000" w:usb2="00000000" w:usb3="00000000" w:csb0="00040000" w:csb1="00000000"/>
    <w:embedRegular r:id="rId2" w:fontKey="{C00E6F72-05A8-4D23-B393-9DE363320EC1}"/>
  </w:font>
  <w:font w:name="方正楷体_GBK">
    <w:panose1 w:val="03000509000000000000"/>
    <w:charset w:val="86"/>
    <w:family w:val="script"/>
    <w:pitch w:val="default"/>
    <w:sig w:usb0="00000001" w:usb1="080E0000" w:usb2="00000000" w:usb3="00000000" w:csb0="00040000" w:csb1="00000000"/>
    <w:embedRegular r:id="rId3" w:fontKey="{AFC0B6B3-ED08-451A-A998-B4B6476F267C}"/>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embedRegular r:id="rId4" w:fontKey="{EED1A045-5D49-4D6D-894F-78FB0540E00D}"/>
  </w:font>
  <w:font w:name="仿宋_GB2312">
    <w:panose1 w:val="02010609030101010101"/>
    <w:charset w:val="86"/>
    <w:family w:val="modern"/>
    <w:pitch w:val="default"/>
    <w:sig w:usb0="00000001" w:usb1="080E0000" w:usb2="00000000" w:usb3="00000000" w:csb0="00040000" w:csb1="00000000"/>
    <w:embedRegular r:id="rId5" w:fontKey="{06F77212-8227-4FE2-86D9-ED0272F7A94A}"/>
  </w:font>
  <w:font w:name="仿宋">
    <w:panose1 w:val="02010609060101010101"/>
    <w:charset w:val="86"/>
    <w:family w:val="auto"/>
    <w:pitch w:val="default"/>
    <w:sig w:usb0="800002BF" w:usb1="38CF7CFA" w:usb2="00000016" w:usb3="00000000" w:csb0="00040001" w:csb1="00000000"/>
    <w:embedRegular r:id="rId6" w:fontKey="{723C9F48-A0D7-48CE-8CB4-DC54086D88D1}"/>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embedRegular r:id="rId7" w:fontKey="{200265E2-BEF0-4C39-BE20-D11A92460302}"/>
  </w:font>
  <w:font w:name="方正小标宋_GBK">
    <w:panose1 w:val="03000509000000000000"/>
    <w:charset w:val="86"/>
    <w:family w:val="auto"/>
    <w:pitch w:val="default"/>
    <w:sig w:usb0="00000001" w:usb1="080E0000" w:usb2="00000000" w:usb3="00000000" w:csb0="00040000" w:csb1="00000000"/>
    <w:embedRegular r:id="rId8" w:fontKey="{D3F98ADD-AABF-4E39-8423-D669D37F04AC}"/>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思源宋体 CN Heavy">
    <w:panose1 w:val="02020900000000000000"/>
    <w:charset w:val="86"/>
    <w:family w:val="auto"/>
    <w:pitch w:val="default"/>
    <w:sig w:usb0="20000083" w:usb1="2ADF3C10" w:usb2="00000016" w:usb3="00000000" w:csb0="60060107" w:csb1="00000000"/>
  </w:font>
  <w:font w:name="幼圆">
    <w:panose1 w:val="02010509060101010101"/>
    <w:charset w:val="86"/>
    <w:family w:val="auto"/>
    <w:pitch w:val="default"/>
    <w:sig w:usb0="00000001" w:usb1="080E0000" w:usb2="00000000" w:usb3="00000000" w:csb0="00040000" w:csb1="00000000"/>
  </w:font>
  <w:font w:name="Blackadder ITC">
    <w:panose1 w:val="04020505051007020D02"/>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itannic Bold">
    <w:panose1 w:val="020B0903060703020204"/>
    <w:charset w:val="00"/>
    <w:family w:val="auto"/>
    <w:pitch w:val="default"/>
    <w:sig w:usb0="00000003" w:usb1="00000000" w:usb2="00000000" w:usb3="00000000" w:csb0="20000001" w:csb1="00000000"/>
  </w:font>
  <w:font w:name="Cambria Math">
    <w:panose1 w:val="02040503050406030204"/>
    <w:charset w:val="00"/>
    <w:family w:val="auto"/>
    <w:pitch w:val="default"/>
    <w:sig w:usb0="E00006FF" w:usb1="420024FF" w:usb2="02000000" w:usb3="00000000" w:csb0="2000019F" w:csb1="00000000"/>
  </w:font>
  <w:font w:name="Courier New">
    <w:panose1 w:val="02070309020205020404"/>
    <w:charset w:val="00"/>
    <w:family w:val="auto"/>
    <w:pitch w:val="default"/>
    <w:sig w:usb0="E0002EFF" w:usb1="C0007843" w:usb2="00000009" w:usb3="00000000" w:csb0="400001FF" w:csb1="FFFF0000"/>
  </w:font>
  <w:font w:name="Elephant">
    <w:panose1 w:val="02020904090505020303"/>
    <w:charset w:val="00"/>
    <w:family w:val="auto"/>
    <w:pitch w:val="default"/>
    <w:sig w:usb0="00000003" w:usb1="00000000" w:usb2="00000000" w:usb3="00000000" w:csb0="20000001" w:csb1="00000000"/>
  </w:font>
  <w:font w:name="EngraversGothic BT">
    <w:panose1 w:val="020B0507020203020204"/>
    <w:charset w:val="00"/>
    <w:family w:val="auto"/>
    <w:pitch w:val="default"/>
    <w:sig w:usb0="800000AF" w:usb1="1000204A" w:usb2="00000000" w:usb3="00000000" w:csb0="00000011" w:csb1="00000000"/>
  </w:font>
  <w:font w:name="Freehand521 BT">
    <w:panose1 w:val="03080802030307080304"/>
    <w:charset w:val="00"/>
    <w:family w:val="auto"/>
    <w:pitch w:val="default"/>
    <w:sig w:usb0="800000AF" w:usb1="1000204A" w:usb2="00000000" w:usb3="00000000" w:csb0="00000011" w:csb1="00000000"/>
  </w:font>
  <w:font w:name="Garamond">
    <w:panose1 w:val="02020404030301010803"/>
    <w:charset w:val="00"/>
    <w:family w:val="auto"/>
    <w:pitch w:val="default"/>
    <w:sig w:usb0="00000287" w:usb1="00000000" w:usb2="00000000" w:usb3="00000000" w:csb0="0000009F" w:csb1="DFD70000"/>
  </w:font>
  <w:font w:name="Gloucester MT Extra Condensed">
    <w:panose1 w:val="020308080206010101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Humnst777 Lt BT">
    <w:panose1 w:val="020B0402030504020204"/>
    <w:charset w:val="00"/>
    <w:family w:val="auto"/>
    <w:pitch w:val="default"/>
    <w:sig w:usb0="800000AF" w:usb1="1000204A" w:usb2="00000000" w:usb3="00000000" w:csb0="00000011" w:csb1="00000000"/>
  </w:font>
  <w:font w:name="Juice ITC">
    <w:panose1 w:val="04040403040A02020202"/>
    <w:charset w:val="00"/>
    <w:family w:val="auto"/>
    <w:pitch w:val="default"/>
    <w:sig w:usb0="00000003" w:usb1="00000000" w:usb2="00000000" w:usb3="00000000" w:csb0="20000001" w:csb1="00000000"/>
  </w:font>
  <w:font w:name="Leelawadee UI Semilight">
    <w:panose1 w:val="020B0402040204020203"/>
    <w:charset w:val="00"/>
    <w:family w:val="auto"/>
    <w:pitch w:val="default"/>
    <w:sig w:usb0="83000003" w:usb1="00000000" w:usb2="00010000" w:usb3="00000001" w:csb0="00010101" w:csb1="00000000"/>
  </w:font>
  <w:font w:name="MS Mincho">
    <w:panose1 w:val="02020609040205080304"/>
    <w:charset w:val="80"/>
    <w:family w:val="auto"/>
    <w:pitch w:val="default"/>
    <w:sig w:usb0="A00002BF" w:usb1="68C7FCFB" w:usb2="00000010" w:usb3="00000000" w:csb0="4002009F" w:csb1="DFD70000"/>
  </w:font>
  <w:font w:name="Maiandra GD">
    <w:panose1 w:val="020E0502030308020204"/>
    <w:charset w:val="00"/>
    <w:family w:val="auto"/>
    <w:pitch w:val="default"/>
    <w:sig w:usb0="00000003" w:usb1="00000000" w:usb2="00000000" w:usb3="00000000" w:csb0="20000001" w:csb1="00000000"/>
  </w:font>
  <w:font w:name="Microsoft JhengHei UI">
    <w:panose1 w:val="020B0604030504040204"/>
    <w:charset w:val="88"/>
    <w:family w:val="auto"/>
    <w:pitch w:val="default"/>
    <w:sig w:usb0="0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Mistral">
    <w:panose1 w:val="03090702030407020403"/>
    <w:charset w:val="00"/>
    <w:family w:val="auto"/>
    <w:pitch w:val="default"/>
    <w:sig w:usb0="00000287" w:usb1="00000000" w:usb2="00000000" w:usb3="00000000" w:csb0="2000009F" w:csb1="DFD70000"/>
  </w:font>
  <w:font w:name="NewsGoth BT">
    <w:panose1 w:val="020B0503020203020204"/>
    <w:charset w:val="00"/>
    <w:family w:val="auto"/>
    <w:pitch w:val="default"/>
    <w:sig w:usb0="800000AF" w:usb1="1000204A" w:usb2="00000000" w:usb3="00000000" w:csb0="00000011" w:csb1="00000000"/>
  </w:font>
  <w:font w:name="NumberOnly">
    <w:panose1 w:val="020B0500000000000000"/>
    <w:charset w:val="00"/>
    <w:family w:val="auto"/>
    <w:pitch w:val="default"/>
    <w:sig w:usb0="8000002F" w:usb1="10000048" w:usb2="00000000" w:usb3="00000000" w:csb0="00000111" w:csb1="40000000"/>
  </w:font>
  <w:font w:name="Nirmala UI Semilight">
    <w:panose1 w:val="020B0402040204020203"/>
    <w:charset w:val="00"/>
    <w:family w:val="auto"/>
    <w:pitch w:val="default"/>
    <w:sig w:usb0="80FF8023" w:usb1="0200004A" w:usb2="00000200" w:usb3="00040000" w:csb0="00000001" w:csb1="00000000"/>
  </w:font>
  <w:font w:name="NewsGoth Lt BT">
    <w:panose1 w:val="020B0406020203020204"/>
    <w:charset w:val="00"/>
    <w:family w:val="auto"/>
    <w:pitch w:val="default"/>
    <w:sig w:usb0="800000AF" w:usb1="1000204A" w:usb2="00000000" w:usb3="00000000" w:csb0="0000001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Schadow BT">
    <w:panose1 w:val="02060504050505030204"/>
    <w:charset w:val="00"/>
    <w:family w:val="auto"/>
    <w:pitch w:val="default"/>
    <w:sig w:usb0="800000AF" w:usb1="1000204A" w:usb2="00000000" w:usb3="00000000" w:csb0="00000011" w:csb1="00000000"/>
  </w:font>
  <w:font w:name="Segoe UI Light">
    <w:panose1 w:val="020B0502040204020203"/>
    <w:charset w:val="00"/>
    <w:family w:val="auto"/>
    <w:pitch w:val="default"/>
    <w:sig w:usb0="E4002EFF" w:usb1="C000E47F" w:usb2="00000009" w:usb3="00000000" w:csb0="200001FF" w:csb1="00000000"/>
  </w:font>
  <w:font w:name="Sitka Display">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ind w:firstLine="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4"/>
                      <w:ind w:firstLine="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I</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ind w:firstLine="360"/>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XXIII</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4"/>
                      <w:ind w:firstLine="360"/>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XXIII</w:t>
                    </w:r>
                    <w:r>
                      <w:rPr>
                        <w:sz w:val="28"/>
                        <w:szCs w:val="28"/>
                      </w:rP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E74E92"/>
    <w:multiLevelType w:val="singleLevel"/>
    <w:tmpl w:val="EDE74E92"/>
    <w:lvl w:ilvl="0" w:tentative="0">
      <w:start w:val="1"/>
      <w:numFmt w:val="decimal"/>
      <w:lvlText w:val="%1."/>
      <w:lvlJc w:val="left"/>
      <w:pPr>
        <w:tabs>
          <w:tab w:val="left" w:pos="312"/>
        </w:tabs>
      </w:pPr>
    </w:lvl>
  </w:abstractNum>
  <w:abstractNum w:abstractNumId="1">
    <w:nsid w:val="2EED6BC7"/>
    <w:multiLevelType w:val="multilevel"/>
    <w:tmpl w:val="2EED6BC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NGVjYThjZmY0YzAxY2IzYjQ5ZGRjZDJiZWJmYzUifQ=="/>
  </w:docVars>
  <w:rsids>
    <w:rsidRoot w:val="008E2FFA"/>
    <w:rsid w:val="00001073"/>
    <w:rsid w:val="00022337"/>
    <w:rsid w:val="00050246"/>
    <w:rsid w:val="00055D95"/>
    <w:rsid w:val="00066A45"/>
    <w:rsid w:val="000847AC"/>
    <w:rsid w:val="00094BFC"/>
    <w:rsid w:val="000A3522"/>
    <w:rsid w:val="000A3FDF"/>
    <w:rsid w:val="000A54C4"/>
    <w:rsid w:val="000C1FE4"/>
    <w:rsid w:val="000C2797"/>
    <w:rsid w:val="000C33B9"/>
    <w:rsid w:val="000D6FD5"/>
    <w:rsid w:val="000E01DE"/>
    <w:rsid w:val="000E48FE"/>
    <w:rsid w:val="000E5573"/>
    <w:rsid w:val="00107280"/>
    <w:rsid w:val="001110D1"/>
    <w:rsid w:val="00111570"/>
    <w:rsid w:val="00112C03"/>
    <w:rsid w:val="00120835"/>
    <w:rsid w:val="00134902"/>
    <w:rsid w:val="00134E59"/>
    <w:rsid w:val="001431AF"/>
    <w:rsid w:val="00151C7A"/>
    <w:rsid w:val="001669CF"/>
    <w:rsid w:val="0018618D"/>
    <w:rsid w:val="00186F40"/>
    <w:rsid w:val="00191A4B"/>
    <w:rsid w:val="001950D5"/>
    <w:rsid w:val="001E0430"/>
    <w:rsid w:val="001E6EDA"/>
    <w:rsid w:val="001F3814"/>
    <w:rsid w:val="001F5E60"/>
    <w:rsid w:val="00206AE3"/>
    <w:rsid w:val="00211C25"/>
    <w:rsid w:val="00211F76"/>
    <w:rsid w:val="002171D2"/>
    <w:rsid w:val="00230458"/>
    <w:rsid w:val="00236EC0"/>
    <w:rsid w:val="00237B5E"/>
    <w:rsid w:val="00265BD6"/>
    <w:rsid w:val="00270D3B"/>
    <w:rsid w:val="002713BA"/>
    <w:rsid w:val="00276930"/>
    <w:rsid w:val="00276C4A"/>
    <w:rsid w:val="0027732D"/>
    <w:rsid w:val="002839BC"/>
    <w:rsid w:val="002A4FCF"/>
    <w:rsid w:val="002C3333"/>
    <w:rsid w:val="002C5303"/>
    <w:rsid w:val="002E7697"/>
    <w:rsid w:val="002F0F60"/>
    <w:rsid w:val="00306458"/>
    <w:rsid w:val="00323109"/>
    <w:rsid w:val="00324866"/>
    <w:rsid w:val="0032788F"/>
    <w:rsid w:val="00332689"/>
    <w:rsid w:val="00353EB5"/>
    <w:rsid w:val="00363CB0"/>
    <w:rsid w:val="003904E9"/>
    <w:rsid w:val="00390A0B"/>
    <w:rsid w:val="003955CF"/>
    <w:rsid w:val="00396B2F"/>
    <w:rsid w:val="003A2241"/>
    <w:rsid w:val="003A6B66"/>
    <w:rsid w:val="003A7D48"/>
    <w:rsid w:val="003B3CE1"/>
    <w:rsid w:val="003C26EB"/>
    <w:rsid w:val="003D3F8C"/>
    <w:rsid w:val="003E10E1"/>
    <w:rsid w:val="003E5E2C"/>
    <w:rsid w:val="003F4294"/>
    <w:rsid w:val="003F5F2A"/>
    <w:rsid w:val="00401688"/>
    <w:rsid w:val="00422B35"/>
    <w:rsid w:val="00430507"/>
    <w:rsid w:val="004351E2"/>
    <w:rsid w:val="004455B2"/>
    <w:rsid w:val="00455A5E"/>
    <w:rsid w:val="0045665B"/>
    <w:rsid w:val="00456D19"/>
    <w:rsid w:val="00470EDB"/>
    <w:rsid w:val="00495E7D"/>
    <w:rsid w:val="004A48C0"/>
    <w:rsid w:val="004B71AD"/>
    <w:rsid w:val="004D343E"/>
    <w:rsid w:val="004D51CE"/>
    <w:rsid w:val="004E1549"/>
    <w:rsid w:val="004E506A"/>
    <w:rsid w:val="004E5D35"/>
    <w:rsid w:val="004F4D53"/>
    <w:rsid w:val="004F754C"/>
    <w:rsid w:val="00501EE6"/>
    <w:rsid w:val="00516B4E"/>
    <w:rsid w:val="00522102"/>
    <w:rsid w:val="00530603"/>
    <w:rsid w:val="00533003"/>
    <w:rsid w:val="005352FF"/>
    <w:rsid w:val="005575D8"/>
    <w:rsid w:val="00562047"/>
    <w:rsid w:val="00576E91"/>
    <w:rsid w:val="00581424"/>
    <w:rsid w:val="00587E26"/>
    <w:rsid w:val="005922C5"/>
    <w:rsid w:val="005960C8"/>
    <w:rsid w:val="005A57C7"/>
    <w:rsid w:val="005A6F33"/>
    <w:rsid w:val="005B0170"/>
    <w:rsid w:val="005C433E"/>
    <w:rsid w:val="005C43A4"/>
    <w:rsid w:val="005F0A13"/>
    <w:rsid w:val="00600686"/>
    <w:rsid w:val="006100AC"/>
    <w:rsid w:val="00612333"/>
    <w:rsid w:val="0061330A"/>
    <w:rsid w:val="00620B20"/>
    <w:rsid w:val="0063064B"/>
    <w:rsid w:val="006417F7"/>
    <w:rsid w:val="00646349"/>
    <w:rsid w:val="00650D1B"/>
    <w:rsid w:val="00653F33"/>
    <w:rsid w:val="0065620E"/>
    <w:rsid w:val="006614DF"/>
    <w:rsid w:val="0066378D"/>
    <w:rsid w:val="00663ED3"/>
    <w:rsid w:val="006813A8"/>
    <w:rsid w:val="006914F7"/>
    <w:rsid w:val="00694978"/>
    <w:rsid w:val="006A1623"/>
    <w:rsid w:val="006A4526"/>
    <w:rsid w:val="006C16CC"/>
    <w:rsid w:val="006D0673"/>
    <w:rsid w:val="006D0CE9"/>
    <w:rsid w:val="006E1893"/>
    <w:rsid w:val="006F5055"/>
    <w:rsid w:val="006F7588"/>
    <w:rsid w:val="00704D77"/>
    <w:rsid w:val="00722F3C"/>
    <w:rsid w:val="00724014"/>
    <w:rsid w:val="00725FC4"/>
    <w:rsid w:val="00736406"/>
    <w:rsid w:val="007402CA"/>
    <w:rsid w:val="007408D0"/>
    <w:rsid w:val="007657BD"/>
    <w:rsid w:val="007673A8"/>
    <w:rsid w:val="0077779C"/>
    <w:rsid w:val="00786093"/>
    <w:rsid w:val="007A5D46"/>
    <w:rsid w:val="007B1675"/>
    <w:rsid w:val="007B3434"/>
    <w:rsid w:val="007B5D1B"/>
    <w:rsid w:val="007C2CDB"/>
    <w:rsid w:val="007D32D3"/>
    <w:rsid w:val="007D55F4"/>
    <w:rsid w:val="007E5FCE"/>
    <w:rsid w:val="008008B1"/>
    <w:rsid w:val="0080483E"/>
    <w:rsid w:val="00813031"/>
    <w:rsid w:val="00821BFF"/>
    <w:rsid w:val="00824069"/>
    <w:rsid w:val="00825DB0"/>
    <w:rsid w:val="008334AF"/>
    <w:rsid w:val="00836776"/>
    <w:rsid w:val="0085606B"/>
    <w:rsid w:val="008661B9"/>
    <w:rsid w:val="008706FD"/>
    <w:rsid w:val="008779FD"/>
    <w:rsid w:val="00877E6B"/>
    <w:rsid w:val="00893649"/>
    <w:rsid w:val="008A1D15"/>
    <w:rsid w:val="008A4A92"/>
    <w:rsid w:val="008B4C52"/>
    <w:rsid w:val="008B751C"/>
    <w:rsid w:val="008D0563"/>
    <w:rsid w:val="008D5AC5"/>
    <w:rsid w:val="008D7049"/>
    <w:rsid w:val="008E2FFA"/>
    <w:rsid w:val="008E4B0E"/>
    <w:rsid w:val="008F0302"/>
    <w:rsid w:val="00922C50"/>
    <w:rsid w:val="0092328F"/>
    <w:rsid w:val="00941CEA"/>
    <w:rsid w:val="00944B84"/>
    <w:rsid w:val="00950094"/>
    <w:rsid w:val="00950BD4"/>
    <w:rsid w:val="00960261"/>
    <w:rsid w:val="0096614D"/>
    <w:rsid w:val="00971012"/>
    <w:rsid w:val="00973964"/>
    <w:rsid w:val="009863BB"/>
    <w:rsid w:val="00994334"/>
    <w:rsid w:val="009A3D1E"/>
    <w:rsid w:val="009A4966"/>
    <w:rsid w:val="009D31FE"/>
    <w:rsid w:val="009D6ABA"/>
    <w:rsid w:val="00A05055"/>
    <w:rsid w:val="00A10993"/>
    <w:rsid w:val="00A11301"/>
    <w:rsid w:val="00A223F7"/>
    <w:rsid w:val="00A31D87"/>
    <w:rsid w:val="00A34A61"/>
    <w:rsid w:val="00A36225"/>
    <w:rsid w:val="00A473A7"/>
    <w:rsid w:val="00A56974"/>
    <w:rsid w:val="00A57091"/>
    <w:rsid w:val="00A62A77"/>
    <w:rsid w:val="00A72BAA"/>
    <w:rsid w:val="00A743B4"/>
    <w:rsid w:val="00A86A26"/>
    <w:rsid w:val="00AA629E"/>
    <w:rsid w:val="00AA6300"/>
    <w:rsid w:val="00AA6B9D"/>
    <w:rsid w:val="00AC5295"/>
    <w:rsid w:val="00B005B5"/>
    <w:rsid w:val="00B018A4"/>
    <w:rsid w:val="00B20081"/>
    <w:rsid w:val="00B2094A"/>
    <w:rsid w:val="00B25DFB"/>
    <w:rsid w:val="00B2631C"/>
    <w:rsid w:val="00B34B50"/>
    <w:rsid w:val="00B43225"/>
    <w:rsid w:val="00B43C32"/>
    <w:rsid w:val="00B46F36"/>
    <w:rsid w:val="00B50144"/>
    <w:rsid w:val="00B529F0"/>
    <w:rsid w:val="00B53A90"/>
    <w:rsid w:val="00B71AA1"/>
    <w:rsid w:val="00B71F70"/>
    <w:rsid w:val="00B908BA"/>
    <w:rsid w:val="00B94AD7"/>
    <w:rsid w:val="00BA1BEB"/>
    <w:rsid w:val="00BA38C7"/>
    <w:rsid w:val="00BB335E"/>
    <w:rsid w:val="00BB46C3"/>
    <w:rsid w:val="00BC4A63"/>
    <w:rsid w:val="00BC571E"/>
    <w:rsid w:val="00BD16E2"/>
    <w:rsid w:val="00BF740C"/>
    <w:rsid w:val="00C230E2"/>
    <w:rsid w:val="00C25F64"/>
    <w:rsid w:val="00C361FC"/>
    <w:rsid w:val="00C54BC5"/>
    <w:rsid w:val="00C6773B"/>
    <w:rsid w:val="00C74232"/>
    <w:rsid w:val="00CA05DC"/>
    <w:rsid w:val="00CB16E1"/>
    <w:rsid w:val="00CB3B57"/>
    <w:rsid w:val="00CE2556"/>
    <w:rsid w:val="00CF2F4E"/>
    <w:rsid w:val="00CF772A"/>
    <w:rsid w:val="00D066E3"/>
    <w:rsid w:val="00D12AE4"/>
    <w:rsid w:val="00D148AD"/>
    <w:rsid w:val="00D61F69"/>
    <w:rsid w:val="00D64AE1"/>
    <w:rsid w:val="00D664E3"/>
    <w:rsid w:val="00D67409"/>
    <w:rsid w:val="00DA60B7"/>
    <w:rsid w:val="00DD3072"/>
    <w:rsid w:val="00DD485E"/>
    <w:rsid w:val="00DE19BA"/>
    <w:rsid w:val="00DF4527"/>
    <w:rsid w:val="00DF63FE"/>
    <w:rsid w:val="00E024F7"/>
    <w:rsid w:val="00E10D5C"/>
    <w:rsid w:val="00E16423"/>
    <w:rsid w:val="00E23384"/>
    <w:rsid w:val="00E2613C"/>
    <w:rsid w:val="00E54D24"/>
    <w:rsid w:val="00E558C6"/>
    <w:rsid w:val="00E71A4C"/>
    <w:rsid w:val="00E802B5"/>
    <w:rsid w:val="00E84416"/>
    <w:rsid w:val="00E86524"/>
    <w:rsid w:val="00E94C89"/>
    <w:rsid w:val="00EB58F1"/>
    <w:rsid w:val="00EB60B2"/>
    <w:rsid w:val="00EC2E37"/>
    <w:rsid w:val="00ED1DC9"/>
    <w:rsid w:val="00EF0061"/>
    <w:rsid w:val="00EF0208"/>
    <w:rsid w:val="00EF17FB"/>
    <w:rsid w:val="00EF5CB1"/>
    <w:rsid w:val="00EF6C82"/>
    <w:rsid w:val="00F010C1"/>
    <w:rsid w:val="00F01780"/>
    <w:rsid w:val="00F134E2"/>
    <w:rsid w:val="00F231E9"/>
    <w:rsid w:val="00F308B6"/>
    <w:rsid w:val="00F407F7"/>
    <w:rsid w:val="00F53E78"/>
    <w:rsid w:val="00F54E0D"/>
    <w:rsid w:val="00F57DC1"/>
    <w:rsid w:val="00F62355"/>
    <w:rsid w:val="00F66C21"/>
    <w:rsid w:val="00F81125"/>
    <w:rsid w:val="00F85718"/>
    <w:rsid w:val="00FC6DC4"/>
    <w:rsid w:val="00FF49BB"/>
    <w:rsid w:val="00FF6500"/>
    <w:rsid w:val="010551F6"/>
    <w:rsid w:val="0108610E"/>
    <w:rsid w:val="01192C1F"/>
    <w:rsid w:val="01206E9A"/>
    <w:rsid w:val="01282E62"/>
    <w:rsid w:val="012A5CD9"/>
    <w:rsid w:val="012D7EA8"/>
    <w:rsid w:val="01303A78"/>
    <w:rsid w:val="013B668C"/>
    <w:rsid w:val="014925F1"/>
    <w:rsid w:val="01526B37"/>
    <w:rsid w:val="0157162E"/>
    <w:rsid w:val="01757692"/>
    <w:rsid w:val="017938F2"/>
    <w:rsid w:val="017F20B2"/>
    <w:rsid w:val="018F4C90"/>
    <w:rsid w:val="018F6A3E"/>
    <w:rsid w:val="01A132CB"/>
    <w:rsid w:val="01A63CD7"/>
    <w:rsid w:val="01BD6974"/>
    <w:rsid w:val="01CC4F1C"/>
    <w:rsid w:val="01D319F6"/>
    <w:rsid w:val="01D43814"/>
    <w:rsid w:val="01D6608B"/>
    <w:rsid w:val="01D9415D"/>
    <w:rsid w:val="0200793B"/>
    <w:rsid w:val="02117FFD"/>
    <w:rsid w:val="021B437C"/>
    <w:rsid w:val="021D2DE5"/>
    <w:rsid w:val="02357F37"/>
    <w:rsid w:val="02367209"/>
    <w:rsid w:val="023C7730"/>
    <w:rsid w:val="023D46EC"/>
    <w:rsid w:val="024D4022"/>
    <w:rsid w:val="0250798B"/>
    <w:rsid w:val="0251178E"/>
    <w:rsid w:val="025649A5"/>
    <w:rsid w:val="026B74AB"/>
    <w:rsid w:val="026F3BE4"/>
    <w:rsid w:val="02832A46"/>
    <w:rsid w:val="02874D61"/>
    <w:rsid w:val="029550F9"/>
    <w:rsid w:val="029702A0"/>
    <w:rsid w:val="02A12ECC"/>
    <w:rsid w:val="02A76009"/>
    <w:rsid w:val="02AE49A8"/>
    <w:rsid w:val="02C267E3"/>
    <w:rsid w:val="02CF6E49"/>
    <w:rsid w:val="02D05890"/>
    <w:rsid w:val="02D957AA"/>
    <w:rsid w:val="02DA06C5"/>
    <w:rsid w:val="02E27939"/>
    <w:rsid w:val="02E80AFB"/>
    <w:rsid w:val="02F359FA"/>
    <w:rsid w:val="02FA25DD"/>
    <w:rsid w:val="02FB4A46"/>
    <w:rsid w:val="03076A30"/>
    <w:rsid w:val="031F47BF"/>
    <w:rsid w:val="03297326"/>
    <w:rsid w:val="032F4C54"/>
    <w:rsid w:val="03595555"/>
    <w:rsid w:val="035A3025"/>
    <w:rsid w:val="035F574A"/>
    <w:rsid w:val="036F0EFB"/>
    <w:rsid w:val="036F6B27"/>
    <w:rsid w:val="037317CA"/>
    <w:rsid w:val="03751D81"/>
    <w:rsid w:val="038F541B"/>
    <w:rsid w:val="03A31381"/>
    <w:rsid w:val="03BD5AE4"/>
    <w:rsid w:val="03C9092D"/>
    <w:rsid w:val="03CA682C"/>
    <w:rsid w:val="03CB03BE"/>
    <w:rsid w:val="03E2554B"/>
    <w:rsid w:val="03F103BA"/>
    <w:rsid w:val="03F469CC"/>
    <w:rsid w:val="0403682B"/>
    <w:rsid w:val="04117ADE"/>
    <w:rsid w:val="04137DFA"/>
    <w:rsid w:val="0422003D"/>
    <w:rsid w:val="042378BE"/>
    <w:rsid w:val="04340F31"/>
    <w:rsid w:val="043B11CB"/>
    <w:rsid w:val="044304CB"/>
    <w:rsid w:val="04451D52"/>
    <w:rsid w:val="046B19E4"/>
    <w:rsid w:val="047A2372"/>
    <w:rsid w:val="048A0845"/>
    <w:rsid w:val="04953F28"/>
    <w:rsid w:val="049658B4"/>
    <w:rsid w:val="04986826"/>
    <w:rsid w:val="04A641AB"/>
    <w:rsid w:val="04AE6738"/>
    <w:rsid w:val="04AF76A6"/>
    <w:rsid w:val="04B868CB"/>
    <w:rsid w:val="04BD08EE"/>
    <w:rsid w:val="04C7685E"/>
    <w:rsid w:val="04CD7FA9"/>
    <w:rsid w:val="04CE1F73"/>
    <w:rsid w:val="04D37861"/>
    <w:rsid w:val="04D4275A"/>
    <w:rsid w:val="04DF7CDC"/>
    <w:rsid w:val="04E06814"/>
    <w:rsid w:val="04E24DF9"/>
    <w:rsid w:val="050463C4"/>
    <w:rsid w:val="050C4ECC"/>
    <w:rsid w:val="051E25B2"/>
    <w:rsid w:val="0543026B"/>
    <w:rsid w:val="055E6D86"/>
    <w:rsid w:val="056743E1"/>
    <w:rsid w:val="056A0CE6"/>
    <w:rsid w:val="05726E8E"/>
    <w:rsid w:val="05760585"/>
    <w:rsid w:val="058201CC"/>
    <w:rsid w:val="058F0189"/>
    <w:rsid w:val="05A30D0A"/>
    <w:rsid w:val="05C42BA4"/>
    <w:rsid w:val="05C7576A"/>
    <w:rsid w:val="05C84F6C"/>
    <w:rsid w:val="05CA098C"/>
    <w:rsid w:val="05CA3483"/>
    <w:rsid w:val="05CD181B"/>
    <w:rsid w:val="05D06823"/>
    <w:rsid w:val="05D14557"/>
    <w:rsid w:val="05E30526"/>
    <w:rsid w:val="05E71852"/>
    <w:rsid w:val="05FA380D"/>
    <w:rsid w:val="060E0879"/>
    <w:rsid w:val="061036DF"/>
    <w:rsid w:val="06127C3D"/>
    <w:rsid w:val="06160990"/>
    <w:rsid w:val="061D286A"/>
    <w:rsid w:val="062160CF"/>
    <w:rsid w:val="06316315"/>
    <w:rsid w:val="06437674"/>
    <w:rsid w:val="064F3A7E"/>
    <w:rsid w:val="064F49ED"/>
    <w:rsid w:val="06510766"/>
    <w:rsid w:val="067009DE"/>
    <w:rsid w:val="06721D9F"/>
    <w:rsid w:val="067D3196"/>
    <w:rsid w:val="069022E5"/>
    <w:rsid w:val="0696261C"/>
    <w:rsid w:val="06A50AB1"/>
    <w:rsid w:val="06B9306F"/>
    <w:rsid w:val="06C13B3D"/>
    <w:rsid w:val="06D201AF"/>
    <w:rsid w:val="06DA69AD"/>
    <w:rsid w:val="06E654C8"/>
    <w:rsid w:val="06EF05CB"/>
    <w:rsid w:val="06F2019A"/>
    <w:rsid w:val="06F42124"/>
    <w:rsid w:val="07081CD1"/>
    <w:rsid w:val="07097292"/>
    <w:rsid w:val="07196E63"/>
    <w:rsid w:val="071A68E6"/>
    <w:rsid w:val="071E1F77"/>
    <w:rsid w:val="07281E47"/>
    <w:rsid w:val="073025FB"/>
    <w:rsid w:val="07365838"/>
    <w:rsid w:val="073700BD"/>
    <w:rsid w:val="07397B77"/>
    <w:rsid w:val="075362AC"/>
    <w:rsid w:val="0754675F"/>
    <w:rsid w:val="07554285"/>
    <w:rsid w:val="07561F05"/>
    <w:rsid w:val="075F5104"/>
    <w:rsid w:val="07632264"/>
    <w:rsid w:val="077A3797"/>
    <w:rsid w:val="07852225"/>
    <w:rsid w:val="078809EF"/>
    <w:rsid w:val="078C6CD6"/>
    <w:rsid w:val="07934D76"/>
    <w:rsid w:val="079840C7"/>
    <w:rsid w:val="079F4A7C"/>
    <w:rsid w:val="07A14ABA"/>
    <w:rsid w:val="07A33243"/>
    <w:rsid w:val="07BE007D"/>
    <w:rsid w:val="07BE4360"/>
    <w:rsid w:val="07C92416"/>
    <w:rsid w:val="07D23B28"/>
    <w:rsid w:val="07D57174"/>
    <w:rsid w:val="07D75CBB"/>
    <w:rsid w:val="07DA3499"/>
    <w:rsid w:val="07DC2DFA"/>
    <w:rsid w:val="07DD431A"/>
    <w:rsid w:val="07E90B6A"/>
    <w:rsid w:val="07F36615"/>
    <w:rsid w:val="07F700E8"/>
    <w:rsid w:val="080C47F6"/>
    <w:rsid w:val="08247833"/>
    <w:rsid w:val="0828199A"/>
    <w:rsid w:val="082D0D5E"/>
    <w:rsid w:val="082D6CAB"/>
    <w:rsid w:val="08305436"/>
    <w:rsid w:val="083B6A63"/>
    <w:rsid w:val="084127BF"/>
    <w:rsid w:val="084837A5"/>
    <w:rsid w:val="08570A06"/>
    <w:rsid w:val="085842A9"/>
    <w:rsid w:val="086C5D2B"/>
    <w:rsid w:val="087760C2"/>
    <w:rsid w:val="087E49FE"/>
    <w:rsid w:val="08850B9A"/>
    <w:rsid w:val="08876D2E"/>
    <w:rsid w:val="08962DA7"/>
    <w:rsid w:val="089B701C"/>
    <w:rsid w:val="08AA23AF"/>
    <w:rsid w:val="08B17DF7"/>
    <w:rsid w:val="08B576D2"/>
    <w:rsid w:val="08B80F70"/>
    <w:rsid w:val="08BF267D"/>
    <w:rsid w:val="08D60479"/>
    <w:rsid w:val="08E04023"/>
    <w:rsid w:val="08E66B9F"/>
    <w:rsid w:val="08F8136C"/>
    <w:rsid w:val="0911242E"/>
    <w:rsid w:val="091A6484"/>
    <w:rsid w:val="093323A4"/>
    <w:rsid w:val="09370A52"/>
    <w:rsid w:val="094D790A"/>
    <w:rsid w:val="094E0497"/>
    <w:rsid w:val="09510A7C"/>
    <w:rsid w:val="09572537"/>
    <w:rsid w:val="09613FEC"/>
    <w:rsid w:val="09616F12"/>
    <w:rsid w:val="097A7FD3"/>
    <w:rsid w:val="0986482C"/>
    <w:rsid w:val="099C0A7A"/>
    <w:rsid w:val="099D4AF2"/>
    <w:rsid w:val="09A60660"/>
    <w:rsid w:val="09A80D7C"/>
    <w:rsid w:val="09AC36FA"/>
    <w:rsid w:val="09BE4364"/>
    <w:rsid w:val="09CB3453"/>
    <w:rsid w:val="09CC2A52"/>
    <w:rsid w:val="09D2576F"/>
    <w:rsid w:val="09D749CF"/>
    <w:rsid w:val="09D93C30"/>
    <w:rsid w:val="09E3201C"/>
    <w:rsid w:val="09E84DB8"/>
    <w:rsid w:val="09FE0C04"/>
    <w:rsid w:val="0A011390"/>
    <w:rsid w:val="0A0C1573"/>
    <w:rsid w:val="0A1421D6"/>
    <w:rsid w:val="0A25421C"/>
    <w:rsid w:val="0A261F09"/>
    <w:rsid w:val="0A381A3F"/>
    <w:rsid w:val="0A384381"/>
    <w:rsid w:val="0A3B4C36"/>
    <w:rsid w:val="0A4228C9"/>
    <w:rsid w:val="0A430D0D"/>
    <w:rsid w:val="0A481B0B"/>
    <w:rsid w:val="0A4B6666"/>
    <w:rsid w:val="0A4B7E76"/>
    <w:rsid w:val="0A5F5B47"/>
    <w:rsid w:val="0A632B07"/>
    <w:rsid w:val="0A6A0048"/>
    <w:rsid w:val="0A747118"/>
    <w:rsid w:val="0A811611"/>
    <w:rsid w:val="0A8C6210"/>
    <w:rsid w:val="0AB91107"/>
    <w:rsid w:val="0ACC57B2"/>
    <w:rsid w:val="0AD656DD"/>
    <w:rsid w:val="0AD83203"/>
    <w:rsid w:val="0AE11C99"/>
    <w:rsid w:val="0AE15BC9"/>
    <w:rsid w:val="0AE30CF0"/>
    <w:rsid w:val="0AE412EA"/>
    <w:rsid w:val="0AF146D6"/>
    <w:rsid w:val="0AF81AF7"/>
    <w:rsid w:val="0AFB3188"/>
    <w:rsid w:val="0B077F8D"/>
    <w:rsid w:val="0B0F700E"/>
    <w:rsid w:val="0B2B4B1C"/>
    <w:rsid w:val="0B2B7219"/>
    <w:rsid w:val="0B4765DB"/>
    <w:rsid w:val="0B4F7FE6"/>
    <w:rsid w:val="0B5F1B77"/>
    <w:rsid w:val="0B626F71"/>
    <w:rsid w:val="0B754EF6"/>
    <w:rsid w:val="0B8400DA"/>
    <w:rsid w:val="0B8C6581"/>
    <w:rsid w:val="0BAB3EA4"/>
    <w:rsid w:val="0BC8771C"/>
    <w:rsid w:val="0BC910FA"/>
    <w:rsid w:val="0BC96FF0"/>
    <w:rsid w:val="0BCC62E5"/>
    <w:rsid w:val="0BCF7EAC"/>
    <w:rsid w:val="0BE43E2A"/>
    <w:rsid w:val="0BF503CF"/>
    <w:rsid w:val="0C04570B"/>
    <w:rsid w:val="0C0831B3"/>
    <w:rsid w:val="0C0A1AE2"/>
    <w:rsid w:val="0C0C4317"/>
    <w:rsid w:val="0C116221"/>
    <w:rsid w:val="0C1C1816"/>
    <w:rsid w:val="0C1D3769"/>
    <w:rsid w:val="0C280724"/>
    <w:rsid w:val="0C3157FF"/>
    <w:rsid w:val="0C3748CD"/>
    <w:rsid w:val="0C3B35D1"/>
    <w:rsid w:val="0C3B7F93"/>
    <w:rsid w:val="0C3D1EB8"/>
    <w:rsid w:val="0C462517"/>
    <w:rsid w:val="0C4F5747"/>
    <w:rsid w:val="0C6E7D3D"/>
    <w:rsid w:val="0C76701F"/>
    <w:rsid w:val="0C7B786D"/>
    <w:rsid w:val="0C820D64"/>
    <w:rsid w:val="0C857E23"/>
    <w:rsid w:val="0C867ACF"/>
    <w:rsid w:val="0C891485"/>
    <w:rsid w:val="0C8E2713"/>
    <w:rsid w:val="0C932CD6"/>
    <w:rsid w:val="0C992E66"/>
    <w:rsid w:val="0C9E5AB4"/>
    <w:rsid w:val="0CA041F5"/>
    <w:rsid w:val="0CBA7B24"/>
    <w:rsid w:val="0CBE446A"/>
    <w:rsid w:val="0CDC5A84"/>
    <w:rsid w:val="0CDD47C2"/>
    <w:rsid w:val="0CDE6ACB"/>
    <w:rsid w:val="0CE144AE"/>
    <w:rsid w:val="0CF05842"/>
    <w:rsid w:val="0CF148DE"/>
    <w:rsid w:val="0CF24C58"/>
    <w:rsid w:val="0CF24C5B"/>
    <w:rsid w:val="0CF85DDF"/>
    <w:rsid w:val="0CF956B3"/>
    <w:rsid w:val="0D0A1648"/>
    <w:rsid w:val="0D102222"/>
    <w:rsid w:val="0D203E92"/>
    <w:rsid w:val="0D2777DA"/>
    <w:rsid w:val="0D4032E2"/>
    <w:rsid w:val="0D4777F2"/>
    <w:rsid w:val="0D505C1B"/>
    <w:rsid w:val="0D562B05"/>
    <w:rsid w:val="0D575AD8"/>
    <w:rsid w:val="0D5D525B"/>
    <w:rsid w:val="0D662F47"/>
    <w:rsid w:val="0D682F64"/>
    <w:rsid w:val="0D817B82"/>
    <w:rsid w:val="0D8540C3"/>
    <w:rsid w:val="0D8C2C2D"/>
    <w:rsid w:val="0D911888"/>
    <w:rsid w:val="0D916E6B"/>
    <w:rsid w:val="0D9D24E2"/>
    <w:rsid w:val="0DA20C83"/>
    <w:rsid w:val="0DA9532B"/>
    <w:rsid w:val="0DAB7B76"/>
    <w:rsid w:val="0DB066B9"/>
    <w:rsid w:val="0DC22B0F"/>
    <w:rsid w:val="0DCD3E65"/>
    <w:rsid w:val="0DCE4AEA"/>
    <w:rsid w:val="0DD00B0A"/>
    <w:rsid w:val="0DD2124C"/>
    <w:rsid w:val="0DDE080D"/>
    <w:rsid w:val="0DDE4FD5"/>
    <w:rsid w:val="0DEB4F6D"/>
    <w:rsid w:val="0DF76096"/>
    <w:rsid w:val="0DFE11D3"/>
    <w:rsid w:val="0DFE30EE"/>
    <w:rsid w:val="0E071C7B"/>
    <w:rsid w:val="0E460C3F"/>
    <w:rsid w:val="0E48359D"/>
    <w:rsid w:val="0E5B1DE1"/>
    <w:rsid w:val="0E6059EA"/>
    <w:rsid w:val="0E611C6E"/>
    <w:rsid w:val="0E6A46BB"/>
    <w:rsid w:val="0E72571D"/>
    <w:rsid w:val="0E76345F"/>
    <w:rsid w:val="0E7715E2"/>
    <w:rsid w:val="0E9472FF"/>
    <w:rsid w:val="0E963B01"/>
    <w:rsid w:val="0E9B5A2D"/>
    <w:rsid w:val="0E9D2977"/>
    <w:rsid w:val="0E9E6512"/>
    <w:rsid w:val="0EAF4BC3"/>
    <w:rsid w:val="0EB53DBB"/>
    <w:rsid w:val="0EB82680"/>
    <w:rsid w:val="0ED576DA"/>
    <w:rsid w:val="0F04084F"/>
    <w:rsid w:val="0F111132"/>
    <w:rsid w:val="0F1802A8"/>
    <w:rsid w:val="0F2C6CED"/>
    <w:rsid w:val="0F2E60CA"/>
    <w:rsid w:val="0F483F12"/>
    <w:rsid w:val="0F4E1AD3"/>
    <w:rsid w:val="0F506C1E"/>
    <w:rsid w:val="0F5B4568"/>
    <w:rsid w:val="0F5B4DF4"/>
    <w:rsid w:val="0F5F3EF3"/>
    <w:rsid w:val="0F63481B"/>
    <w:rsid w:val="0F6B6D3C"/>
    <w:rsid w:val="0F7554C5"/>
    <w:rsid w:val="0F867847"/>
    <w:rsid w:val="0F8E4D7B"/>
    <w:rsid w:val="0F900551"/>
    <w:rsid w:val="0F91788C"/>
    <w:rsid w:val="0F987405"/>
    <w:rsid w:val="0FA214DD"/>
    <w:rsid w:val="0FAC1657"/>
    <w:rsid w:val="0FAD1102"/>
    <w:rsid w:val="0FB35FED"/>
    <w:rsid w:val="0FB90694"/>
    <w:rsid w:val="0FC4644C"/>
    <w:rsid w:val="0FCE2E27"/>
    <w:rsid w:val="0FD464A7"/>
    <w:rsid w:val="0FDE5286"/>
    <w:rsid w:val="0FED27C9"/>
    <w:rsid w:val="100D1F0B"/>
    <w:rsid w:val="100E5313"/>
    <w:rsid w:val="100E6EA1"/>
    <w:rsid w:val="101B2DAF"/>
    <w:rsid w:val="102313C5"/>
    <w:rsid w:val="10256388"/>
    <w:rsid w:val="10352EA6"/>
    <w:rsid w:val="103A24CA"/>
    <w:rsid w:val="104F21BA"/>
    <w:rsid w:val="10534754"/>
    <w:rsid w:val="105477D0"/>
    <w:rsid w:val="105E064F"/>
    <w:rsid w:val="10724E4E"/>
    <w:rsid w:val="10731859"/>
    <w:rsid w:val="10775C30"/>
    <w:rsid w:val="108F0808"/>
    <w:rsid w:val="10A65B52"/>
    <w:rsid w:val="10A73DA4"/>
    <w:rsid w:val="10A86E83"/>
    <w:rsid w:val="10AA2905"/>
    <w:rsid w:val="10AC0666"/>
    <w:rsid w:val="10B71639"/>
    <w:rsid w:val="10C85135"/>
    <w:rsid w:val="10CC0E58"/>
    <w:rsid w:val="10CF1AA5"/>
    <w:rsid w:val="10D423BF"/>
    <w:rsid w:val="10D571A6"/>
    <w:rsid w:val="10F16E4E"/>
    <w:rsid w:val="110B2BCE"/>
    <w:rsid w:val="111071DE"/>
    <w:rsid w:val="111B209C"/>
    <w:rsid w:val="112453F4"/>
    <w:rsid w:val="11282555"/>
    <w:rsid w:val="11347161"/>
    <w:rsid w:val="11417481"/>
    <w:rsid w:val="11423ACC"/>
    <w:rsid w:val="1144541B"/>
    <w:rsid w:val="11445E54"/>
    <w:rsid w:val="11551A52"/>
    <w:rsid w:val="11560F71"/>
    <w:rsid w:val="11653DF5"/>
    <w:rsid w:val="11727009"/>
    <w:rsid w:val="118020F6"/>
    <w:rsid w:val="118061DD"/>
    <w:rsid w:val="119A56B6"/>
    <w:rsid w:val="11A90012"/>
    <w:rsid w:val="11AE0EC8"/>
    <w:rsid w:val="11B2449C"/>
    <w:rsid w:val="11B30526"/>
    <w:rsid w:val="11BB57A6"/>
    <w:rsid w:val="11CB5870"/>
    <w:rsid w:val="11D0732A"/>
    <w:rsid w:val="11D50930"/>
    <w:rsid w:val="11D50E21"/>
    <w:rsid w:val="11E57B67"/>
    <w:rsid w:val="11FA0759"/>
    <w:rsid w:val="120945EA"/>
    <w:rsid w:val="12174F59"/>
    <w:rsid w:val="121C256F"/>
    <w:rsid w:val="12223DD5"/>
    <w:rsid w:val="12244F80"/>
    <w:rsid w:val="1224631A"/>
    <w:rsid w:val="122A3C7E"/>
    <w:rsid w:val="12321B15"/>
    <w:rsid w:val="123303DE"/>
    <w:rsid w:val="12351895"/>
    <w:rsid w:val="124675EC"/>
    <w:rsid w:val="124D02C3"/>
    <w:rsid w:val="12584AF5"/>
    <w:rsid w:val="125C77AB"/>
    <w:rsid w:val="12633CFA"/>
    <w:rsid w:val="12655853"/>
    <w:rsid w:val="12706417"/>
    <w:rsid w:val="127E4779"/>
    <w:rsid w:val="127F6859"/>
    <w:rsid w:val="129E1A97"/>
    <w:rsid w:val="12A42B28"/>
    <w:rsid w:val="12B45B4E"/>
    <w:rsid w:val="12C30BED"/>
    <w:rsid w:val="12C879E9"/>
    <w:rsid w:val="12CF1390"/>
    <w:rsid w:val="12D01D9E"/>
    <w:rsid w:val="12D2372C"/>
    <w:rsid w:val="12D63524"/>
    <w:rsid w:val="12D87203"/>
    <w:rsid w:val="12D93F88"/>
    <w:rsid w:val="12E0359D"/>
    <w:rsid w:val="12E36D9D"/>
    <w:rsid w:val="12EF558E"/>
    <w:rsid w:val="12F37708"/>
    <w:rsid w:val="12F44890"/>
    <w:rsid w:val="12FE09D3"/>
    <w:rsid w:val="1306440E"/>
    <w:rsid w:val="13076D7C"/>
    <w:rsid w:val="13192F9B"/>
    <w:rsid w:val="13284E89"/>
    <w:rsid w:val="133B6A25"/>
    <w:rsid w:val="133C522B"/>
    <w:rsid w:val="133D79DF"/>
    <w:rsid w:val="13420C57"/>
    <w:rsid w:val="13426006"/>
    <w:rsid w:val="134954D1"/>
    <w:rsid w:val="135F0966"/>
    <w:rsid w:val="136D0911"/>
    <w:rsid w:val="1370543F"/>
    <w:rsid w:val="13794F34"/>
    <w:rsid w:val="137E170D"/>
    <w:rsid w:val="138278A7"/>
    <w:rsid w:val="13885908"/>
    <w:rsid w:val="13986D5B"/>
    <w:rsid w:val="13A454F8"/>
    <w:rsid w:val="13B10A95"/>
    <w:rsid w:val="13B25D6A"/>
    <w:rsid w:val="13BD074E"/>
    <w:rsid w:val="13BF7656"/>
    <w:rsid w:val="13C20EF5"/>
    <w:rsid w:val="13C9717B"/>
    <w:rsid w:val="13D048CA"/>
    <w:rsid w:val="13D247DC"/>
    <w:rsid w:val="13D5498B"/>
    <w:rsid w:val="13D604FC"/>
    <w:rsid w:val="13EC7D20"/>
    <w:rsid w:val="13FB7F63"/>
    <w:rsid w:val="140B2F64"/>
    <w:rsid w:val="140F60E6"/>
    <w:rsid w:val="142B5CE1"/>
    <w:rsid w:val="14301436"/>
    <w:rsid w:val="143726E0"/>
    <w:rsid w:val="143E1D94"/>
    <w:rsid w:val="1446797A"/>
    <w:rsid w:val="144848D9"/>
    <w:rsid w:val="144C0FAC"/>
    <w:rsid w:val="14515DD5"/>
    <w:rsid w:val="145204CA"/>
    <w:rsid w:val="145435A5"/>
    <w:rsid w:val="14553B17"/>
    <w:rsid w:val="145B0A18"/>
    <w:rsid w:val="145C30F7"/>
    <w:rsid w:val="1488528C"/>
    <w:rsid w:val="148D32B1"/>
    <w:rsid w:val="149C7998"/>
    <w:rsid w:val="14A800EA"/>
    <w:rsid w:val="14B51D54"/>
    <w:rsid w:val="14C32289"/>
    <w:rsid w:val="14C447F8"/>
    <w:rsid w:val="14CA62B3"/>
    <w:rsid w:val="14CB44CC"/>
    <w:rsid w:val="14CF38C9"/>
    <w:rsid w:val="14D40EDF"/>
    <w:rsid w:val="14D6265A"/>
    <w:rsid w:val="14D91751"/>
    <w:rsid w:val="14EB6229"/>
    <w:rsid w:val="14F50E56"/>
    <w:rsid w:val="14F82861"/>
    <w:rsid w:val="15086DDB"/>
    <w:rsid w:val="150E1BDA"/>
    <w:rsid w:val="151915EB"/>
    <w:rsid w:val="152C6320"/>
    <w:rsid w:val="152F25BA"/>
    <w:rsid w:val="1542409B"/>
    <w:rsid w:val="154D3E45"/>
    <w:rsid w:val="155B6F0B"/>
    <w:rsid w:val="15634011"/>
    <w:rsid w:val="157D50D3"/>
    <w:rsid w:val="15806971"/>
    <w:rsid w:val="1585042C"/>
    <w:rsid w:val="15895A53"/>
    <w:rsid w:val="15952F9D"/>
    <w:rsid w:val="159C2A96"/>
    <w:rsid w:val="15A2522E"/>
    <w:rsid w:val="15A67F64"/>
    <w:rsid w:val="15A72150"/>
    <w:rsid w:val="15B036FB"/>
    <w:rsid w:val="15C626CE"/>
    <w:rsid w:val="15CC605B"/>
    <w:rsid w:val="15CD05B3"/>
    <w:rsid w:val="15CF6BB0"/>
    <w:rsid w:val="15D86EBD"/>
    <w:rsid w:val="15DF51D0"/>
    <w:rsid w:val="15EB4733"/>
    <w:rsid w:val="15F27146"/>
    <w:rsid w:val="15FA2BC8"/>
    <w:rsid w:val="15FC24FD"/>
    <w:rsid w:val="161A0B74"/>
    <w:rsid w:val="162A0288"/>
    <w:rsid w:val="16331C36"/>
    <w:rsid w:val="163B30E6"/>
    <w:rsid w:val="16467BBB"/>
    <w:rsid w:val="16532A01"/>
    <w:rsid w:val="16565D73"/>
    <w:rsid w:val="165A18B8"/>
    <w:rsid w:val="16736E76"/>
    <w:rsid w:val="16736E7C"/>
    <w:rsid w:val="168E1279"/>
    <w:rsid w:val="16A03BFD"/>
    <w:rsid w:val="16B5099F"/>
    <w:rsid w:val="16B733A9"/>
    <w:rsid w:val="16BA319D"/>
    <w:rsid w:val="16BF171B"/>
    <w:rsid w:val="16C4698B"/>
    <w:rsid w:val="16C46D32"/>
    <w:rsid w:val="16CB2FFD"/>
    <w:rsid w:val="16D6013C"/>
    <w:rsid w:val="16E55626"/>
    <w:rsid w:val="16EB43FE"/>
    <w:rsid w:val="16F01FDF"/>
    <w:rsid w:val="16FC0247"/>
    <w:rsid w:val="16FC64CC"/>
    <w:rsid w:val="1706734A"/>
    <w:rsid w:val="170B2BB3"/>
    <w:rsid w:val="172B6DB1"/>
    <w:rsid w:val="172D0D7B"/>
    <w:rsid w:val="173739A8"/>
    <w:rsid w:val="1740285C"/>
    <w:rsid w:val="17566FDB"/>
    <w:rsid w:val="1763654B"/>
    <w:rsid w:val="176F3141"/>
    <w:rsid w:val="17784097"/>
    <w:rsid w:val="1778650C"/>
    <w:rsid w:val="177D7A23"/>
    <w:rsid w:val="177F0F70"/>
    <w:rsid w:val="178209EF"/>
    <w:rsid w:val="178330FB"/>
    <w:rsid w:val="17865A01"/>
    <w:rsid w:val="17A821AF"/>
    <w:rsid w:val="17B648CC"/>
    <w:rsid w:val="17C074F9"/>
    <w:rsid w:val="17C865A3"/>
    <w:rsid w:val="17D3547E"/>
    <w:rsid w:val="17E10BD4"/>
    <w:rsid w:val="17F02388"/>
    <w:rsid w:val="17F11647"/>
    <w:rsid w:val="17F21121"/>
    <w:rsid w:val="17FA6EAF"/>
    <w:rsid w:val="17FC56CC"/>
    <w:rsid w:val="18097BC8"/>
    <w:rsid w:val="180C7E4B"/>
    <w:rsid w:val="18167A61"/>
    <w:rsid w:val="181772BB"/>
    <w:rsid w:val="181C7DA4"/>
    <w:rsid w:val="181D34EA"/>
    <w:rsid w:val="182E4DAB"/>
    <w:rsid w:val="183A54FD"/>
    <w:rsid w:val="1844637C"/>
    <w:rsid w:val="184717E8"/>
    <w:rsid w:val="184A3DC8"/>
    <w:rsid w:val="1857492A"/>
    <w:rsid w:val="186E164B"/>
    <w:rsid w:val="187B3D57"/>
    <w:rsid w:val="189646A7"/>
    <w:rsid w:val="189C3351"/>
    <w:rsid w:val="18BD142C"/>
    <w:rsid w:val="18C94AD3"/>
    <w:rsid w:val="18F95C58"/>
    <w:rsid w:val="19071ABD"/>
    <w:rsid w:val="19124904"/>
    <w:rsid w:val="19196D3C"/>
    <w:rsid w:val="192341E3"/>
    <w:rsid w:val="19250D50"/>
    <w:rsid w:val="192835A8"/>
    <w:rsid w:val="19360D73"/>
    <w:rsid w:val="19461704"/>
    <w:rsid w:val="19472C6B"/>
    <w:rsid w:val="195306F5"/>
    <w:rsid w:val="195F2248"/>
    <w:rsid w:val="195F7775"/>
    <w:rsid w:val="196958A8"/>
    <w:rsid w:val="197113F3"/>
    <w:rsid w:val="197D2182"/>
    <w:rsid w:val="198C1D89"/>
    <w:rsid w:val="19960E59"/>
    <w:rsid w:val="199926F8"/>
    <w:rsid w:val="199D1016"/>
    <w:rsid w:val="199E1ABC"/>
    <w:rsid w:val="19B65058"/>
    <w:rsid w:val="19B8117B"/>
    <w:rsid w:val="19BA35FD"/>
    <w:rsid w:val="19C90635"/>
    <w:rsid w:val="19DA2E4F"/>
    <w:rsid w:val="19DC4D9A"/>
    <w:rsid w:val="19E020D4"/>
    <w:rsid w:val="19E1061D"/>
    <w:rsid w:val="19EA4D01"/>
    <w:rsid w:val="19F871FC"/>
    <w:rsid w:val="1A162A6B"/>
    <w:rsid w:val="1A1A4FCA"/>
    <w:rsid w:val="1A241393"/>
    <w:rsid w:val="1A246A50"/>
    <w:rsid w:val="1A253A54"/>
    <w:rsid w:val="1A3E33CA"/>
    <w:rsid w:val="1A4737E6"/>
    <w:rsid w:val="1A495ECC"/>
    <w:rsid w:val="1A497C7A"/>
    <w:rsid w:val="1A4B3E5B"/>
    <w:rsid w:val="1A50687F"/>
    <w:rsid w:val="1A5226B4"/>
    <w:rsid w:val="1A6F1B83"/>
    <w:rsid w:val="1A722BCA"/>
    <w:rsid w:val="1A7A50BE"/>
    <w:rsid w:val="1A940EC1"/>
    <w:rsid w:val="1A9A03B0"/>
    <w:rsid w:val="1A9D7FC6"/>
    <w:rsid w:val="1AA86DEE"/>
    <w:rsid w:val="1AAE21D3"/>
    <w:rsid w:val="1AAE5D2F"/>
    <w:rsid w:val="1AB065DF"/>
    <w:rsid w:val="1AB84DFF"/>
    <w:rsid w:val="1AE41750"/>
    <w:rsid w:val="1AF220BF"/>
    <w:rsid w:val="1AF5395E"/>
    <w:rsid w:val="1AFA578D"/>
    <w:rsid w:val="1B180EAB"/>
    <w:rsid w:val="1B3A3A66"/>
    <w:rsid w:val="1B484046"/>
    <w:rsid w:val="1B62550C"/>
    <w:rsid w:val="1B6434BC"/>
    <w:rsid w:val="1B654F02"/>
    <w:rsid w:val="1B6870CB"/>
    <w:rsid w:val="1B6B1734"/>
    <w:rsid w:val="1B6D1746"/>
    <w:rsid w:val="1B7B04CB"/>
    <w:rsid w:val="1B7C5967"/>
    <w:rsid w:val="1B8F6DEF"/>
    <w:rsid w:val="1B8F790E"/>
    <w:rsid w:val="1B9871C7"/>
    <w:rsid w:val="1BA83B30"/>
    <w:rsid w:val="1BC52078"/>
    <w:rsid w:val="1BCD0437"/>
    <w:rsid w:val="1BE37C5A"/>
    <w:rsid w:val="1BF43C15"/>
    <w:rsid w:val="1BF57933"/>
    <w:rsid w:val="1C0619AD"/>
    <w:rsid w:val="1C092910"/>
    <w:rsid w:val="1C13053F"/>
    <w:rsid w:val="1C1D316C"/>
    <w:rsid w:val="1C202C5C"/>
    <w:rsid w:val="1C2B6327"/>
    <w:rsid w:val="1C4241E2"/>
    <w:rsid w:val="1C580648"/>
    <w:rsid w:val="1C6E54AE"/>
    <w:rsid w:val="1C910945"/>
    <w:rsid w:val="1C9A16F0"/>
    <w:rsid w:val="1CA1254B"/>
    <w:rsid w:val="1CA4329E"/>
    <w:rsid w:val="1CC45CDD"/>
    <w:rsid w:val="1CCE2CB1"/>
    <w:rsid w:val="1CD83537"/>
    <w:rsid w:val="1CDA72AF"/>
    <w:rsid w:val="1CFA206A"/>
    <w:rsid w:val="1CFA7196"/>
    <w:rsid w:val="1D012A8E"/>
    <w:rsid w:val="1D0612FB"/>
    <w:rsid w:val="1D061E52"/>
    <w:rsid w:val="1D077978"/>
    <w:rsid w:val="1D1502E7"/>
    <w:rsid w:val="1D23647E"/>
    <w:rsid w:val="1D24052A"/>
    <w:rsid w:val="1D2730E4"/>
    <w:rsid w:val="1D2C2AE0"/>
    <w:rsid w:val="1D3C1D70"/>
    <w:rsid w:val="1D3F5364"/>
    <w:rsid w:val="1D402BF5"/>
    <w:rsid w:val="1D43117C"/>
    <w:rsid w:val="1D4A3D16"/>
    <w:rsid w:val="1D4A4435"/>
    <w:rsid w:val="1D502516"/>
    <w:rsid w:val="1D67012A"/>
    <w:rsid w:val="1D6B4069"/>
    <w:rsid w:val="1D6D0652"/>
    <w:rsid w:val="1D6D47B7"/>
    <w:rsid w:val="1D7522E4"/>
    <w:rsid w:val="1D7A2BB5"/>
    <w:rsid w:val="1D7A555D"/>
    <w:rsid w:val="1D803CEB"/>
    <w:rsid w:val="1D81597C"/>
    <w:rsid w:val="1D882867"/>
    <w:rsid w:val="1D8A4831"/>
    <w:rsid w:val="1D8E3BF5"/>
    <w:rsid w:val="1D9413CC"/>
    <w:rsid w:val="1D9F570E"/>
    <w:rsid w:val="1DA8115B"/>
    <w:rsid w:val="1DA96954"/>
    <w:rsid w:val="1DAD49C3"/>
    <w:rsid w:val="1DB6188A"/>
    <w:rsid w:val="1DB82823"/>
    <w:rsid w:val="1DCB1624"/>
    <w:rsid w:val="1DD46FBC"/>
    <w:rsid w:val="1DDF4451"/>
    <w:rsid w:val="1DEA46AD"/>
    <w:rsid w:val="1DF61713"/>
    <w:rsid w:val="1E0A175A"/>
    <w:rsid w:val="1E0F011F"/>
    <w:rsid w:val="1E0F11DA"/>
    <w:rsid w:val="1E127A2B"/>
    <w:rsid w:val="1E192F70"/>
    <w:rsid w:val="1E220F7B"/>
    <w:rsid w:val="1E2E4331"/>
    <w:rsid w:val="1E634ABE"/>
    <w:rsid w:val="1E651666"/>
    <w:rsid w:val="1E6F1C79"/>
    <w:rsid w:val="1E720066"/>
    <w:rsid w:val="1E7E2B16"/>
    <w:rsid w:val="1E86760A"/>
    <w:rsid w:val="1E912BAE"/>
    <w:rsid w:val="1EA5060C"/>
    <w:rsid w:val="1EAC6902"/>
    <w:rsid w:val="1ECF1539"/>
    <w:rsid w:val="1ED55F80"/>
    <w:rsid w:val="1EDB772A"/>
    <w:rsid w:val="1EE53CE9"/>
    <w:rsid w:val="1EE87DB7"/>
    <w:rsid w:val="1EF03D13"/>
    <w:rsid w:val="1EF220FA"/>
    <w:rsid w:val="1F01356B"/>
    <w:rsid w:val="1F030324"/>
    <w:rsid w:val="1F061318"/>
    <w:rsid w:val="1F1A1BE5"/>
    <w:rsid w:val="1F1C3919"/>
    <w:rsid w:val="1F1C54F5"/>
    <w:rsid w:val="1F1D2D9C"/>
    <w:rsid w:val="1F1D3483"/>
    <w:rsid w:val="1F1F057B"/>
    <w:rsid w:val="1F2111C5"/>
    <w:rsid w:val="1F214294"/>
    <w:rsid w:val="1F271230"/>
    <w:rsid w:val="1F291E28"/>
    <w:rsid w:val="1F2B5BA0"/>
    <w:rsid w:val="1F374545"/>
    <w:rsid w:val="1F38650F"/>
    <w:rsid w:val="1F3D40B0"/>
    <w:rsid w:val="1F3F789D"/>
    <w:rsid w:val="1F4C3235"/>
    <w:rsid w:val="1F506F99"/>
    <w:rsid w:val="1F552C1D"/>
    <w:rsid w:val="1F6410B2"/>
    <w:rsid w:val="1F6B2440"/>
    <w:rsid w:val="1F6D7F66"/>
    <w:rsid w:val="1F844672"/>
    <w:rsid w:val="1F850242"/>
    <w:rsid w:val="1FAA740D"/>
    <w:rsid w:val="1FAC7CB2"/>
    <w:rsid w:val="1FB850F5"/>
    <w:rsid w:val="1FD03130"/>
    <w:rsid w:val="1FE356DD"/>
    <w:rsid w:val="1FE42256"/>
    <w:rsid w:val="1FE81CE3"/>
    <w:rsid w:val="1FE872EE"/>
    <w:rsid w:val="1FEB3581"/>
    <w:rsid w:val="1FF40537"/>
    <w:rsid w:val="20033076"/>
    <w:rsid w:val="20062169"/>
    <w:rsid w:val="20211AD0"/>
    <w:rsid w:val="202557E9"/>
    <w:rsid w:val="20272A19"/>
    <w:rsid w:val="202801D0"/>
    <w:rsid w:val="203D7CFB"/>
    <w:rsid w:val="204021A7"/>
    <w:rsid w:val="204D7D98"/>
    <w:rsid w:val="2053629C"/>
    <w:rsid w:val="205D02BA"/>
    <w:rsid w:val="20672D41"/>
    <w:rsid w:val="206A7390"/>
    <w:rsid w:val="2073774E"/>
    <w:rsid w:val="207B592E"/>
    <w:rsid w:val="207C1820"/>
    <w:rsid w:val="20825C93"/>
    <w:rsid w:val="20851DC9"/>
    <w:rsid w:val="209B6D55"/>
    <w:rsid w:val="20A30927"/>
    <w:rsid w:val="20A617B5"/>
    <w:rsid w:val="20B120D5"/>
    <w:rsid w:val="20BE331C"/>
    <w:rsid w:val="20D95FB9"/>
    <w:rsid w:val="20DB067E"/>
    <w:rsid w:val="20E77EBA"/>
    <w:rsid w:val="20F16975"/>
    <w:rsid w:val="20F70FD3"/>
    <w:rsid w:val="20FA1CCE"/>
    <w:rsid w:val="21090163"/>
    <w:rsid w:val="2134742E"/>
    <w:rsid w:val="213571AA"/>
    <w:rsid w:val="213B2764"/>
    <w:rsid w:val="21440924"/>
    <w:rsid w:val="21562C7C"/>
    <w:rsid w:val="21577120"/>
    <w:rsid w:val="21582E98"/>
    <w:rsid w:val="215E33C9"/>
    <w:rsid w:val="218B0B78"/>
    <w:rsid w:val="218B501C"/>
    <w:rsid w:val="21936EBB"/>
    <w:rsid w:val="219F00C9"/>
    <w:rsid w:val="21A164B4"/>
    <w:rsid w:val="21A954A2"/>
    <w:rsid w:val="21BB0986"/>
    <w:rsid w:val="21BF4CC5"/>
    <w:rsid w:val="21C029C6"/>
    <w:rsid w:val="21D20555"/>
    <w:rsid w:val="21E35E0B"/>
    <w:rsid w:val="21EF3185"/>
    <w:rsid w:val="21F203F9"/>
    <w:rsid w:val="220152DE"/>
    <w:rsid w:val="22042037"/>
    <w:rsid w:val="221637FA"/>
    <w:rsid w:val="221768AF"/>
    <w:rsid w:val="221A0E0F"/>
    <w:rsid w:val="222A0391"/>
    <w:rsid w:val="222C03DC"/>
    <w:rsid w:val="223B53EA"/>
    <w:rsid w:val="2246189D"/>
    <w:rsid w:val="2246219C"/>
    <w:rsid w:val="22477195"/>
    <w:rsid w:val="224C47AB"/>
    <w:rsid w:val="225523CD"/>
    <w:rsid w:val="22552F34"/>
    <w:rsid w:val="225C42C2"/>
    <w:rsid w:val="22622802"/>
    <w:rsid w:val="2266068C"/>
    <w:rsid w:val="226A2E83"/>
    <w:rsid w:val="226E2973"/>
    <w:rsid w:val="227A06F2"/>
    <w:rsid w:val="227C4BFC"/>
    <w:rsid w:val="22817EF8"/>
    <w:rsid w:val="22883309"/>
    <w:rsid w:val="22A12B6E"/>
    <w:rsid w:val="22B6684D"/>
    <w:rsid w:val="22C11ED1"/>
    <w:rsid w:val="22E744D4"/>
    <w:rsid w:val="22E907A2"/>
    <w:rsid w:val="22EA5D72"/>
    <w:rsid w:val="22ED2CEB"/>
    <w:rsid w:val="22F17100"/>
    <w:rsid w:val="23011F7A"/>
    <w:rsid w:val="230518A8"/>
    <w:rsid w:val="2312631A"/>
    <w:rsid w:val="23426B13"/>
    <w:rsid w:val="234754CE"/>
    <w:rsid w:val="234B0DDF"/>
    <w:rsid w:val="235E6523"/>
    <w:rsid w:val="23653AB2"/>
    <w:rsid w:val="23720241"/>
    <w:rsid w:val="2380369A"/>
    <w:rsid w:val="23851DD5"/>
    <w:rsid w:val="23945701"/>
    <w:rsid w:val="23955CDE"/>
    <w:rsid w:val="23957A8C"/>
    <w:rsid w:val="23A07013"/>
    <w:rsid w:val="23AE46AF"/>
    <w:rsid w:val="23B77057"/>
    <w:rsid w:val="23BB2620"/>
    <w:rsid w:val="23C10881"/>
    <w:rsid w:val="23D9041F"/>
    <w:rsid w:val="23DF6B20"/>
    <w:rsid w:val="24092228"/>
    <w:rsid w:val="240929E1"/>
    <w:rsid w:val="240942C5"/>
    <w:rsid w:val="240B3A8A"/>
    <w:rsid w:val="24125580"/>
    <w:rsid w:val="24257892"/>
    <w:rsid w:val="242A0A23"/>
    <w:rsid w:val="243A6885"/>
    <w:rsid w:val="24422DFE"/>
    <w:rsid w:val="24493C45"/>
    <w:rsid w:val="24557345"/>
    <w:rsid w:val="24561911"/>
    <w:rsid w:val="245931AF"/>
    <w:rsid w:val="245A066E"/>
    <w:rsid w:val="246A4D3D"/>
    <w:rsid w:val="247022A7"/>
    <w:rsid w:val="2472601F"/>
    <w:rsid w:val="247C0C4C"/>
    <w:rsid w:val="247E32FE"/>
    <w:rsid w:val="24836E75"/>
    <w:rsid w:val="24861ACA"/>
    <w:rsid w:val="24945F95"/>
    <w:rsid w:val="249B5576"/>
    <w:rsid w:val="249C4E4A"/>
    <w:rsid w:val="24AE22FC"/>
    <w:rsid w:val="24B93A57"/>
    <w:rsid w:val="24BA39B8"/>
    <w:rsid w:val="24BC495F"/>
    <w:rsid w:val="24C136DD"/>
    <w:rsid w:val="24CD1624"/>
    <w:rsid w:val="24CE146A"/>
    <w:rsid w:val="24D007E2"/>
    <w:rsid w:val="24D93248"/>
    <w:rsid w:val="24E011DB"/>
    <w:rsid w:val="24F5167D"/>
    <w:rsid w:val="24F60D23"/>
    <w:rsid w:val="24F75DBD"/>
    <w:rsid w:val="25087684"/>
    <w:rsid w:val="25184D11"/>
    <w:rsid w:val="25197744"/>
    <w:rsid w:val="251B2B2D"/>
    <w:rsid w:val="251B66B7"/>
    <w:rsid w:val="25222676"/>
    <w:rsid w:val="25237319"/>
    <w:rsid w:val="252C3B2C"/>
    <w:rsid w:val="25384140"/>
    <w:rsid w:val="25421131"/>
    <w:rsid w:val="255816B9"/>
    <w:rsid w:val="255B278E"/>
    <w:rsid w:val="25672EFA"/>
    <w:rsid w:val="25853B30"/>
    <w:rsid w:val="258B6531"/>
    <w:rsid w:val="258C05A9"/>
    <w:rsid w:val="25A246E2"/>
    <w:rsid w:val="25B45E34"/>
    <w:rsid w:val="25B8209E"/>
    <w:rsid w:val="25C83CDA"/>
    <w:rsid w:val="25D172DC"/>
    <w:rsid w:val="25E05341"/>
    <w:rsid w:val="25EB42DB"/>
    <w:rsid w:val="25EC7875"/>
    <w:rsid w:val="25F43C4E"/>
    <w:rsid w:val="25FE47BA"/>
    <w:rsid w:val="26084E8D"/>
    <w:rsid w:val="26197D30"/>
    <w:rsid w:val="262A4E03"/>
    <w:rsid w:val="26331724"/>
    <w:rsid w:val="264518A3"/>
    <w:rsid w:val="264567CC"/>
    <w:rsid w:val="26492DAF"/>
    <w:rsid w:val="264E785C"/>
    <w:rsid w:val="264F1540"/>
    <w:rsid w:val="264F581A"/>
    <w:rsid w:val="26570359"/>
    <w:rsid w:val="266344DD"/>
    <w:rsid w:val="2678162D"/>
    <w:rsid w:val="268800AF"/>
    <w:rsid w:val="268846E0"/>
    <w:rsid w:val="268F110A"/>
    <w:rsid w:val="269B7AAF"/>
    <w:rsid w:val="269F0C21"/>
    <w:rsid w:val="26AD410F"/>
    <w:rsid w:val="26B6474F"/>
    <w:rsid w:val="26BC4972"/>
    <w:rsid w:val="26BE701C"/>
    <w:rsid w:val="26C50688"/>
    <w:rsid w:val="26C847AC"/>
    <w:rsid w:val="26CB1A16"/>
    <w:rsid w:val="26D274E1"/>
    <w:rsid w:val="26EA27E4"/>
    <w:rsid w:val="26EE148E"/>
    <w:rsid w:val="26F14C98"/>
    <w:rsid w:val="26FB22FC"/>
    <w:rsid w:val="26FC2BF5"/>
    <w:rsid w:val="26FD287C"/>
    <w:rsid w:val="26FE1232"/>
    <w:rsid w:val="27035654"/>
    <w:rsid w:val="27244716"/>
    <w:rsid w:val="272F1FA5"/>
    <w:rsid w:val="272F2675"/>
    <w:rsid w:val="27381994"/>
    <w:rsid w:val="27392E24"/>
    <w:rsid w:val="274C29DB"/>
    <w:rsid w:val="27567996"/>
    <w:rsid w:val="275D6B12"/>
    <w:rsid w:val="276C144B"/>
    <w:rsid w:val="276C70BA"/>
    <w:rsid w:val="276D1D14"/>
    <w:rsid w:val="277A3B68"/>
    <w:rsid w:val="27830960"/>
    <w:rsid w:val="27873B8F"/>
    <w:rsid w:val="27940880"/>
    <w:rsid w:val="279D7340"/>
    <w:rsid w:val="279F35CF"/>
    <w:rsid w:val="27A92A37"/>
    <w:rsid w:val="27AE615C"/>
    <w:rsid w:val="27B073AB"/>
    <w:rsid w:val="27B760C2"/>
    <w:rsid w:val="27BF055A"/>
    <w:rsid w:val="27C46B92"/>
    <w:rsid w:val="27C8714C"/>
    <w:rsid w:val="27D52B4D"/>
    <w:rsid w:val="27D94D34"/>
    <w:rsid w:val="27E23152"/>
    <w:rsid w:val="27E47234"/>
    <w:rsid w:val="27E92A9C"/>
    <w:rsid w:val="27EC7E96"/>
    <w:rsid w:val="27EE00B2"/>
    <w:rsid w:val="27FD16B4"/>
    <w:rsid w:val="28061784"/>
    <w:rsid w:val="280769B9"/>
    <w:rsid w:val="280E42B1"/>
    <w:rsid w:val="28100531"/>
    <w:rsid w:val="281B0310"/>
    <w:rsid w:val="282516F4"/>
    <w:rsid w:val="2826784C"/>
    <w:rsid w:val="282A6EB4"/>
    <w:rsid w:val="283A50A6"/>
    <w:rsid w:val="283A6B48"/>
    <w:rsid w:val="285C1A77"/>
    <w:rsid w:val="285F2D5E"/>
    <w:rsid w:val="2869778A"/>
    <w:rsid w:val="287D174B"/>
    <w:rsid w:val="288B0030"/>
    <w:rsid w:val="289425BF"/>
    <w:rsid w:val="28942A08"/>
    <w:rsid w:val="28AB7D51"/>
    <w:rsid w:val="28AD1D1C"/>
    <w:rsid w:val="28CE5D75"/>
    <w:rsid w:val="28D21A73"/>
    <w:rsid w:val="28D23530"/>
    <w:rsid w:val="28DE49DF"/>
    <w:rsid w:val="28E44026"/>
    <w:rsid w:val="28E868B0"/>
    <w:rsid w:val="28F227E0"/>
    <w:rsid w:val="28F767B6"/>
    <w:rsid w:val="290645FE"/>
    <w:rsid w:val="291B0A33"/>
    <w:rsid w:val="291D645D"/>
    <w:rsid w:val="29235B3A"/>
    <w:rsid w:val="292A511A"/>
    <w:rsid w:val="29480D4F"/>
    <w:rsid w:val="29501882"/>
    <w:rsid w:val="29565F0F"/>
    <w:rsid w:val="295C14EF"/>
    <w:rsid w:val="298E56A9"/>
    <w:rsid w:val="29972DA6"/>
    <w:rsid w:val="299C6253"/>
    <w:rsid w:val="29A11E99"/>
    <w:rsid w:val="29A9603F"/>
    <w:rsid w:val="29B551FF"/>
    <w:rsid w:val="29C2480E"/>
    <w:rsid w:val="29D12335"/>
    <w:rsid w:val="29E05E35"/>
    <w:rsid w:val="29E364D2"/>
    <w:rsid w:val="2A013806"/>
    <w:rsid w:val="2A040300"/>
    <w:rsid w:val="2A0911D4"/>
    <w:rsid w:val="2A0A4E3A"/>
    <w:rsid w:val="2A1B0325"/>
    <w:rsid w:val="2A292A1D"/>
    <w:rsid w:val="2A2A19EE"/>
    <w:rsid w:val="2A3A7BC7"/>
    <w:rsid w:val="2A3B0766"/>
    <w:rsid w:val="2A557F75"/>
    <w:rsid w:val="2A5D507B"/>
    <w:rsid w:val="2A5F2835"/>
    <w:rsid w:val="2A68747F"/>
    <w:rsid w:val="2A7614CF"/>
    <w:rsid w:val="2A772B74"/>
    <w:rsid w:val="2A84085A"/>
    <w:rsid w:val="2A89307E"/>
    <w:rsid w:val="2A967FBC"/>
    <w:rsid w:val="2A9C20C7"/>
    <w:rsid w:val="2AA351BA"/>
    <w:rsid w:val="2AA657E7"/>
    <w:rsid w:val="2ABB014B"/>
    <w:rsid w:val="2ABB69C4"/>
    <w:rsid w:val="2AC238E4"/>
    <w:rsid w:val="2ACA532F"/>
    <w:rsid w:val="2ACB6B5A"/>
    <w:rsid w:val="2ADE2041"/>
    <w:rsid w:val="2AE8703B"/>
    <w:rsid w:val="2AF6688D"/>
    <w:rsid w:val="2AF83194"/>
    <w:rsid w:val="2AF91248"/>
    <w:rsid w:val="2AFF624B"/>
    <w:rsid w:val="2B020639"/>
    <w:rsid w:val="2B0E0FEE"/>
    <w:rsid w:val="2B18453E"/>
    <w:rsid w:val="2B1C6CE5"/>
    <w:rsid w:val="2B2067D5"/>
    <w:rsid w:val="2B2D048F"/>
    <w:rsid w:val="2B355773"/>
    <w:rsid w:val="2B3F23E7"/>
    <w:rsid w:val="2B4C5D60"/>
    <w:rsid w:val="2B4D7A33"/>
    <w:rsid w:val="2B5417F3"/>
    <w:rsid w:val="2B541FB4"/>
    <w:rsid w:val="2B58197D"/>
    <w:rsid w:val="2B65068C"/>
    <w:rsid w:val="2B74267D"/>
    <w:rsid w:val="2B85488A"/>
    <w:rsid w:val="2B9D7E25"/>
    <w:rsid w:val="2B9E473A"/>
    <w:rsid w:val="2B9E76FA"/>
    <w:rsid w:val="2BA70CA4"/>
    <w:rsid w:val="2BAA3A81"/>
    <w:rsid w:val="2BB714D0"/>
    <w:rsid w:val="2BD01F4A"/>
    <w:rsid w:val="2BD80E5D"/>
    <w:rsid w:val="2BDC315C"/>
    <w:rsid w:val="2BE07C65"/>
    <w:rsid w:val="2BFA5278"/>
    <w:rsid w:val="2C1F083A"/>
    <w:rsid w:val="2C277F89"/>
    <w:rsid w:val="2C3B592C"/>
    <w:rsid w:val="2C4209CD"/>
    <w:rsid w:val="2C485860"/>
    <w:rsid w:val="2C5867E5"/>
    <w:rsid w:val="2C6347A1"/>
    <w:rsid w:val="2C6E531E"/>
    <w:rsid w:val="2C7D1A05"/>
    <w:rsid w:val="2C8761F3"/>
    <w:rsid w:val="2C8E5424"/>
    <w:rsid w:val="2C90590B"/>
    <w:rsid w:val="2CA10CC9"/>
    <w:rsid w:val="2CA71A78"/>
    <w:rsid w:val="2CA927FA"/>
    <w:rsid w:val="2CC23DC9"/>
    <w:rsid w:val="2CCB6C14"/>
    <w:rsid w:val="2CD11782"/>
    <w:rsid w:val="2CD14853"/>
    <w:rsid w:val="2CF41CC7"/>
    <w:rsid w:val="2CF94536"/>
    <w:rsid w:val="2D047B7C"/>
    <w:rsid w:val="2D061C23"/>
    <w:rsid w:val="2D0E68C8"/>
    <w:rsid w:val="2D0F4D53"/>
    <w:rsid w:val="2D1E54C6"/>
    <w:rsid w:val="2D2365A8"/>
    <w:rsid w:val="2D2F2CFF"/>
    <w:rsid w:val="2D2F4BE6"/>
    <w:rsid w:val="2D3739BC"/>
    <w:rsid w:val="2D3C495A"/>
    <w:rsid w:val="2D410C84"/>
    <w:rsid w:val="2D436391"/>
    <w:rsid w:val="2D4C4080"/>
    <w:rsid w:val="2D5A729F"/>
    <w:rsid w:val="2D6064B4"/>
    <w:rsid w:val="2D6233DC"/>
    <w:rsid w:val="2D67693D"/>
    <w:rsid w:val="2D6E2C02"/>
    <w:rsid w:val="2D7430CA"/>
    <w:rsid w:val="2D771923"/>
    <w:rsid w:val="2D7828F8"/>
    <w:rsid w:val="2D864522"/>
    <w:rsid w:val="2D91227E"/>
    <w:rsid w:val="2D964B2C"/>
    <w:rsid w:val="2DAA4A7C"/>
    <w:rsid w:val="2DC07C5F"/>
    <w:rsid w:val="2DD37B2E"/>
    <w:rsid w:val="2DD6761F"/>
    <w:rsid w:val="2DDE172C"/>
    <w:rsid w:val="2DE16FF1"/>
    <w:rsid w:val="2DEB0745"/>
    <w:rsid w:val="2DEB2F97"/>
    <w:rsid w:val="2DEE4968"/>
    <w:rsid w:val="2DF974F6"/>
    <w:rsid w:val="2E112405"/>
    <w:rsid w:val="2E1F2D74"/>
    <w:rsid w:val="2E3138C1"/>
    <w:rsid w:val="2E33681F"/>
    <w:rsid w:val="2E3F17C9"/>
    <w:rsid w:val="2E424E40"/>
    <w:rsid w:val="2E4B5A35"/>
    <w:rsid w:val="2E510DF0"/>
    <w:rsid w:val="2E6966E5"/>
    <w:rsid w:val="2E726475"/>
    <w:rsid w:val="2E861045"/>
    <w:rsid w:val="2E8C65BF"/>
    <w:rsid w:val="2E9A69C5"/>
    <w:rsid w:val="2EA50AD2"/>
    <w:rsid w:val="2EA9088F"/>
    <w:rsid w:val="2EB333CB"/>
    <w:rsid w:val="2EB57234"/>
    <w:rsid w:val="2EB8596B"/>
    <w:rsid w:val="2ECB5325"/>
    <w:rsid w:val="2EE601C7"/>
    <w:rsid w:val="2EE7349B"/>
    <w:rsid w:val="2EF91817"/>
    <w:rsid w:val="2F0322B9"/>
    <w:rsid w:val="2F05379B"/>
    <w:rsid w:val="2F0F2DE8"/>
    <w:rsid w:val="2F11754B"/>
    <w:rsid w:val="2F1E127D"/>
    <w:rsid w:val="2F321C1B"/>
    <w:rsid w:val="2F3C0928"/>
    <w:rsid w:val="2F4D3910"/>
    <w:rsid w:val="2F57653D"/>
    <w:rsid w:val="2F6A7B72"/>
    <w:rsid w:val="2F6F3887"/>
    <w:rsid w:val="2F713AA3"/>
    <w:rsid w:val="2F7606BB"/>
    <w:rsid w:val="2F79445E"/>
    <w:rsid w:val="2F95186C"/>
    <w:rsid w:val="2F994A91"/>
    <w:rsid w:val="2FA572A9"/>
    <w:rsid w:val="2FA651F3"/>
    <w:rsid w:val="2FA70BE3"/>
    <w:rsid w:val="2FBE480E"/>
    <w:rsid w:val="2FC242FE"/>
    <w:rsid w:val="2FC8781F"/>
    <w:rsid w:val="2FC91CC8"/>
    <w:rsid w:val="2FDD7395"/>
    <w:rsid w:val="2FDF167A"/>
    <w:rsid w:val="2FE949F5"/>
    <w:rsid w:val="2FEB3834"/>
    <w:rsid w:val="2FFA779F"/>
    <w:rsid w:val="2FFB511A"/>
    <w:rsid w:val="30055F4E"/>
    <w:rsid w:val="30185114"/>
    <w:rsid w:val="302204C8"/>
    <w:rsid w:val="302A5A00"/>
    <w:rsid w:val="30373974"/>
    <w:rsid w:val="303C512C"/>
    <w:rsid w:val="30405935"/>
    <w:rsid w:val="3044287C"/>
    <w:rsid w:val="30446AC1"/>
    <w:rsid w:val="30477F3B"/>
    <w:rsid w:val="304847EE"/>
    <w:rsid w:val="30512A54"/>
    <w:rsid w:val="30522F31"/>
    <w:rsid w:val="30550CCF"/>
    <w:rsid w:val="305F25FB"/>
    <w:rsid w:val="305F7D9F"/>
    <w:rsid w:val="306D38DE"/>
    <w:rsid w:val="30872C2C"/>
    <w:rsid w:val="30966DF1"/>
    <w:rsid w:val="309D4424"/>
    <w:rsid w:val="30AE6631"/>
    <w:rsid w:val="30C16223"/>
    <w:rsid w:val="30DD5FAE"/>
    <w:rsid w:val="30F4390E"/>
    <w:rsid w:val="30F524B2"/>
    <w:rsid w:val="30F878AC"/>
    <w:rsid w:val="31147CA5"/>
    <w:rsid w:val="312544EA"/>
    <w:rsid w:val="312F05F5"/>
    <w:rsid w:val="313C6513"/>
    <w:rsid w:val="314853F8"/>
    <w:rsid w:val="314920DA"/>
    <w:rsid w:val="314D1797"/>
    <w:rsid w:val="31656D16"/>
    <w:rsid w:val="31662B1E"/>
    <w:rsid w:val="31677002"/>
    <w:rsid w:val="31751578"/>
    <w:rsid w:val="318A1711"/>
    <w:rsid w:val="318B6972"/>
    <w:rsid w:val="319272A6"/>
    <w:rsid w:val="31961768"/>
    <w:rsid w:val="31A64A3D"/>
    <w:rsid w:val="31AB2E3A"/>
    <w:rsid w:val="31CB6D6E"/>
    <w:rsid w:val="31CF09B6"/>
    <w:rsid w:val="31D25E0E"/>
    <w:rsid w:val="31D54E8F"/>
    <w:rsid w:val="31D56C21"/>
    <w:rsid w:val="31E542D4"/>
    <w:rsid w:val="31F00579"/>
    <w:rsid w:val="31F0593E"/>
    <w:rsid w:val="31F33D55"/>
    <w:rsid w:val="31F369F1"/>
    <w:rsid w:val="32002EBC"/>
    <w:rsid w:val="32171FB4"/>
    <w:rsid w:val="32213CBE"/>
    <w:rsid w:val="32221084"/>
    <w:rsid w:val="32250B75"/>
    <w:rsid w:val="322767CF"/>
    <w:rsid w:val="32325175"/>
    <w:rsid w:val="323327D3"/>
    <w:rsid w:val="32343998"/>
    <w:rsid w:val="323572CB"/>
    <w:rsid w:val="3239017C"/>
    <w:rsid w:val="323963CE"/>
    <w:rsid w:val="32416518"/>
    <w:rsid w:val="32467CC6"/>
    <w:rsid w:val="324E00CB"/>
    <w:rsid w:val="325651F3"/>
    <w:rsid w:val="3262682B"/>
    <w:rsid w:val="32756580"/>
    <w:rsid w:val="327D2994"/>
    <w:rsid w:val="327D3308"/>
    <w:rsid w:val="327F2033"/>
    <w:rsid w:val="328170A7"/>
    <w:rsid w:val="32870EE7"/>
    <w:rsid w:val="32904240"/>
    <w:rsid w:val="32931F82"/>
    <w:rsid w:val="329C61C8"/>
    <w:rsid w:val="329D378B"/>
    <w:rsid w:val="329D4BAF"/>
    <w:rsid w:val="329F4483"/>
    <w:rsid w:val="32AC088E"/>
    <w:rsid w:val="32B00621"/>
    <w:rsid w:val="32BC3287"/>
    <w:rsid w:val="32BF4B25"/>
    <w:rsid w:val="32C97590"/>
    <w:rsid w:val="32E26A66"/>
    <w:rsid w:val="32EE540A"/>
    <w:rsid w:val="32FC4207"/>
    <w:rsid w:val="3304078A"/>
    <w:rsid w:val="330426F8"/>
    <w:rsid w:val="3313310A"/>
    <w:rsid w:val="33136C1F"/>
    <w:rsid w:val="33150BE9"/>
    <w:rsid w:val="33161D6F"/>
    <w:rsid w:val="331D1716"/>
    <w:rsid w:val="33240E2C"/>
    <w:rsid w:val="332B21BB"/>
    <w:rsid w:val="332E4F13"/>
    <w:rsid w:val="33354DE7"/>
    <w:rsid w:val="333756F5"/>
    <w:rsid w:val="33387C62"/>
    <w:rsid w:val="334553F1"/>
    <w:rsid w:val="33472CD5"/>
    <w:rsid w:val="334B5D50"/>
    <w:rsid w:val="334C7BCC"/>
    <w:rsid w:val="335872DB"/>
    <w:rsid w:val="335E1555"/>
    <w:rsid w:val="336E124D"/>
    <w:rsid w:val="337C2A16"/>
    <w:rsid w:val="33837901"/>
    <w:rsid w:val="338718C8"/>
    <w:rsid w:val="338C7243"/>
    <w:rsid w:val="339D1439"/>
    <w:rsid w:val="33A53D1B"/>
    <w:rsid w:val="33A81C4F"/>
    <w:rsid w:val="33B91574"/>
    <w:rsid w:val="33BA709B"/>
    <w:rsid w:val="33BE4DDD"/>
    <w:rsid w:val="33C278B0"/>
    <w:rsid w:val="33E33A03"/>
    <w:rsid w:val="33EC7B9C"/>
    <w:rsid w:val="33EF143A"/>
    <w:rsid w:val="33FE342B"/>
    <w:rsid w:val="34032357"/>
    <w:rsid w:val="341D359D"/>
    <w:rsid w:val="34403A44"/>
    <w:rsid w:val="344277BC"/>
    <w:rsid w:val="34601665"/>
    <w:rsid w:val="346268D0"/>
    <w:rsid w:val="34652DEE"/>
    <w:rsid w:val="346D0DB7"/>
    <w:rsid w:val="347167BC"/>
    <w:rsid w:val="347850E8"/>
    <w:rsid w:val="34AF4FEB"/>
    <w:rsid w:val="34C12DD7"/>
    <w:rsid w:val="34C62E5D"/>
    <w:rsid w:val="34CC7014"/>
    <w:rsid w:val="34D56E5B"/>
    <w:rsid w:val="34E14A23"/>
    <w:rsid w:val="34E22D4D"/>
    <w:rsid w:val="34E24AFB"/>
    <w:rsid w:val="34EE524E"/>
    <w:rsid w:val="34F34D36"/>
    <w:rsid w:val="34F819D8"/>
    <w:rsid w:val="35011425"/>
    <w:rsid w:val="3505165F"/>
    <w:rsid w:val="3508367E"/>
    <w:rsid w:val="350A2D3D"/>
    <w:rsid w:val="35272A8D"/>
    <w:rsid w:val="353B1DC5"/>
    <w:rsid w:val="354457B6"/>
    <w:rsid w:val="35523A2F"/>
    <w:rsid w:val="355D2CB6"/>
    <w:rsid w:val="355E6877"/>
    <w:rsid w:val="356263B6"/>
    <w:rsid w:val="35702107"/>
    <w:rsid w:val="357357CF"/>
    <w:rsid w:val="35812362"/>
    <w:rsid w:val="35860AB3"/>
    <w:rsid w:val="35926521"/>
    <w:rsid w:val="359B212B"/>
    <w:rsid w:val="359C2CD9"/>
    <w:rsid w:val="359D45BB"/>
    <w:rsid w:val="35B33EBE"/>
    <w:rsid w:val="35C3679B"/>
    <w:rsid w:val="35CF7B26"/>
    <w:rsid w:val="35E27945"/>
    <w:rsid w:val="35E63063"/>
    <w:rsid w:val="36064819"/>
    <w:rsid w:val="36107446"/>
    <w:rsid w:val="361E7DB5"/>
    <w:rsid w:val="36261281"/>
    <w:rsid w:val="36270A9E"/>
    <w:rsid w:val="363D23CF"/>
    <w:rsid w:val="364222BF"/>
    <w:rsid w:val="364A4C5C"/>
    <w:rsid w:val="36543D3E"/>
    <w:rsid w:val="36556D08"/>
    <w:rsid w:val="3656754F"/>
    <w:rsid w:val="365B4814"/>
    <w:rsid w:val="3664727F"/>
    <w:rsid w:val="366C0B20"/>
    <w:rsid w:val="366C0EB3"/>
    <w:rsid w:val="368F4A10"/>
    <w:rsid w:val="36940A7A"/>
    <w:rsid w:val="36A976B3"/>
    <w:rsid w:val="36B16325"/>
    <w:rsid w:val="36C721FA"/>
    <w:rsid w:val="36CA3A99"/>
    <w:rsid w:val="36CA5847"/>
    <w:rsid w:val="36CC467B"/>
    <w:rsid w:val="36D56AA1"/>
    <w:rsid w:val="36D822E6"/>
    <w:rsid w:val="36DB23A0"/>
    <w:rsid w:val="36F95388"/>
    <w:rsid w:val="36FF1994"/>
    <w:rsid w:val="37005FD9"/>
    <w:rsid w:val="371116C7"/>
    <w:rsid w:val="37272C99"/>
    <w:rsid w:val="372B09DB"/>
    <w:rsid w:val="3736112E"/>
    <w:rsid w:val="373D2FB0"/>
    <w:rsid w:val="37416D36"/>
    <w:rsid w:val="37506ECC"/>
    <w:rsid w:val="375717D0"/>
    <w:rsid w:val="375F0DC0"/>
    <w:rsid w:val="37742C79"/>
    <w:rsid w:val="37797999"/>
    <w:rsid w:val="378B147A"/>
    <w:rsid w:val="37922460"/>
    <w:rsid w:val="37964AD1"/>
    <w:rsid w:val="37A4253C"/>
    <w:rsid w:val="37AF2D88"/>
    <w:rsid w:val="37C41866"/>
    <w:rsid w:val="37CF1758"/>
    <w:rsid w:val="37D56B99"/>
    <w:rsid w:val="37DA7D0B"/>
    <w:rsid w:val="37E64207"/>
    <w:rsid w:val="37EF7C5B"/>
    <w:rsid w:val="37F232A7"/>
    <w:rsid w:val="380E128B"/>
    <w:rsid w:val="38156F95"/>
    <w:rsid w:val="38163439"/>
    <w:rsid w:val="381C47C8"/>
    <w:rsid w:val="38237904"/>
    <w:rsid w:val="38244D74"/>
    <w:rsid w:val="384B4CBF"/>
    <w:rsid w:val="38535B4A"/>
    <w:rsid w:val="386D0532"/>
    <w:rsid w:val="387B4217"/>
    <w:rsid w:val="388A34DF"/>
    <w:rsid w:val="38905A73"/>
    <w:rsid w:val="3890641B"/>
    <w:rsid w:val="389570E7"/>
    <w:rsid w:val="38BB3F25"/>
    <w:rsid w:val="38D42855"/>
    <w:rsid w:val="38D91F5B"/>
    <w:rsid w:val="38DA238F"/>
    <w:rsid w:val="38E726E0"/>
    <w:rsid w:val="38E928FC"/>
    <w:rsid w:val="38EF5A38"/>
    <w:rsid w:val="38F417C2"/>
    <w:rsid w:val="38FC32F5"/>
    <w:rsid w:val="38FE5A9A"/>
    <w:rsid w:val="39003DA9"/>
    <w:rsid w:val="390908A8"/>
    <w:rsid w:val="390A6B77"/>
    <w:rsid w:val="390B6DE3"/>
    <w:rsid w:val="390E3B2F"/>
    <w:rsid w:val="390E5EBF"/>
    <w:rsid w:val="390F44C3"/>
    <w:rsid w:val="390F482E"/>
    <w:rsid w:val="392505F0"/>
    <w:rsid w:val="392C4597"/>
    <w:rsid w:val="39430544"/>
    <w:rsid w:val="394D7723"/>
    <w:rsid w:val="394E028C"/>
    <w:rsid w:val="395033DB"/>
    <w:rsid w:val="39551D3F"/>
    <w:rsid w:val="39553AED"/>
    <w:rsid w:val="39597FAF"/>
    <w:rsid w:val="39602492"/>
    <w:rsid w:val="39611102"/>
    <w:rsid w:val="39752396"/>
    <w:rsid w:val="397C0919"/>
    <w:rsid w:val="39871B48"/>
    <w:rsid w:val="39914BB0"/>
    <w:rsid w:val="39972358"/>
    <w:rsid w:val="399F5886"/>
    <w:rsid w:val="399F655C"/>
    <w:rsid w:val="39A71E6F"/>
    <w:rsid w:val="39AA6DB1"/>
    <w:rsid w:val="39C65B13"/>
    <w:rsid w:val="39CA2BC5"/>
    <w:rsid w:val="39CD5FFB"/>
    <w:rsid w:val="39D628EB"/>
    <w:rsid w:val="39DD6C7A"/>
    <w:rsid w:val="39E44130"/>
    <w:rsid w:val="39E512FF"/>
    <w:rsid w:val="39EBA0BE"/>
    <w:rsid w:val="39FA26AE"/>
    <w:rsid w:val="39FE326F"/>
    <w:rsid w:val="3A033932"/>
    <w:rsid w:val="3A064DE8"/>
    <w:rsid w:val="3A4E35F9"/>
    <w:rsid w:val="3A7C5D33"/>
    <w:rsid w:val="3A7D5E12"/>
    <w:rsid w:val="3AA615F1"/>
    <w:rsid w:val="3AB34BCF"/>
    <w:rsid w:val="3ABC7B9C"/>
    <w:rsid w:val="3ACB1AA9"/>
    <w:rsid w:val="3AD924FC"/>
    <w:rsid w:val="3AE07C06"/>
    <w:rsid w:val="3AEC1B1F"/>
    <w:rsid w:val="3AEF1D20"/>
    <w:rsid w:val="3AF31C2C"/>
    <w:rsid w:val="3AF34A63"/>
    <w:rsid w:val="3AFC21DC"/>
    <w:rsid w:val="3AFF6407"/>
    <w:rsid w:val="3B0357CB"/>
    <w:rsid w:val="3B07411C"/>
    <w:rsid w:val="3B247C1B"/>
    <w:rsid w:val="3B252E02"/>
    <w:rsid w:val="3B2A4813"/>
    <w:rsid w:val="3B3A71CD"/>
    <w:rsid w:val="3B3D6F2F"/>
    <w:rsid w:val="3B5D3BE4"/>
    <w:rsid w:val="3B6F4C0F"/>
    <w:rsid w:val="3B710987"/>
    <w:rsid w:val="3B731891"/>
    <w:rsid w:val="3B746848"/>
    <w:rsid w:val="3B794FA1"/>
    <w:rsid w:val="3B7E5EF0"/>
    <w:rsid w:val="3B802F39"/>
    <w:rsid w:val="3B8B5737"/>
    <w:rsid w:val="3B914B85"/>
    <w:rsid w:val="3B974891"/>
    <w:rsid w:val="3BD74D76"/>
    <w:rsid w:val="3BDA652C"/>
    <w:rsid w:val="3BE14825"/>
    <w:rsid w:val="3BEB4AB8"/>
    <w:rsid w:val="3BEF3604"/>
    <w:rsid w:val="3C050185"/>
    <w:rsid w:val="3C074E47"/>
    <w:rsid w:val="3C0812EB"/>
    <w:rsid w:val="3C0D5FBE"/>
    <w:rsid w:val="3C177780"/>
    <w:rsid w:val="3C281E09"/>
    <w:rsid w:val="3C2E0626"/>
    <w:rsid w:val="3C3C71E7"/>
    <w:rsid w:val="3C3E2F5F"/>
    <w:rsid w:val="3C4F48B9"/>
    <w:rsid w:val="3C522566"/>
    <w:rsid w:val="3C5A0B64"/>
    <w:rsid w:val="3C634773"/>
    <w:rsid w:val="3C7005A8"/>
    <w:rsid w:val="3C700C3E"/>
    <w:rsid w:val="3C753521"/>
    <w:rsid w:val="3C8578A8"/>
    <w:rsid w:val="3CAD5946"/>
    <w:rsid w:val="3CBE7BFC"/>
    <w:rsid w:val="3CBF5346"/>
    <w:rsid w:val="3CC02EEE"/>
    <w:rsid w:val="3CC35212"/>
    <w:rsid w:val="3CCD7E4D"/>
    <w:rsid w:val="3CEA435A"/>
    <w:rsid w:val="3CEC29BB"/>
    <w:rsid w:val="3CED689D"/>
    <w:rsid w:val="3CF127FE"/>
    <w:rsid w:val="3D09356D"/>
    <w:rsid w:val="3D1E68EC"/>
    <w:rsid w:val="3D1F5446"/>
    <w:rsid w:val="3D391DCC"/>
    <w:rsid w:val="3D414D4D"/>
    <w:rsid w:val="3D45293D"/>
    <w:rsid w:val="3D464232"/>
    <w:rsid w:val="3D4C3459"/>
    <w:rsid w:val="3D510A70"/>
    <w:rsid w:val="3D5D4772"/>
    <w:rsid w:val="3D68247D"/>
    <w:rsid w:val="3D6F3ADB"/>
    <w:rsid w:val="3D79708B"/>
    <w:rsid w:val="3D7A0597"/>
    <w:rsid w:val="3D7D2638"/>
    <w:rsid w:val="3D8224D6"/>
    <w:rsid w:val="3D890961"/>
    <w:rsid w:val="3D90176C"/>
    <w:rsid w:val="3D902D02"/>
    <w:rsid w:val="3D9C2BCD"/>
    <w:rsid w:val="3DB833E8"/>
    <w:rsid w:val="3DBF1E7D"/>
    <w:rsid w:val="3DC76F84"/>
    <w:rsid w:val="3DD82F3F"/>
    <w:rsid w:val="3DF154B9"/>
    <w:rsid w:val="3E1B1329"/>
    <w:rsid w:val="3E2D5039"/>
    <w:rsid w:val="3E3076D3"/>
    <w:rsid w:val="3E320098"/>
    <w:rsid w:val="3E391E19"/>
    <w:rsid w:val="3E39405C"/>
    <w:rsid w:val="3E4C4594"/>
    <w:rsid w:val="3E4C726E"/>
    <w:rsid w:val="3E5325C6"/>
    <w:rsid w:val="3E6B0169"/>
    <w:rsid w:val="3E795D2E"/>
    <w:rsid w:val="3E7E5894"/>
    <w:rsid w:val="3E8B5005"/>
    <w:rsid w:val="3E8E35FE"/>
    <w:rsid w:val="3E961E3F"/>
    <w:rsid w:val="3E9711BA"/>
    <w:rsid w:val="3E9E5F37"/>
    <w:rsid w:val="3EA6303D"/>
    <w:rsid w:val="3EB40E70"/>
    <w:rsid w:val="3EB472CC"/>
    <w:rsid w:val="3ECD05CA"/>
    <w:rsid w:val="3ED23E32"/>
    <w:rsid w:val="3EEF50F5"/>
    <w:rsid w:val="3EF50E21"/>
    <w:rsid w:val="3EFC2C5D"/>
    <w:rsid w:val="3F0B30F5"/>
    <w:rsid w:val="3F1411EA"/>
    <w:rsid w:val="3F1E3BF9"/>
    <w:rsid w:val="3F220916"/>
    <w:rsid w:val="3F277CDA"/>
    <w:rsid w:val="3F373C95"/>
    <w:rsid w:val="3F4563B2"/>
    <w:rsid w:val="3F620D12"/>
    <w:rsid w:val="3F6719DE"/>
    <w:rsid w:val="3F697942"/>
    <w:rsid w:val="3F890995"/>
    <w:rsid w:val="3F8A64BB"/>
    <w:rsid w:val="3F9609BC"/>
    <w:rsid w:val="3F966C0E"/>
    <w:rsid w:val="3FB452E6"/>
    <w:rsid w:val="3FB90A20"/>
    <w:rsid w:val="3FC2231F"/>
    <w:rsid w:val="3FC3052D"/>
    <w:rsid w:val="3FC76DC7"/>
    <w:rsid w:val="3FC96DF6"/>
    <w:rsid w:val="3FCC0881"/>
    <w:rsid w:val="3FCE38E4"/>
    <w:rsid w:val="3FD85478"/>
    <w:rsid w:val="3FDA0DE9"/>
    <w:rsid w:val="3FDA3DB7"/>
    <w:rsid w:val="400125A5"/>
    <w:rsid w:val="400B45E7"/>
    <w:rsid w:val="400F7F20"/>
    <w:rsid w:val="40132A12"/>
    <w:rsid w:val="40273D0A"/>
    <w:rsid w:val="402B766F"/>
    <w:rsid w:val="403A05AE"/>
    <w:rsid w:val="403D18AE"/>
    <w:rsid w:val="404638FC"/>
    <w:rsid w:val="4047772D"/>
    <w:rsid w:val="404A344A"/>
    <w:rsid w:val="40520E13"/>
    <w:rsid w:val="40535222"/>
    <w:rsid w:val="4070746C"/>
    <w:rsid w:val="4072308F"/>
    <w:rsid w:val="407A02DD"/>
    <w:rsid w:val="407D392A"/>
    <w:rsid w:val="408353E4"/>
    <w:rsid w:val="408E3D89"/>
    <w:rsid w:val="4093139F"/>
    <w:rsid w:val="40952DFA"/>
    <w:rsid w:val="40955117"/>
    <w:rsid w:val="40980564"/>
    <w:rsid w:val="40A35A86"/>
    <w:rsid w:val="40AA0BC3"/>
    <w:rsid w:val="40B60FC7"/>
    <w:rsid w:val="40BE4C5F"/>
    <w:rsid w:val="40C326C4"/>
    <w:rsid w:val="40CF23D7"/>
    <w:rsid w:val="40D2307A"/>
    <w:rsid w:val="40D3482C"/>
    <w:rsid w:val="40E02836"/>
    <w:rsid w:val="40FA381F"/>
    <w:rsid w:val="41034D3B"/>
    <w:rsid w:val="410A4112"/>
    <w:rsid w:val="41182B56"/>
    <w:rsid w:val="412135D1"/>
    <w:rsid w:val="412F2E76"/>
    <w:rsid w:val="41360D00"/>
    <w:rsid w:val="41475814"/>
    <w:rsid w:val="41526B64"/>
    <w:rsid w:val="416B795B"/>
    <w:rsid w:val="416E2464"/>
    <w:rsid w:val="41720FB5"/>
    <w:rsid w:val="418036D2"/>
    <w:rsid w:val="41884BBA"/>
    <w:rsid w:val="418F7DB9"/>
    <w:rsid w:val="419235EC"/>
    <w:rsid w:val="4194717D"/>
    <w:rsid w:val="4195246B"/>
    <w:rsid w:val="41994793"/>
    <w:rsid w:val="419A65A1"/>
    <w:rsid w:val="41A453D0"/>
    <w:rsid w:val="41AA4BF2"/>
    <w:rsid w:val="41AB0A33"/>
    <w:rsid w:val="41B617E9"/>
    <w:rsid w:val="41BC16EB"/>
    <w:rsid w:val="41BF5B68"/>
    <w:rsid w:val="41C537DA"/>
    <w:rsid w:val="41DD55EC"/>
    <w:rsid w:val="41F22C5C"/>
    <w:rsid w:val="42004812"/>
    <w:rsid w:val="420312B0"/>
    <w:rsid w:val="42102535"/>
    <w:rsid w:val="42116A20"/>
    <w:rsid w:val="422608BA"/>
    <w:rsid w:val="422732F2"/>
    <w:rsid w:val="422D323D"/>
    <w:rsid w:val="42345589"/>
    <w:rsid w:val="42385733"/>
    <w:rsid w:val="423979D4"/>
    <w:rsid w:val="42415908"/>
    <w:rsid w:val="42416EAD"/>
    <w:rsid w:val="42446DF5"/>
    <w:rsid w:val="42452E8B"/>
    <w:rsid w:val="42470A97"/>
    <w:rsid w:val="424F7071"/>
    <w:rsid w:val="42507548"/>
    <w:rsid w:val="425848B8"/>
    <w:rsid w:val="42675956"/>
    <w:rsid w:val="428D7B68"/>
    <w:rsid w:val="42903833"/>
    <w:rsid w:val="42921492"/>
    <w:rsid w:val="42943E44"/>
    <w:rsid w:val="429D42CB"/>
    <w:rsid w:val="42B715D7"/>
    <w:rsid w:val="42CD1BB1"/>
    <w:rsid w:val="42D34FAF"/>
    <w:rsid w:val="42D40179"/>
    <w:rsid w:val="42E859D2"/>
    <w:rsid w:val="42EB101F"/>
    <w:rsid w:val="42F2520E"/>
    <w:rsid w:val="42FC44A5"/>
    <w:rsid w:val="42FD7F04"/>
    <w:rsid w:val="42FE3FCB"/>
    <w:rsid w:val="43081BD1"/>
    <w:rsid w:val="430D0D5C"/>
    <w:rsid w:val="431542ED"/>
    <w:rsid w:val="4320613A"/>
    <w:rsid w:val="432E5D77"/>
    <w:rsid w:val="433C5D1E"/>
    <w:rsid w:val="434810DD"/>
    <w:rsid w:val="435C378C"/>
    <w:rsid w:val="436C6603"/>
    <w:rsid w:val="437159C8"/>
    <w:rsid w:val="439B59D5"/>
    <w:rsid w:val="43A22025"/>
    <w:rsid w:val="43A800E3"/>
    <w:rsid w:val="43B26B9C"/>
    <w:rsid w:val="43B646F4"/>
    <w:rsid w:val="43B9736F"/>
    <w:rsid w:val="43BE6F8E"/>
    <w:rsid w:val="43C63D92"/>
    <w:rsid w:val="43CC01DA"/>
    <w:rsid w:val="43CE4838"/>
    <w:rsid w:val="43D45F57"/>
    <w:rsid w:val="43D85A47"/>
    <w:rsid w:val="43E852DE"/>
    <w:rsid w:val="43EA4441"/>
    <w:rsid w:val="43F21B6B"/>
    <w:rsid w:val="43F857C8"/>
    <w:rsid w:val="43FD6D71"/>
    <w:rsid w:val="44095083"/>
    <w:rsid w:val="440E4A90"/>
    <w:rsid w:val="440F6F8F"/>
    <w:rsid w:val="44141B2B"/>
    <w:rsid w:val="4414288C"/>
    <w:rsid w:val="441445A5"/>
    <w:rsid w:val="441F3676"/>
    <w:rsid w:val="44210643"/>
    <w:rsid w:val="442567B2"/>
    <w:rsid w:val="44356C46"/>
    <w:rsid w:val="443D109E"/>
    <w:rsid w:val="44472379"/>
    <w:rsid w:val="444E3ED1"/>
    <w:rsid w:val="444E5D09"/>
    <w:rsid w:val="4450382F"/>
    <w:rsid w:val="445E18CB"/>
    <w:rsid w:val="445E68EA"/>
    <w:rsid w:val="446712B7"/>
    <w:rsid w:val="44676DCB"/>
    <w:rsid w:val="44787073"/>
    <w:rsid w:val="44874AB7"/>
    <w:rsid w:val="4488337C"/>
    <w:rsid w:val="448D4A83"/>
    <w:rsid w:val="44911190"/>
    <w:rsid w:val="44AD6ED3"/>
    <w:rsid w:val="44C43833"/>
    <w:rsid w:val="44CD11F4"/>
    <w:rsid w:val="44D30B0A"/>
    <w:rsid w:val="44F22B38"/>
    <w:rsid w:val="44FD130F"/>
    <w:rsid w:val="45020EF4"/>
    <w:rsid w:val="45047E65"/>
    <w:rsid w:val="451114E0"/>
    <w:rsid w:val="4517165E"/>
    <w:rsid w:val="45195106"/>
    <w:rsid w:val="45227536"/>
    <w:rsid w:val="453C0257"/>
    <w:rsid w:val="453E73B1"/>
    <w:rsid w:val="45437607"/>
    <w:rsid w:val="454D3752"/>
    <w:rsid w:val="4556177F"/>
    <w:rsid w:val="45562E6C"/>
    <w:rsid w:val="455E01CE"/>
    <w:rsid w:val="456357E4"/>
    <w:rsid w:val="45695656"/>
    <w:rsid w:val="456C2AA9"/>
    <w:rsid w:val="45790B64"/>
    <w:rsid w:val="45876384"/>
    <w:rsid w:val="459E681C"/>
    <w:rsid w:val="45B20519"/>
    <w:rsid w:val="45C93A73"/>
    <w:rsid w:val="45CC583E"/>
    <w:rsid w:val="45D03A9B"/>
    <w:rsid w:val="45D35DD9"/>
    <w:rsid w:val="45D96363"/>
    <w:rsid w:val="45E97F7C"/>
    <w:rsid w:val="45F25FF3"/>
    <w:rsid w:val="45F56F89"/>
    <w:rsid w:val="45F934E7"/>
    <w:rsid w:val="45FC3F62"/>
    <w:rsid w:val="46004DE1"/>
    <w:rsid w:val="4613720A"/>
    <w:rsid w:val="461D3BE5"/>
    <w:rsid w:val="46280F19"/>
    <w:rsid w:val="4629258A"/>
    <w:rsid w:val="462B7141"/>
    <w:rsid w:val="46406923"/>
    <w:rsid w:val="464E2CFB"/>
    <w:rsid w:val="465214A4"/>
    <w:rsid w:val="4660760F"/>
    <w:rsid w:val="4662440B"/>
    <w:rsid w:val="466F2428"/>
    <w:rsid w:val="4677642B"/>
    <w:rsid w:val="46785873"/>
    <w:rsid w:val="468D6EA3"/>
    <w:rsid w:val="469A4A55"/>
    <w:rsid w:val="469E62EA"/>
    <w:rsid w:val="46A75BA4"/>
    <w:rsid w:val="46AE7B45"/>
    <w:rsid w:val="46AF05B5"/>
    <w:rsid w:val="46CE1383"/>
    <w:rsid w:val="46D02A05"/>
    <w:rsid w:val="46D324F5"/>
    <w:rsid w:val="46D466BA"/>
    <w:rsid w:val="46DA7D28"/>
    <w:rsid w:val="46E05311"/>
    <w:rsid w:val="46F11AA6"/>
    <w:rsid w:val="46F25071"/>
    <w:rsid w:val="46F67CDD"/>
    <w:rsid w:val="470628CB"/>
    <w:rsid w:val="47081233"/>
    <w:rsid w:val="470B3C76"/>
    <w:rsid w:val="47177416"/>
    <w:rsid w:val="47232366"/>
    <w:rsid w:val="472F3DEB"/>
    <w:rsid w:val="473016C2"/>
    <w:rsid w:val="4740402F"/>
    <w:rsid w:val="474C222C"/>
    <w:rsid w:val="47523754"/>
    <w:rsid w:val="475F1FDB"/>
    <w:rsid w:val="47726EE6"/>
    <w:rsid w:val="477E06B3"/>
    <w:rsid w:val="4786273E"/>
    <w:rsid w:val="478C5618"/>
    <w:rsid w:val="478F28C0"/>
    <w:rsid w:val="479B1265"/>
    <w:rsid w:val="47A201C5"/>
    <w:rsid w:val="47AB6FCE"/>
    <w:rsid w:val="47BE31A6"/>
    <w:rsid w:val="47C811EC"/>
    <w:rsid w:val="47CA0235"/>
    <w:rsid w:val="47E51E85"/>
    <w:rsid w:val="47E86A9B"/>
    <w:rsid w:val="47ED3A8B"/>
    <w:rsid w:val="47F950B3"/>
    <w:rsid w:val="47FE1A9F"/>
    <w:rsid w:val="480E00CC"/>
    <w:rsid w:val="48105B25"/>
    <w:rsid w:val="48391280"/>
    <w:rsid w:val="483C066E"/>
    <w:rsid w:val="48425B85"/>
    <w:rsid w:val="4846162B"/>
    <w:rsid w:val="48580E9D"/>
    <w:rsid w:val="4859390D"/>
    <w:rsid w:val="485B27A2"/>
    <w:rsid w:val="485D4FC6"/>
    <w:rsid w:val="48684EBF"/>
    <w:rsid w:val="486D24D6"/>
    <w:rsid w:val="48847F4B"/>
    <w:rsid w:val="489857A5"/>
    <w:rsid w:val="489B34E7"/>
    <w:rsid w:val="489F284C"/>
    <w:rsid w:val="48A4239B"/>
    <w:rsid w:val="48B92DCE"/>
    <w:rsid w:val="48C06DC8"/>
    <w:rsid w:val="48C26CC5"/>
    <w:rsid w:val="48D013E2"/>
    <w:rsid w:val="48D80015"/>
    <w:rsid w:val="48E727D3"/>
    <w:rsid w:val="48E738EF"/>
    <w:rsid w:val="48EE7585"/>
    <w:rsid w:val="48F03833"/>
    <w:rsid w:val="48F350D1"/>
    <w:rsid w:val="491868E5"/>
    <w:rsid w:val="491D3EFC"/>
    <w:rsid w:val="491F1A22"/>
    <w:rsid w:val="49241E32"/>
    <w:rsid w:val="49323BAD"/>
    <w:rsid w:val="493C0826"/>
    <w:rsid w:val="49521DF7"/>
    <w:rsid w:val="496833C9"/>
    <w:rsid w:val="49695393"/>
    <w:rsid w:val="49705B23"/>
    <w:rsid w:val="49951CE4"/>
    <w:rsid w:val="499C6D9A"/>
    <w:rsid w:val="49B2403F"/>
    <w:rsid w:val="49B760FE"/>
    <w:rsid w:val="49CB2C69"/>
    <w:rsid w:val="49D847A6"/>
    <w:rsid w:val="49DE7D7D"/>
    <w:rsid w:val="49E25D87"/>
    <w:rsid w:val="49EC224C"/>
    <w:rsid w:val="49ED1B20"/>
    <w:rsid w:val="49F7299F"/>
    <w:rsid w:val="49FF65E5"/>
    <w:rsid w:val="4A0024F2"/>
    <w:rsid w:val="4A056E6A"/>
    <w:rsid w:val="4A0B01F8"/>
    <w:rsid w:val="4A182544"/>
    <w:rsid w:val="4A2C08BE"/>
    <w:rsid w:val="4A2F08E2"/>
    <w:rsid w:val="4A301A0D"/>
    <w:rsid w:val="4A32630B"/>
    <w:rsid w:val="4A3574C4"/>
    <w:rsid w:val="4A3634C7"/>
    <w:rsid w:val="4A3A432A"/>
    <w:rsid w:val="4A3B337D"/>
    <w:rsid w:val="4A4060F4"/>
    <w:rsid w:val="4A4462D6"/>
    <w:rsid w:val="4A4638A0"/>
    <w:rsid w:val="4A471230"/>
    <w:rsid w:val="4A4B612C"/>
    <w:rsid w:val="4A4E3419"/>
    <w:rsid w:val="4A506210"/>
    <w:rsid w:val="4A541B9F"/>
    <w:rsid w:val="4A54394D"/>
    <w:rsid w:val="4A600544"/>
    <w:rsid w:val="4A69389D"/>
    <w:rsid w:val="4A8A55C1"/>
    <w:rsid w:val="4A9406C5"/>
    <w:rsid w:val="4A9A2FC8"/>
    <w:rsid w:val="4A9D5D4B"/>
    <w:rsid w:val="4AAA7A11"/>
    <w:rsid w:val="4AAC3789"/>
    <w:rsid w:val="4AAF6DD6"/>
    <w:rsid w:val="4ABA40F8"/>
    <w:rsid w:val="4ACE3700"/>
    <w:rsid w:val="4AD11442"/>
    <w:rsid w:val="4AD80097"/>
    <w:rsid w:val="4AD94B37"/>
    <w:rsid w:val="4AE7656F"/>
    <w:rsid w:val="4AE95C4B"/>
    <w:rsid w:val="4AF3275A"/>
    <w:rsid w:val="4AFB4296"/>
    <w:rsid w:val="4B027ACD"/>
    <w:rsid w:val="4B0615B6"/>
    <w:rsid w:val="4B0B04B0"/>
    <w:rsid w:val="4B0C4228"/>
    <w:rsid w:val="4B10097F"/>
    <w:rsid w:val="4B10647C"/>
    <w:rsid w:val="4B14421D"/>
    <w:rsid w:val="4B151398"/>
    <w:rsid w:val="4B294DDA"/>
    <w:rsid w:val="4B2A4224"/>
    <w:rsid w:val="4B2C0426"/>
    <w:rsid w:val="4B2E0E78"/>
    <w:rsid w:val="4B2E2432"/>
    <w:rsid w:val="4B3E1837"/>
    <w:rsid w:val="4B46773A"/>
    <w:rsid w:val="4B683B54"/>
    <w:rsid w:val="4B72052F"/>
    <w:rsid w:val="4B8F2390"/>
    <w:rsid w:val="4B906C07"/>
    <w:rsid w:val="4BA40904"/>
    <w:rsid w:val="4BAF63DD"/>
    <w:rsid w:val="4BB15E87"/>
    <w:rsid w:val="4BB33A0F"/>
    <w:rsid w:val="4BBE62E6"/>
    <w:rsid w:val="4BC025C8"/>
    <w:rsid w:val="4BC147CE"/>
    <w:rsid w:val="4BC845F3"/>
    <w:rsid w:val="4BCF5981"/>
    <w:rsid w:val="4BE96317"/>
    <w:rsid w:val="4BF35E8E"/>
    <w:rsid w:val="4C0D64AA"/>
    <w:rsid w:val="4C183B60"/>
    <w:rsid w:val="4C251A45"/>
    <w:rsid w:val="4C2C4B82"/>
    <w:rsid w:val="4C312198"/>
    <w:rsid w:val="4C365A00"/>
    <w:rsid w:val="4C3D339B"/>
    <w:rsid w:val="4C50700A"/>
    <w:rsid w:val="4C6E05B5"/>
    <w:rsid w:val="4C7327B1"/>
    <w:rsid w:val="4C781A7F"/>
    <w:rsid w:val="4C7E2F03"/>
    <w:rsid w:val="4C8E4E57"/>
    <w:rsid w:val="4C8E75EA"/>
    <w:rsid w:val="4CA716A7"/>
    <w:rsid w:val="4CBB7CB4"/>
    <w:rsid w:val="4CC34BDC"/>
    <w:rsid w:val="4CC5570B"/>
    <w:rsid w:val="4CC823D1"/>
    <w:rsid w:val="4CD30E24"/>
    <w:rsid w:val="4CD3324F"/>
    <w:rsid w:val="4CD47E7F"/>
    <w:rsid w:val="4CDA424B"/>
    <w:rsid w:val="4CFA07E3"/>
    <w:rsid w:val="4D20220D"/>
    <w:rsid w:val="4D281C37"/>
    <w:rsid w:val="4D297919"/>
    <w:rsid w:val="4D2C3883"/>
    <w:rsid w:val="4D2D0F72"/>
    <w:rsid w:val="4D383564"/>
    <w:rsid w:val="4D3E1A6A"/>
    <w:rsid w:val="4D493511"/>
    <w:rsid w:val="4D54753B"/>
    <w:rsid w:val="4D5E3118"/>
    <w:rsid w:val="4D714816"/>
    <w:rsid w:val="4D746FBE"/>
    <w:rsid w:val="4D831577"/>
    <w:rsid w:val="4D853C7C"/>
    <w:rsid w:val="4D8C1259"/>
    <w:rsid w:val="4D8F77C9"/>
    <w:rsid w:val="4DA03966"/>
    <w:rsid w:val="4DA76A57"/>
    <w:rsid w:val="4DB0533F"/>
    <w:rsid w:val="4DBE3EFF"/>
    <w:rsid w:val="4DC241E1"/>
    <w:rsid w:val="4DC40DEA"/>
    <w:rsid w:val="4DC73975"/>
    <w:rsid w:val="4DE319BC"/>
    <w:rsid w:val="4DE35714"/>
    <w:rsid w:val="4DF6269C"/>
    <w:rsid w:val="4E036B88"/>
    <w:rsid w:val="4E1016E0"/>
    <w:rsid w:val="4E1175D8"/>
    <w:rsid w:val="4E147B0D"/>
    <w:rsid w:val="4E163BB7"/>
    <w:rsid w:val="4E2D4BE1"/>
    <w:rsid w:val="4E2F2707"/>
    <w:rsid w:val="4E3F420A"/>
    <w:rsid w:val="4E3F5813"/>
    <w:rsid w:val="4E4116FB"/>
    <w:rsid w:val="4E477B48"/>
    <w:rsid w:val="4E5A342F"/>
    <w:rsid w:val="4E695B3A"/>
    <w:rsid w:val="4E6D3230"/>
    <w:rsid w:val="4E74447F"/>
    <w:rsid w:val="4E7C41EA"/>
    <w:rsid w:val="4E8B1908"/>
    <w:rsid w:val="4E8C30A8"/>
    <w:rsid w:val="4E916F1E"/>
    <w:rsid w:val="4EA232E0"/>
    <w:rsid w:val="4EA30A98"/>
    <w:rsid w:val="4EAA3824"/>
    <w:rsid w:val="4EBC7D13"/>
    <w:rsid w:val="4EC866B8"/>
    <w:rsid w:val="4ECA0682"/>
    <w:rsid w:val="4ECE1465"/>
    <w:rsid w:val="4EE16F0F"/>
    <w:rsid w:val="4EE23C1E"/>
    <w:rsid w:val="4EE334F2"/>
    <w:rsid w:val="4EF20EFD"/>
    <w:rsid w:val="4EF2602B"/>
    <w:rsid w:val="4EF62827"/>
    <w:rsid w:val="4EF92D15"/>
    <w:rsid w:val="4EF954C8"/>
    <w:rsid w:val="4EFF7F2C"/>
    <w:rsid w:val="4F0B7731"/>
    <w:rsid w:val="4F156BA7"/>
    <w:rsid w:val="4F175280"/>
    <w:rsid w:val="4F196F13"/>
    <w:rsid w:val="4F2C6C47"/>
    <w:rsid w:val="4F302AD5"/>
    <w:rsid w:val="4F3124AF"/>
    <w:rsid w:val="4F38383D"/>
    <w:rsid w:val="4F390D1C"/>
    <w:rsid w:val="4F3D2F25"/>
    <w:rsid w:val="4F4026F2"/>
    <w:rsid w:val="4F406D7A"/>
    <w:rsid w:val="4F45351C"/>
    <w:rsid w:val="4F4C1AEE"/>
    <w:rsid w:val="4F512177"/>
    <w:rsid w:val="4F52736D"/>
    <w:rsid w:val="4F5A37B4"/>
    <w:rsid w:val="4F6E54B1"/>
    <w:rsid w:val="4F7800DE"/>
    <w:rsid w:val="4F894099"/>
    <w:rsid w:val="4F967F58"/>
    <w:rsid w:val="4F9F1D29"/>
    <w:rsid w:val="4FA62E9D"/>
    <w:rsid w:val="4FA859E2"/>
    <w:rsid w:val="4FAD5FDA"/>
    <w:rsid w:val="4FB43616"/>
    <w:rsid w:val="4FBF3415"/>
    <w:rsid w:val="4FC1706A"/>
    <w:rsid w:val="4FD60ACC"/>
    <w:rsid w:val="4FD77C0B"/>
    <w:rsid w:val="4FDF4CCF"/>
    <w:rsid w:val="4FE5408E"/>
    <w:rsid w:val="4FFE5EE5"/>
    <w:rsid w:val="5028097E"/>
    <w:rsid w:val="502D78E7"/>
    <w:rsid w:val="50306C0B"/>
    <w:rsid w:val="503D3676"/>
    <w:rsid w:val="503E6C32"/>
    <w:rsid w:val="50442BA7"/>
    <w:rsid w:val="50475689"/>
    <w:rsid w:val="50597378"/>
    <w:rsid w:val="505A06D8"/>
    <w:rsid w:val="505A099D"/>
    <w:rsid w:val="505C5C4F"/>
    <w:rsid w:val="50846F6C"/>
    <w:rsid w:val="5086682B"/>
    <w:rsid w:val="50DB448D"/>
    <w:rsid w:val="50EA0B67"/>
    <w:rsid w:val="50EC0D83"/>
    <w:rsid w:val="50EC3C76"/>
    <w:rsid w:val="50ED1473"/>
    <w:rsid w:val="50EF38F8"/>
    <w:rsid w:val="5100482A"/>
    <w:rsid w:val="5105691F"/>
    <w:rsid w:val="5116195C"/>
    <w:rsid w:val="511663EB"/>
    <w:rsid w:val="511B16B0"/>
    <w:rsid w:val="511F28DD"/>
    <w:rsid w:val="512E4438"/>
    <w:rsid w:val="513649F2"/>
    <w:rsid w:val="5140311B"/>
    <w:rsid w:val="51536EE0"/>
    <w:rsid w:val="51581D20"/>
    <w:rsid w:val="515D57DD"/>
    <w:rsid w:val="516637F9"/>
    <w:rsid w:val="51770C04"/>
    <w:rsid w:val="51791EEB"/>
    <w:rsid w:val="518657BC"/>
    <w:rsid w:val="518660C3"/>
    <w:rsid w:val="51956D25"/>
    <w:rsid w:val="5198017F"/>
    <w:rsid w:val="519B00B4"/>
    <w:rsid w:val="519B3D18"/>
    <w:rsid w:val="51B014ED"/>
    <w:rsid w:val="51B05479"/>
    <w:rsid w:val="51B06F7C"/>
    <w:rsid w:val="51C40D49"/>
    <w:rsid w:val="51CD2963"/>
    <w:rsid w:val="51CE5994"/>
    <w:rsid w:val="51CF0EB3"/>
    <w:rsid w:val="51D31DDA"/>
    <w:rsid w:val="51EB103B"/>
    <w:rsid w:val="51F021AD"/>
    <w:rsid w:val="5206440B"/>
    <w:rsid w:val="520E4D2A"/>
    <w:rsid w:val="521A547C"/>
    <w:rsid w:val="521E158F"/>
    <w:rsid w:val="521F371E"/>
    <w:rsid w:val="522160C5"/>
    <w:rsid w:val="523A5FC9"/>
    <w:rsid w:val="52412A09"/>
    <w:rsid w:val="524A3FB4"/>
    <w:rsid w:val="5266383D"/>
    <w:rsid w:val="52704F85"/>
    <w:rsid w:val="527A5F1B"/>
    <w:rsid w:val="52846D9A"/>
    <w:rsid w:val="52911BE2"/>
    <w:rsid w:val="529C5125"/>
    <w:rsid w:val="52A15B9E"/>
    <w:rsid w:val="52A511EA"/>
    <w:rsid w:val="52AB1101"/>
    <w:rsid w:val="52B1128C"/>
    <w:rsid w:val="52D16C31"/>
    <w:rsid w:val="52EA12F3"/>
    <w:rsid w:val="52FB2CE4"/>
    <w:rsid w:val="53013630"/>
    <w:rsid w:val="53050450"/>
    <w:rsid w:val="5305612D"/>
    <w:rsid w:val="53100A30"/>
    <w:rsid w:val="53225E7A"/>
    <w:rsid w:val="532749E5"/>
    <w:rsid w:val="535F47AA"/>
    <w:rsid w:val="53603D6E"/>
    <w:rsid w:val="53605111"/>
    <w:rsid w:val="536D192B"/>
    <w:rsid w:val="537C5E2E"/>
    <w:rsid w:val="5382777D"/>
    <w:rsid w:val="538434F5"/>
    <w:rsid w:val="538452A3"/>
    <w:rsid w:val="5386726D"/>
    <w:rsid w:val="538C47AE"/>
    <w:rsid w:val="53947EF5"/>
    <w:rsid w:val="539A4AC7"/>
    <w:rsid w:val="539A6467"/>
    <w:rsid w:val="53CC4244"/>
    <w:rsid w:val="53E94E5C"/>
    <w:rsid w:val="53F02FBD"/>
    <w:rsid w:val="53F341D7"/>
    <w:rsid w:val="5402441A"/>
    <w:rsid w:val="5403227B"/>
    <w:rsid w:val="54032648"/>
    <w:rsid w:val="541A66F2"/>
    <w:rsid w:val="541F502B"/>
    <w:rsid w:val="543C36AE"/>
    <w:rsid w:val="543C792C"/>
    <w:rsid w:val="54554E92"/>
    <w:rsid w:val="5474525C"/>
    <w:rsid w:val="54841126"/>
    <w:rsid w:val="54AA0D3A"/>
    <w:rsid w:val="54AC51AF"/>
    <w:rsid w:val="54B202E0"/>
    <w:rsid w:val="54B716A8"/>
    <w:rsid w:val="54C73CC3"/>
    <w:rsid w:val="54D25CEC"/>
    <w:rsid w:val="54D45C16"/>
    <w:rsid w:val="54D50D2D"/>
    <w:rsid w:val="54D80FC2"/>
    <w:rsid w:val="54DE61F7"/>
    <w:rsid w:val="54E65AEA"/>
    <w:rsid w:val="54E81862"/>
    <w:rsid w:val="54EA11CC"/>
    <w:rsid w:val="54EB11B7"/>
    <w:rsid w:val="54F230EF"/>
    <w:rsid w:val="54F268D9"/>
    <w:rsid w:val="54F63F7F"/>
    <w:rsid w:val="55020B76"/>
    <w:rsid w:val="550604B1"/>
    <w:rsid w:val="550D12C8"/>
    <w:rsid w:val="551621B1"/>
    <w:rsid w:val="55267604"/>
    <w:rsid w:val="552B3E3C"/>
    <w:rsid w:val="552C31DD"/>
    <w:rsid w:val="553300CA"/>
    <w:rsid w:val="553F001F"/>
    <w:rsid w:val="55441891"/>
    <w:rsid w:val="554C3B9F"/>
    <w:rsid w:val="555905A4"/>
    <w:rsid w:val="5559259F"/>
    <w:rsid w:val="55593312"/>
    <w:rsid w:val="556506DB"/>
    <w:rsid w:val="55654C60"/>
    <w:rsid w:val="55696159"/>
    <w:rsid w:val="556A341C"/>
    <w:rsid w:val="557355CF"/>
    <w:rsid w:val="557430F6"/>
    <w:rsid w:val="5576756E"/>
    <w:rsid w:val="55823A64"/>
    <w:rsid w:val="55A83099"/>
    <w:rsid w:val="55AB2188"/>
    <w:rsid w:val="55B1434A"/>
    <w:rsid w:val="55C04D78"/>
    <w:rsid w:val="55C07E40"/>
    <w:rsid w:val="55C505EA"/>
    <w:rsid w:val="55D77C85"/>
    <w:rsid w:val="55DD6EED"/>
    <w:rsid w:val="55E40C52"/>
    <w:rsid w:val="55EA06AA"/>
    <w:rsid w:val="55EB0ED2"/>
    <w:rsid w:val="55F41888"/>
    <w:rsid w:val="55FA3B3C"/>
    <w:rsid w:val="55FD30EB"/>
    <w:rsid w:val="56260894"/>
    <w:rsid w:val="562B4DF5"/>
    <w:rsid w:val="56356D29"/>
    <w:rsid w:val="5637192D"/>
    <w:rsid w:val="56477E68"/>
    <w:rsid w:val="56494937"/>
    <w:rsid w:val="566E5F5F"/>
    <w:rsid w:val="56715BDD"/>
    <w:rsid w:val="568216DC"/>
    <w:rsid w:val="56892BD1"/>
    <w:rsid w:val="568D2D9C"/>
    <w:rsid w:val="56900DBD"/>
    <w:rsid w:val="569879D1"/>
    <w:rsid w:val="56AB528F"/>
    <w:rsid w:val="56AE5BF6"/>
    <w:rsid w:val="56AF0FFF"/>
    <w:rsid w:val="56B7773E"/>
    <w:rsid w:val="56B85264"/>
    <w:rsid w:val="56C34335"/>
    <w:rsid w:val="56C533D6"/>
    <w:rsid w:val="56DA4A7F"/>
    <w:rsid w:val="56DA7966"/>
    <w:rsid w:val="56E64545"/>
    <w:rsid w:val="56E90796"/>
    <w:rsid w:val="56F00EA2"/>
    <w:rsid w:val="570F1328"/>
    <w:rsid w:val="57115B7E"/>
    <w:rsid w:val="571C3A45"/>
    <w:rsid w:val="572802D2"/>
    <w:rsid w:val="572C2443"/>
    <w:rsid w:val="57420E85"/>
    <w:rsid w:val="57446B07"/>
    <w:rsid w:val="574A5C21"/>
    <w:rsid w:val="574B60D8"/>
    <w:rsid w:val="57691A13"/>
    <w:rsid w:val="57825F9E"/>
    <w:rsid w:val="57897C5E"/>
    <w:rsid w:val="578B4631"/>
    <w:rsid w:val="579953C3"/>
    <w:rsid w:val="579F043D"/>
    <w:rsid w:val="57A75A04"/>
    <w:rsid w:val="57AE0ED6"/>
    <w:rsid w:val="57C06AC6"/>
    <w:rsid w:val="57D9375A"/>
    <w:rsid w:val="57DA744D"/>
    <w:rsid w:val="57E02879"/>
    <w:rsid w:val="57E41F20"/>
    <w:rsid w:val="57EC56F1"/>
    <w:rsid w:val="57ED7574"/>
    <w:rsid w:val="57F02454"/>
    <w:rsid w:val="57FD4BDE"/>
    <w:rsid w:val="58056CEC"/>
    <w:rsid w:val="580F5357"/>
    <w:rsid w:val="581D26D5"/>
    <w:rsid w:val="58326FBE"/>
    <w:rsid w:val="5838665C"/>
    <w:rsid w:val="584543F9"/>
    <w:rsid w:val="584A6390"/>
    <w:rsid w:val="584E5E80"/>
    <w:rsid w:val="585A4825"/>
    <w:rsid w:val="585C67EF"/>
    <w:rsid w:val="586D6988"/>
    <w:rsid w:val="58721957"/>
    <w:rsid w:val="587A61B8"/>
    <w:rsid w:val="587D0513"/>
    <w:rsid w:val="58825B29"/>
    <w:rsid w:val="58847AF3"/>
    <w:rsid w:val="588C1AC1"/>
    <w:rsid w:val="589D5C8D"/>
    <w:rsid w:val="589F6FD3"/>
    <w:rsid w:val="589F7F4A"/>
    <w:rsid w:val="58B55EFF"/>
    <w:rsid w:val="58BB142F"/>
    <w:rsid w:val="58C3061C"/>
    <w:rsid w:val="58C46142"/>
    <w:rsid w:val="58D204C9"/>
    <w:rsid w:val="58D520FD"/>
    <w:rsid w:val="58DC6554"/>
    <w:rsid w:val="58DD0B1E"/>
    <w:rsid w:val="58E93DFA"/>
    <w:rsid w:val="58FE147E"/>
    <w:rsid w:val="590A6504"/>
    <w:rsid w:val="590D5382"/>
    <w:rsid w:val="591A3FB4"/>
    <w:rsid w:val="591D6844"/>
    <w:rsid w:val="592F4D5F"/>
    <w:rsid w:val="592F4F24"/>
    <w:rsid w:val="5932404C"/>
    <w:rsid w:val="593D68F2"/>
    <w:rsid w:val="59444474"/>
    <w:rsid w:val="595660AD"/>
    <w:rsid w:val="595F714C"/>
    <w:rsid w:val="596333D4"/>
    <w:rsid w:val="596F279A"/>
    <w:rsid w:val="596F4300"/>
    <w:rsid w:val="597A4A53"/>
    <w:rsid w:val="598002BB"/>
    <w:rsid w:val="599C7C0C"/>
    <w:rsid w:val="599E6993"/>
    <w:rsid w:val="59A5345B"/>
    <w:rsid w:val="59AC5554"/>
    <w:rsid w:val="59AD307A"/>
    <w:rsid w:val="59B7074D"/>
    <w:rsid w:val="59C13541"/>
    <w:rsid w:val="59C55CBC"/>
    <w:rsid w:val="59C60849"/>
    <w:rsid w:val="59C74218"/>
    <w:rsid w:val="59C878A9"/>
    <w:rsid w:val="59C94DFC"/>
    <w:rsid w:val="59DA32C4"/>
    <w:rsid w:val="59DD570D"/>
    <w:rsid w:val="59E009DF"/>
    <w:rsid w:val="59EA654D"/>
    <w:rsid w:val="59EE791A"/>
    <w:rsid w:val="59F51775"/>
    <w:rsid w:val="59FB5103"/>
    <w:rsid w:val="5A0C7A87"/>
    <w:rsid w:val="5A1E6660"/>
    <w:rsid w:val="5A405C9C"/>
    <w:rsid w:val="5A421A14"/>
    <w:rsid w:val="5A47702B"/>
    <w:rsid w:val="5A5D23AA"/>
    <w:rsid w:val="5A667177"/>
    <w:rsid w:val="5A696FA1"/>
    <w:rsid w:val="5A72028E"/>
    <w:rsid w:val="5A752C0B"/>
    <w:rsid w:val="5A7A3B78"/>
    <w:rsid w:val="5A8E2EAB"/>
    <w:rsid w:val="5A907F6E"/>
    <w:rsid w:val="5A953685"/>
    <w:rsid w:val="5AA15E4B"/>
    <w:rsid w:val="5AA31307"/>
    <w:rsid w:val="5AAA3A4D"/>
    <w:rsid w:val="5AB76105"/>
    <w:rsid w:val="5ABA3CA0"/>
    <w:rsid w:val="5ACD5400"/>
    <w:rsid w:val="5AD270E8"/>
    <w:rsid w:val="5AE34FA5"/>
    <w:rsid w:val="5AE566BE"/>
    <w:rsid w:val="5AEE088A"/>
    <w:rsid w:val="5AF155FF"/>
    <w:rsid w:val="5AF848DA"/>
    <w:rsid w:val="5AFA0C31"/>
    <w:rsid w:val="5AFC0A31"/>
    <w:rsid w:val="5B0E74C1"/>
    <w:rsid w:val="5B174656"/>
    <w:rsid w:val="5B1A676E"/>
    <w:rsid w:val="5B1F1D55"/>
    <w:rsid w:val="5B3049D5"/>
    <w:rsid w:val="5B340651"/>
    <w:rsid w:val="5B367D9D"/>
    <w:rsid w:val="5B405E86"/>
    <w:rsid w:val="5B4075A8"/>
    <w:rsid w:val="5B4672E2"/>
    <w:rsid w:val="5B4D5CE3"/>
    <w:rsid w:val="5B4E4D05"/>
    <w:rsid w:val="5B573E4B"/>
    <w:rsid w:val="5B6339F0"/>
    <w:rsid w:val="5B730211"/>
    <w:rsid w:val="5B752DB6"/>
    <w:rsid w:val="5B7A3D0D"/>
    <w:rsid w:val="5B810FCA"/>
    <w:rsid w:val="5B8322E4"/>
    <w:rsid w:val="5B833462"/>
    <w:rsid w:val="5B86309B"/>
    <w:rsid w:val="5BA14B0E"/>
    <w:rsid w:val="5BA362DD"/>
    <w:rsid w:val="5BAD258C"/>
    <w:rsid w:val="5BAE3877"/>
    <w:rsid w:val="5BEC1C38"/>
    <w:rsid w:val="5BF64864"/>
    <w:rsid w:val="5C0776B1"/>
    <w:rsid w:val="5C1E737E"/>
    <w:rsid w:val="5C333A06"/>
    <w:rsid w:val="5C4A780C"/>
    <w:rsid w:val="5C500033"/>
    <w:rsid w:val="5C52796F"/>
    <w:rsid w:val="5C5679F9"/>
    <w:rsid w:val="5C577204"/>
    <w:rsid w:val="5C7040C8"/>
    <w:rsid w:val="5C7F0CFE"/>
    <w:rsid w:val="5C987536"/>
    <w:rsid w:val="5CA36A1D"/>
    <w:rsid w:val="5CAA6407"/>
    <w:rsid w:val="5CB62246"/>
    <w:rsid w:val="5CBC3635"/>
    <w:rsid w:val="5CBE5393"/>
    <w:rsid w:val="5CD03307"/>
    <w:rsid w:val="5CD20E45"/>
    <w:rsid w:val="5CDC7EFE"/>
    <w:rsid w:val="5CF42225"/>
    <w:rsid w:val="5CFE2F36"/>
    <w:rsid w:val="5D1309C3"/>
    <w:rsid w:val="5D145459"/>
    <w:rsid w:val="5D1E0517"/>
    <w:rsid w:val="5D2278BE"/>
    <w:rsid w:val="5D2418A5"/>
    <w:rsid w:val="5D284EF1"/>
    <w:rsid w:val="5D297DB2"/>
    <w:rsid w:val="5D2C1E4B"/>
    <w:rsid w:val="5D3E14D2"/>
    <w:rsid w:val="5D41371B"/>
    <w:rsid w:val="5D5A1BF7"/>
    <w:rsid w:val="5D6A14D0"/>
    <w:rsid w:val="5D7F0889"/>
    <w:rsid w:val="5D7F3003"/>
    <w:rsid w:val="5D812854"/>
    <w:rsid w:val="5D8C760E"/>
    <w:rsid w:val="5D8E30C2"/>
    <w:rsid w:val="5D944335"/>
    <w:rsid w:val="5DA10CB6"/>
    <w:rsid w:val="5DA909EB"/>
    <w:rsid w:val="5DAE7C67"/>
    <w:rsid w:val="5DCA1D31"/>
    <w:rsid w:val="5DD47E86"/>
    <w:rsid w:val="5DDB6408"/>
    <w:rsid w:val="5DE34D7D"/>
    <w:rsid w:val="5DE37D7B"/>
    <w:rsid w:val="5DF03535"/>
    <w:rsid w:val="5DF864C5"/>
    <w:rsid w:val="5E224037"/>
    <w:rsid w:val="5E2E680C"/>
    <w:rsid w:val="5E394EDC"/>
    <w:rsid w:val="5E431B60"/>
    <w:rsid w:val="5E540585"/>
    <w:rsid w:val="5E566A23"/>
    <w:rsid w:val="5E5803AF"/>
    <w:rsid w:val="5E5A241C"/>
    <w:rsid w:val="5E5B56FB"/>
    <w:rsid w:val="5E622685"/>
    <w:rsid w:val="5E6A153A"/>
    <w:rsid w:val="5E6E50BA"/>
    <w:rsid w:val="5E702B14"/>
    <w:rsid w:val="5E8343A9"/>
    <w:rsid w:val="5E8B71CC"/>
    <w:rsid w:val="5EA24224"/>
    <w:rsid w:val="5EAB68BC"/>
    <w:rsid w:val="5EAB7548"/>
    <w:rsid w:val="5EB6477F"/>
    <w:rsid w:val="5EBB5D90"/>
    <w:rsid w:val="5EBE461E"/>
    <w:rsid w:val="5EE237C6"/>
    <w:rsid w:val="5EE7446E"/>
    <w:rsid w:val="5EE94644"/>
    <w:rsid w:val="5F0E5263"/>
    <w:rsid w:val="5F2177F3"/>
    <w:rsid w:val="5F272D94"/>
    <w:rsid w:val="5F2E6A0B"/>
    <w:rsid w:val="5F414956"/>
    <w:rsid w:val="5F5450AC"/>
    <w:rsid w:val="5F571ABE"/>
    <w:rsid w:val="5F64400A"/>
    <w:rsid w:val="5F690B5B"/>
    <w:rsid w:val="5F7A755A"/>
    <w:rsid w:val="5F7B1C0A"/>
    <w:rsid w:val="5F88681A"/>
    <w:rsid w:val="5F8E4D72"/>
    <w:rsid w:val="5FAE5456"/>
    <w:rsid w:val="5FB51055"/>
    <w:rsid w:val="5FBB0B6C"/>
    <w:rsid w:val="5FC112D6"/>
    <w:rsid w:val="5FC5111D"/>
    <w:rsid w:val="5FCD0A30"/>
    <w:rsid w:val="5FDE1E54"/>
    <w:rsid w:val="5FE570CA"/>
    <w:rsid w:val="5FE618F4"/>
    <w:rsid w:val="5FE9237F"/>
    <w:rsid w:val="5FE95FFC"/>
    <w:rsid w:val="5FFE63DD"/>
    <w:rsid w:val="6001450E"/>
    <w:rsid w:val="600C18E7"/>
    <w:rsid w:val="600D6620"/>
    <w:rsid w:val="600F05EB"/>
    <w:rsid w:val="60150D5F"/>
    <w:rsid w:val="60230FF1"/>
    <w:rsid w:val="60265063"/>
    <w:rsid w:val="60275DC6"/>
    <w:rsid w:val="602776E2"/>
    <w:rsid w:val="6028345A"/>
    <w:rsid w:val="60334B04"/>
    <w:rsid w:val="60396AC5"/>
    <w:rsid w:val="603D2E98"/>
    <w:rsid w:val="603F72C2"/>
    <w:rsid w:val="60455DBA"/>
    <w:rsid w:val="60477D84"/>
    <w:rsid w:val="604E1113"/>
    <w:rsid w:val="60592C21"/>
    <w:rsid w:val="605E50CE"/>
    <w:rsid w:val="6062696C"/>
    <w:rsid w:val="606E6554"/>
    <w:rsid w:val="6071159A"/>
    <w:rsid w:val="608027D0"/>
    <w:rsid w:val="60805044"/>
    <w:rsid w:val="60934D78"/>
    <w:rsid w:val="609603C4"/>
    <w:rsid w:val="609A4358"/>
    <w:rsid w:val="60B32F41"/>
    <w:rsid w:val="60B47291"/>
    <w:rsid w:val="60B74A67"/>
    <w:rsid w:val="60BD4297"/>
    <w:rsid w:val="60C43183"/>
    <w:rsid w:val="60C70EED"/>
    <w:rsid w:val="60CA2BA5"/>
    <w:rsid w:val="60D7188C"/>
    <w:rsid w:val="60DF0259"/>
    <w:rsid w:val="60FE767F"/>
    <w:rsid w:val="61042873"/>
    <w:rsid w:val="6106379C"/>
    <w:rsid w:val="610A53B4"/>
    <w:rsid w:val="611D3C2E"/>
    <w:rsid w:val="61293E55"/>
    <w:rsid w:val="612E3827"/>
    <w:rsid w:val="6133294F"/>
    <w:rsid w:val="61365B8D"/>
    <w:rsid w:val="61493688"/>
    <w:rsid w:val="614C769B"/>
    <w:rsid w:val="6155027F"/>
    <w:rsid w:val="615E6B9E"/>
    <w:rsid w:val="6164570E"/>
    <w:rsid w:val="61914F52"/>
    <w:rsid w:val="619A6E2E"/>
    <w:rsid w:val="619C02CB"/>
    <w:rsid w:val="61AE6E6D"/>
    <w:rsid w:val="61B41FD1"/>
    <w:rsid w:val="61BA3C18"/>
    <w:rsid w:val="61BF0A88"/>
    <w:rsid w:val="61C40F61"/>
    <w:rsid w:val="61CD5EAF"/>
    <w:rsid w:val="61D2535E"/>
    <w:rsid w:val="61D27B22"/>
    <w:rsid w:val="61E635CD"/>
    <w:rsid w:val="61F04367"/>
    <w:rsid w:val="61F84010"/>
    <w:rsid w:val="621517BC"/>
    <w:rsid w:val="621A58A7"/>
    <w:rsid w:val="623311AA"/>
    <w:rsid w:val="623646F2"/>
    <w:rsid w:val="625011B4"/>
    <w:rsid w:val="62570027"/>
    <w:rsid w:val="62646668"/>
    <w:rsid w:val="62715EB0"/>
    <w:rsid w:val="62726998"/>
    <w:rsid w:val="62781482"/>
    <w:rsid w:val="62A55742"/>
    <w:rsid w:val="62B361AB"/>
    <w:rsid w:val="62BB7F8A"/>
    <w:rsid w:val="62CF4061"/>
    <w:rsid w:val="62DD68AD"/>
    <w:rsid w:val="62E47B0C"/>
    <w:rsid w:val="630D1CF1"/>
    <w:rsid w:val="6315416A"/>
    <w:rsid w:val="632111F7"/>
    <w:rsid w:val="632437C1"/>
    <w:rsid w:val="63266C43"/>
    <w:rsid w:val="632C02F2"/>
    <w:rsid w:val="6335494E"/>
    <w:rsid w:val="633A772C"/>
    <w:rsid w:val="6340588E"/>
    <w:rsid w:val="634D7439"/>
    <w:rsid w:val="635356F3"/>
    <w:rsid w:val="63550686"/>
    <w:rsid w:val="63610159"/>
    <w:rsid w:val="63617FBE"/>
    <w:rsid w:val="63691DC0"/>
    <w:rsid w:val="636D45AF"/>
    <w:rsid w:val="63773EAE"/>
    <w:rsid w:val="637D47DA"/>
    <w:rsid w:val="637F7835"/>
    <w:rsid w:val="638135AD"/>
    <w:rsid w:val="638D5454"/>
    <w:rsid w:val="638E1826"/>
    <w:rsid w:val="63930DF3"/>
    <w:rsid w:val="63A83D48"/>
    <w:rsid w:val="63AB062A"/>
    <w:rsid w:val="63B62218"/>
    <w:rsid w:val="63C82F8A"/>
    <w:rsid w:val="63CA32DE"/>
    <w:rsid w:val="63CD15D5"/>
    <w:rsid w:val="63DF4CEA"/>
    <w:rsid w:val="63DF65BB"/>
    <w:rsid w:val="63E861E3"/>
    <w:rsid w:val="63E87188"/>
    <w:rsid w:val="63EB6C79"/>
    <w:rsid w:val="63EF60B0"/>
    <w:rsid w:val="645C36D2"/>
    <w:rsid w:val="64636A89"/>
    <w:rsid w:val="646D3B32"/>
    <w:rsid w:val="64764029"/>
    <w:rsid w:val="6477050C"/>
    <w:rsid w:val="647B057F"/>
    <w:rsid w:val="64813139"/>
    <w:rsid w:val="648570CD"/>
    <w:rsid w:val="648A0240"/>
    <w:rsid w:val="648B532D"/>
    <w:rsid w:val="64A335B4"/>
    <w:rsid w:val="64A52FAE"/>
    <w:rsid w:val="64A61C51"/>
    <w:rsid w:val="64B04CD0"/>
    <w:rsid w:val="64E57B6C"/>
    <w:rsid w:val="64E75692"/>
    <w:rsid w:val="64E90C97"/>
    <w:rsid w:val="64F8789F"/>
    <w:rsid w:val="64FD6C64"/>
    <w:rsid w:val="65006CC3"/>
    <w:rsid w:val="650531EB"/>
    <w:rsid w:val="651D5558"/>
    <w:rsid w:val="65270184"/>
    <w:rsid w:val="652B02AA"/>
    <w:rsid w:val="65347495"/>
    <w:rsid w:val="653F6B42"/>
    <w:rsid w:val="65557C3F"/>
    <w:rsid w:val="65780778"/>
    <w:rsid w:val="658612D7"/>
    <w:rsid w:val="65872B94"/>
    <w:rsid w:val="65882A29"/>
    <w:rsid w:val="658A098D"/>
    <w:rsid w:val="658E1FB1"/>
    <w:rsid w:val="65975DB9"/>
    <w:rsid w:val="659B647C"/>
    <w:rsid w:val="65A50295"/>
    <w:rsid w:val="65A6554D"/>
    <w:rsid w:val="65B6691A"/>
    <w:rsid w:val="65B97AB6"/>
    <w:rsid w:val="65BA4B55"/>
    <w:rsid w:val="65C92964"/>
    <w:rsid w:val="65DD02E0"/>
    <w:rsid w:val="65E76F10"/>
    <w:rsid w:val="65EC77AF"/>
    <w:rsid w:val="65F861F5"/>
    <w:rsid w:val="65FC516D"/>
    <w:rsid w:val="6600436E"/>
    <w:rsid w:val="660A6454"/>
    <w:rsid w:val="660B30F1"/>
    <w:rsid w:val="660D55CB"/>
    <w:rsid w:val="661A3845"/>
    <w:rsid w:val="662446C4"/>
    <w:rsid w:val="662F32AB"/>
    <w:rsid w:val="663B6918"/>
    <w:rsid w:val="663C1A0D"/>
    <w:rsid w:val="664A7A9A"/>
    <w:rsid w:val="6650508A"/>
    <w:rsid w:val="665364A6"/>
    <w:rsid w:val="66550078"/>
    <w:rsid w:val="665D3578"/>
    <w:rsid w:val="669058B5"/>
    <w:rsid w:val="669C10B7"/>
    <w:rsid w:val="66A63156"/>
    <w:rsid w:val="66AB0941"/>
    <w:rsid w:val="66B400ED"/>
    <w:rsid w:val="66C13CC1"/>
    <w:rsid w:val="66D954AE"/>
    <w:rsid w:val="66DB3793"/>
    <w:rsid w:val="66DE2AC5"/>
    <w:rsid w:val="66E0683D"/>
    <w:rsid w:val="67053FA5"/>
    <w:rsid w:val="67112A5E"/>
    <w:rsid w:val="67226687"/>
    <w:rsid w:val="672524A2"/>
    <w:rsid w:val="67297ED0"/>
    <w:rsid w:val="672E1BB9"/>
    <w:rsid w:val="672E75A8"/>
    <w:rsid w:val="673B31CF"/>
    <w:rsid w:val="674072DB"/>
    <w:rsid w:val="674831A1"/>
    <w:rsid w:val="674A1F08"/>
    <w:rsid w:val="67546625"/>
    <w:rsid w:val="675D60DF"/>
    <w:rsid w:val="675F16E0"/>
    <w:rsid w:val="6771251F"/>
    <w:rsid w:val="67765DE7"/>
    <w:rsid w:val="677A6041"/>
    <w:rsid w:val="677F7E04"/>
    <w:rsid w:val="67A40418"/>
    <w:rsid w:val="67B1720A"/>
    <w:rsid w:val="67C262ED"/>
    <w:rsid w:val="67C3519F"/>
    <w:rsid w:val="67CB0011"/>
    <w:rsid w:val="67D85D30"/>
    <w:rsid w:val="67DA61B9"/>
    <w:rsid w:val="67DC4EF5"/>
    <w:rsid w:val="67DD1EED"/>
    <w:rsid w:val="67E1441C"/>
    <w:rsid w:val="67E265E5"/>
    <w:rsid w:val="67FA7F10"/>
    <w:rsid w:val="680B1697"/>
    <w:rsid w:val="68106CAE"/>
    <w:rsid w:val="682409AB"/>
    <w:rsid w:val="68273FF7"/>
    <w:rsid w:val="682A7DF8"/>
    <w:rsid w:val="68330BEE"/>
    <w:rsid w:val="684D1CB0"/>
    <w:rsid w:val="685B2C56"/>
    <w:rsid w:val="68617509"/>
    <w:rsid w:val="68633F33"/>
    <w:rsid w:val="686E1C26"/>
    <w:rsid w:val="686E6466"/>
    <w:rsid w:val="68701E42"/>
    <w:rsid w:val="687731D1"/>
    <w:rsid w:val="6879282C"/>
    <w:rsid w:val="687A681D"/>
    <w:rsid w:val="687C4343"/>
    <w:rsid w:val="687E00BB"/>
    <w:rsid w:val="68841778"/>
    <w:rsid w:val="68937F1C"/>
    <w:rsid w:val="689502AA"/>
    <w:rsid w:val="689773CF"/>
    <w:rsid w:val="689E42BA"/>
    <w:rsid w:val="68A66D88"/>
    <w:rsid w:val="68AB69D7"/>
    <w:rsid w:val="68B428DE"/>
    <w:rsid w:val="68C1444C"/>
    <w:rsid w:val="68D51CA5"/>
    <w:rsid w:val="68D73C6F"/>
    <w:rsid w:val="68DE559E"/>
    <w:rsid w:val="68E1064A"/>
    <w:rsid w:val="68EB3277"/>
    <w:rsid w:val="68F55EA4"/>
    <w:rsid w:val="68FB5BB0"/>
    <w:rsid w:val="68FE744E"/>
    <w:rsid w:val="69076FCD"/>
    <w:rsid w:val="690802CD"/>
    <w:rsid w:val="69157BAE"/>
    <w:rsid w:val="691C7F3B"/>
    <w:rsid w:val="691F1E53"/>
    <w:rsid w:val="69303936"/>
    <w:rsid w:val="693106E7"/>
    <w:rsid w:val="69342842"/>
    <w:rsid w:val="693B16E9"/>
    <w:rsid w:val="694F3806"/>
    <w:rsid w:val="694F7CAA"/>
    <w:rsid w:val="696909F0"/>
    <w:rsid w:val="69690D6B"/>
    <w:rsid w:val="69717C20"/>
    <w:rsid w:val="69774B3C"/>
    <w:rsid w:val="699772AB"/>
    <w:rsid w:val="699B2EEF"/>
    <w:rsid w:val="69A34EBB"/>
    <w:rsid w:val="69A45E7B"/>
    <w:rsid w:val="69AA5E54"/>
    <w:rsid w:val="69B0699A"/>
    <w:rsid w:val="69BD4DE0"/>
    <w:rsid w:val="69BF1E53"/>
    <w:rsid w:val="69D17E1E"/>
    <w:rsid w:val="69DE2167"/>
    <w:rsid w:val="69E04245"/>
    <w:rsid w:val="69E91EAC"/>
    <w:rsid w:val="69F765FE"/>
    <w:rsid w:val="6A0D79ED"/>
    <w:rsid w:val="6A132A85"/>
    <w:rsid w:val="6A18009C"/>
    <w:rsid w:val="6A184540"/>
    <w:rsid w:val="6A2B1854"/>
    <w:rsid w:val="6A350C4E"/>
    <w:rsid w:val="6A3749C6"/>
    <w:rsid w:val="6A493FCB"/>
    <w:rsid w:val="6A4B367A"/>
    <w:rsid w:val="6A4B66C3"/>
    <w:rsid w:val="6A4F7FF6"/>
    <w:rsid w:val="6A646881"/>
    <w:rsid w:val="6A6D7C6B"/>
    <w:rsid w:val="6A7C1326"/>
    <w:rsid w:val="6A882081"/>
    <w:rsid w:val="6A9C6F1F"/>
    <w:rsid w:val="6A9D3D8A"/>
    <w:rsid w:val="6A9E0F72"/>
    <w:rsid w:val="6AA111C4"/>
    <w:rsid w:val="6AA9520C"/>
    <w:rsid w:val="6AB26F6F"/>
    <w:rsid w:val="6AC67AF8"/>
    <w:rsid w:val="6ACB13C6"/>
    <w:rsid w:val="6ACD70D8"/>
    <w:rsid w:val="6AD25F72"/>
    <w:rsid w:val="6AD42215"/>
    <w:rsid w:val="6AD45A51"/>
    <w:rsid w:val="6AE34B4E"/>
    <w:rsid w:val="6AEC4D7B"/>
    <w:rsid w:val="6AED0CE2"/>
    <w:rsid w:val="6AFC0708"/>
    <w:rsid w:val="6B1B5D7D"/>
    <w:rsid w:val="6B3810D4"/>
    <w:rsid w:val="6B4D0219"/>
    <w:rsid w:val="6B501092"/>
    <w:rsid w:val="6B515625"/>
    <w:rsid w:val="6B52226C"/>
    <w:rsid w:val="6B5840DB"/>
    <w:rsid w:val="6B5B3D8C"/>
    <w:rsid w:val="6B7E4876"/>
    <w:rsid w:val="6B8974A3"/>
    <w:rsid w:val="6B9C4AB9"/>
    <w:rsid w:val="6BA01A49"/>
    <w:rsid w:val="6BA8544F"/>
    <w:rsid w:val="6BAC3463"/>
    <w:rsid w:val="6BAD34DB"/>
    <w:rsid w:val="6BAE18B0"/>
    <w:rsid w:val="6BBB5183"/>
    <w:rsid w:val="6BCB7ABB"/>
    <w:rsid w:val="6BDC7D96"/>
    <w:rsid w:val="6BDE38BC"/>
    <w:rsid w:val="6BE75CB6"/>
    <w:rsid w:val="6BF24A9B"/>
    <w:rsid w:val="6BF57693"/>
    <w:rsid w:val="6C00756A"/>
    <w:rsid w:val="6C13293F"/>
    <w:rsid w:val="6C133210"/>
    <w:rsid w:val="6C1D1AE6"/>
    <w:rsid w:val="6C1D7BEB"/>
    <w:rsid w:val="6C1F1BB5"/>
    <w:rsid w:val="6C225202"/>
    <w:rsid w:val="6C250E03"/>
    <w:rsid w:val="6C257B72"/>
    <w:rsid w:val="6C300BEF"/>
    <w:rsid w:val="6C360CAD"/>
    <w:rsid w:val="6C457B18"/>
    <w:rsid w:val="6C4727A9"/>
    <w:rsid w:val="6C4B7139"/>
    <w:rsid w:val="6C4D3DDE"/>
    <w:rsid w:val="6C55278B"/>
    <w:rsid w:val="6C577324"/>
    <w:rsid w:val="6C5D58A2"/>
    <w:rsid w:val="6C645925"/>
    <w:rsid w:val="6C733CAF"/>
    <w:rsid w:val="6C757A27"/>
    <w:rsid w:val="6C7842C5"/>
    <w:rsid w:val="6C840B68"/>
    <w:rsid w:val="6C8768C2"/>
    <w:rsid w:val="6C9505C3"/>
    <w:rsid w:val="6CAB3449"/>
    <w:rsid w:val="6CB23694"/>
    <w:rsid w:val="6CB5051A"/>
    <w:rsid w:val="6CB620E1"/>
    <w:rsid w:val="6CC22541"/>
    <w:rsid w:val="6CC91389"/>
    <w:rsid w:val="6CCF5389"/>
    <w:rsid w:val="6CD17790"/>
    <w:rsid w:val="6CE4673F"/>
    <w:rsid w:val="6CE51D83"/>
    <w:rsid w:val="6CEF5734"/>
    <w:rsid w:val="6D005437"/>
    <w:rsid w:val="6D08089B"/>
    <w:rsid w:val="6D0B3EE8"/>
    <w:rsid w:val="6D0D5EB2"/>
    <w:rsid w:val="6D0E10B3"/>
    <w:rsid w:val="6D152493"/>
    <w:rsid w:val="6D1D23DF"/>
    <w:rsid w:val="6D201BB4"/>
    <w:rsid w:val="6D261B38"/>
    <w:rsid w:val="6D2B735C"/>
    <w:rsid w:val="6D463784"/>
    <w:rsid w:val="6D473CBD"/>
    <w:rsid w:val="6D4B0788"/>
    <w:rsid w:val="6D545AF2"/>
    <w:rsid w:val="6D6F26C8"/>
    <w:rsid w:val="6D763A57"/>
    <w:rsid w:val="6D771298"/>
    <w:rsid w:val="6D7A3958"/>
    <w:rsid w:val="6D7E4A80"/>
    <w:rsid w:val="6D9E4D5C"/>
    <w:rsid w:val="6DAA1953"/>
    <w:rsid w:val="6DB874E1"/>
    <w:rsid w:val="6DBD1175"/>
    <w:rsid w:val="6DC9627D"/>
    <w:rsid w:val="6DD3263B"/>
    <w:rsid w:val="6DE04B94"/>
    <w:rsid w:val="6DE22E9A"/>
    <w:rsid w:val="6DE64A29"/>
    <w:rsid w:val="6DE9624B"/>
    <w:rsid w:val="6DEC109B"/>
    <w:rsid w:val="6DF0014E"/>
    <w:rsid w:val="6E1D3E88"/>
    <w:rsid w:val="6E2D07A5"/>
    <w:rsid w:val="6E485D23"/>
    <w:rsid w:val="6E4B4EE4"/>
    <w:rsid w:val="6E4C75A1"/>
    <w:rsid w:val="6E5D69C5"/>
    <w:rsid w:val="6E616DFC"/>
    <w:rsid w:val="6E6D784E"/>
    <w:rsid w:val="6E722E31"/>
    <w:rsid w:val="6E9223AB"/>
    <w:rsid w:val="6E9248C1"/>
    <w:rsid w:val="6E997C34"/>
    <w:rsid w:val="6EA4236F"/>
    <w:rsid w:val="6EA60102"/>
    <w:rsid w:val="6EAB3EFE"/>
    <w:rsid w:val="6EAB3F36"/>
    <w:rsid w:val="6EAE0FCF"/>
    <w:rsid w:val="6EB72579"/>
    <w:rsid w:val="6EBA5BC5"/>
    <w:rsid w:val="6EBA6610"/>
    <w:rsid w:val="6EBE1B99"/>
    <w:rsid w:val="6ECE341F"/>
    <w:rsid w:val="6EDF562C"/>
    <w:rsid w:val="6EEA74D2"/>
    <w:rsid w:val="6EEB186E"/>
    <w:rsid w:val="6EF638A5"/>
    <w:rsid w:val="6F045092"/>
    <w:rsid w:val="6F062BB9"/>
    <w:rsid w:val="6F082DD5"/>
    <w:rsid w:val="6F1705D3"/>
    <w:rsid w:val="6F1E7F02"/>
    <w:rsid w:val="6F2177A4"/>
    <w:rsid w:val="6F2D283B"/>
    <w:rsid w:val="6F2F363E"/>
    <w:rsid w:val="6F3263F1"/>
    <w:rsid w:val="6F3C59A0"/>
    <w:rsid w:val="6F4831D1"/>
    <w:rsid w:val="6F5C19F5"/>
    <w:rsid w:val="6F6351AC"/>
    <w:rsid w:val="6F7B6FC4"/>
    <w:rsid w:val="6F9155B8"/>
    <w:rsid w:val="6F96218E"/>
    <w:rsid w:val="6F9E6F8F"/>
    <w:rsid w:val="6FB37C0A"/>
    <w:rsid w:val="6FBB0FDE"/>
    <w:rsid w:val="6FBB7E47"/>
    <w:rsid w:val="6FBE43CC"/>
    <w:rsid w:val="6FCF56A0"/>
    <w:rsid w:val="6FD44A65"/>
    <w:rsid w:val="6FD74555"/>
    <w:rsid w:val="6FE639D1"/>
    <w:rsid w:val="6FF330C0"/>
    <w:rsid w:val="6FF9271D"/>
    <w:rsid w:val="6FFA176F"/>
    <w:rsid w:val="70111815"/>
    <w:rsid w:val="70252E78"/>
    <w:rsid w:val="70291255"/>
    <w:rsid w:val="702C7EDA"/>
    <w:rsid w:val="70343755"/>
    <w:rsid w:val="70357BF9"/>
    <w:rsid w:val="70390CA2"/>
    <w:rsid w:val="70467D61"/>
    <w:rsid w:val="704A3648"/>
    <w:rsid w:val="704F64E6"/>
    <w:rsid w:val="705F5F17"/>
    <w:rsid w:val="70765B1C"/>
    <w:rsid w:val="707A560C"/>
    <w:rsid w:val="708625A6"/>
    <w:rsid w:val="708741CD"/>
    <w:rsid w:val="708862A9"/>
    <w:rsid w:val="70AB7EBB"/>
    <w:rsid w:val="70B94572"/>
    <w:rsid w:val="70BA00B3"/>
    <w:rsid w:val="70C525FF"/>
    <w:rsid w:val="70C672EE"/>
    <w:rsid w:val="70DA254F"/>
    <w:rsid w:val="70DF102F"/>
    <w:rsid w:val="70E05D95"/>
    <w:rsid w:val="70F03B20"/>
    <w:rsid w:val="71015AC6"/>
    <w:rsid w:val="710F044A"/>
    <w:rsid w:val="7121759B"/>
    <w:rsid w:val="712D0FEE"/>
    <w:rsid w:val="713500B0"/>
    <w:rsid w:val="71381023"/>
    <w:rsid w:val="713C7166"/>
    <w:rsid w:val="713F5EAF"/>
    <w:rsid w:val="714D2D21"/>
    <w:rsid w:val="714F7929"/>
    <w:rsid w:val="71521C9F"/>
    <w:rsid w:val="71564F2D"/>
    <w:rsid w:val="715C2AFE"/>
    <w:rsid w:val="71607248"/>
    <w:rsid w:val="716B31A7"/>
    <w:rsid w:val="71755DD4"/>
    <w:rsid w:val="71767EC1"/>
    <w:rsid w:val="71771B4C"/>
    <w:rsid w:val="71791D68"/>
    <w:rsid w:val="717E2EC4"/>
    <w:rsid w:val="71854419"/>
    <w:rsid w:val="71866233"/>
    <w:rsid w:val="718A5D23"/>
    <w:rsid w:val="71B45E73"/>
    <w:rsid w:val="71B82026"/>
    <w:rsid w:val="71C044EB"/>
    <w:rsid w:val="71CF6311"/>
    <w:rsid w:val="71D74829"/>
    <w:rsid w:val="71E93F89"/>
    <w:rsid w:val="71F36EB1"/>
    <w:rsid w:val="72087AE3"/>
    <w:rsid w:val="72097BFB"/>
    <w:rsid w:val="720A602E"/>
    <w:rsid w:val="72190311"/>
    <w:rsid w:val="721D0945"/>
    <w:rsid w:val="721D196D"/>
    <w:rsid w:val="721E6986"/>
    <w:rsid w:val="72200435"/>
    <w:rsid w:val="72230C98"/>
    <w:rsid w:val="7224193D"/>
    <w:rsid w:val="722731C5"/>
    <w:rsid w:val="722A3062"/>
    <w:rsid w:val="722F0678"/>
    <w:rsid w:val="723637B5"/>
    <w:rsid w:val="724146F7"/>
    <w:rsid w:val="72442376"/>
    <w:rsid w:val="725320AF"/>
    <w:rsid w:val="72556843"/>
    <w:rsid w:val="725C4053"/>
    <w:rsid w:val="726522EC"/>
    <w:rsid w:val="72655E48"/>
    <w:rsid w:val="726C4C3C"/>
    <w:rsid w:val="72712A3F"/>
    <w:rsid w:val="72730E3A"/>
    <w:rsid w:val="727A0E4F"/>
    <w:rsid w:val="728612C6"/>
    <w:rsid w:val="729D2D3E"/>
    <w:rsid w:val="72B312A9"/>
    <w:rsid w:val="72C2329A"/>
    <w:rsid w:val="72C74D55"/>
    <w:rsid w:val="72CA14F4"/>
    <w:rsid w:val="72D1172F"/>
    <w:rsid w:val="72D37F37"/>
    <w:rsid w:val="72DD3AC7"/>
    <w:rsid w:val="72E37B13"/>
    <w:rsid w:val="72E43211"/>
    <w:rsid w:val="72E509D8"/>
    <w:rsid w:val="72E82720"/>
    <w:rsid w:val="72EB4AB7"/>
    <w:rsid w:val="72EC118F"/>
    <w:rsid w:val="72F97DAA"/>
    <w:rsid w:val="72FC49FE"/>
    <w:rsid w:val="73076EFF"/>
    <w:rsid w:val="733164B3"/>
    <w:rsid w:val="733E5FC0"/>
    <w:rsid w:val="73412F53"/>
    <w:rsid w:val="73445CE9"/>
    <w:rsid w:val="73552881"/>
    <w:rsid w:val="735B2027"/>
    <w:rsid w:val="735F0AE9"/>
    <w:rsid w:val="736305DA"/>
    <w:rsid w:val="73682094"/>
    <w:rsid w:val="73697BBA"/>
    <w:rsid w:val="737E3665"/>
    <w:rsid w:val="73840550"/>
    <w:rsid w:val="73884EE0"/>
    <w:rsid w:val="738F26F8"/>
    <w:rsid w:val="73977520"/>
    <w:rsid w:val="739A068C"/>
    <w:rsid w:val="739A54A6"/>
    <w:rsid w:val="73A24F1A"/>
    <w:rsid w:val="73B31F44"/>
    <w:rsid w:val="73B644F4"/>
    <w:rsid w:val="73BE3A62"/>
    <w:rsid w:val="73CC2623"/>
    <w:rsid w:val="73D47729"/>
    <w:rsid w:val="73DC038C"/>
    <w:rsid w:val="73DD76C0"/>
    <w:rsid w:val="73E90748"/>
    <w:rsid w:val="73EC1115"/>
    <w:rsid w:val="73F31399"/>
    <w:rsid w:val="73F676A0"/>
    <w:rsid w:val="74014B68"/>
    <w:rsid w:val="740A5F00"/>
    <w:rsid w:val="74132092"/>
    <w:rsid w:val="741950ED"/>
    <w:rsid w:val="7429628C"/>
    <w:rsid w:val="74354AAA"/>
    <w:rsid w:val="7440091C"/>
    <w:rsid w:val="744117A5"/>
    <w:rsid w:val="744245F4"/>
    <w:rsid w:val="74512A0F"/>
    <w:rsid w:val="7452064E"/>
    <w:rsid w:val="74544D04"/>
    <w:rsid w:val="74573C49"/>
    <w:rsid w:val="74577499"/>
    <w:rsid w:val="7458144D"/>
    <w:rsid w:val="7477491D"/>
    <w:rsid w:val="74841862"/>
    <w:rsid w:val="74844CAB"/>
    <w:rsid w:val="74870853"/>
    <w:rsid w:val="74876FBC"/>
    <w:rsid w:val="749018A2"/>
    <w:rsid w:val="749A4D47"/>
    <w:rsid w:val="74AA1BF4"/>
    <w:rsid w:val="74C403C2"/>
    <w:rsid w:val="74C64FFF"/>
    <w:rsid w:val="74CC0695"/>
    <w:rsid w:val="74D24742"/>
    <w:rsid w:val="74DC6144"/>
    <w:rsid w:val="74F514E6"/>
    <w:rsid w:val="74F51705"/>
    <w:rsid w:val="74FA304A"/>
    <w:rsid w:val="74FC2DD4"/>
    <w:rsid w:val="750513C8"/>
    <w:rsid w:val="750F6F50"/>
    <w:rsid w:val="751029E3"/>
    <w:rsid w:val="751C1388"/>
    <w:rsid w:val="75365D0C"/>
    <w:rsid w:val="753B10E2"/>
    <w:rsid w:val="753E1D0F"/>
    <w:rsid w:val="75542F6D"/>
    <w:rsid w:val="75546277"/>
    <w:rsid w:val="75660855"/>
    <w:rsid w:val="757F36C5"/>
    <w:rsid w:val="757F6C10"/>
    <w:rsid w:val="758B7355"/>
    <w:rsid w:val="75952250"/>
    <w:rsid w:val="759E3058"/>
    <w:rsid w:val="75A60CD6"/>
    <w:rsid w:val="75AF5B8D"/>
    <w:rsid w:val="75B46F01"/>
    <w:rsid w:val="75B74C0D"/>
    <w:rsid w:val="75B96109"/>
    <w:rsid w:val="75BD531C"/>
    <w:rsid w:val="75BE30B4"/>
    <w:rsid w:val="75BF1D13"/>
    <w:rsid w:val="75C81735"/>
    <w:rsid w:val="75CE1F56"/>
    <w:rsid w:val="75D457BF"/>
    <w:rsid w:val="75D72A3A"/>
    <w:rsid w:val="75DB4D9F"/>
    <w:rsid w:val="75F2478E"/>
    <w:rsid w:val="75F47C0F"/>
    <w:rsid w:val="76036776"/>
    <w:rsid w:val="76130E3C"/>
    <w:rsid w:val="7613153E"/>
    <w:rsid w:val="761E4ABF"/>
    <w:rsid w:val="76203354"/>
    <w:rsid w:val="762F2BA7"/>
    <w:rsid w:val="76327915"/>
    <w:rsid w:val="76351EDA"/>
    <w:rsid w:val="7638142F"/>
    <w:rsid w:val="763A7CC0"/>
    <w:rsid w:val="764A3CD3"/>
    <w:rsid w:val="765D2E1B"/>
    <w:rsid w:val="7660753D"/>
    <w:rsid w:val="766A535F"/>
    <w:rsid w:val="766C1E9B"/>
    <w:rsid w:val="768371E5"/>
    <w:rsid w:val="76863145"/>
    <w:rsid w:val="76876745"/>
    <w:rsid w:val="768B5162"/>
    <w:rsid w:val="76937675"/>
    <w:rsid w:val="769B11AF"/>
    <w:rsid w:val="76A3126E"/>
    <w:rsid w:val="76A31809"/>
    <w:rsid w:val="76A41635"/>
    <w:rsid w:val="76AA29C3"/>
    <w:rsid w:val="76AA6BA7"/>
    <w:rsid w:val="76BD3227"/>
    <w:rsid w:val="76C3306B"/>
    <w:rsid w:val="76C42270"/>
    <w:rsid w:val="76C43A85"/>
    <w:rsid w:val="76E27419"/>
    <w:rsid w:val="76F24786"/>
    <w:rsid w:val="76F563E0"/>
    <w:rsid w:val="77057BFA"/>
    <w:rsid w:val="77242FBF"/>
    <w:rsid w:val="77253DF8"/>
    <w:rsid w:val="773019F8"/>
    <w:rsid w:val="77304C77"/>
    <w:rsid w:val="77352186"/>
    <w:rsid w:val="773930C5"/>
    <w:rsid w:val="773B1E65"/>
    <w:rsid w:val="77436DEC"/>
    <w:rsid w:val="775C3CBE"/>
    <w:rsid w:val="776D25B4"/>
    <w:rsid w:val="77770AF7"/>
    <w:rsid w:val="777B68D3"/>
    <w:rsid w:val="77845EB9"/>
    <w:rsid w:val="77847777"/>
    <w:rsid w:val="77860D3A"/>
    <w:rsid w:val="779175C9"/>
    <w:rsid w:val="77974CF6"/>
    <w:rsid w:val="77992F79"/>
    <w:rsid w:val="77A94A29"/>
    <w:rsid w:val="77AB33FC"/>
    <w:rsid w:val="77B4311F"/>
    <w:rsid w:val="77B86945"/>
    <w:rsid w:val="77D30FFF"/>
    <w:rsid w:val="77F54C35"/>
    <w:rsid w:val="78054C6E"/>
    <w:rsid w:val="780D6DF3"/>
    <w:rsid w:val="78210A63"/>
    <w:rsid w:val="782C024A"/>
    <w:rsid w:val="78414CC0"/>
    <w:rsid w:val="78741D6D"/>
    <w:rsid w:val="78852DA0"/>
    <w:rsid w:val="78872FBC"/>
    <w:rsid w:val="78904B46"/>
    <w:rsid w:val="78922BAB"/>
    <w:rsid w:val="78AC2749"/>
    <w:rsid w:val="78AE679B"/>
    <w:rsid w:val="78BF5D27"/>
    <w:rsid w:val="78C3393E"/>
    <w:rsid w:val="78D035B3"/>
    <w:rsid w:val="78D20FC6"/>
    <w:rsid w:val="78D87374"/>
    <w:rsid w:val="78D930EC"/>
    <w:rsid w:val="78D95743"/>
    <w:rsid w:val="78E24696"/>
    <w:rsid w:val="78E32468"/>
    <w:rsid w:val="78EE2F8A"/>
    <w:rsid w:val="78F30652"/>
    <w:rsid w:val="78FF5EC9"/>
    <w:rsid w:val="7904192A"/>
    <w:rsid w:val="79060103"/>
    <w:rsid w:val="79243D68"/>
    <w:rsid w:val="7928672D"/>
    <w:rsid w:val="792F255B"/>
    <w:rsid w:val="793242EA"/>
    <w:rsid w:val="79337473"/>
    <w:rsid w:val="79352A18"/>
    <w:rsid w:val="79354A62"/>
    <w:rsid w:val="793D0C5F"/>
    <w:rsid w:val="793E2FE3"/>
    <w:rsid w:val="79626B52"/>
    <w:rsid w:val="79751067"/>
    <w:rsid w:val="797C4948"/>
    <w:rsid w:val="798457CB"/>
    <w:rsid w:val="798A150A"/>
    <w:rsid w:val="799522AA"/>
    <w:rsid w:val="799B65F3"/>
    <w:rsid w:val="79AD01CC"/>
    <w:rsid w:val="79B051DD"/>
    <w:rsid w:val="79B25E17"/>
    <w:rsid w:val="79D64B97"/>
    <w:rsid w:val="79E42378"/>
    <w:rsid w:val="79F226B7"/>
    <w:rsid w:val="79F301DD"/>
    <w:rsid w:val="79FB6476"/>
    <w:rsid w:val="79FE42DA"/>
    <w:rsid w:val="79FF1E5E"/>
    <w:rsid w:val="7A0F312C"/>
    <w:rsid w:val="7A1F2DAF"/>
    <w:rsid w:val="7A49604F"/>
    <w:rsid w:val="7A4E7C6A"/>
    <w:rsid w:val="7A574C10"/>
    <w:rsid w:val="7A6A75FE"/>
    <w:rsid w:val="7A75632A"/>
    <w:rsid w:val="7A756E44"/>
    <w:rsid w:val="7A781C19"/>
    <w:rsid w:val="7A835A05"/>
    <w:rsid w:val="7A895ACB"/>
    <w:rsid w:val="7A8F23A9"/>
    <w:rsid w:val="7A923E9A"/>
    <w:rsid w:val="7A9D6842"/>
    <w:rsid w:val="7AAA4D40"/>
    <w:rsid w:val="7AB45BBF"/>
    <w:rsid w:val="7AB83901"/>
    <w:rsid w:val="7ABE4067"/>
    <w:rsid w:val="7AC06311"/>
    <w:rsid w:val="7AC34054"/>
    <w:rsid w:val="7AEC35AA"/>
    <w:rsid w:val="7AEE2E6C"/>
    <w:rsid w:val="7AF34939"/>
    <w:rsid w:val="7B073F40"/>
    <w:rsid w:val="7B0A6956"/>
    <w:rsid w:val="7B1B21C5"/>
    <w:rsid w:val="7B204C45"/>
    <w:rsid w:val="7B2F2E62"/>
    <w:rsid w:val="7B3239D6"/>
    <w:rsid w:val="7B3B0712"/>
    <w:rsid w:val="7B423EC2"/>
    <w:rsid w:val="7B4B67A1"/>
    <w:rsid w:val="7B603A66"/>
    <w:rsid w:val="7B633173"/>
    <w:rsid w:val="7B6A6FCD"/>
    <w:rsid w:val="7B7A2964"/>
    <w:rsid w:val="7B870618"/>
    <w:rsid w:val="7BA132F5"/>
    <w:rsid w:val="7BA51E8C"/>
    <w:rsid w:val="7BA619C7"/>
    <w:rsid w:val="7BA7486D"/>
    <w:rsid w:val="7BC93462"/>
    <w:rsid w:val="7BDF4EBD"/>
    <w:rsid w:val="7BED4262"/>
    <w:rsid w:val="7BFD266C"/>
    <w:rsid w:val="7C096CB3"/>
    <w:rsid w:val="7C0B3F04"/>
    <w:rsid w:val="7C183F2B"/>
    <w:rsid w:val="7C286EE2"/>
    <w:rsid w:val="7C32627A"/>
    <w:rsid w:val="7C385132"/>
    <w:rsid w:val="7C4008CB"/>
    <w:rsid w:val="7C4116D4"/>
    <w:rsid w:val="7C455623"/>
    <w:rsid w:val="7C4C370C"/>
    <w:rsid w:val="7C532BE5"/>
    <w:rsid w:val="7C5631E9"/>
    <w:rsid w:val="7C565D5A"/>
    <w:rsid w:val="7C5732BF"/>
    <w:rsid w:val="7C7150B1"/>
    <w:rsid w:val="7C8C202C"/>
    <w:rsid w:val="7C8C559B"/>
    <w:rsid w:val="7C921F30"/>
    <w:rsid w:val="7C977546"/>
    <w:rsid w:val="7C9C690A"/>
    <w:rsid w:val="7CA05A8B"/>
    <w:rsid w:val="7CAE2378"/>
    <w:rsid w:val="7CB205DC"/>
    <w:rsid w:val="7CB95896"/>
    <w:rsid w:val="7CC61BD9"/>
    <w:rsid w:val="7CD16A33"/>
    <w:rsid w:val="7CD24A74"/>
    <w:rsid w:val="7CD678CA"/>
    <w:rsid w:val="7CF25986"/>
    <w:rsid w:val="7CFC4976"/>
    <w:rsid w:val="7D0E2112"/>
    <w:rsid w:val="7D11554A"/>
    <w:rsid w:val="7D123BB1"/>
    <w:rsid w:val="7D171D18"/>
    <w:rsid w:val="7D175C4D"/>
    <w:rsid w:val="7D1D5C9D"/>
    <w:rsid w:val="7D1E52DA"/>
    <w:rsid w:val="7D2039B9"/>
    <w:rsid w:val="7D2863F0"/>
    <w:rsid w:val="7D2E02BC"/>
    <w:rsid w:val="7D327B02"/>
    <w:rsid w:val="7D3364D5"/>
    <w:rsid w:val="7D371900"/>
    <w:rsid w:val="7D52346D"/>
    <w:rsid w:val="7D5944B3"/>
    <w:rsid w:val="7D5A43EB"/>
    <w:rsid w:val="7D7843B2"/>
    <w:rsid w:val="7D831878"/>
    <w:rsid w:val="7D912118"/>
    <w:rsid w:val="7D9D293A"/>
    <w:rsid w:val="7DDD367E"/>
    <w:rsid w:val="7DDE3E8F"/>
    <w:rsid w:val="7DE55DD8"/>
    <w:rsid w:val="7DE82CDE"/>
    <w:rsid w:val="7DED3CF7"/>
    <w:rsid w:val="7E0B3DE4"/>
    <w:rsid w:val="7E0E5943"/>
    <w:rsid w:val="7E3D04A5"/>
    <w:rsid w:val="7E464D80"/>
    <w:rsid w:val="7E4F3E11"/>
    <w:rsid w:val="7E6D5A49"/>
    <w:rsid w:val="7E7173E3"/>
    <w:rsid w:val="7E7547A3"/>
    <w:rsid w:val="7E770CBC"/>
    <w:rsid w:val="7E79425F"/>
    <w:rsid w:val="7E7F4735"/>
    <w:rsid w:val="7E880BE8"/>
    <w:rsid w:val="7E9401E1"/>
    <w:rsid w:val="7EA07576"/>
    <w:rsid w:val="7EA63BDC"/>
    <w:rsid w:val="7EB66390"/>
    <w:rsid w:val="7EB72E36"/>
    <w:rsid w:val="7EBD5CF1"/>
    <w:rsid w:val="7EC100EC"/>
    <w:rsid w:val="7EC62364"/>
    <w:rsid w:val="7EC64A2C"/>
    <w:rsid w:val="7EC65EC0"/>
    <w:rsid w:val="7ED00AED"/>
    <w:rsid w:val="7EDB7A05"/>
    <w:rsid w:val="7EDE76AE"/>
    <w:rsid w:val="7EE12CFA"/>
    <w:rsid w:val="7EE54599"/>
    <w:rsid w:val="7EE66563"/>
    <w:rsid w:val="7EF169B0"/>
    <w:rsid w:val="7EFF5611"/>
    <w:rsid w:val="7F054249"/>
    <w:rsid w:val="7F252F8D"/>
    <w:rsid w:val="7F2D1B2B"/>
    <w:rsid w:val="7F343AEB"/>
    <w:rsid w:val="7F3C3C11"/>
    <w:rsid w:val="7F595D7D"/>
    <w:rsid w:val="7F62208D"/>
    <w:rsid w:val="7F6A1093"/>
    <w:rsid w:val="7F6C2F0C"/>
    <w:rsid w:val="7F7B1170"/>
    <w:rsid w:val="7F7F4A74"/>
    <w:rsid w:val="7F875650"/>
    <w:rsid w:val="7F876A14"/>
    <w:rsid w:val="7FA36202"/>
    <w:rsid w:val="7FAF30F2"/>
    <w:rsid w:val="7FB36BB9"/>
    <w:rsid w:val="7FBA5A25"/>
    <w:rsid w:val="7FC468A4"/>
    <w:rsid w:val="7FCF3986"/>
    <w:rsid w:val="7FE01204"/>
    <w:rsid w:val="7FE2704E"/>
    <w:rsid w:val="7FEC3697"/>
    <w:rsid w:val="FDDBB6E9"/>
    <w:rsid w:val="FFF993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600" w:lineRule="exact"/>
      <w:ind w:firstLine="200" w:firstLineChars="200"/>
      <w:jc w:val="both"/>
    </w:pPr>
    <w:rPr>
      <w:rFonts w:ascii="Times New Roman" w:hAnsi="Times New Roman" w:eastAsia="方正仿宋_GBK" w:cstheme="minorBidi"/>
      <w:kern w:val="2"/>
      <w:sz w:val="32"/>
      <w:szCs w:val="22"/>
      <w:lang w:val="en-US" w:eastAsia="zh-CN" w:bidi="ar-SA"/>
    </w:rPr>
  </w:style>
  <w:style w:type="paragraph" w:styleId="3">
    <w:name w:val="heading 1"/>
    <w:basedOn w:val="1"/>
    <w:next w:val="1"/>
    <w:link w:val="34"/>
    <w:qFormat/>
    <w:uiPriority w:val="9"/>
    <w:pPr>
      <w:keepNext/>
      <w:keepLines/>
      <w:spacing w:before="50" w:beforeLines="50" w:after="50" w:afterLines="50"/>
      <w:ind w:firstLine="0" w:firstLineChars="0"/>
      <w:outlineLvl w:val="0"/>
    </w:pPr>
    <w:rPr>
      <w:rFonts w:eastAsia="方正黑体_GBK"/>
      <w:b/>
      <w:bCs/>
      <w:kern w:val="44"/>
      <w:szCs w:val="44"/>
    </w:rPr>
  </w:style>
  <w:style w:type="paragraph" w:styleId="4">
    <w:name w:val="heading 2"/>
    <w:basedOn w:val="1"/>
    <w:next w:val="1"/>
    <w:link w:val="56"/>
    <w:unhideWhenUsed/>
    <w:qFormat/>
    <w:uiPriority w:val="9"/>
    <w:pPr>
      <w:keepNext/>
      <w:keepLines/>
      <w:spacing w:before="50" w:beforeLines="50" w:after="50" w:afterLines="50"/>
      <w:outlineLvl w:val="1"/>
    </w:pPr>
    <w:rPr>
      <w:rFonts w:eastAsia="方正楷体_GBK" w:cstheme="majorBidi"/>
      <w:b/>
      <w:bCs/>
      <w:szCs w:val="32"/>
    </w:rPr>
  </w:style>
  <w:style w:type="paragraph" w:styleId="5">
    <w:name w:val="heading 3"/>
    <w:basedOn w:val="1"/>
    <w:next w:val="1"/>
    <w:link w:val="46"/>
    <w:unhideWhenUsed/>
    <w:qFormat/>
    <w:uiPriority w:val="0"/>
    <w:pPr>
      <w:keepNext/>
      <w:keepLines/>
      <w:spacing w:before="260" w:after="260" w:line="416" w:lineRule="atLeast"/>
      <w:outlineLvl w:val="2"/>
    </w:pPr>
    <w:rPr>
      <w:b/>
      <w:bCs/>
      <w:szCs w:val="32"/>
    </w:rPr>
  </w:style>
  <w:style w:type="paragraph" w:styleId="6">
    <w:name w:val="heading 4"/>
    <w:basedOn w:val="1"/>
    <w:next w:val="1"/>
    <w:qFormat/>
    <w:uiPriority w:val="9"/>
    <w:pPr>
      <w:keepNext/>
      <w:keepLines/>
      <w:spacing w:before="280" w:after="290" w:line="376" w:lineRule="auto"/>
      <w:outlineLvl w:val="3"/>
    </w:pPr>
    <w:rPr>
      <w:rFonts w:ascii="等线 Light" w:hAnsi="等线 Light" w:eastAsia="等线 Light"/>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7">
    <w:name w:val="Document Map"/>
    <w:basedOn w:val="1"/>
    <w:link w:val="32"/>
    <w:semiHidden/>
    <w:unhideWhenUsed/>
    <w:qFormat/>
    <w:uiPriority w:val="99"/>
    <w:rPr>
      <w:rFonts w:ascii="宋体" w:eastAsia="宋体"/>
      <w:sz w:val="18"/>
      <w:szCs w:val="18"/>
    </w:rPr>
  </w:style>
  <w:style w:type="paragraph" w:styleId="8">
    <w:name w:val="annotation text"/>
    <w:basedOn w:val="1"/>
    <w:link w:val="48"/>
    <w:semiHidden/>
    <w:unhideWhenUsed/>
    <w:qFormat/>
    <w:uiPriority w:val="99"/>
    <w:pPr>
      <w:jc w:val="left"/>
    </w:pPr>
  </w:style>
  <w:style w:type="paragraph" w:styleId="9">
    <w:name w:val="Body Text"/>
    <w:basedOn w:val="1"/>
    <w:next w:val="10"/>
    <w:link w:val="55"/>
    <w:unhideWhenUsed/>
    <w:qFormat/>
    <w:uiPriority w:val="99"/>
    <w:pPr>
      <w:spacing w:after="120"/>
    </w:pPr>
  </w:style>
  <w:style w:type="paragraph" w:styleId="10">
    <w:name w:val="toc 5"/>
    <w:basedOn w:val="1"/>
    <w:next w:val="1"/>
    <w:qFormat/>
    <w:uiPriority w:val="0"/>
    <w:pPr>
      <w:jc w:val="left"/>
    </w:pPr>
    <w:rPr>
      <w:rFonts w:ascii="方正黑体_GBK" w:eastAsia="方正黑体_GBK"/>
      <w:szCs w:val="32"/>
    </w:rPr>
  </w:style>
  <w:style w:type="paragraph" w:styleId="11">
    <w:name w:val="Body Text Indent"/>
    <w:basedOn w:val="1"/>
    <w:unhideWhenUsed/>
    <w:qFormat/>
    <w:uiPriority w:val="99"/>
    <w:pPr>
      <w:ind w:firstLine="720"/>
    </w:pPr>
    <w:rPr>
      <w:rFonts w:ascii="仿宋_GB2312" w:eastAsia="仿宋_GB2312"/>
    </w:rPr>
  </w:style>
  <w:style w:type="paragraph" w:styleId="12">
    <w:name w:val="toc 3"/>
    <w:basedOn w:val="1"/>
    <w:next w:val="1"/>
    <w:semiHidden/>
    <w:unhideWhenUsed/>
    <w:qFormat/>
    <w:uiPriority w:val="39"/>
    <w:pPr>
      <w:spacing w:line="560" w:lineRule="exact"/>
      <w:ind w:left="840" w:leftChars="400" w:firstLine="0" w:firstLineChars="0"/>
    </w:pPr>
    <w:rPr>
      <w:szCs w:val="24"/>
    </w:rPr>
  </w:style>
  <w:style w:type="paragraph" w:styleId="13">
    <w:name w:val="Balloon Text"/>
    <w:basedOn w:val="1"/>
    <w:link w:val="33"/>
    <w:semiHidden/>
    <w:unhideWhenUsed/>
    <w:qFormat/>
    <w:uiPriority w:val="99"/>
    <w:pPr>
      <w:spacing w:line="240" w:lineRule="auto"/>
    </w:pPr>
    <w:rPr>
      <w:sz w:val="18"/>
      <w:szCs w:val="18"/>
    </w:rPr>
  </w:style>
  <w:style w:type="paragraph" w:styleId="14">
    <w:name w:val="footer"/>
    <w:basedOn w:val="1"/>
    <w:link w:val="30"/>
    <w:semiHidden/>
    <w:unhideWhenUsed/>
    <w:qFormat/>
    <w:uiPriority w:val="99"/>
    <w:pPr>
      <w:tabs>
        <w:tab w:val="center" w:pos="4153"/>
        <w:tab w:val="right" w:pos="8306"/>
      </w:tabs>
      <w:spacing w:line="240" w:lineRule="auto"/>
      <w:jc w:val="left"/>
    </w:pPr>
    <w:rPr>
      <w:sz w:val="18"/>
      <w:szCs w:val="18"/>
    </w:rPr>
  </w:style>
  <w:style w:type="paragraph" w:styleId="15">
    <w:name w:val="header"/>
    <w:basedOn w:val="1"/>
    <w:link w:val="31"/>
    <w:semiHidden/>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16">
    <w:name w:val="toc 1"/>
    <w:basedOn w:val="1"/>
    <w:next w:val="1"/>
    <w:semiHidden/>
    <w:unhideWhenUsed/>
    <w:qFormat/>
    <w:uiPriority w:val="39"/>
    <w:pPr>
      <w:tabs>
        <w:tab w:val="right" w:leader="dot" w:pos="8296"/>
      </w:tabs>
      <w:spacing w:line="560" w:lineRule="exact"/>
      <w:ind w:firstLine="0" w:firstLineChars="0"/>
    </w:pPr>
    <w:rPr>
      <w:b/>
      <w:szCs w:val="24"/>
    </w:rPr>
  </w:style>
  <w:style w:type="paragraph" w:styleId="17">
    <w:name w:val="footnote text"/>
    <w:basedOn w:val="1"/>
    <w:link w:val="52"/>
    <w:semiHidden/>
    <w:unhideWhenUsed/>
    <w:qFormat/>
    <w:uiPriority w:val="99"/>
    <w:pPr>
      <w:jc w:val="left"/>
    </w:pPr>
    <w:rPr>
      <w:rFonts w:cs="Times New Roman"/>
      <w:sz w:val="18"/>
    </w:rPr>
  </w:style>
  <w:style w:type="paragraph" w:styleId="18">
    <w:name w:val="table of figures"/>
    <w:basedOn w:val="1"/>
    <w:next w:val="1"/>
    <w:qFormat/>
    <w:uiPriority w:val="0"/>
    <w:pPr>
      <w:ind w:left="200" w:leftChars="200" w:hanging="200" w:hangingChars="200"/>
    </w:pPr>
  </w:style>
  <w:style w:type="paragraph" w:styleId="19">
    <w:name w:val="toc 2"/>
    <w:basedOn w:val="1"/>
    <w:next w:val="1"/>
    <w:semiHidden/>
    <w:unhideWhenUsed/>
    <w:qFormat/>
    <w:uiPriority w:val="39"/>
    <w:pPr>
      <w:tabs>
        <w:tab w:val="right" w:leader="dot" w:pos="8296"/>
      </w:tabs>
      <w:spacing w:line="560" w:lineRule="exact"/>
      <w:ind w:left="480" w:leftChars="200" w:firstLine="0" w:firstLineChars="0"/>
    </w:pPr>
    <w:rPr>
      <w:szCs w:val="24"/>
    </w:rPr>
  </w:style>
  <w:style w:type="paragraph" w:styleId="20">
    <w:name w:val="Normal (Web)"/>
    <w:basedOn w:val="1"/>
    <w:qFormat/>
    <w:uiPriority w:val="0"/>
    <w:pPr>
      <w:widowControl/>
      <w:spacing w:beforeAutospacing="1" w:afterAutospacing="1"/>
      <w:jc w:val="left"/>
    </w:pPr>
    <w:rPr>
      <w:rFonts w:ascii="宋体" w:hAnsi="宋体" w:cs="宋体"/>
      <w:kern w:val="0"/>
      <w:sz w:val="24"/>
      <w:szCs w:val="24"/>
    </w:rPr>
  </w:style>
  <w:style w:type="paragraph" w:styleId="21">
    <w:name w:val="annotation subject"/>
    <w:basedOn w:val="8"/>
    <w:next w:val="8"/>
    <w:link w:val="49"/>
    <w:semiHidden/>
    <w:unhideWhenUsed/>
    <w:qFormat/>
    <w:uiPriority w:val="99"/>
    <w:rPr>
      <w:b/>
      <w:bCs/>
    </w:rPr>
  </w:style>
  <w:style w:type="paragraph" w:styleId="22">
    <w:name w:val="Body Text First Indent"/>
    <w:basedOn w:val="9"/>
    <w:link w:val="51"/>
    <w:qFormat/>
    <w:uiPriority w:val="0"/>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styleId="27">
    <w:name w:val="annotation reference"/>
    <w:basedOn w:val="25"/>
    <w:semiHidden/>
    <w:unhideWhenUsed/>
    <w:qFormat/>
    <w:uiPriority w:val="99"/>
    <w:rPr>
      <w:sz w:val="21"/>
      <w:szCs w:val="21"/>
    </w:rPr>
  </w:style>
  <w:style w:type="character" w:styleId="28">
    <w:name w:val="footnote reference"/>
    <w:basedOn w:val="25"/>
    <w:semiHidden/>
    <w:unhideWhenUsed/>
    <w:qFormat/>
    <w:uiPriority w:val="99"/>
    <w:rPr>
      <w:vertAlign w:val="superscript"/>
    </w:rPr>
  </w:style>
  <w:style w:type="character" w:customStyle="1" w:styleId="29">
    <w:name w:val="正文文本 Char"/>
    <w:basedOn w:val="25"/>
    <w:semiHidden/>
    <w:qFormat/>
    <w:uiPriority w:val="99"/>
    <w:rPr>
      <w:rFonts w:ascii="Times New Roman" w:hAnsi="Times New Roman" w:eastAsia="仿宋"/>
      <w:sz w:val="24"/>
    </w:rPr>
  </w:style>
  <w:style w:type="character" w:customStyle="1" w:styleId="30">
    <w:name w:val="页脚 Char"/>
    <w:basedOn w:val="25"/>
    <w:link w:val="14"/>
    <w:semiHidden/>
    <w:qFormat/>
    <w:uiPriority w:val="99"/>
    <w:rPr>
      <w:rFonts w:ascii="Times New Roman" w:hAnsi="Times New Roman" w:eastAsia="仿宋"/>
      <w:sz w:val="18"/>
      <w:szCs w:val="18"/>
    </w:rPr>
  </w:style>
  <w:style w:type="character" w:customStyle="1" w:styleId="31">
    <w:name w:val="页眉 Char"/>
    <w:basedOn w:val="25"/>
    <w:link w:val="15"/>
    <w:semiHidden/>
    <w:qFormat/>
    <w:uiPriority w:val="99"/>
    <w:rPr>
      <w:rFonts w:ascii="Times New Roman" w:hAnsi="Times New Roman" w:eastAsia="仿宋"/>
      <w:sz w:val="18"/>
      <w:szCs w:val="18"/>
    </w:rPr>
  </w:style>
  <w:style w:type="character" w:customStyle="1" w:styleId="32">
    <w:name w:val="文档结构图 Char"/>
    <w:basedOn w:val="25"/>
    <w:link w:val="7"/>
    <w:semiHidden/>
    <w:qFormat/>
    <w:uiPriority w:val="99"/>
    <w:rPr>
      <w:rFonts w:ascii="宋体" w:hAnsi="Times New Roman" w:eastAsia="宋体"/>
      <w:sz w:val="18"/>
      <w:szCs w:val="18"/>
    </w:rPr>
  </w:style>
  <w:style w:type="character" w:customStyle="1" w:styleId="33">
    <w:name w:val="批注框文本 Char"/>
    <w:basedOn w:val="25"/>
    <w:link w:val="13"/>
    <w:semiHidden/>
    <w:qFormat/>
    <w:uiPriority w:val="99"/>
    <w:rPr>
      <w:rFonts w:ascii="Times New Roman" w:hAnsi="Times New Roman" w:eastAsia="仿宋"/>
      <w:sz w:val="18"/>
      <w:szCs w:val="18"/>
    </w:rPr>
  </w:style>
  <w:style w:type="character" w:customStyle="1" w:styleId="34">
    <w:name w:val="标题 1 Char"/>
    <w:basedOn w:val="25"/>
    <w:link w:val="3"/>
    <w:qFormat/>
    <w:uiPriority w:val="9"/>
    <w:rPr>
      <w:rFonts w:eastAsia="方正黑体_GBK" w:cstheme="minorBidi"/>
      <w:b/>
      <w:bCs/>
      <w:kern w:val="44"/>
      <w:sz w:val="32"/>
      <w:szCs w:val="44"/>
    </w:rPr>
  </w:style>
  <w:style w:type="character" w:customStyle="1" w:styleId="35">
    <w:name w:val="标题 2 Char"/>
    <w:basedOn w:val="25"/>
    <w:link w:val="4"/>
    <w:qFormat/>
    <w:uiPriority w:val="9"/>
    <w:rPr>
      <w:rFonts w:eastAsia="方正楷体_GBK" w:asciiTheme="majorHAnsi" w:hAnsiTheme="majorHAnsi" w:cstheme="majorBidi"/>
      <w:b/>
      <w:bCs/>
      <w:sz w:val="32"/>
      <w:szCs w:val="32"/>
    </w:rPr>
  </w:style>
  <w:style w:type="paragraph" w:styleId="36">
    <w:name w:val="No Spacing"/>
    <w:qFormat/>
    <w:uiPriority w:val="1"/>
    <w:pPr>
      <w:widowControl w:val="0"/>
      <w:adjustRightInd w:val="0"/>
      <w:snapToGrid w:val="0"/>
      <w:ind w:firstLine="200" w:firstLineChars="200"/>
      <w:jc w:val="both"/>
    </w:pPr>
    <w:rPr>
      <w:rFonts w:ascii="Times New Roman" w:hAnsi="Times New Roman" w:eastAsia="仿宋" w:cstheme="minorBidi"/>
      <w:kern w:val="2"/>
      <w:sz w:val="24"/>
      <w:szCs w:val="22"/>
      <w:lang w:val="en-US" w:eastAsia="zh-CN" w:bidi="ar-SA"/>
    </w:rPr>
  </w:style>
  <w:style w:type="paragraph" w:customStyle="1" w:styleId="37">
    <w:name w:val="B3"/>
    <w:basedOn w:val="5"/>
    <w:next w:val="1"/>
    <w:link w:val="38"/>
    <w:qFormat/>
    <w:uiPriority w:val="0"/>
    <w:pPr>
      <w:spacing w:beforeLines="50" w:afterLines="50" w:line="600" w:lineRule="exact"/>
      <w:ind w:firstLine="641" w:firstLineChars="0"/>
    </w:pPr>
    <w:rPr>
      <w:bCs w:val="0"/>
      <w:kern w:val="0"/>
    </w:rPr>
  </w:style>
  <w:style w:type="character" w:customStyle="1" w:styleId="38">
    <w:name w:val="B3 Char"/>
    <w:link w:val="37"/>
    <w:qFormat/>
    <w:uiPriority w:val="0"/>
    <w:rPr>
      <w:rFonts w:ascii="Times New Roman" w:hAnsi="Times New Roman" w:eastAsia="方正仿宋_GBK"/>
      <w:b/>
      <w:kern w:val="0"/>
    </w:rPr>
  </w:style>
  <w:style w:type="paragraph" w:customStyle="1" w:styleId="39">
    <w:name w:val="表格正文"/>
    <w:basedOn w:val="1"/>
    <w:qFormat/>
    <w:uiPriority w:val="0"/>
    <w:pPr>
      <w:spacing w:line="240" w:lineRule="auto"/>
      <w:ind w:firstLine="0" w:firstLineChars="0"/>
    </w:pPr>
    <w:rPr>
      <w:sz w:val="24"/>
      <w:szCs w:val="32"/>
    </w:rPr>
  </w:style>
  <w:style w:type="paragraph" w:customStyle="1" w:styleId="40">
    <w:name w:val="p15"/>
    <w:basedOn w:val="1"/>
    <w:qFormat/>
    <w:uiPriority w:val="0"/>
    <w:pPr>
      <w:widowControl/>
    </w:pPr>
    <w:rPr>
      <w:rFonts w:ascii="仿宋_GB2312" w:hAnsi="宋体" w:eastAsia="仿宋_GB2312" w:cs="宋体"/>
      <w:kern w:val="0"/>
      <w:szCs w:val="32"/>
    </w:rPr>
  </w:style>
  <w:style w:type="character" w:customStyle="1" w:styleId="41">
    <w:name w:val="bjh-p"/>
    <w:basedOn w:val="25"/>
    <w:qFormat/>
    <w:uiPriority w:val="0"/>
  </w:style>
  <w:style w:type="paragraph" w:customStyle="1" w:styleId="42">
    <w:name w:val="标题3"/>
    <w:basedOn w:val="1"/>
    <w:qFormat/>
    <w:uiPriority w:val="0"/>
    <w:pPr>
      <w:ind w:firstLine="640"/>
    </w:pPr>
  </w:style>
  <w:style w:type="paragraph" w:customStyle="1" w:styleId="43">
    <w:name w:val="B4"/>
    <w:basedOn w:val="6"/>
    <w:next w:val="1"/>
    <w:qFormat/>
    <w:uiPriority w:val="0"/>
    <w:pPr>
      <w:spacing w:before="0" w:after="0" w:line="600" w:lineRule="exact"/>
    </w:pPr>
    <w:rPr>
      <w:rFonts w:ascii="Cambria" w:hAnsi="Cambria" w:eastAsia="方正仿宋_GBK" w:cs="Times New Roman"/>
      <w:b w:val="0"/>
      <w:sz w:val="32"/>
    </w:rPr>
  </w:style>
  <w:style w:type="character" w:customStyle="1" w:styleId="44">
    <w:name w:val="正文文本 Char1"/>
    <w:basedOn w:val="25"/>
    <w:link w:val="9"/>
    <w:qFormat/>
    <w:uiPriority w:val="0"/>
    <w:rPr>
      <w:rFonts w:hint="eastAsia" w:ascii="方正仿宋_GBK" w:hAnsi="方正仿宋_GBK" w:eastAsia="方正仿宋_GBK" w:cs="Times New Roman"/>
      <w:kern w:val="2"/>
      <w:sz w:val="32"/>
      <w:szCs w:val="22"/>
    </w:rPr>
  </w:style>
  <w:style w:type="character" w:customStyle="1" w:styleId="45">
    <w:name w:val="脚注文本 Char"/>
    <w:basedOn w:val="25"/>
    <w:link w:val="17"/>
    <w:qFormat/>
    <w:uiPriority w:val="0"/>
    <w:rPr>
      <w:rFonts w:hint="eastAsia" w:ascii="方正仿宋_GBK" w:hAnsi="方正仿宋_GBK" w:eastAsia="方正仿宋_GBK" w:cs="Times New Roman"/>
      <w:kern w:val="2"/>
      <w:sz w:val="18"/>
      <w:szCs w:val="22"/>
    </w:rPr>
  </w:style>
  <w:style w:type="character" w:customStyle="1" w:styleId="46">
    <w:name w:val="标题 3 Char"/>
    <w:basedOn w:val="25"/>
    <w:link w:val="5"/>
    <w:qFormat/>
    <w:uiPriority w:val="0"/>
    <w:rPr>
      <w:rFonts w:hint="eastAsia" w:ascii="方正仿宋_GBK" w:hAnsi="方正仿宋_GBK" w:eastAsia="方正仿宋_GBK" w:cs="Times New Roman"/>
      <w:b/>
      <w:bCs/>
      <w:kern w:val="2"/>
      <w:sz w:val="32"/>
      <w:szCs w:val="32"/>
    </w:rPr>
  </w:style>
  <w:style w:type="paragraph" w:customStyle="1" w:styleId="47">
    <w:name w:val="520"/>
    <w:qFormat/>
    <w:uiPriority w:val="0"/>
    <w:pPr>
      <w:spacing w:line="520" w:lineRule="exact"/>
    </w:pPr>
    <w:rPr>
      <w:rFonts w:ascii="Times New Roman" w:hAnsi="Times New Roman" w:eastAsia="宋体" w:cs="Times New Roman"/>
      <w:kern w:val="2"/>
      <w:sz w:val="24"/>
      <w:szCs w:val="24"/>
      <w:lang w:val="en-US" w:eastAsia="zh-CN" w:bidi="ar-SA"/>
    </w:rPr>
  </w:style>
  <w:style w:type="character" w:customStyle="1" w:styleId="48">
    <w:name w:val="批注文字 Char"/>
    <w:basedOn w:val="25"/>
    <w:link w:val="8"/>
    <w:semiHidden/>
    <w:qFormat/>
    <w:uiPriority w:val="99"/>
    <w:rPr>
      <w:rFonts w:eastAsia="方正仿宋_GBK" w:cstheme="minorBidi"/>
      <w:kern w:val="2"/>
      <w:sz w:val="32"/>
      <w:szCs w:val="22"/>
    </w:rPr>
  </w:style>
  <w:style w:type="character" w:customStyle="1" w:styleId="49">
    <w:name w:val="批注主题 Char"/>
    <w:basedOn w:val="48"/>
    <w:link w:val="21"/>
    <w:qFormat/>
    <w:uiPriority w:val="0"/>
  </w:style>
  <w:style w:type="character" w:customStyle="1" w:styleId="50">
    <w:name w:val="正文文本 Char2"/>
    <w:basedOn w:val="25"/>
    <w:link w:val="9"/>
    <w:qFormat/>
    <w:uiPriority w:val="0"/>
    <w:rPr>
      <w:rFonts w:hint="eastAsia" w:ascii="方正仿宋_GBK" w:hAnsi="方正仿宋_GBK" w:eastAsia="方正仿宋_GBK" w:cs="Times New Roman"/>
      <w:kern w:val="2"/>
      <w:sz w:val="32"/>
      <w:szCs w:val="22"/>
    </w:rPr>
  </w:style>
  <w:style w:type="character" w:customStyle="1" w:styleId="51">
    <w:name w:val="正文首行缩进 Char"/>
    <w:basedOn w:val="50"/>
    <w:link w:val="22"/>
    <w:qFormat/>
    <w:uiPriority w:val="0"/>
    <w:rPr>
      <w:rFonts w:hint="eastAsia" w:ascii="方正仿宋_GBK" w:hAnsi="方正仿宋_GBK" w:eastAsia="方正仿宋_GBK" w:cs="Times New Roman"/>
      <w:kern w:val="2"/>
      <w:sz w:val="32"/>
      <w:szCs w:val="22"/>
    </w:rPr>
  </w:style>
  <w:style w:type="character" w:customStyle="1" w:styleId="52">
    <w:name w:val="脚注文本 Char1"/>
    <w:basedOn w:val="25"/>
    <w:link w:val="17"/>
    <w:qFormat/>
    <w:uiPriority w:val="0"/>
    <w:rPr>
      <w:rFonts w:hint="eastAsia" w:ascii="方正仿宋_GBK" w:hAnsi="方正仿宋_GBK" w:eastAsia="方正仿宋_GBK" w:cs="方正仿宋_GBK"/>
      <w:kern w:val="2"/>
      <w:sz w:val="18"/>
      <w:szCs w:val="22"/>
    </w:rPr>
  </w:style>
  <w:style w:type="character" w:customStyle="1" w:styleId="53">
    <w:name w:val="正文文本 Char3"/>
    <w:basedOn w:val="25"/>
    <w:link w:val="9"/>
    <w:qFormat/>
    <w:uiPriority w:val="0"/>
    <w:rPr>
      <w:rFonts w:hint="eastAsia" w:ascii="方正仿宋_GBK" w:hAnsi="方正仿宋_GBK" w:eastAsia="方正仿宋_GBK" w:cs="Times New Roman"/>
      <w:kern w:val="2"/>
      <w:sz w:val="32"/>
      <w:szCs w:val="22"/>
    </w:rPr>
  </w:style>
  <w:style w:type="character" w:customStyle="1" w:styleId="54">
    <w:name w:val="15"/>
    <w:qFormat/>
    <w:uiPriority w:val="0"/>
    <w:rPr>
      <w:rFonts w:hint="default" w:ascii="Calibri" w:hAnsi="Calibri" w:cs="Calibri"/>
      <w:b/>
      <w:bCs/>
      <w:sz w:val="20"/>
      <w:szCs w:val="20"/>
    </w:rPr>
  </w:style>
  <w:style w:type="character" w:customStyle="1" w:styleId="55">
    <w:name w:val="正文文本 Char4"/>
    <w:basedOn w:val="25"/>
    <w:link w:val="9"/>
    <w:qFormat/>
    <w:uiPriority w:val="0"/>
    <w:rPr>
      <w:rFonts w:hint="eastAsia" w:ascii="方正仿宋_GBK" w:hAnsi="方正仿宋_GBK" w:eastAsia="方正仿宋_GBK" w:cs="Times New Roman"/>
      <w:kern w:val="2"/>
      <w:sz w:val="32"/>
      <w:szCs w:val="22"/>
    </w:rPr>
  </w:style>
  <w:style w:type="character" w:customStyle="1" w:styleId="56">
    <w:name w:val="标题 2 Char1"/>
    <w:basedOn w:val="25"/>
    <w:link w:val="4"/>
    <w:qFormat/>
    <w:uiPriority w:val="0"/>
    <w:rPr>
      <w:rFonts w:ascii="Times New Roman" w:hAnsi="Times New Roman" w:eastAsia="方正楷体_GBK"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19393</Words>
  <Characters>19823</Characters>
  <Lines>223</Lines>
  <Paragraphs>62</Paragraphs>
  <TotalTime>0</TotalTime>
  <ScaleCrop>false</ScaleCrop>
  <LinksUpToDate>false</LinksUpToDate>
  <CharactersWithSpaces>22092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2022-09-30T20:10:00Z</dcterms:created>
  <dc:creator>Amos</dc:creator>
  <cp:lastModifiedBy>Lenovo</cp:lastModifiedBy>
  <dcterms:modified xsi:type="dcterms:W3CDTF">2023-01-03T09:26:36Z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098A931954D046CD891F483E8EC29660</vt:lpwstr>
  </property>
</Properties>
</file>