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2F0D9" w:themeColor="accent6" w:themeTint="33"/>
  <w:body>
    <w:p>
      <w:pPr>
        <w:spacing w:line="1200" w:lineRule="exact"/>
        <w:jc w:val="both"/>
        <w:rPr>
          <w:rFonts w:hint="eastAsia" w:ascii="方正小标宋简体" w:hAnsi="华文中宋" w:eastAsia="方正小标宋简体"/>
          <w:color w:val="FF0000"/>
          <w:spacing w:val="-20"/>
          <w:w w:val="70"/>
          <w:sz w:val="110"/>
          <w:szCs w:val="110"/>
        </w:rPr>
      </w:pPr>
    </w:p>
    <w:p>
      <w:pPr>
        <w:spacing w:line="520" w:lineRule="exact"/>
        <w:jc w:val="right"/>
        <w:rPr>
          <w:rFonts w:hint="eastAsia" w:ascii="仿宋_GB2312" w:eastAsia="仿宋_GB2312"/>
          <w:sz w:val="32"/>
        </w:rPr>
      </w:pPr>
    </w:p>
    <w:p>
      <w:pPr>
        <w:spacing w:line="520" w:lineRule="exact"/>
        <w:jc w:val="center"/>
        <w:rPr>
          <w:rFonts w:hint="eastAsia" w:ascii="仿宋_GB2312" w:eastAsia="仿宋_GB2312"/>
          <w:sz w:val="32"/>
        </w:rPr>
      </w:pPr>
    </w:p>
    <w:p>
      <w:pPr>
        <w:spacing w:line="560" w:lineRule="exact"/>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城府办发</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2022</w:t>
      </w:r>
      <w:r>
        <w:rPr>
          <w:rFonts w:hint="default"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138</w:t>
      </w:r>
      <w:r>
        <w:rPr>
          <w:rFonts w:hint="default" w:ascii="Times New Roman" w:hAnsi="Times New Roman" w:eastAsia="方正仿宋_GBK" w:cs="Times New Roman"/>
          <w:sz w:val="32"/>
        </w:rPr>
        <w:t>号</w:t>
      </w:r>
    </w:p>
    <w:p>
      <w:pPr>
        <w:spacing w:line="560" w:lineRule="exact"/>
        <w:jc w:val="center"/>
        <w:rPr>
          <w:rFonts w:hint="eastAsia" w:ascii="方正仿宋_GBK" w:eastAsia="方正仿宋_GBK"/>
          <w:sz w:val="32"/>
        </w:rPr>
      </w:pPr>
    </w:p>
    <w:p>
      <w:pPr>
        <w:spacing w:line="560" w:lineRule="exact"/>
        <w:jc w:val="right"/>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城口县人民政府办公室</w:t>
      </w:r>
    </w:p>
    <w:p>
      <w:pPr>
        <w:spacing w:line="594" w:lineRule="exact"/>
        <w:jc w:val="center"/>
        <w:rPr>
          <w:rFonts w:eastAsia="方正小标宋_GBK"/>
          <w:color w:val="000000"/>
          <w:sz w:val="44"/>
          <w:szCs w:val="44"/>
        </w:rPr>
      </w:pPr>
      <w:r>
        <w:rPr>
          <w:rFonts w:hint="eastAsia" w:ascii="方正小标宋_GBK" w:hAnsi="方正小标宋_GBK" w:eastAsia="方正小标宋_GBK" w:cs="方正小标宋_GBK"/>
          <w:sz w:val="44"/>
          <w:szCs w:val="44"/>
          <w:lang w:eastAsia="zh-CN"/>
        </w:rPr>
        <w:t>关于印发</w:t>
      </w:r>
      <w:r>
        <w:rPr>
          <w:rFonts w:hint="eastAsia" w:ascii="方正小标宋_GBK" w:hAnsi="方正小标宋_GBK" w:eastAsia="方正小标宋_GBK" w:cs="方正小标宋_GBK"/>
          <w:sz w:val="44"/>
          <w:szCs w:val="44"/>
        </w:rPr>
        <w:t>《</w:t>
      </w:r>
      <w:r>
        <w:rPr>
          <w:rFonts w:hint="eastAsia" w:eastAsia="方正小标宋_GBK"/>
          <w:color w:val="000000"/>
          <w:sz w:val="44"/>
          <w:szCs w:val="44"/>
          <w:lang w:eastAsia="zh-CN"/>
        </w:rPr>
        <w:t>重庆市城口县</w:t>
      </w:r>
      <w:r>
        <w:rPr>
          <w:rFonts w:eastAsia="方正小标宋_GBK"/>
          <w:color w:val="000000"/>
          <w:sz w:val="44"/>
          <w:szCs w:val="44"/>
        </w:rPr>
        <w:t>卫生健康发展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eastAsia="方正小标宋_GBK"/>
          <w:color w:val="000000"/>
          <w:sz w:val="44"/>
          <w:szCs w:val="44"/>
          <w:lang w:eastAsia="zh-CN"/>
        </w:rPr>
        <w:t>“</w:t>
      </w:r>
      <w:r>
        <w:rPr>
          <w:rFonts w:eastAsia="方正小标宋_GBK"/>
          <w:color w:val="000000"/>
          <w:sz w:val="44"/>
          <w:szCs w:val="44"/>
        </w:rPr>
        <w:t>十四五</w:t>
      </w:r>
      <w:r>
        <w:rPr>
          <w:rFonts w:hint="eastAsia" w:eastAsia="方正小标宋_GBK"/>
          <w:color w:val="000000"/>
          <w:sz w:val="44"/>
          <w:szCs w:val="44"/>
          <w:lang w:eastAsia="zh-CN"/>
        </w:rPr>
        <w:t>”</w:t>
      </w:r>
      <w:r>
        <w:rPr>
          <w:rFonts w:eastAsia="方正小标宋_GBK"/>
          <w:color w:val="000000"/>
          <w:sz w:val="44"/>
          <w:szCs w:val="44"/>
        </w:rPr>
        <w:t>规划</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w:t>
      </w:r>
      <w:r>
        <w:rPr>
          <w:rFonts w:hint="eastAsia" w:ascii="方正仿宋_GBK" w:hAnsi="方正仿宋_GBK" w:eastAsia="方正仿宋_GBK" w:cs="方正仿宋_GBK"/>
          <w:sz w:val="32"/>
          <w:szCs w:val="32"/>
          <w:lang w:eastAsia="zh-CN"/>
        </w:rPr>
        <w:t>各</w:t>
      </w:r>
      <w:r>
        <w:rPr>
          <w:rFonts w:hint="eastAsia" w:ascii="方正仿宋_GBK" w:hAnsi="方正仿宋_GBK" w:eastAsia="方正仿宋_GBK" w:cs="方正仿宋_GBK"/>
          <w:sz w:val="32"/>
          <w:szCs w:val="32"/>
        </w:rPr>
        <w:t>部门，有关单位：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重庆市城口县</w:t>
      </w:r>
      <w:r>
        <w:rPr>
          <w:rFonts w:hint="eastAsia" w:ascii="方正仿宋_GBK" w:hAnsi="方正仿宋_GBK" w:eastAsia="方正仿宋_GBK" w:cs="方正仿宋_GBK"/>
          <w:sz w:val="32"/>
          <w:szCs w:val="32"/>
        </w:rPr>
        <w:t>卫生健康发展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十四五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规划》已经</w:t>
      </w:r>
      <w:r>
        <w:rPr>
          <w:rFonts w:hint="eastAsia" w:ascii="方正仿宋_GBK" w:hAnsi="方正仿宋_GBK" w:eastAsia="方正仿宋_GBK" w:cs="方正仿宋_GBK"/>
          <w:sz w:val="32"/>
          <w:szCs w:val="32"/>
          <w:lang w:eastAsia="zh-CN"/>
        </w:rPr>
        <w:t>县政府同意</w:t>
      </w:r>
      <w:r>
        <w:rPr>
          <w:rFonts w:hint="default" w:ascii="Times New Roman" w:hAnsi="Times New Roman" w:eastAsia="方正仿宋_GBK" w:cs="Times New Roman"/>
          <w:sz w:val="32"/>
          <w:szCs w:val="32"/>
        </w:rPr>
        <w:t>，现印发给你们，请</w:t>
      </w:r>
      <w:r>
        <w:rPr>
          <w:rFonts w:hint="default" w:ascii="Times New Roman" w:hAnsi="Times New Roman" w:eastAsia="方正仿宋_GBK" w:cs="Times New Roman"/>
          <w:sz w:val="32"/>
          <w:szCs w:val="32"/>
          <w:lang w:eastAsia="zh-CN"/>
        </w:rPr>
        <w:t>遵照执行。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城口县人民政府办公室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 w:eastAsia="zh-CN"/>
        </w:rPr>
        <w:t>10</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 w:eastAsia="zh-CN"/>
        </w:rPr>
        <w:t>2</w:t>
      </w:r>
      <w:r>
        <w:rPr>
          <w:rFonts w:hint="eastAsia" w:eastAsia="方正仿宋_GBK" w:cs="Times New Roman"/>
          <w:sz w:val="32"/>
          <w:szCs w:val="32"/>
          <w:lang w:val="en-US" w:eastAsia="zh-CN"/>
        </w:rPr>
        <w:t>7</w:t>
      </w:r>
      <w:bookmarkStart w:id="1" w:name="_GoBack"/>
      <w:bookmarkEnd w:id="1"/>
      <w:r>
        <w:rPr>
          <w:rFonts w:hint="default" w:ascii="Times New Roman" w:hAnsi="Times New Roman" w:eastAsia="方正仿宋_GBK" w:cs="Times New Roman"/>
          <w:sz w:val="32"/>
          <w:szCs w:val="32"/>
          <w:lang w:val="en-US" w:eastAsia="zh-CN"/>
        </w:rPr>
        <w:t>日</w:t>
      </w:r>
    </w:p>
    <w:p/>
    <w:p>
      <w:pPr>
        <w:spacing w:line="594" w:lineRule="exact"/>
        <w:rPr>
          <w:rFonts w:eastAsia="方正楷体_GBK"/>
          <w:b/>
          <w:color w:val="000000" w:themeColor="text1"/>
          <w:sz w:val="32"/>
          <w:szCs w:val="32"/>
          <w14:textFill>
            <w14:solidFill>
              <w14:schemeClr w14:val="tx1"/>
            </w14:solidFill>
          </w14:textFill>
        </w:rPr>
      </w:pPr>
    </w:p>
    <w:p>
      <w:pPr>
        <w:spacing w:line="594" w:lineRule="exact"/>
        <w:jc w:val="center"/>
        <w:rPr>
          <w:rFonts w:eastAsia="方正小标宋_GBK"/>
          <w:color w:val="000000" w:themeColor="text1"/>
          <w:sz w:val="44"/>
          <w:szCs w:val="44"/>
          <w14:textFill>
            <w14:solidFill>
              <w14:schemeClr w14:val="tx1"/>
            </w14:solidFill>
          </w14:textFill>
        </w:rPr>
      </w:pPr>
    </w:p>
    <w:p>
      <w:pPr>
        <w:spacing w:line="594" w:lineRule="exact"/>
        <w:jc w:val="center"/>
        <w:rPr>
          <w:rFonts w:eastAsia="方正小标宋_GBK"/>
          <w:color w:val="000000" w:themeColor="text1"/>
          <w:sz w:val="44"/>
          <w:szCs w:val="44"/>
          <w14:textFill>
            <w14:solidFill>
              <w14:schemeClr w14:val="tx1"/>
            </w14:solidFill>
          </w14:textFill>
        </w:rPr>
      </w:pPr>
    </w:p>
    <w:p>
      <w:pPr>
        <w:spacing w:line="594" w:lineRule="exact"/>
        <w:jc w:val="center"/>
        <w:rPr>
          <w:rFonts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lang w:eastAsia="zh-CN"/>
          <w14:textFill>
            <w14:solidFill>
              <w14:schemeClr w14:val="tx1"/>
            </w14:solidFill>
          </w14:textFill>
        </w:rPr>
        <w:t>重庆市城口县</w:t>
      </w:r>
      <w:r>
        <w:rPr>
          <w:rFonts w:eastAsia="方正小标宋_GBK"/>
          <w:color w:val="000000" w:themeColor="text1"/>
          <w:sz w:val="44"/>
          <w:szCs w:val="44"/>
          <w14:textFill>
            <w14:solidFill>
              <w14:schemeClr w14:val="tx1"/>
            </w14:solidFill>
          </w14:textFill>
        </w:rPr>
        <w:t>卫生健康发展</w:t>
      </w:r>
    </w:p>
    <w:p>
      <w:pPr>
        <w:spacing w:line="594" w:lineRule="exact"/>
        <w:jc w:val="center"/>
        <w:rPr>
          <w:rFonts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lang w:eastAsia="zh-CN"/>
          <w14:textFill>
            <w14:solidFill>
              <w14:schemeClr w14:val="tx1"/>
            </w14:solidFill>
          </w14:textFill>
        </w:rPr>
        <w:t>“</w:t>
      </w:r>
      <w:r>
        <w:rPr>
          <w:rFonts w:eastAsia="方正小标宋_GBK"/>
          <w:color w:val="000000" w:themeColor="text1"/>
          <w:sz w:val="44"/>
          <w:szCs w:val="44"/>
          <w14:textFill>
            <w14:solidFill>
              <w14:schemeClr w14:val="tx1"/>
            </w14:solidFill>
          </w14:textFill>
        </w:rPr>
        <w:t>十四五</w:t>
      </w:r>
      <w:r>
        <w:rPr>
          <w:rFonts w:hint="eastAsia" w:eastAsia="方正小标宋_GBK"/>
          <w:color w:val="000000" w:themeColor="text1"/>
          <w:sz w:val="44"/>
          <w:szCs w:val="44"/>
          <w:lang w:eastAsia="zh-CN"/>
          <w14:textFill>
            <w14:solidFill>
              <w14:schemeClr w14:val="tx1"/>
            </w14:solidFill>
          </w14:textFill>
        </w:rPr>
        <w:t>”</w:t>
      </w:r>
      <w:r>
        <w:rPr>
          <w:rFonts w:eastAsia="方正小标宋_GBK"/>
          <w:color w:val="000000" w:themeColor="text1"/>
          <w:sz w:val="44"/>
          <w:szCs w:val="44"/>
          <w14:textFill>
            <w14:solidFill>
              <w14:schemeClr w14:val="tx1"/>
            </w14:solidFill>
          </w14:textFill>
        </w:rPr>
        <w:t>规划</w:t>
      </w: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pStyle w:val="2"/>
        <w:rPr>
          <w:rFonts w:hint="eastAsia" w:eastAsia="方正小标宋_GBK"/>
          <w:color w:val="000000" w:themeColor="text1"/>
          <w:sz w:val="32"/>
          <w:szCs w:val="32"/>
          <w:lang w:eastAsia="zh-CN"/>
          <w14:textFill>
            <w14:solidFill>
              <w14:schemeClr w14:val="tx1"/>
            </w14:solidFill>
          </w14:textFill>
        </w:rPr>
      </w:pPr>
    </w:p>
    <w:p>
      <w:pPr>
        <w:pStyle w:val="3"/>
        <w:rPr>
          <w:rFonts w:hint="eastAsia" w:eastAsia="方正小标宋_GBK"/>
          <w:color w:val="000000" w:themeColor="text1"/>
          <w:sz w:val="32"/>
          <w:szCs w:val="32"/>
          <w:lang w:eastAsia="zh-CN"/>
          <w14:textFill>
            <w14:solidFill>
              <w14:schemeClr w14:val="tx1"/>
            </w14:solidFill>
          </w14:textFill>
        </w:rPr>
      </w:pPr>
    </w:p>
    <w:p>
      <w:pPr>
        <w:rPr>
          <w:rFonts w:hint="eastAsia" w:eastAsia="方正小标宋_GBK"/>
          <w:color w:val="000000" w:themeColor="text1"/>
          <w:sz w:val="32"/>
          <w:szCs w:val="32"/>
          <w:lang w:eastAsia="zh-CN"/>
          <w14:textFill>
            <w14:solidFill>
              <w14:schemeClr w14:val="tx1"/>
            </w14:solidFill>
          </w14:textFill>
        </w:rPr>
      </w:pPr>
    </w:p>
    <w:p>
      <w:pPr>
        <w:pStyle w:val="2"/>
        <w:rPr>
          <w:rFonts w:hint="eastAsia"/>
          <w:lang w:eastAsia="zh-CN"/>
        </w:rPr>
      </w:pPr>
    </w:p>
    <w:p>
      <w:pPr>
        <w:pStyle w:val="3"/>
        <w:rPr>
          <w:rFonts w:hint="eastAsia" w:eastAsia="方正小标宋_GBK"/>
          <w:color w:val="000000" w:themeColor="text1"/>
          <w:sz w:val="32"/>
          <w:szCs w:val="32"/>
          <w:lang w:eastAsia="zh-CN"/>
          <w14:textFill>
            <w14:solidFill>
              <w14:schemeClr w14:val="tx1"/>
            </w14:solidFill>
          </w14:textFill>
        </w:rPr>
      </w:pPr>
    </w:p>
    <w:p>
      <w:pPr>
        <w:rPr>
          <w:rFonts w:hint="eastAsia"/>
          <w:lang w:eastAsia="zh-CN"/>
        </w:rPr>
      </w:pPr>
    </w:p>
    <w:sdt>
      <w:sdtPr>
        <w:rPr>
          <w:rFonts w:hint="eastAsia" w:ascii="方正小标宋_GBK" w:hAnsi="方正小标宋_GBK" w:eastAsia="方正小标宋_GBK" w:cs="方正小标宋_GBK"/>
          <w:snapToGrid w:val="0"/>
          <w:spacing w:val="0"/>
          <w:w w:val="100"/>
          <w:kern w:val="0"/>
          <w:sz w:val="44"/>
          <w:szCs w:val="44"/>
          <w:lang w:val="en-US" w:eastAsia="zh-CN" w:bidi="ar-SA"/>
        </w:rPr>
        <w:id w:val="147451416"/>
        <w:docPartObj>
          <w:docPartGallery w:val="Table of Contents"/>
          <w:docPartUnique/>
        </w:docPartObj>
      </w:sdtPr>
      <w:sdtEndPr>
        <w:rPr>
          <w:rFonts w:hint="eastAsia" w:ascii="方正小标宋_GBK" w:hAnsi="方正小标宋_GBK" w:eastAsia="方正小标宋_GBK" w:cs="方正小标宋_GBK"/>
          <w:snapToGrid w:val="0"/>
          <w:spacing w:val="0"/>
          <w:w w:val="100"/>
          <w:kern w:val="0"/>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bookmarkStart w:id="0" w:name="_Toc29912_WPSOffice_Type2"/>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pPr>
            <w:pStyle w:val="18"/>
            <w:tabs>
              <w:tab w:val="right" w:leader="dot" w:pos="8845"/>
            </w:tabs>
            <w:rPr>
              <w:rFonts w:hint="eastAsia" w:eastAsia="宋体"/>
              <w:sz w:val="32"/>
              <w:szCs w:val="32"/>
              <w:lang w:eastAsia="zh-CN"/>
            </w:rPr>
          </w:pPr>
          <w:sdt>
            <w:sdtPr>
              <w:rPr>
                <w:rFonts w:ascii="Times New Roman" w:hAnsi="Times New Roman" w:eastAsia="宋体" w:cs="方正小标宋_GBK"/>
                <w:b/>
                <w:bCs/>
                <w:snapToGrid w:val="0"/>
                <w:spacing w:val="0"/>
                <w:w w:val="100"/>
                <w:kern w:val="0"/>
                <w:sz w:val="32"/>
                <w:szCs w:val="21"/>
                <w:lang w:val="en-US" w:eastAsia="zh-CN" w:bidi="ar-SA"/>
              </w:rPr>
              <w:id w:val="147451416"/>
              <w:placeholder>
                <w:docPart w:val="{039f4d4e-9fc8-41e5-ad95-4a945dee190c}"/>
              </w:placeholder>
            </w:sdtPr>
            <w:sdtEndPr>
              <w:rPr>
                <w:rFonts w:hint="eastAsia" w:ascii="方正仿宋_GBK" w:hAnsi="方正仿宋_GBK" w:eastAsia="方正仿宋_GBK" w:cs="方正仿宋_GBK"/>
                <w:b w:val="0"/>
                <w:bCs w:val="0"/>
                <w:snapToGrid w:val="0"/>
                <w:spacing w:val="0"/>
                <w:w w:val="100"/>
                <w:kern w:val="0"/>
                <w:sz w:val="32"/>
                <w:szCs w:val="21"/>
                <w:lang w:val="en-US" w:eastAsia="zh-CN" w:bidi="ar-SA"/>
              </w:rPr>
            </w:sdtEndPr>
            <w:sdtContent>
              <w:r>
                <w:rPr>
                  <w:rFonts w:hint="eastAsia" w:ascii="方正黑体_GBK" w:hAnsi="方正黑体_GBK" w:eastAsia="方正黑体_GBK" w:cs="方正黑体_GBK"/>
                  <w:sz w:val="32"/>
                  <w:szCs w:val="32"/>
                  <w:lang w:eastAsia="zh-CN"/>
                </w:rPr>
                <w:t>一、“十三五”卫生健康事业发展取得新成就</w:t>
              </w:r>
            </w:sdtContent>
          </w:sdt>
          <w:r>
            <w:rPr>
              <w:rFonts w:hint="eastAsia" w:ascii="方正仿宋_GBK" w:hAnsi="方正仿宋_GBK" w:eastAsia="方正仿宋_GBK" w:cs="方正仿宋_GBK"/>
              <w:b w:val="0"/>
              <w:bCs w:val="0"/>
            </w:rPr>
            <w:tab/>
          </w:r>
          <w:r>
            <w:rPr>
              <w:rFonts w:hint="eastAsia"/>
              <w:b w:val="0"/>
              <w:bCs w:val="0"/>
              <w:sz w:val="32"/>
              <w:szCs w:val="32"/>
              <w:lang w:val="en-US" w:eastAsia="zh-CN"/>
            </w:rPr>
            <w:t>4</w:t>
          </w:r>
        </w:p>
        <w:p>
          <w:pPr>
            <w:pStyle w:val="19"/>
            <w:tabs>
              <w:tab w:val="right" w:leader="dot" w:pos="8845"/>
            </w:tabs>
            <w:rPr>
              <w:rFonts w:hint="eastAsia" w:eastAsia="宋体"/>
              <w:sz w:val="32"/>
              <w:szCs w:val="32"/>
              <w:lang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00dd4901-9fb7-4daa-a31e-a89ed626e0b1}"/>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（一）全县居民健康水平显著提升</w:t>
              </w:r>
            </w:sdtContent>
          </w:sdt>
          <w:r>
            <w:rPr>
              <w:sz w:val="32"/>
              <w:szCs w:val="32"/>
            </w:rPr>
            <w:tab/>
          </w:r>
          <w:r>
            <w:rPr>
              <w:rFonts w:hint="eastAsia"/>
              <w:sz w:val="32"/>
              <w:szCs w:val="32"/>
              <w:lang w:val="en-US" w:eastAsia="zh-CN"/>
            </w:rPr>
            <w:t>4</w:t>
          </w:r>
        </w:p>
        <w:p>
          <w:pPr>
            <w:pStyle w:val="19"/>
            <w:tabs>
              <w:tab w:val="right" w:leader="dot" w:pos="8845"/>
            </w:tabs>
            <w:rPr>
              <w:rFonts w:hint="eastAsia" w:eastAsia="宋体"/>
              <w:sz w:val="32"/>
              <w:szCs w:val="32"/>
              <w:lang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1169a83d-7a9a-406e-a7fb-1c582b3c2712}"/>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（二）公共卫生服务能力明显提升</w:t>
              </w:r>
            </w:sdtContent>
          </w:sdt>
          <w:r>
            <w:rPr>
              <w:sz w:val="32"/>
              <w:szCs w:val="32"/>
            </w:rPr>
            <w:tab/>
          </w:r>
          <w:r>
            <w:rPr>
              <w:rFonts w:hint="eastAsia"/>
              <w:sz w:val="32"/>
              <w:szCs w:val="32"/>
              <w:lang w:val="en-US" w:eastAsia="zh-CN"/>
            </w:rPr>
            <w:t>4</w:t>
          </w:r>
        </w:p>
        <w:p>
          <w:pPr>
            <w:pStyle w:val="19"/>
            <w:tabs>
              <w:tab w:val="right" w:leader="dot" w:pos="8845"/>
            </w:tabs>
            <w:rPr>
              <w:rFonts w:hint="eastAsia" w:eastAsia="宋体"/>
              <w:sz w:val="32"/>
              <w:szCs w:val="32"/>
              <w:lang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132e5484-1712-483c-be60-82b4c680c7fc}"/>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（三）医疗服务体系持续夯实</w:t>
              </w:r>
            </w:sdtContent>
          </w:sdt>
          <w:r>
            <w:rPr>
              <w:sz w:val="32"/>
              <w:szCs w:val="32"/>
            </w:rPr>
            <w:tab/>
          </w:r>
          <w:r>
            <w:rPr>
              <w:rFonts w:hint="eastAsia"/>
              <w:sz w:val="32"/>
              <w:szCs w:val="32"/>
              <w:lang w:val="en-US" w:eastAsia="zh-CN"/>
            </w:rPr>
            <w:t>5</w:t>
          </w:r>
        </w:p>
        <w:p>
          <w:pPr>
            <w:pStyle w:val="19"/>
            <w:tabs>
              <w:tab w:val="right" w:leader="dot" w:pos="8845"/>
            </w:tabs>
            <w:rPr>
              <w:rFonts w:hint="eastAsia" w:eastAsia="宋体"/>
              <w:sz w:val="32"/>
              <w:szCs w:val="32"/>
              <w:lang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5f3aa880-d15e-41e0-a305-c99023245547}"/>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（四）健康扶贫成效显著</w:t>
              </w:r>
            </w:sdtContent>
          </w:sdt>
          <w:r>
            <w:rPr>
              <w:sz w:val="32"/>
              <w:szCs w:val="32"/>
            </w:rPr>
            <w:tab/>
          </w:r>
          <w:r>
            <w:rPr>
              <w:rFonts w:hint="eastAsia"/>
              <w:sz w:val="32"/>
              <w:szCs w:val="32"/>
              <w:lang w:val="en-US" w:eastAsia="zh-CN"/>
            </w:rPr>
            <w:t>6</w:t>
          </w:r>
        </w:p>
        <w:p>
          <w:pPr>
            <w:pStyle w:val="19"/>
            <w:tabs>
              <w:tab w:val="right" w:leader="dot" w:pos="8845"/>
            </w:tabs>
            <w:rPr>
              <w:rFonts w:hint="eastAsia" w:eastAsia="宋体"/>
              <w:sz w:val="32"/>
              <w:szCs w:val="32"/>
              <w:lang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0b3af41b-dd7d-4ffc-8043-e2b1fbfa5a03}"/>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（五）县域“三通”医共体建设有序推进</w:t>
              </w:r>
            </w:sdtContent>
          </w:sdt>
          <w:r>
            <w:rPr>
              <w:sz w:val="32"/>
              <w:szCs w:val="32"/>
            </w:rPr>
            <w:tab/>
          </w:r>
          <w:r>
            <w:rPr>
              <w:rFonts w:hint="eastAsia"/>
              <w:sz w:val="32"/>
              <w:szCs w:val="32"/>
              <w:lang w:val="en-US" w:eastAsia="zh-CN"/>
            </w:rPr>
            <w:t>7</w:t>
          </w:r>
        </w:p>
        <w:p>
          <w:pPr>
            <w:pStyle w:val="19"/>
            <w:tabs>
              <w:tab w:val="right" w:leader="dot" w:pos="8845"/>
            </w:tabs>
            <w:rPr>
              <w:rFonts w:hint="eastAsia" w:eastAsia="宋体"/>
              <w:sz w:val="32"/>
              <w:szCs w:val="32"/>
              <w:lang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a0470e09-c17a-4f81-bd29-02a46255c034}"/>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（六）中医药事业统筹加快实施</w:t>
              </w:r>
            </w:sdtContent>
          </w:sdt>
          <w:r>
            <w:rPr>
              <w:sz w:val="32"/>
              <w:szCs w:val="32"/>
            </w:rPr>
            <w:tab/>
          </w:r>
          <w:r>
            <w:rPr>
              <w:rFonts w:hint="eastAsia"/>
              <w:sz w:val="32"/>
              <w:szCs w:val="32"/>
              <w:lang w:val="en-US" w:eastAsia="zh-CN"/>
            </w:rPr>
            <w:t>8</w:t>
          </w:r>
        </w:p>
        <w:p>
          <w:pPr>
            <w:pStyle w:val="19"/>
            <w:tabs>
              <w:tab w:val="right" w:leader="dot" w:pos="8845"/>
            </w:tabs>
            <w:rPr>
              <w:rFonts w:hint="eastAsia"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a015b509-240a-450a-b8d4-5532713202e7}"/>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（七）全力以赴防控阻击新冠肺炎疫情</w:t>
              </w:r>
            </w:sdtContent>
          </w:sdt>
          <w:r>
            <w:rPr>
              <w:sz w:val="32"/>
              <w:szCs w:val="32"/>
            </w:rPr>
            <w:tab/>
          </w:r>
          <w:r>
            <w:rPr>
              <w:rFonts w:hint="eastAsia"/>
              <w:sz w:val="32"/>
              <w:szCs w:val="32"/>
              <w:lang w:val="en-US" w:eastAsia="zh-CN"/>
            </w:rPr>
            <w:t>9</w:t>
          </w:r>
        </w:p>
        <w:p>
          <w:pPr>
            <w:pStyle w:val="18"/>
            <w:tabs>
              <w:tab w:val="right" w:leader="dot" w:pos="8845"/>
            </w:tabs>
            <w:rPr>
              <w:rFonts w:hint="eastAsia" w:eastAsia="宋体"/>
              <w:sz w:val="32"/>
              <w:szCs w:val="32"/>
              <w:lang w:eastAsia="zh-CN"/>
            </w:rPr>
          </w:pPr>
          <w:sdt>
            <w:sdtPr>
              <w:rPr>
                <w:rFonts w:ascii="Times New Roman" w:hAnsi="Times New Roman" w:eastAsia="宋体" w:cs="方正小标宋_GBK"/>
                <w:b/>
                <w:bCs/>
                <w:snapToGrid w:val="0"/>
                <w:spacing w:val="0"/>
                <w:w w:val="100"/>
                <w:kern w:val="0"/>
                <w:sz w:val="32"/>
                <w:szCs w:val="32"/>
                <w:lang w:val="en-US" w:eastAsia="zh-CN" w:bidi="ar-SA"/>
              </w:rPr>
              <w:id w:val="147451416"/>
              <w:placeholder>
                <w:docPart w:val="{340a9ff0-13a4-47b9-912e-460d2fa4390c}"/>
              </w:placeholder>
            </w:sdtPr>
            <w:sdtEndPr>
              <w:rPr>
                <w:rFonts w:ascii="Times New Roman" w:hAnsi="Times New Roman" w:eastAsia="宋体" w:cs="方正小标宋_GBK"/>
                <w:b w:val="0"/>
                <w:bCs w:val="0"/>
                <w:snapToGrid w:val="0"/>
                <w:spacing w:val="0"/>
                <w:w w:val="100"/>
                <w:kern w:val="0"/>
                <w:sz w:val="32"/>
                <w:szCs w:val="32"/>
                <w:lang w:val="en-US" w:eastAsia="zh-CN" w:bidi="ar-SA"/>
              </w:rPr>
            </w:sdtEndPr>
            <w:sdtContent>
              <w:r>
                <w:rPr>
                  <w:rFonts w:hint="eastAsia" w:ascii="方正黑体_GBK" w:hAnsi="方正黑体_GBK" w:eastAsia="方正黑体_GBK" w:cs="方正黑体_GBK"/>
                  <w:b w:val="0"/>
                  <w:bCs/>
                  <w:color w:val="000000" w:themeColor="text1"/>
                  <w:sz w:val="32"/>
                  <w:szCs w:val="32"/>
                  <w:lang w:eastAsia="zh-CN"/>
                  <w14:textFill>
                    <w14:solidFill>
                      <w14:schemeClr w14:val="tx1"/>
                    </w14:solidFill>
                  </w14:textFill>
                </w:rPr>
                <w:t>二、面临的主要问题和新形势</w:t>
              </w:r>
            </w:sdtContent>
          </w:sdt>
          <w:r>
            <w:rPr>
              <w:b w:val="0"/>
              <w:bCs w:val="0"/>
              <w:sz w:val="32"/>
              <w:szCs w:val="32"/>
            </w:rPr>
            <w:tab/>
          </w:r>
          <w:r>
            <w:rPr>
              <w:rFonts w:hint="eastAsia"/>
              <w:b w:val="0"/>
              <w:bCs w:val="0"/>
              <w:sz w:val="32"/>
              <w:szCs w:val="32"/>
              <w:lang w:val="en-US" w:eastAsia="zh-CN"/>
            </w:rPr>
            <w:t>9</w:t>
          </w:r>
        </w:p>
        <w:p>
          <w:pPr>
            <w:pStyle w:val="19"/>
            <w:tabs>
              <w:tab w:val="right" w:leader="dot" w:pos="8845"/>
            </w:tabs>
            <w:rPr>
              <w:rFonts w:hint="eastAsia"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4f096fa7-c224-4e6a-ab5a-85ae12a48e88}"/>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（一）主要问题</w:t>
              </w:r>
            </w:sdtContent>
          </w:sdt>
          <w:r>
            <w:rPr>
              <w:sz w:val="32"/>
              <w:szCs w:val="32"/>
            </w:rPr>
            <w:tab/>
          </w:r>
          <w:r>
            <w:rPr>
              <w:rFonts w:hint="eastAsia"/>
              <w:sz w:val="32"/>
              <w:szCs w:val="32"/>
              <w:lang w:val="en-US" w:eastAsia="zh-CN"/>
            </w:rPr>
            <w:t>9</w:t>
          </w:r>
        </w:p>
        <w:p>
          <w:pPr>
            <w:pStyle w:val="19"/>
            <w:tabs>
              <w:tab w:val="right" w:leader="dot" w:pos="8845"/>
            </w:tabs>
            <w:rPr>
              <w:sz w:val="32"/>
              <w:szCs w:val="32"/>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6d7663c5-35a1-455a-9459-9ff8931107fe}"/>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（二）面临的新形势</w:t>
              </w:r>
            </w:sdtContent>
          </w:sdt>
          <w:r>
            <w:rPr>
              <w:sz w:val="32"/>
              <w:szCs w:val="32"/>
            </w:rPr>
            <w:tab/>
          </w:r>
          <w:bookmarkEnd w:id="0"/>
          <w:r>
            <w:rPr>
              <w:rFonts w:hint="eastAsia"/>
              <w:sz w:val="32"/>
              <w:szCs w:val="32"/>
              <w:lang w:val="en-US" w:eastAsia="zh-CN"/>
            </w:rPr>
            <w:t>11</w:t>
          </w:r>
        </w:p>
      </w:sdtContent>
    </w:sdt>
    <w:p>
      <w:pPr>
        <w:pStyle w:val="18"/>
        <w:tabs>
          <w:tab w:val="right" w:leader="dot" w:pos="8845"/>
        </w:tabs>
        <w:rPr>
          <w:rFonts w:hint="default" w:eastAsia="宋体"/>
          <w:sz w:val="32"/>
          <w:szCs w:val="32"/>
          <w:lang w:val="en-US" w:eastAsia="zh-CN"/>
        </w:rPr>
      </w:pPr>
      <w:sdt>
        <w:sdtPr>
          <w:rPr>
            <w:rFonts w:ascii="Times New Roman" w:hAnsi="Times New Roman" w:eastAsia="宋体" w:cs="方正小标宋_GBK"/>
            <w:b/>
            <w:bCs/>
            <w:snapToGrid w:val="0"/>
            <w:spacing w:val="0"/>
            <w:w w:val="100"/>
            <w:kern w:val="0"/>
            <w:sz w:val="32"/>
            <w:szCs w:val="32"/>
            <w:lang w:val="en-US" w:eastAsia="zh-CN" w:bidi="ar-SA"/>
          </w:rPr>
          <w:id w:val="147451416"/>
          <w:placeholder>
            <w:docPart w:val="{ba210610-e20b-426e-a4fb-f52c86d0c7ea}"/>
          </w:placeholder>
        </w:sdtPr>
        <w:sdtEndPr>
          <w:rPr>
            <w:rFonts w:ascii="Times New Roman" w:hAnsi="Times New Roman" w:eastAsia="宋体" w:cs="方正小标宋_GBK"/>
            <w:b w:val="0"/>
            <w:bCs w:val="0"/>
            <w:snapToGrid w:val="0"/>
            <w:spacing w:val="0"/>
            <w:w w:val="100"/>
            <w:kern w:val="0"/>
            <w:sz w:val="32"/>
            <w:szCs w:val="32"/>
            <w:lang w:val="en-US" w:eastAsia="zh-CN" w:bidi="ar-SA"/>
          </w:rPr>
        </w:sdtEndPr>
        <w:sdtContent>
          <w:r>
            <w:rPr>
              <w:rFonts w:hint="eastAsia" w:ascii="方正黑体_GBK" w:hAnsi="方正黑体_GBK" w:eastAsia="方正黑体_GBK" w:cs="方正黑体_GBK"/>
              <w:b w:val="0"/>
              <w:bCs/>
              <w:color w:val="000000" w:themeColor="text1"/>
              <w:sz w:val="32"/>
              <w:szCs w:val="32"/>
              <w:lang w:eastAsia="zh-CN"/>
              <w14:textFill>
                <w14:solidFill>
                  <w14:schemeClr w14:val="tx1"/>
                </w14:solidFill>
              </w14:textFill>
            </w:rPr>
            <w:t>三、“十四五”卫生健康事业发展总体思路</w:t>
          </w:r>
        </w:sdtContent>
      </w:sdt>
      <w:r>
        <w:rPr>
          <w:b w:val="0"/>
          <w:bCs w:val="0"/>
          <w:sz w:val="32"/>
          <w:szCs w:val="32"/>
        </w:rPr>
        <w:tab/>
      </w:r>
      <w:r>
        <w:rPr>
          <w:rFonts w:hint="eastAsia"/>
          <w:b w:val="0"/>
          <w:bCs w:val="0"/>
          <w:sz w:val="32"/>
          <w:szCs w:val="32"/>
          <w:lang w:val="en-US" w:eastAsia="zh-CN"/>
        </w:rPr>
        <w:t>12</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d88e6e98-9644-4c4e-af00-91bbede99575}"/>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（一）指导思想</w:t>
          </w:r>
        </w:sdtContent>
      </w:sdt>
      <w:r>
        <w:rPr>
          <w:sz w:val="32"/>
          <w:szCs w:val="32"/>
        </w:rPr>
        <w:tab/>
      </w:r>
      <w:r>
        <w:rPr>
          <w:rFonts w:hint="eastAsia"/>
          <w:sz w:val="32"/>
          <w:szCs w:val="32"/>
          <w:lang w:val="en-US" w:eastAsia="zh-CN"/>
        </w:rPr>
        <w:t>12</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de6db805-7540-4c76-a7cc-dd12850cc3ca}"/>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（二）基本原则</w:t>
          </w:r>
        </w:sdtContent>
      </w:sdt>
      <w:r>
        <w:rPr>
          <w:sz w:val="32"/>
          <w:szCs w:val="32"/>
        </w:rPr>
        <w:tab/>
      </w:r>
      <w:r>
        <w:rPr>
          <w:rFonts w:hint="eastAsia"/>
          <w:sz w:val="32"/>
          <w:szCs w:val="32"/>
          <w:lang w:val="en-US" w:eastAsia="zh-CN"/>
        </w:rPr>
        <w:t>13</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1335d63c-6bf7-4a81-99a6-b4795948d056}"/>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（三）发展目标</w:t>
          </w:r>
        </w:sdtContent>
      </w:sdt>
      <w:r>
        <w:rPr>
          <w:sz w:val="32"/>
          <w:szCs w:val="32"/>
        </w:rPr>
        <w:tab/>
      </w:r>
      <w:r>
        <w:rPr>
          <w:rFonts w:hint="eastAsia"/>
          <w:sz w:val="32"/>
          <w:szCs w:val="32"/>
          <w:lang w:val="en-US" w:eastAsia="zh-CN"/>
        </w:rPr>
        <w:t>14</w:t>
      </w:r>
    </w:p>
    <w:p>
      <w:pPr>
        <w:pStyle w:val="18"/>
        <w:tabs>
          <w:tab w:val="right" w:leader="dot" w:pos="8845"/>
        </w:tabs>
        <w:rPr>
          <w:rFonts w:hint="default" w:eastAsia="宋体"/>
          <w:sz w:val="32"/>
          <w:szCs w:val="32"/>
          <w:lang w:val="en-US" w:eastAsia="zh-CN"/>
        </w:rPr>
      </w:pPr>
      <w:sdt>
        <w:sdtPr>
          <w:rPr>
            <w:rFonts w:ascii="Times New Roman" w:hAnsi="Times New Roman" w:eastAsia="宋体" w:cs="方正小标宋_GBK"/>
            <w:b/>
            <w:bCs/>
            <w:snapToGrid w:val="0"/>
            <w:spacing w:val="0"/>
            <w:w w:val="100"/>
            <w:kern w:val="0"/>
            <w:sz w:val="32"/>
            <w:szCs w:val="32"/>
            <w:lang w:val="en-US" w:eastAsia="zh-CN" w:bidi="ar-SA"/>
          </w:rPr>
          <w:id w:val="147451416"/>
          <w:placeholder>
            <w:docPart w:val="{455cbc16-6675-465b-98a3-00275329c3a4}"/>
          </w:placeholder>
        </w:sdtPr>
        <w:sdtEndPr>
          <w:rPr>
            <w:rFonts w:ascii="Times New Roman" w:hAnsi="Times New Roman" w:eastAsia="宋体" w:cs="方正小标宋_GBK"/>
            <w:b w:val="0"/>
            <w:bCs w:val="0"/>
            <w:snapToGrid w:val="0"/>
            <w:spacing w:val="0"/>
            <w:w w:val="100"/>
            <w:kern w:val="0"/>
            <w:sz w:val="32"/>
            <w:szCs w:val="32"/>
            <w:lang w:val="en-US" w:eastAsia="zh-CN" w:bidi="ar-SA"/>
          </w:rPr>
        </w:sdtEndPr>
        <w:sdtContent>
          <w:r>
            <w:rPr>
              <w:rFonts w:hint="eastAsia" w:ascii="方正黑体_GBK" w:hAnsi="方正黑体_GBK" w:eastAsia="方正黑体_GBK" w:cs="方正黑体_GBK"/>
              <w:b w:val="0"/>
              <w:bCs/>
              <w:color w:val="000000" w:themeColor="text1"/>
              <w:sz w:val="32"/>
              <w:szCs w:val="32"/>
              <w:lang w:eastAsia="zh-CN"/>
              <w14:textFill>
                <w14:solidFill>
                  <w14:schemeClr w14:val="tx1"/>
                </w14:solidFill>
              </w14:textFill>
            </w:rPr>
            <w:t>四、重点任务</w:t>
          </w:r>
        </w:sdtContent>
      </w:sdt>
      <w:r>
        <w:rPr>
          <w:b w:val="0"/>
          <w:bCs w:val="0"/>
          <w:sz w:val="32"/>
          <w:szCs w:val="32"/>
        </w:rPr>
        <w:tab/>
      </w:r>
      <w:r>
        <w:rPr>
          <w:rFonts w:hint="eastAsia"/>
          <w:b w:val="0"/>
          <w:bCs w:val="0"/>
          <w:sz w:val="32"/>
          <w:szCs w:val="32"/>
          <w:lang w:val="en-US" w:eastAsia="zh-CN"/>
        </w:rPr>
        <w:t>16</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7aa25f0d-faa2-4128-9d4d-7204a3bec017}"/>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（一）强化公共卫生体系建设</w:t>
          </w:r>
        </w:sdtContent>
      </w:sdt>
      <w:r>
        <w:rPr>
          <w:sz w:val="32"/>
          <w:szCs w:val="32"/>
        </w:rPr>
        <w:tab/>
      </w:r>
      <w:r>
        <w:rPr>
          <w:rFonts w:hint="eastAsia"/>
          <w:sz w:val="32"/>
          <w:szCs w:val="32"/>
          <w:lang w:val="en-US" w:eastAsia="zh-CN"/>
        </w:rPr>
        <w:t>16</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cc61ce47-bb22-4b0d-a13c-3cb627180a4a}"/>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（二）推动医疗服务高质量发展</w:t>
          </w:r>
        </w:sdtContent>
      </w:sdt>
      <w:r>
        <w:rPr>
          <w:sz w:val="32"/>
          <w:szCs w:val="32"/>
        </w:rPr>
        <w:tab/>
      </w:r>
      <w:r>
        <w:rPr>
          <w:rFonts w:hint="eastAsia"/>
          <w:sz w:val="32"/>
          <w:szCs w:val="32"/>
          <w:lang w:val="en-US" w:eastAsia="zh-CN"/>
        </w:rPr>
        <w:t>18</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9c4d5313-9256-4b09-a336-aefd56d9a6f4}"/>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（三）全面推进健康中国重庆行动</w:t>
          </w:r>
        </w:sdtContent>
      </w:sdt>
      <w:r>
        <w:rPr>
          <w:sz w:val="32"/>
          <w:szCs w:val="32"/>
        </w:rPr>
        <w:tab/>
      </w:r>
      <w:r>
        <w:rPr>
          <w:rFonts w:hint="eastAsia"/>
          <w:sz w:val="32"/>
          <w:szCs w:val="32"/>
          <w:lang w:val="en-US" w:eastAsia="zh-CN"/>
        </w:rPr>
        <w:t>22</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1fd66396-b920-4e98-8a9c-c3c948e4d059}"/>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（四）加快中医药服务传承创新</w:t>
          </w:r>
        </w:sdtContent>
      </w:sdt>
      <w:r>
        <w:rPr>
          <w:sz w:val="32"/>
          <w:szCs w:val="32"/>
        </w:rPr>
        <w:tab/>
      </w:r>
      <w:r>
        <w:rPr>
          <w:rFonts w:hint="eastAsia"/>
          <w:sz w:val="32"/>
          <w:szCs w:val="32"/>
          <w:lang w:val="en-US" w:eastAsia="zh-CN"/>
        </w:rPr>
        <w:t>24</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dca92eec-a51f-4fed-9a2b-31e5c18ef8b1}"/>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（五）全面深化医药卫生体系改革</w:t>
          </w:r>
        </w:sdtContent>
      </w:sdt>
      <w:r>
        <w:rPr>
          <w:sz w:val="32"/>
          <w:szCs w:val="32"/>
        </w:rPr>
        <w:tab/>
      </w:r>
      <w:r>
        <w:rPr>
          <w:rFonts w:hint="eastAsia"/>
          <w:sz w:val="32"/>
          <w:szCs w:val="32"/>
          <w:lang w:val="en-US" w:eastAsia="zh-CN"/>
        </w:rPr>
        <w:t>25</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c7b9b828-dcd7-4d06-80e1-bf13a14afacd}"/>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sz w:val="32"/>
              <w:szCs w:val="32"/>
              <w:lang w:val="en-US" w:eastAsia="zh-CN"/>
            </w:rPr>
            <w:t>（六）促进人口长期均衡发展</w:t>
          </w:r>
        </w:sdtContent>
      </w:sdt>
      <w:r>
        <w:rPr>
          <w:sz w:val="32"/>
          <w:szCs w:val="32"/>
        </w:rPr>
        <w:tab/>
      </w:r>
      <w:r>
        <w:rPr>
          <w:rFonts w:hint="eastAsia"/>
          <w:sz w:val="32"/>
          <w:szCs w:val="32"/>
          <w:lang w:val="en-US" w:eastAsia="zh-CN"/>
        </w:rPr>
        <w:t>27</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1955eb20-0c65-45ed-9268-3e5222c36a2f}"/>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（七）加强卫生健康人才队伍建设</w:t>
          </w:r>
        </w:sdtContent>
      </w:sdt>
      <w:r>
        <w:rPr>
          <w:sz w:val="32"/>
          <w:szCs w:val="32"/>
        </w:rPr>
        <w:tab/>
      </w:r>
      <w:r>
        <w:rPr>
          <w:rFonts w:hint="eastAsia"/>
          <w:sz w:val="32"/>
          <w:szCs w:val="32"/>
          <w:lang w:val="en-US" w:eastAsia="zh-CN"/>
        </w:rPr>
        <w:t>30</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20dc9347-32e3-4167-b627-43efda3d56ca}"/>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sz w:val="32"/>
              <w:szCs w:val="32"/>
              <w:lang w:eastAsia="zh-CN"/>
            </w:rPr>
            <w:t>（八）强化区域协调发展</w:t>
          </w:r>
        </w:sdtContent>
      </w:sdt>
      <w:r>
        <w:rPr>
          <w:sz w:val="32"/>
          <w:szCs w:val="32"/>
        </w:rPr>
        <w:tab/>
      </w:r>
      <w:r>
        <w:rPr>
          <w:rFonts w:hint="eastAsia"/>
          <w:sz w:val="32"/>
          <w:szCs w:val="32"/>
          <w:lang w:val="en-US" w:eastAsia="zh-CN"/>
        </w:rPr>
        <w:t>31</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432560b0-daa7-4b35-b760-38c8763864e7}"/>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（九）加强宣传能力建设</w:t>
          </w:r>
        </w:sdtContent>
      </w:sdt>
      <w:r>
        <w:rPr>
          <w:sz w:val="32"/>
          <w:szCs w:val="32"/>
        </w:rPr>
        <w:tab/>
      </w:r>
      <w:r>
        <w:rPr>
          <w:rFonts w:hint="eastAsia"/>
          <w:sz w:val="32"/>
          <w:szCs w:val="32"/>
          <w:lang w:val="en-US" w:eastAsia="zh-CN"/>
        </w:rPr>
        <w:t>32</w:t>
      </w:r>
    </w:p>
    <w:p>
      <w:pPr>
        <w:pStyle w:val="18"/>
        <w:tabs>
          <w:tab w:val="right" w:leader="dot" w:pos="8845"/>
        </w:tabs>
        <w:rPr>
          <w:rFonts w:hint="default" w:eastAsia="宋体"/>
          <w:sz w:val="32"/>
          <w:szCs w:val="32"/>
          <w:lang w:val="en-US" w:eastAsia="zh-CN"/>
        </w:rPr>
      </w:pPr>
      <w:sdt>
        <w:sdtPr>
          <w:rPr>
            <w:rFonts w:ascii="Times New Roman" w:hAnsi="Times New Roman" w:eastAsia="宋体" w:cs="方正小标宋_GBK"/>
            <w:b/>
            <w:bCs/>
            <w:snapToGrid w:val="0"/>
            <w:spacing w:val="0"/>
            <w:w w:val="100"/>
            <w:kern w:val="0"/>
            <w:sz w:val="32"/>
            <w:szCs w:val="32"/>
            <w:lang w:val="en-US" w:eastAsia="zh-CN" w:bidi="ar-SA"/>
          </w:rPr>
          <w:id w:val="147451416"/>
          <w:placeholder>
            <w:docPart w:val="{6050a998-5101-406f-9642-2c4302fa3a3e}"/>
          </w:placeholder>
        </w:sdtPr>
        <w:sdtEndPr>
          <w:rPr>
            <w:rFonts w:ascii="Times New Roman" w:hAnsi="Times New Roman" w:eastAsia="宋体" w:cs="方正小标宋_GBK"/>
            <w:b w:val="0"/>
            <w:bCs w:val="0"/>
            <w:snapToGrid w:val="0"/>
            <w:spacing w:val="0"/>
            <w:w w:val="100"/>
            <w:kern w:val="0"/>
            <w:sz w:val="32"/>
            <w:szCs w:val="32"/>
            <w:lang w:val="en-US" w:eastAsia="zh-CN" w:bidi="ar-SA"/>
          </w:rPr>
        </w:sdtEndPr>
        <w:sdtContent>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五、保障措施</w:t>
          </w:r>
        </w:sdtContent>
      </w:sdt>
      <w:r>
        <w:rPr>
          <w:b w:val="0"/>
          <w:bCs w:val="0"/>
          <w:sz w:val="32"/>
          <w:szCs w:val="32"/>
        </w:rPr>
        <w:tab/>
      </w:r>
      <w:r>
        <w:rPr>
          <w:rFonts w:hint="eastAsia"/>
          <w:b w:val="0"/>
          <w:bCs w:val="0"/>
          <w:sz w:val="32"/>
          <w:szCs w:val="32"/>
          <w:lang w:val="en-US" w:eastAsia="zh-CN"/>
        </w:rPr>
        <w:t>32</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108f17dd-fd18-4b4f-b943-49cc390e5502}"/>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（一）加强组织领导</w:t>
          </w:r>
        </w:sdtContent>
      </w:sdt>
      <w:r>
        <w:rPr>
          <w:sz w:val="32"/>
          <w:szCs w:val="32"/>
        </w:rPr>
        <w:tab/>
      </w:r>
      <w:r>
        <w:rPr>
          <w:rFonts w:hint="eastAsia"/>
          <w:sz w:val="32"/>
          <w:szCs w:val="32"/>
          <w:lang w:val="en-US" w:eastAsia="zh-CN"/>
        </w:rPr>
        <w:t>32</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75f997f5-f214-4422-aa3e-3b9f17ebe919}"/>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（二）完善配套政策</w:t>
          </w:r>
        </w:sdtContent>
      </w:sdt>
      <w:r>
        <w:rPr>
          <w:sz w:val="32"/>
          <w:szCs w:val="32"/>
        </w:rPr>
        <w:tab/>
      </w:r>
      <w:r>
        <w:rPr>
          <w:rFonts w:hint="eastAsia"/>
          <w:sz w:val="32"/>
          <w:szCs w:val="32"/>
          <w:lang w:val="en-US" w:eastAsia="zh-CN"/>
        </w:rPr>
        <w:t>32</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52407e07-565e-40dd-928b-2202c54994e3}"/>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（三）营造良好发展环境</w:t>
          </w:r>
        </w:sdtContent>
      </w:sdt>
      <w:r>
        <w:rPr>
          <w:sz w:val="32"/>
          <w:szCs w:val="32"/>
        </w:rPr>
        <w:tab/>
      </w:r>
      <w:r>
        <w:rPr>
          <w:rFonts w:hint="eastAsia"/>
          <w:sz w:val="32"/>
          <w:szCs w:val="32"/>
          <w:lang w:val="en-US" w:eastAsia="zh-CN"/>
        </w:rPr>
        <w:t>33</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ce75dd91-5080-4ec8-8a1e-dd8fe5f0b411}"/>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（四）加强监测评估</w:t>
          </w:r>
        </w:sdtContent>
      </w:sdt>
      <w:r>
        <w:rPr>
          <w:sz w:val="32"/>
          <w:szCs w:val="32"/>
        </w:rPr>
        <w:tab/>
      </w:r>
      <w:r>
        <w:rPr>
          <w:rFonts w:hint="eastAsia"/>
          <w:sz w:val="32"/>
          <w:szCs w:val="32"/>
          <w:lang w:val="en-US" w:eastAsia="zh-CN"/>
        </w:rPr>
        <w:t>33</w:t>
      </w:r>
    </w:p>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_GBK"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_GBK"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_GBK"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_GBK"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_GBK"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_GBK"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_GBK"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_GBK"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color w:val="000000" w:themeColor="text1"/>
          <w:sz w:val="44"/>
          <w:szCs w:val="44"/>
          <w:u w:val="none"/>
          <w14:textFill>
            <w14:solidFill>
              <w14:schemeClr w14:val="tx1"/>
            </w14:solidFill>
          </w14:textFill>
        </w:rPr>
      </w:pPr>
      <w:r>
        <w:rPr>
          <w:rFonts w:hint="eastAsia" w:eastAsia="方正小标宋_GBK" w:cs="Times New Roman"/>
          <w:color w:val="000000" w:themeColor="text1"/>
          <w:sz w:val="44"/>
          <w:szCs w:val="44"/>
          <w:u w:val="none"/>
          <w:lang w:eastAsia="zh-CN"/>
          <w14:textFill>
            <w14:solidFill>
              <w14:schemeClr w14:val="tx1"/>
            </w14:solidFill>
          </w14:textFill>
        </w:rPr>
        <w:t>重庆市</w:t>
      </w:r>
      <w:r>
        <w:rPr>
          <w:rFonts w:hint="default" w:ascii="Times New Roman" w:hAnsi="Times New Roman" w:eastAsia="方正小标宋_GBK" w:cs="Times New Roman"/>
          <w:color w:val="000000" w:themeColor="text1"/>
          <w:sz w:val="44"/>
          <w:szCs w:val="44"/>
          <w:u w:val="none"/>
          <w:lang w:eastAsia="zh-CN"/>
          <w14:textFill>
            <w14:solidFill>
              <w14:schemeClr w14:val="tx1"/>
            </w14:solidFill>
          </w14:textFill>
        </w:rPr>
        <w:t>城口县</w:t>
      </w:r>
      <w:r>
        <w:rPr>
          <w:rFonts w:hint="default" w:ascii="Times New Roman" w:hAnsi="Times New Roman" w:eastAsia="方正小标宋_GBK" w:cs="Times New Roman"/>
          <w:color w:val="000000" w:themeColor="text1"/>
          <w:sz w:val="44"/>
          <w:szCs w:val="44"/>
          <w:u w:val="none"/>
          <w14:textFill>
            <w14:solidFill>
              <w14:schemeClr w14:val="tx1"/>
            </w14:solidFill>
          </w14:textFill>
        </w:rPr>
        <w:t>卫生健康发展</w:t>
      </w:r>
      <w:r>
        <w:rPr>
          <w:rFonts w:hint="eastAsia" w:eastAsia="方正小标宋_GBK" w:cs="Times New Roman"/>
          <w:color w:val="000000" w:themeColor="text1"/>
          <w:sz w:val="44"/>
          <w:szCs w:val="44"/>
          <w:u w:val="none"/>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u w:val="none"/>
          <w14:textFill>
            <w14:solidFill>
              <w14:schemeClr w14:val="tx1"/>
            </w14:solidFill>
          </w14:textFill>
        </w:rPr>
        <w:t>十四五</w:t>
      </w:r>
      <w:r>
        <w:rPr>
          <w:rFonts w:hint="eastAsia" w:eastAsia="方正小标宋_GBK" w:cs="Times New Roman"/>
          <w:color w:val="000000" w:themeColor="text1"/>
          <w:sz w:val="44"/>
          <w:szCs w:val="44"/>
          <w:u w:val="none"/>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u w:val="none"/>
          <w14:textFill>
            <w14:solidFill>
              <w14:schemeClr w14:val="tx1"/>
            </w14:solidFill>
          </w14:textFill>
        </w:rPr>
        <w:t>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为加快全</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卫生健康事业发展，不断提高城乡居民健康水平，满足群众日益增长的全生命周期健康服务需求，根据《健康中国重庆行动（2019-2030年）》《重庆市卫生健康发展</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十四五</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规划》</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《城口县</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十四五</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期间实现巩固拓展脱贫攻坚成果同乡村振兴有效衔接规划</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2021</w:t>
      </w:r>
      <w:r>
        <w:rPr>
          <w:rFonts w:hint="default" w:ascii="Times New Roman" w:hAnsi="Times New Roman" w:eastAsia="方正仿宋_GBK" w:cs="Times New Roman"/>
          <w:color w:val="000000" w:themeColor="text1"/>
          <w:sz w:val="32"/>
          <w:szCs w:val="32"/>
          <w:u w:val="none"/>
          <w14:textFill>
            <w14:solidFill>
              <w14:schemeClr w14:val="tx1"/>
            </w14:solidFill>
          </w14:textFill>
        </w:rPr>
        <w:t>-20</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25</w:t>
      </w:r>
      <w:r>
        <w:rPr>
          <w:rFonts w:hint="default" w:ascii="Times New Roman" w:hAnsi="Times New Roman" w:eastAsia="方正仿宋_GBK" w:cs="Times New Roman"/>
          <w:color w:val="000000" w:themeColor="text1"/>
          <w:sz w:val="32"/>
          <w:szCs w:val="32"/>
          <w:u w:val="none"/>
          <w14:textFill>
            <w14:solidFill>
              <w14:schemeClr w14:val="tx1"/>
            </w14:solidFill>
          </w14:textFill>
        </w:rPr>
        <w:t>年）</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和《</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城口县</w:t>
      </w:r>
      <w:r>
        <w:rPr>
          <w:rFonts w:hint="default" w:ascii="Times New Roman" w:hAnsi="Times New Roman" w:eastAsia="方正仿宋_GBK" w:cs="Times New Roman"/>
          <w:color w:val="000000" w:themeColor="text1"/>
          <w:sz w:val="32"/>
          <w:szCs w:val="32"/>
          <w:u w:val="none"/>
          <w14:textFill>
            <w14:solidFill>
              <w14:schemeClr w14:val="tx1"/>
            </w14:solidFill>
          </w14:textFill>
        </w:rPr>
        <w:t>国民经济和社会发展第十四个五年规划和二</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〇</w:t>
      </w:r>
      <w:r>
        <w:rPr>
          <w:rFonts w:hint="default" w:ascii="Times New Roman" w:hAnsi="Times New Roman" w:eastAsia="方正仿宋_GBK" w:cs="Times New Roman"/>
          <w:color w:val="000000" w:themeColor="text1"/>
          <w:sz w:val="32"/>
          <w:szCs w:val="32"/>
          <w:u w:val="none"/>
          <w14:textFill>
            <w14:solidFill>
              <w14:schemeClr w14:val="tx1"/>
            </w14:solidFill>
          </w14:textFill>
        </w:rPr>
        <w:t>三五年远景目标纲要》，编制本规划。</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本规划年限为</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2021—2025年。</w:t>
      </w:r>
    </w:p>
    <w:p>
      <w:pPr>
        <w:keepNext w:val="0"/>
        <w:keepLines w:val="0"/>
        <w:pageBreakBefore w:val="0"/>
        <w:numPr>
          <w:ilvl w:val="0"/>
          <w:numId w:val="1"/>
        </w:numPr>
        <w:kinsoku/>
        <w:wordWrap/>
        <w:topLinePunct w:val="0"/>
        <w:autoSpaceDE/>
        <w:autoSpaceDN/>
        <w:bidi w:val="0"/>
        <w:spacing w:line="560" w:lineRule="exact"/>
        <w:ind w:firstLine="632" w:firstLineChars="200"/>
        <w:jc w:val="left"/>
        <w:textAlignment w:val="auto"/>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pPr>
      <w:r>
        <w:rPr>
          <w:rFonts w:hint="eastAsia" w:eastAsia="方正黑体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十</w:t>
      </w:r>
      <w:r>
        <w:rPr>
          <w:rFonts w:hint="eastAsia" w:eastAsia="方正黑体_GBK" w:cs="Times New Roman"/>
          <w:color w:val="000000" w:themeColor="text1"/>
          <w:sz w:val="32"/>
          <w:szCs w:val="32"/>
          <w:u w:val="none"/>
          <w:lang w:val="en-US" w:eastAsia="zh-CN"/>
          <w14:textFill>
            <w14:solidFill>
              <w14:schemeClr w14:val="tx1"/>
            </w14:solidFill>
          </w14:textFill>
        </w:rPr>
        <w:t>三</w:t>
      </w: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五</w:t>
      </w:r>
      <w:r>
        <w:rPr>
          <w:rFonts w:hint="eastAsia" w:eastAsia="方正黑体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卫生健康事业发展取得新成就</w:t>
      </w:r>
    </w:p>
    <w:p>
      <w:pPr>
        <w:keepNext w:val="0"/>
        <w:keepLines w:val="0"/>
        <w:pageBreakBefore w:val="0"/>
        <w:kinsoku/>
        <w:wordWrap/>
        <w:topLinePunct w:val="0"/>
        <w:autoSpaceDE/>
        <w:autoSpaceDN/>
        <w:bidi w:val="0"/>
        <w:adjustRightInd w:val="0"/>
        <w:snapToGrid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十三五</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期间，始终坚持新时期卫生健康工作方针，在县委县政府的坚强领导下，以全心全意为全县人民健康服务为目标，以全市卫生健康</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363</w:t>
      </w:r>
      <w:r>
        <w:rPr>
          <w:rFonts w:hint="eastAsia"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路径为指导，以落实卫生健康</w:t>
      </w:r>
      <w:r>
        <w:rPr>
          <w:rFonts w:hint="eastAsia"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123456</w:t>
      </w:r>
      <w:r>
        <w:rPr>
          <w:rFonts w:hint="eastAsia"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发展思路为着力点，医疗卫生服务不断扩容提质，为“十四五”发展奠定了良好基础。</w:t>
      </w:r>
    </w:p>
    <w:p>
      <w:pPr>
        <w:keepNext w:val="0"/>
        <w:keepLines w:val="0"/>
        <w:pageBreakBefore w:val="0"/>
        <w:numPr>
          <w:ilvl w:val="0"/>
          <w:numId w:val="2"/>
        </w:numPr>
        <w:kinsoku/>
        <w:wordWrap/>
        <w:topLinePunct w:val="0"/>
        <w:autoSpaceDE/>
        <w:autoSpaceDN/>
        <w:bidi w:val="0"/>
        <w:spacing w:line="560" w:lineRule="exact"/>
        <w:ind w:firstLine="632" w:firstLineChars="200"/>
        <w:jc w:val="left"/>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全县居民健康水平显著提升</w:t>
      </w:r>
    </w:p>
    <w:p>
      <w:pPr>
        <w:keepNext w:val="0"/>
        <w:keepLines w:val="0"/>
        <w:pageBreakBefore w:val="0"/>
        <w:kinsoku/>
        <w:wordWrap/>
        <w:topLinePunct w:val="0"/>
        <w:autoSpaceDE/>
        <w:autoSpaceDN/>
        <w:bidi w:val="0"/>
        <w:adjustRightInd w:val="0"/>
        <w:snapToGrid w:val="0"/>
        <w:spacing w:line="560" w:lineRule="exact"/>
        <w:ind w:firstLine="632" w:firstLineChars="200"/>
        <w:textAlignment w:val="auto"/>
        <w:rPr>
          <w:rFonts w:hint="eastAsia" w:eastAsia="方正仿宋_GBK" w:cs="Times New Roman"/>
          <w:b w:val="0"/>
          <w:bCs/>
          <w:color w:val="auto"/>
          <w:sz w:val="32"/>
          <w:szCs w:val="32"/>
          <w:u w:val="none"/>
          <w:lang w:eastAsia="zh-CN"/>
        </w:rPr>
      </w:pPr>
      <w:r>
        <w:rPr>
          <w:rFonts w:hint="default" w:ascii="Times New Roman" w:hAnsi="Times New Roman" w:eastAsia="方正仿宋_GBK" w:cs="Times New Roman"/>
          <w:b w:val="0"/>
          <w:bCs/>
          <w:color w:val="auto"/>
          <w:sz w:val="32"/>
          <w:szCs w:val="32"/>
          <w:u w:val="none"/>
          <w:lang w:eastAsia="zh-CN"/>
        </w:rPr>
        <w:t>全县</w:t>
      </w:r>
      <w:r>
        <w:rPr>
          <w:rFonts w:hint="default" w:ascii="Times New Roman" w:hAnsi="Times New Roman" w:eastAsia="方正仿宋_GBK" w:cs="Times New Roman"/>
          <w:b w:val="0"/>
          <w:bCs/>
          <w:color w:val="auto"/>
          <w:sz w:val="32"/>
          <w:szCs w:val="32"/>
          <w:u w:val="none"/>
        </w:rPr>
        <w:t>人均期望寿命从2016年的74.89岁上升到2020年的75.85岁，增加0.96岁</w:t>
      </w:r>
      <w:r>
        <w:rPr>
          <w:rFonts w:hint="eastAsia" w:eastAsia="方正仿宋_GBK" w:cs="Times New Roman"/>
          <w:b w:val="0"/>
          <w:bCs/>
          <w:color w:val="auto"/>
          <w:sz w:val="32"/>
          <w:szCs w:val="32"/>
          <w:u w:val="none"/>
          <w:lang w:eastAsia="zh-CN"/>
        </w:rPr>
        <w:t>，</w:t>
      </w:r>
      <w:r>
        <w:rPr>
          <w:rFonts w:hint="default" w:ascii="Times New Roman" w:hAnsi="Times New Roman" w:eastAsia="方正仿宋_GBK" w:cs="Times New Roman"/>
          <w:b w:val="0"/>
          <w:bCs/>
          <w:color w:val="auto"/>
          <w:sz w:val="32"/>
          <w:szCs w:val="32"/>
          <w:u w:val="none"/>
        </w:rPr>
        <w:t>连续</w:t>
      </w:r>
      <w:r>
        <w:rPr>
          <w:rFonts w:hint="eastAsia" w:eastAsia="方正仿宋_GBK" w:cs="Times New Roman"/>
          <w:b w:val="0"/>
          <w:bCs/>
          <w:color w:val="auto"/>
          <w:sz w:val="32"/>
          <w:szCs w:val="32"/>
          <w:u w:val="none"/>
          <w:lang w:val="en-US" w:eastAsia="zh-CN"/>
        </w:rPr>
        <w:t>5</w:t>
      </w:r>
      <w:r>
        <w:rPr>
          <w:rFonts w:hint="default" w:ascii="Times New Roman" w:hAnsi="Times New Roman" w:eastAsia="方正仿宋_GBK" w:cs="Times New Roman"/>
          <w:b w:val="0"/>
          <w:bCs/>
          <w:color w:val="auto"/>
          <w:sz w:val="32"/>
          <w:szCs w:val="32"/>
          <w:u w:val="none"/>
        </w:rPr>
        <w:t>年</w:t>
      </w:r>
      <w:r>
        <w:rPr>
          <w:rFonts w:hint="eastAsia" w:eastAsia="方正仿宋_GBK" w:cs="Times New Roman"/>
          <w:b w:val="0"/>
          <w:bCs/>
          <w:color w:val="auto"/>
          <w:sz w:val="32"/>
          <w:szCs w:val="32"/>
          <w:u w:val="none"/>
          <w:lang w:eastAsia="zh-CN"/>
        </w:rPr>
        <w:t>未发生</w:t>
      </w:r>
      <w:r>
        <w:rPr>
          <w:rFonts w:hint="default" w:ascii="Times New Roman" w:hAnsi="Times New Roman" w:eastAsia="方正仿宋_GBK" w:cs="Times New Roman"/>
          <w:b w:val="0"/>
          <w:bCs/>
          <w:color w:val="auto"/>
          <w:sz w:val="32"/>
          <w:szCs w:val="32"/>
          <w:u w:val="none"/>
        </w:rPr>
        <w:t>孕产妇死亡</w:t>
      </w:r>
      <w:r>
        <w:rPr>
          <w:rFonts w:hint="default" w:ascii="Times New Roman" w:hAnsi="Times New Roman" w:eastAsia="方正仿宋_GBK" w:cs="Times New Roman"/>
          <w:b w:val="0"/>
          <w:bCs/>
          <w:color w:val="auto"/>
          <w:sz w:val="32"/>
          <w:szCs w:val="32"/>
          <w:u w:val="none"/>
          <w:lang w:eastAsia="zh-CN"/>
        </w:rPr>
        <w:t>。</w:t>
      </w:r>
      <w:r>
        <w:rPr>
          <w:rFonts w:hint="eastAsia" w:eastAsia="方正仿宋_GBK" w:cs="Times New Roman"/>
          <w:b w:val="0"/>
          <w:bCs/>
          <w:color w:val="auto"/>
          <w:sz w:val="32"/>
          <w:szCs w:val="32"/>
          <w:u w:val="none"/>
          <w:lang w:eastAsia="zh-CN"/>
        </w:rPr>
        <w:t>居民健康素养水平提高至</w:t>
      </w:r>
      <w:r>
        <w:rPr>
          <w:rFonts w:hint="eastAsia" w:eastAsia="方正仿宋_GBK" w:cs="Times New Roman"/>
          <w:b w:val="0"/>
          <w:bCs/>
          <w:color w:val="auto"/>
          <w:sz w:val="32"/>
          <w:szCs w:val="32"/>
          <w:u w:val="none"/>
          <w:lang w:val="en-US" w:eastAsia="zh-CN"/>
        </w:rPr>
        <w:t>19.08%，达到</w:t>
      </w:r>
      <w:r>
        <w:rPr>
          <w:rFonts w:hint="eastAsia" w:ascii="Times New Roman" w:hAnsi="Times New Roman" w:eastAsia="方正仿宋_GBK" w:cs="Times New Roman"/>
          <w:b w:val="0"/>
          <w:bCs/>
          <w:color w:val="auto"/>
          <w:sz w:val="32"/>
          <w:szCs w:val="32"/>
          <w:u w:val="none"/>
        </w:rPr>
        <w:t>渝东北三峡库区城镇群的居民健康素养的要求</w:t>
      </w:r>
      <w:r>
        <w:rPr>
          <w:rFonts w:hint="eastAsia" w:eastAsia="方正仿宋_GBK" w:cs="Times New Roman"/>
          <w:b w:val="0"/>
          <w:bCs/>
          <w:color w:val="auto"/>
          <w:sz w:val="32"/>
          <w:szCs w:val="32"/>
          <w:u w:val="none"/>
          <w:lang w:eastAsia="zh-CN"/>
        </w:rPr>
        <w:t>。</w:t>
      </w:r>
    </w:p>
    <w:p>
      <w:pPr>
        <w:keepNext w:val="0"/>
        <w:keepLines w:val="0"/>
        <w:pageBreakBefore w:val="0"/>
        <w:kinsoku/>
        <w:wordWrap/>
        <w:topLinePunct w:val="0"/>
        <w:autoSpaceDE/>
        <w:autoSpaceDN/>
        <w:bidi w:val="0"/>
        <w:adjustRightInd w:val="0"/>
        <w:snapToGrid w:val="0"/>
        <w:spacing w:line="560" w:lineRule="exact"/>
        <w:ind w:firstLine="632" w:firstLineChars="200"/>
        <w:textAlignment w:val="auto"/>
        <w:rPr>
          <w:rFonts w:hint="eastAsia" w:ascii="方正楷体_GBK" w:hAnsi="方正楷体_GBK" w:eastAsia="方正楷体_GBK" w:cs="方正楷体_GBK"/>
          <w:bCs/>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bCs/>
          <w:color w:val="000000" w:themeColor="text1"/>
          <w:sz w:val="32"/>
          <w:szCs w:val="32"/>
          <w:u w:val="none"/>
          <w:lang w:eastAsia="zh-CN"/>
          <w14:textFill>
            <w14:solidFill>
              <w14:schemeClr w14:val="tx1"/>
            </w14:solidFill>
          </w14:textFill>
        </w:rPr>
        <w:t>（二）公共卫生服务能力明显提升</w:t>
      </w:r>
    </w:p>
    <w:p>
      <w:pPr>
        <w:keepNext w:val="0"/>
        <w:keepLines w:val="0"/>
        <w:pageBreakBefore w:val="0"/>
        <w:kinsoku/>
        <w:wordWrap/>
        <w:topLinePunct w:val="0"/>
        <w:autoSpaceDE/>
        <w:autoSpaceDN/>
        <w:bidi w:val="0"/>
        <w:adjustRightInd w:val="0"/>
        <w:snapToGrid w:val="0"/>
        <w:spacing w:line="560" w:lineRule="exact"/>
        <w:ind w:firstLine="632" w:firstLineChars="200"/>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完善公共卫生服务体系，</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以县疾病预防控制中心为龙头的三级疾病预防控制体系得到不断夯实，慢性病防控、健康知识普及</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重大传染病</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防控能力得到明显提升。</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规划免疫预防接种率达到98%以上</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以县妇幼保健院为龙头的三级妇女儿童保健服务体系得到不断夯实，出生人口缺陷得到有效控制，出生人口素质明显提升，体现妇女儿童健康水平的核心指标明显改善。</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新生儿死亡率、婴儿死亡率、</w:t>
      </w:r>
      <w:r>
        <w:rPr>
          <w:rFonts w:hint="eastAsia" w:ascii="Times New Roman" w:hAnsi="Times New Roman" w:eastAsia="方正仿宋_GBK" w:cs="Times New Roman"/>
          <w:bCs/>
          <w:color w:val="000000" w:themeColor="text1"/>
          <w:sz w:val="32"/>
          <w:szCs w:val="32"/>
          <w:u w:val="none"/>
          <w:lang w:val="en-US" w:eastAsia="zh-CN"/>
          <w14:textFill>
            <w14:solidFill>
              <w14:schemeClr w14:val="tx1"/>
            </w14:solidFill>
          </w14:textFill>
        </w:rPr>
        <w:t>5岁以下儿童死亡率较2017年分别下降78.1%、45.9%、33.8%。</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扎实推进基本公共卫生服务均等化，服务项目增至</w:t>
      </w:r>
      <w:r>
        <w:rPr>
          <w:rFonts w:hint="eastAsia" w:ascii="Times New Roman" w:hAnsi="Times New Roman" w:eastAsia="方正仿宋_GBK" w:cs="Times New Roman"/>
          <w:bCs/>
          <w:color w:val="000000" w:themeColor="text1"/>
          <w:sz w:val="32"/>
          <w:szCs w:val="32"/>
          <w:u w:val="none"/>
          <w:lang w:val="en-US" w:eastAsia="zh-CN"/>
          <w14:textFill>
            <w14:solidFill>
              <w14:schemeClr w14:val="tx1"/>
            </w14:solidFill>
          </w14:textFill>
        </w:rPr>
        <w:t>31项，人均补助标准提高至70元。深入推进爱国卫生运动，全面开展农户环境卫生综合整治和卫生细胞创建工作。截止2020年，巩固</w:t>
      </w:r>
      <w:r>
        <w:rPr>
          <w:rFonts w:hint="eastAsia" w:ascii="Times New Roman" w:hAnsi="Times New Roman" w:eastAsia="方正仿宋_GBK" w:cs="Times New Roman"/>
          <w:bCs/>
          <w:color w:val="000000" w:themeColor="text1"/>
          <w:sz w:val="32"/>
          <w:szCs w:val="32"/>
          <w:u w:val="none"/>
          <w14:textFill>
            <w14:solidFill>
              <w14:schemeClr w14:val="tx1"/>
            </w14:solidFill>
          </w14:textFill>
        </w:rPr>
        <w:t>市级优秀卫生单位13个</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u w:val="none"/>
          <w14:textFill>
            <w14:solidFill>
              <w14:schemeClr w14:val="tx1"/>
            </w14:solidFill>
          </w14:textFill>
        </w:rPr>
        <w:t>市级卫生单位41个</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u w:val="none"/>
          <w14:textFill>
            <w14:solidFill>
              <w14:schemeClr w14:val="tx1"/>
            </w14:solidFill>
          </w14:textFill>
        </w:rPr>
        <w:t>县级卫生单位115个</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u w:val="none"/>
          <w14:textFill>
            <w14:solidFill>
              <w14:schemeClr w14:val="tx1"/>
            </w14:solidFill>
          </w14:textFill>
        </w:rPr>
        <w:t>市级卫生乡镇3个，市级生态卫生村12个。</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（三）医疗服务体系持续夯实</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全县共有各级各类医疗卫生机构185个，县级5个，乡镇卫生院23个，社区卫生服务中心1个，民营医院3个，社会及个体办医28个，村卫生室125个。现有床位数914张。</w:t>
      </w:r>
      <w:r>
        <w:rPr>
          <w:rFonts w:hint="default" w:ascii="Times New Roman" w:hAnsi="Times New Roman" w:eastAsia="方正仿宋_GBK" w:cs="Times New Roman"/>
          <w:color w:val="000000" w:themeColor="text1"/>
          <w:sz w:val="32"/>
          <w:szCs w:val="32"/>
          <w:u w:val="none"/>
          <w14:textFill>
            <w14:solidFill>
              <w14:schemeClr w14:val="tx1"/>
            </w14:solidFill>
          </w14:textFill>
        </w:rPr>
        <w:t>医务人员队伍总量1</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436</w:t>
      </w:r>
      <w:r>
        <w:rPr>
          <w:rFonts w:hint="default" w:ascii="Times New Roman" w:hAnsi="Times New Roman" w:eastAsia="方正仿宋_GBK" w:cs="Times New Roman"/>
          <w:color w:val="000000" w:themeColor="text1"/>
          <w:sz w:val="32"/>
          <w:szCs w:val="32"/>
          <w:u w:val="none"/>
          <w14:textFill>
            <w14:solidFill>
              <w14:schemeClr w14:val="tx1"/>
            </w14:solidFill>
          </w14:textFill>
        </w:rPr>
        <w:t>人</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（在编633人，临聘803人）。</w:t>
      </w:r>
      <w:r>
        <w:rPr>
          <w:rFonts w:hint="default" w:ascii="Times New Roman" w:hAnsi="Times New Roman" w:eastAsia="方正仿宋_GBK" w:cs="Times New Roman"/>
          <w:color w:val="000000" w:themeColor="text1"/>
          <w:sz w:val="32"/>
          <w:szCs w:val="32"/>
          <w:u w:val="none"/>
          <w14:textFill>
            <w14:solidFill>
              <w14:schemeClr w14:val="tx1"/>
            </w14:solidFill>
          </w14:textFill>
        </w:rPr>
        <w:t>其中专业技术人员为</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1139</w:t>
      </w:r>
      <w:r>
        <w:rPr>
          <w:rFonts w:hint="default" w:ascii="Times New Roman" w:hAnsi="Times New Roman" w:eastAsia="方正仿宋_GBK" w:cs="Times New Roman"/>
          <w:color w:val="000000" w:themeColor="text1"/>
          <w:sz w:val="32"/>
          <w:szCs w:val="32"/>
          <w:u w:val="none"/>
          <w14:textFill>
            <w14:solidFill>
              <w14:schemeClr w14:val="tx1"/>
            </w14:solidFill>
          </w14:textFill>
        </w:rPr>
        <w:t>人，占</w:t>
      </w:r>
      <w:r>
        <w:rPr>
          <w:rFonts w:hint="eastAsia" w:eastAsia="方正仿宋_GBK" w:cs="Times New Roman"/>
          <w:color w:val="000000" w:themeColor="text1"/>
          <w:sz w:val="32"/>
          <w:szCs w:val="32"/>
          <w:highlight w:val="none"/>
          <w:u w:val="none"/>
          <w:lang w:val="en-US" w:eastAsia="zh-CN"/>
          <w14:textFill>
            <w14:solidFill>
              <w14:schemeClr w14:val="tx1"/>
            </w14:solidFill>
          </w14:textFill>
        </w:rPr>
        <w:t>80.2</w:t>
      </w:r>
      <w:r>
        <w:rPr>
          <w:rFonts w:hint="default" w:ascii="Times New Roman" w:hAnsi="Times New Roman" w:eastAsia="方正仿宋_GBK" w:cs="Times New Roman"/>
          <w:color w:val="000000" w:themeColor="text1"/>
          <w:sz w:val="32"/>
          <w:szCs w:val="32"/>
          <w:highlight w:val="none"/>
          <w:u w:val="none"/>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；全日制</w:t>
      </w:r>
      <w:r>
        <w:rPr>
          <w:rFonts w:hint="default" w:ascii="Times New Roman" w:hAnsi="Times New Roman" w:eastAsia="方正仿宋_GBK" w:cs="Times New Roman"/>
          <w:color w:val="000000" w:themeColor="text1"/>
          <w:sz w:val="32"/>
          <w:szCs w:val="32"/>
          <w:u w:val="none"/>
          <w14:textFill>
            <w14:solidFill>
              <w14:schemeClr w14:val="tx1"/>
            </w14:solidFill>
          </w14:textFill>
        </w:rPr>
        <w:t>大专及以上学历</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724</w:t>
      </w:r>
      <w:r>
        <w:rPr>
          <w:rFonts w:hint="default" w:ascii="Times New Roman" w:hAnsi="Times New Roman" w:eastAsia="方正仿宋_GBK" w:cs="Times New Roman"/>
          <w:color w:val="000000" w:themeColor="text1"/>
          <w:sz w:val="32"/>
          <w:szCs w:val="32"/>
          <w:u w:val="none"/>
          <w14:textFill>
            <w14:solidFill>
              <w14:schemeClr w14:val="tx1"/>
            </w14:solidFill>
          </w14:textFill>
        </w:rPr>
        <w:t>人</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中级</w:t>
      </w:r>
      <w:r>
        <w:rPr>
          <w:rFonts w:hint="eastAsia" w:eastAsia="方正仿宋_GBK" w:cs="Times New Roman"/>
          <w:color w:val="000000" w:themeColor="text1"/>
          <w:sz w:val="32"/>
          <w:szCs w:val="32"/>
          <w:u w:val="none"/>
          <w:lang w:eastAsia="zh-CN"/>
          <w14:textFill>
            <w14:solidFill>
              <w14:schemeClr w14:val="tx1"/>
            </w14:solidFill>
          </w14:textFill>
        </w:rPr>
        <w:t>职称</w:t>
      </w:r>
      <w:r>
        <w:rPr>
          <w:rFonts w:hint="default" w:ascii="Times New Roman" w:hAnsi="Times New Roman" w:eastAsia="方正仿宋_GBK" w:cs="Times New Roman"/>
          <w:color w:val="000000" w:themeColor="text1"/>
          <w:sz w:val="32"/>
          <w:szCs w:val="32"/>
          <w:u w:val="none"/>
          <w14:textFill>
            <w14:solidFill>
              <w14:schemeClr w14:val="tx1"/>
            </w14:solidFill>
          </w14:textFill>
        </w:rPr>
        <w:t>及以上</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225</w:t>
      </w:r>
      <w:r>
        <w:rPr>
          <w:rFonts w:hint="default" w:ascii="Times New Roman" w:hAnsi="Times New Roman" w:eastAsia="方正仿宋_GBK" w:cs="Times New Roman"/>
          <w:color w:val="000000" w:themeColor="text1"/>
          <w:sz w:val="32"/>
          <w:szCs w:val="32"/>
          <w:u w:val="none"/>
          <w14:textFill>
            <w14:solidFill>
              <w14:schemeClr w14:val="tx1"/>
            </w14:solidFill>
          </w14:textFill>
        </w:rPr>
        <w:t>人，执业助理</w:t>
      </w:r>
      <w:r>
        <w:rPr>
          <w:rFonts w:hint="eastAsia" w:eastAsia="方正仿宋_GBK" w:cs="Times New Roman"/>
          <w:color w:val="000000" w:themeColor="text1"/>
          <w:sz w:val="32"/>
          <w:szCs w:val="32"/>
          <w:u w:val="none"/>
          <w:lang w:eastAsia="zh-CN"/>
          <w14:textFill>
            <w14:solidFill>
              <w14:schemeClr w14:val="tx1"/>
            </w14:solidFill>
          </w14:textFill>
        </w:rPr>
        <w:t>医师</w:t>
      </w:r>
      <w:r>
        <w:rPr>
          <w:rFonts w:hint="default" w:ascii="Times New Roman" w:hAnsi="Times New Roman" w:eastAsia="方正仿宋_GBK" w:cs="Times New Roman"/>
          <w:color w:val="000000" w:themeColor="text1"/>
          <w:sz w:val="32"/>
          <w:szCs w:val="32"/>
          <w:u w:val="none"/>
          <w14:textFill>
            <w14:solidFill>
              <w14:schemeClr w14:val="tx1"/>
            </w14:solidFill>
          </w14:textFill>
        </w:rPr>
        <w:t>及以上</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494</w:t>
      </w:r>
      <w:r>
        <w:rPr>
          <w:rFonts w:hint="default" w:ascii="Times New Roman" w:hAnsi="Times New Roman" w:eastAsia="方正仿宋_GBK" w:cs="Times New Roman"/>
          <w:color w:val="000000" w:themeColor="text1"/>
          <w:sz w:val="32"/>
          <w:szCs w:val="32"/>
          <w:u w:val="none"/>
          <w14:textFill>
            <w14:solidFill>
              <w14:schemeClr w14:val="tx1"/>
            </w14:solidFill>
          </w14:textFill>
        </w:rPr>
        <w:t>人，执业护士</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461</w:t>
      </w:r>
      <w:r>
        <w:rPr>
          <w:rFonts w:hint="default" w:ascii="Times New Roman" w:hAnsi="Times New Roman" w:eastAsia="方正仿宋_GBK" w:cs="Times New Roman"/>
          <w:color w:val="000000" w:themeColor="text1"/>
          <w:sz w:val="32"/>
          <w:szCs w:val="32"/>
          <w:u w:val="none"/>
          <w14:textFill>
            <w14:solidFill>
              <w14:schemeClr w14:val="tx1"/>
            </w14:solidFill>
          </w14:textFill>
        </w:rPr>
        <w:t>人，检验士</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38</w:t>
      </w:r>
      <w:r>
        <w:rPr>
          <w:rFonts w:hint="default" w:ascii="Times New Roman" w:hAnsi="Times New Roman" w:eastAsia="方正仿宋_GBK" w:cs="Times New Roman"/>
          <w:color w:val="000000" w:themeColor="text1"/>
          <w:sz w:val="32"/>
          <w:szCs w:val="32"/>
          <w:u w:val="none"/>
          <w14:textFill>
            <w14:solidFill>
              <w14:schemeClr w14:val="tx1"/>
            </w14:solidFill>
          </w14:textFill>
        </w:rPr>
        <w:t>人，药剂士</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77</w:t>
      </w:r>
      <w:r>
        <w:rPr>
          <w:rFonts w:hint="default" w:ascii="Times New Roman" w:hAnsi="Times New Roman" w:eastAsia="方正仿宋_GBK" w:cs="Times New Roman"/>
          <w:color w:val="000000" w:themeColor="text1"/>
          <w:sz w:val="32"/>
          <w:szCs w:val="32"/>
          <w:u w:val="none"/>
          <w14:textFill>
            <w14:solidFill>
              <w14:schemeClr w14:val="tx1"/>
            </w14:solidFill>
          </w14:textFill>
        </w:rPr>
        <w:t>人</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。截止</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2021年</w:t>
      </w:r>
      <w:r>
        <w:rPr>
          <w:rFonts w:hint="default" w:ascii="Times New Roman" w:hAnsi="Times New Roman" w:eastAsia="方正仿宋_GBK" w:cs="Times New Roman"/>
          <w:color w:val="000000" w:themeColor="text1"/>
          <w:sz w:val="32"/>
          <w:szCs w:val="32"/>
          <w:u w:val="none"/>
          <w14:textFill>
            <w14:solidFill>
              <w14:schemeClr w14:val="tx1"/>
            </w14:solidFill>
          </w14:textFill>
        </w:rPr>
        <w:t>底，全县医疗卫生单位领导成员</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56</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人</w:t>
      </w:r>
      <w:r>
        <w:rPr>
          <w:rFonts w:hint="default" w:ascii="Times New Roman" w:hAnsi="Times New Roman" w:eastAsia="方正仿宋_GBK" w:cs="Times New Roman"/>
          <w:color w:val="000000" w:themeColor="text1"/>
          <w:sz w:val="32"/>
          <w:szCs w:val="32"/>
          <w:u w:val="none"/>
          <w14:textFill>
            <w14:solidFill>
              <w14:schemeClr w14:val="tx1"/>
            </w14:solidFill>
          </w14:textFill>
        </w:rPr>
        <w:t>，平均年龄3</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u w:val="none"/>
          <w14:textFill>
            <w14:solidFill>
              <w14:schemeClr w14:val="tx1"/>
            </w14:solidFill>
          </w14:textFill>
        </w:rPr>
        <w:t>岁，均具备专科及以上学历和规定执业资格，其中副高级职称</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6人</w:t>
      </w:r>
      <w:r>
        <w:rPr>
          <w:rFonts w:hint="default" w:ascii="Times New Roman" w:hAnsi="Times New Roman" w:eastAsia="方正仿宋_GBK" w:cs="Times New Roman"/>
          <w:color w:val="000000" w:themeColor="text1"/>
          <w:sz w:val="32"/>
          <w:szCs w:val="32"/>
          <w:u w:val="none"/>
          <w14:textFill>
            <w14:solidFill>
              <w14:schemeClr w14:val="tx1"/>
            </w14:solidFill>
          </w14:textFill>
        </w:rPr>
        <w:t>，中级职称</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20人。</w:t>
      </w:r>
      <w:r>
        <w:rPr>
          <w:rFonts w:hint="default" w:ascii="Times New Roman" w:hAnsi="Times New Roman" w:eastAsia="方正仿宋_GBK" w:cs="Times New Roman"/>
          <w:color w:val="000000" w:themeColor="text1"/>
          <w:sz w:val="32"/>
          <w:szCs w:val="32"/>
          <w:u w:val="none"/>
          <w14:textFill>
            <w14:solidFill>
              <w14:schemeClr w14:val="tx1"/>
            </w14:solidFill>
          </w14:textFill>
        </w:rPr>
        <w:t>医务人员数量和结构有了明显优化</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基础设施建设不断完善，</w:t>
      </w: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实现有地方</w:t>
      </w: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有</w:t>
      </w:r>
      <w:r>
        <w:rPr>
          <w:rFonts w:hint="default" w:ascii="Times New Roman" w:hAnsi="Times New Roman" w:eastAsia="方正仿宋_GBK" w:cs="Times New Roman"/>
          <w:b/>
          <w:bCs/>
          <w:color w:val="000000" w:themeColor="text1"/>
          <w:sz w:val="32"/>
          <w:szCs w:val="32"/>
          <w:u w:val="none"/>
          <w14:textFill>
            <w14:solidFill>
              <w14:schemeClr w14:val="tx1"/>
            </w14:solidFill>
          </w14:textFill>
        </w:rPr>
        <w:t>看病</w:t>
      </w:r>
      <w:r>
        <w:rPr>
          <w:rFonts w:hint="default" w:ascii="Times New Roman" w:hAnsi="Times New Roman" w:eastAsia="方正仿宋_GBK" w:cs="Times New Roman"/>
          <w:color w:val="000000" w:themeColor="text1"/>
          <w:sz w:val="32"/>
          <w:szCs w:val="32"/>
          <w:u w:val="none"/>
          <w14:textFill>
            <w14:solidFill>
              <w14:schemeClr w14:val="tx1"/>
            </w14:solidFill>
          </w14:textFill>
        </w:rPr>
        <w:t>。新建县人民医院住院综合楼、县疾控中心、县精卫中心、周溪、明中、沿河、河鱼</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、治平</w:t>
      </w:r>
      <w:r>
        <w:rPr>
          <w:rFonts w:hint="default" w:ascii="Times New Roman" w:hAnsi="Times New Roman" w:eastAsia="方正仿宋_GBK" w:cs="Times New Roman"/>
          <w:color w:val="000000" w:themeColor="text1"/>
          <w:sz w:val="32"/>
          <w:szCs w:val="32"/>
          <w:u w:val="none"/>
          <w14:textFill>
            <w14:solidFill>
              <w14:schemeClr w14:val="tx1"/>
            </w14:solidFill>
          </w14:textFill>
        </w:rPr>
        <w:t>等卫生院；启动县妇幼保健院迁建；完成高观、修齐等13个乡镇卫生院的维修改造；新增业务用房6.5万平方米，维修改造业务用房达2万多平方米</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完成了125个村卫生室的标准改造工作，为患者提供一个比较舒适的就医环境。医疗设备配置不断提高，</w:t>
      </w: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实现有设备看病</w:t>
      </w:r>
      <w:r>
        <w:rPr>
          <w:rFonts w:hint="default" w:ascii="Times New Roman" w:hAnsi="Times New Roman" w:eastAsia="方正仿宋_GBK" w:cs="Times New Roman"/>
          <w:color w:val="000000" w:themeColor="text1"/>
          <w:sz w:val="32"/>
          <w:szCs w:val="32"/>
          <w:u w:val="none"/>
          <w14:textFill>
            <w14:solidFill>
              <w14:schemeClr w14:val="tx1"/>
            </w14:solidFill>
          </w14:textFill>
        </w:rPr>
        <w:t>。县级医院配置</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1.5T</w:t>
      </w:r>
      <w:r>
        <w:rPr>
          <w:rFonts w:hint="default" w:ascii="Times New Roman" w:hAnsi="Times New Roman" w:eastAsia="方正仿宋_GBK" w:cs="Times New Roman"/>
          <w:color w:val="000000" w:themeColor="text1"/>
          <w:sz w:val="32"/>
          <w:szCs w:val="32"/>
          <w:u w:val="none"/>
          <w14:textFill>
            <w14:solidFill>
              <w14:schemeClr w14:val="tx1"/>
            </w14:solidFill>
          </w14:textFill>
        </w:rPr>
        <w:t>核磁共振、80排</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160层螺旋</w:t>
      </w:r>
      <w:r>
        <w:rPr>
          <w:rFonts w:hint="default" w:ascii="Times New Roman" w:hAnsi="Times New Roman" w:eastAsia="方正仿宋_GBK" w:cs="Times New Roman"/>
          <w:color w:val="000000" w:themeColor="text1"/>
          <w:sz w:val="32"/>
          <w:szCs w:val="32"/>
          <w:u w:val="none"/>
          <w14:textFill>
            <w14:solidFill>
              <w14:schemeClr w14:val="tx1"/>
            </w14:solidFill>
          </w14:textFill>
        </w:rPr>
        <w:t>CT、DSA</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（数字减影血管造影）</w:t>
      </w:r>
      <w:r>
        <w:rPr>
          <w:rFonts w:hint="default" w:ascii="Times New Roman" w:hAnsi="Times New Roman" w:eastAsia="方正仿宋_GBK" w:cs="Times New Roman"/>
          <w:color w:val="000000" w:themeColor="text1"/>
          <w:sz w:val="32"/>
          <w:szCs w:val="32"/>
          <w:u w:val="none"/>
          <w14:textFill>
            <w14:solidFill>
              <w14:schemeClr w14:val="tx1"/>
            </w14:solidFill>
          </w14:textFill>
        </w:rPr>
        <w:t>等高新数字化医疗设备，设置负压手术室和负压病房，配置负压120救护车，医疗设备总值超过2亿元。县疾控中心投资2000多万元强化实验室能力建设。投资4000多万元为乡镇卫生院购置DR、彩超、全自动生化分析仪、血球分析仪、全自动电解质分析仪等数字化医疗设备。远程医疗服务能力不断提升，</w:t>
      </w: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实现有专家看病</w:t>
      </w:r>
      <w:r>
        <w:rPr>
          <w:rFonts w:hint="default" w:ascii="Times New Roman" w:hAnsi="Times New Roman" w:eastAsia="方正仿宋_GBK" w:cs="Times New Roman"/>
          <w:color w:val="000000" w:themeColor="text1"/>
          <w:sz w:val="32"/>
          <w:szCs w:val="32"/>
          <w:u w:val="none"/>
          <w14:textFill>
            <w14:solidFill>
              <w14:schemeClr w14:val="tx1"/>
            </w14:solidFill>
          </w14:textFill>
        </w:rPr>
        <w:t>。建成上与三甲医院如北京协和、重医附一院、山东临沂中心医院等，下与乡镇卫生院及部分村卫生室相通的远程会诊、远程心电、远程病例讨论等</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互联网+医疗服务</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，实现了互联网与医疗服务深度融合。医疗服务质量不断提升，</w:t>
      </w: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实现就近看得好病</w:t>
      </w:r>
      <w:r>
        <w:rPr>
          <w:rFonts w:hint="default" w:ascii="Times New Roman" w:hAnsi="Times New Roman" w:eastAsia="方正仿宋_GBK" w:cs="Times New Roman"/>
          <w:color w:val="000000" w:themeColor="text1"/>
          <w:sz w:val="32"/>
          <w:szCs w:val="32"/>
          <w:u w:val="none"/>
          <w14:textFill>
            <w14:solidFill>
              <w14:schemeClr w14:val="tx1"/>
            </w14:solidFill>
          </w14:textFill>
        </w:rPr>
        <w:t>。基层医疗机构就诊率达到65.3%，九成患者留在县域内，群众看病就医更加方便，药占比大幅降低，群众看病就医经济负担明显减轻。</w:t>
      </w:r>
    </w:p>
    <w:p>
      <w:pPr>
        <w:keepNext w:val="0"/>
        <w:keepLines w:val="0"/>
        <w:pageBreakBefore w:val="0"/>
        <w:numPr>
          <w:ilvl w:val="0"/>
          <w:numId w:val="0"/>
        </w:numPr>
        <w:kinsoku/>
        <w:wordWrap/>
        <w:overflowPunct w:val="0"/>
        <w:topLinePunct w:val="0"/>
        <w:autoSpaceDE/>
        <w:autoSpaceDN/>
        <w:bidi w:val="0"/>
        <w:spacing w:line="560" w:lineRule="exact"/>
        <w:ind w:firstLine="632" w:firstLineChars="200"/>
        <w:textAlignment w:val="auto"/>
        <w:rPr>
          <w:rFonts w:hint="default" w:ascii="Times New Roman" w:hAnsi="Times New Roman" w:eastAsia="方正楷体_GBK" w:cs="Times New Roman"/>
          <w:color w:val="000000" w:themeColor="text1"/>
          <w:sz w:val="32"/>
          <w:szCs w:val="32"/>
          <w:u w:val="none"/>
          <w14:textFill>
            <w14:solidFill>
              <w14:schemeClr w14:val="tx1"/>
            </w14:solidFill>
          </w14:textFill>
        </w:rPr>
      </w:pPr>
      <w:r>
        <w:rPr>
          <w:rFonts w:hint="eastAsia" w:eastAsia="方正楷体_GBK" w:cs="Times New Roman"/>
          <w:color w:val="000000" w:themeColor="text1"/>
          <w:sz w:val="32"/>
          <w:szCs w:val="32"/>
          <w:u w:val="none"/>
          <w:lang w:eastAsia="zh-CN"/>
          <w14:textFill>
            <w14:solidFill>
              <w14:schemeClr w14:val="tx1"/>
            </w14:solidFill>
          </w14:textFill>
        </w:rPr>
        <w:t>（四）</w:t>
      </w:r>
      <w:r>
        <w:rPr>
          <w:rFonts w:hint="default" w:ascii="Times New Roman" w:hAnsi="Times New Roman" w:eastAsia="方正楷体_GBK" w:cs="Times New Roman"/>
          <w:color w:val="000000" w:themeColor="text1"/>
          <w:sz w:val="32"/>
          <w:szCs w:val="32"/>
          <w:u w:val="none"/>
          <w14:textFill>
            <w14:solidFill>
              <w14:schemeClr w14:val="tx1"/>
            </w14:solidFill>
          </w14:textFill>
        </w:rPr>
        <w:t>健康扶贫成效显著</w:t>
      </w:r>
    </w:p>
    <w:p>
      <w:pPr>
        <w:keepNext w:val="0"/>
        <w:keepLines w:val="0"/>
        <w:pageBreakBefore w:val="0"/>
        <w:kinsoku/>
        <w:wordWrap/>
        <w:topLinePunct w:val="0"/>
        <w:autoSpaceDE/>
        <w:autoSpaceDN/>
        <w:bidi w:val="0"/>
        <w:adjustRightInd w:val="0"/>
        <w:snapToGrid w:val="0"/>
        <w:spacing w:line="560" w:lineRule="exact"/>
        <w:ind w:firstLine="632"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十三五</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期间，始终高举</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健康扶贫统揽卫生健康工作的旗子</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。助推</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三建好、三达标、三合格</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实现群众就近看得上病、看得好病、看得起病。累计投入扶贫资金5600万元，不断改变办医办院条件，提升了看准病用对药的能力。采取</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一严格，五合理，一考核</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的控制医药费用不合理增长措施，极大地减轻群众看病就医负担。在全面落实贫困人口全市</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七重保障</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的基础之上，实施</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三项措施</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落实贫困人口基本医疗有保障，建立健康扶贫托底医疗救助，投入扶贫资金</w:t>
      </w:r>
      <w:r>
        <w:rPr>
          <w:rFonts w:hint="eastAsia" w:eastAsia="方正仿宋_GBK" w:cs="Times New Roman"/>
          <w:color w:val="000000" w:themeColor="text1"/>
          <w:sz w:val="32"/>
          <w:szCs w:val="32"/>
          <w:u w:val="none"/>
          <w:lang w:val="en-US" w:eastAsia="zh-CN"/>
          <w14:textFill>
            <w14:solidFill>
              <w14:schemeClr w14:val="tx1"/>
            </w14:solidFill>
          </w14:textFill>
        </w:rPr>
        <w:t>3750</w:t>
      </w:r>
      <w:r>
        <w:rPr>
          <w:rFonts w:hint="default" w:ascii="Times New Roman" w:hAnsi="Times New Roman" w:eastAsia="方正仿宋_GBK" w:cs="Times New Roman"/>
          <w:color w:val="000000" w:themeColor="text1"/>
          <w:sz w:val="32"/>
          <w:szCs w:val="32"/>
          <w:u w:val="none"/>
          <w14:textFill>
            <w14:solidFill>
              <w14:schemeClr w14:val="tx1"/>
            </w14:solidFill>
          </w14:textFill>
        </w:rPr>
        <w:t>万元，累计救助贫困群众</w:t>
      </w:r>
      <w:r>
        <w:rPr>
          <w:rFonts w:hint="eastAsia" w:eastAsia="方正仿宋_GBK" w:cs="Times New Roman"/>
          <w:color w:val="000000" w:themeColor="text1"/>
          <w:sz w:val="32"/>
          <w:szCs w:val="32"/>
          <w:u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u w:val="none"/>
          <w14:textFill>
            <w14:solidFill>
              <w14:schemeClr w14:val="tx1"/>
            </w14:solidFill>
          </w14:textFill>
        </w:rPr>
        <w:t>万多人次，住院自付比例控制在9.98%，门诊慢性病和重大疾病自付比例控制在19.55%；建立临时医疗救助，投入扶贫资金</w:t>
      </w:r>
      <w:r>
        <w:rPr>
          <w:rFonts w:hint="eastAsia" w:eastAsia="方正仿宋_GBK" w:cs="Times New Roman"/>
          <w:color w:val="000000" w:themeColor="text1"/>
          <w:sz w:val="32"/>
          <w:szCs w:val="32"/>
          <w:u w:val="none"/>
          <w:lang w:val="en-US" w:eastAsia="zh-CN"/>
          <w14:textFill>
            <w14:solidFill>
              <w14:schemeClr w14:val="tx1"/>
            </w14:solidFill>
          </w14:textFill>
        </w:rPr>
        <w:t>1200</w:t>
      </w:r>
      <w:r>
        <w:rPr>
          <w:rFonts w:hint="default" w:ascii="Times New Roman" w:hAnsi="Times New Roman" w:eastAsia="方正仿宋_GBK" w:cs="Times New Roman"/>
          <w:color w:val="000000" w:themeColor="text1"/>
          <w:sz w:val="32"/>
          <w:szCs w:val="32"/>
          <w:u w:val="none"/>
          <w14:textFill>
            <w14:solidFill>
              <w14:schemeClr w14:val="tx1"/>
            </w14:solidFill>
          </w14:textFill>
        </w:rPr>
        <w:t>万元，累计救助困难群众</w:t>
      </w:r>
      <w:r>
        <w:rPr>
          <w:rFonts w:hint="eastAsia" w:eastAsia="方正仿宋_GBK" w:cs="Times New Roman"/>
          <w:color w:val="000000" w:themeColor="text1"/>
          <w:sz w:val="32"/>
          <w:szCs w:val="32"/>
          <w:u w:val="none"/>
          <w:lang w:val="en-US" w:eastAsia="zh-CN"/>
          <w14:textFill>
            <w14:solidFill>
              <w14:schemeClr w14:val="tx1"/>
            </w14:solidFill>
          </w14:textFill>
        </w:rPr>
        <w:t>1940</w:t>
      </w:r>
      <w:r>
        <w:rPr>
          <w:rFonts w:hint="default" w:ascii="Times New Roman" w:hAnsi="Times New Roman" w:eastAsia="方正仿宋_GBK" w:cs="Times New Roman"/>
          <w:color w:val="000000" w:themeColor="text1"/>
          <w:sz w:val="32"/>
          <w:szCs w:val="32"/>
          <w:u w:val="none"/>
          <w14:textFill>
            <w14:solidFill>
              <w14:schemeClr w14:val="tx1"/>
            </w14:solidFill>
          </w14:textFill>
        </w:rPr>
        <w:t>余人次，建立尘肺病医疗救助，投入扶贫资金</w:t>
      </w:r>
      <w:r>
        <w:rPr>
          <w:rFonts w:hint="eastAsia" w:eastAsia="方正仿宋_GBK" w:cs="Times New Roman"/>
          <w:color w:val="000000" w:themeColor="text1"/>
          <w:sz w:val="32"/>
          <w:szCs w:val="32"/>
          <w:u w:val="none"/>
          <w:lang w:val="en-US" w:eastAsia="zh-CN"/>
          <w14:textFill>
            <w14:solidFill>
              <w14:schemeClr w14:val="tx1"/>
            </w14:solidFill>
          </w14:textFill>
        </w:rPr>
        <w:t>1800</w:t>
      </w:r>
      <w:r>
        <w:rPr>
          <w:rFonts w:hint="default" w:ascii="Times New Roman" w:hAnsi="Times New Roman" w:eastAsia="方正仿宋_GBK" w:cs="Times New Roman"/>
          <w:color w:val="000000" w:themeColor="text1"/>
          <w:sz w:val="32"/>
          <w:szCs w:val="32"/>
          <w:u w:val="none"/>
          <w14:textFill>
            <w14:solidFill>
              <w14:schemeClr w14:val="tx1"/>
            </w14:solidFill>
          </w14:textFill>
        </w:rPr>
        <w:t>万元，针对尘肺病患者实施每年一次免费体检、提供免费抗纤维化治疗、家庭医生签约服务、家庭康养等</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医疗服务</w:t>
      </w:r>
      <w:r>
        <w:rPr>
          <w:rFonts w:hint="default" w:ascii="Times New Roman" w:hAnsi="Times New Roman" w:eastAsia="方正仿宋_GBK" w:cs="Times New Roman"/>
          <w:color w:val="000000" w:themeColor="text1"/>
          <w:sz w:val="32"/>
          <w:szCs w:val="32"/>
          <w:u w:val="none"/>
          <w14:textFill>
            <w14:solidFill>
              <w14:schemeClr w14:val="tx1"/>
            </w14:solidFill>
          </w14:textFill>
        </w:rPr>
        <w:t>，惠及尘肺病患者3800余名，率先开展</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尘肺病康复站建设</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全国试点工作，</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承办全市尘肺病康复工作现场会，</w:t>
      </w:r>
      <w:r>
        <w:rPr>
          <w:rFonts w:hint="default" w:ascii="Times New Roman" w:hAnsi="Times New Roman" w:eastAsia="方正仿宋_GBK" w:cs="Times New Roman"/>
          <w:color w:val="000000" w:themeColor="text1"/>
          <w:spacing w:val="7"/>
          <w:sz w:val="32"/>
          <w:szCs w:val="32"/>
          <w:u w:val="none"/>
          <w:shd w:val="clear" w:color="auto" w:fill="FFFFFF"/>
          <w14:textFill>
            <w14:solidFill>
              <w14:schemeClr w14:val="tx1"/>
            </w14:solidFill>
          </w14:textFill>
        </w:rPr>
        <w:t>市内区县、湖南攸县和四川广元等地</w:t>
      </w:r>
      <w:r>
        <w:rPr>
          <w:rFonts w:hint="default" w:ascii="Times New Roman" w:hAnsi="Times New Roman" w:eastAsia="方正仿宋_GBK" w:cs="Times New Roman"/>
          <w:color w:val="000000" w:themeColor="text1"/>
          <w:spacing w:val="7"/>
          <w:sz w:val="32"/>
          <w:szCs w:val="32"/>
          <w:u w:val="none"/>
          <w:shd w:val="clear" w:color="auto" w:fill="FFFFFF"/>
          <w:lang w:eastAsia="zh-CN"/>
          <w14:textFill>
            <w14:solidFill>
              <w14:schemeClr w14:val="tx1"/>
            </w14:solidFill>
          </w14:textFill>
        </w:rPr>
        <w:t>多次到</w:t>
      </w:r>
      <w:r>
        <w:rPr>
          <w:rFonts w:hint="default" w:ascii="Times New Roman" w:hAnsi="Times New Roman" w:eastAsia="方正仿宋_GBK" w:cs="Times New Roman"/>
          <w:color w:val="000000" w:themeColor="text1"/>
          <w:spacing w:val="7"/>
          <w:sz w:val="32"/>
          <w:szCs w:val="32"/>
          <w:u w:val="none"/>
          <w:shd w:val="clear" w:color="auto" w:fill="FFFFFF"/>
          <w14:textFill>
            <w14:solidFill>
              <w14:schemeClr w14:val="tx1"/>
            </w14:solidFill>
          </w14:textFill>
        </w:rPr>
        <w:t>城口考察学习。通过五年来的综合施策，</w:t>
      </w:r>
      <w:r>
        <w:rPr>
          <w:rFonts w:hint="default" w:ascii="Times New Roman" w:hAnsi="Times New Roman" w:eastAsia="方正仿宋_GBK" w:cs="Times New Roman"/>
          <w:color w:val="000000" w:themeColor="text1"/>
          <w:sz w:val="32"/>
          <w:szCs w:val="32"/>
          <w:u w:val="none"/>
          <w14:textFill>
            <w14:solidFill>
              <w14:schemeClr w14:val="tx1"/>
            </w14:solidFill>
          </w14:textFill>
        </w:rPr>
        <w:t>全面实现脱贫攻坚初期1.7万余名因病致贫人员基本医疗有保障。</w:t>
      </w:r>
    </w:p>
    <w:p>
      <w:pPr>
        <w:keepNext w:val="0"/>
        <w:keepLines w:val="0"/>
        <w:pageBreakBefore w:val="0"/>
        <w:kinsoku/>
        <w:wordWrap/>
        <w:topLinePunct w:val="0"/>
        <w:autoSpaceDE/>
        <w:autoSpaceDN/>
        <w:bidi w:val="0"/>
        <w:spacing w:line="560" w:lineRule="exact"/>
        <w:ind w:firstLine="632" w:firstLineChars="200"/>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（五）县域</w:t>
      </w:r>
      <w:r>
        <w:rPr>
          <w:rFonts w:hint="eastAsia" w:eastAsia="方正楷体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三通</w:t>
      </w:r>
      <w:r>
        <w:rPr>
          <w:rFonts w:hint="eastAsia" w:eastAsia="方正楷体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医共体建设有序推进</w:t>
      </w:r>
    </w:p>
    <w:p>
      <w:pPr>
        <w:keepNext w:val="0"/>
        <w:keepLines w:val="0"/>
        <w:pageBreakBefore w:val="0"/>
        <w:kinsoku/>
        <w:wordWrap/>
        <w:topLinePunct w:val="0"/>
        <w:autoSpaceDE/>
        <w:autoSpaceDN/>
        <w:bidi w:val="0"/>
        <w:adjustRightInd w:val="0"/>
        <w:snapToGrid w:val="0"/>
        <w:spacing w:line="560" w:lineRule="exact"/>
        <w:ind w:firstLine="660" w:firstLineChars="200"/>
        <w:textAlignment w:val="auto"/>
        <w:rPr>
          <w:rFonts w:hint="eastAsia" w:ascii="Times New Roman" w:hAnsi="Times New Roman" w:eastAsia="方正仿宋_GBK" w:cs="Times New Roman"/>
          <w:color w:val="000000" w:themeColor="text1"/>
          <w:spacing w:val="7"/>
          <w:sz w:val="32"/>
          <w:szCs w:val="32"/>
          <w:u w:val="none"/>
          <w:shd w:val="clear" w:color="auto" w:fill="FFFFFF"/>
          <w:lang w:eastAsia="zh-CN"/>
          <w14:textFill>
            <w14:solidFill>
              <w14:schemeClr w14:val="tx1"/>
            </w14:solidFill>
          </w14:textFill>
        </w:rPr>
      </w:pPr>
      <w:r>
        <w:rPr>
          <w:rFonts w:hint="eastAsia" w:ascii="Times New Roman" w:hAnsi="Times New Roman" w:eastAsia="方正仿宋_GBK" w:cs="Times New Roman"/>
          <w:color w:val="000000" w:themeColor="text1"/>
          <w:spacing w:val="7"/>
          <w:sz w:val="32"/>
          <w:szCs w:val="32"/>
          <w:u w:val="none"/>
          <w:shd w:val="clear" w:color="auto" w:fill="FFFFFF"/>
          <w14:textFill>
            <w14:solidFill>
              <w14:schemeClr w14:val="tx1"/>
            </w14:solidFill>
          </w14:textFill>
        </w:rPr>
        <w:t>深化医药卫生体制改革，优化医疗卫生资源，通过</w:t>
      </w:r>
      <w:r>
        <w:rPr>
          <w:rFonts w:hint="eastAsia" w:eastAsia="方正仿宋_GBK" w:cs="Times New Roman"/>
          <w:color w:val="000000" w:themeColor="text1"/>
          <w:spacing w:val="7"/>
          <w:sz w:val="32"/>
          <w:szCs w:val="32"/>
          <w:u w:val="none"/>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spacing w:val="7"/>
          <w:sz w:val="32"/>
          <w:szCs w:val="32"/>
          <w:u w:val="none"/>
          <w:shd w:val="clear" w:color="auto" w:fill="FFFFFF"/>
          <w14:textFill>
            <w14:solidFill>
              <w14:schemeClr w14:val="tx1"/>
            </w14:solidFill>
          </w14:textFill>
        </w:rPr>
        <w:t>医通、人通、财通</w:t>
      </w:r>
      <w:r>
        <w:rPr>
          <w:rFonts w:hint="eastAsia" w:eastAsia="方正仿宋_GBK" w:cs="Times New Roman"/>
          <w:color w:val="000000" w:themeColor="text1"/>
          <w:spacing w:val="7"/>
          <w:sz w:val="32"/>
          <w:szCs w:val="32"/>
          <w:u w:val="none"/>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spacing w:val="7"/>
          <w:sz w:val="32"/>
          <w:szCs w:val="32"/>
          <w:u w:val="none"/>
          <w:shd w:val="clear" w:color="auto" w:fill="FFFFFF"/>
          <w14:textFill>
            <w14:solidFill>
              <w14:schemeClr w14:val="tx1"/>
            </w14:solidFill>
          </w14:textFill>
        </w:rPr>
        <w:t>实现错位发展和抱团发展，实现医疗卫生资源纵向横向优化整合，着力打造“供给足、环境美、服务优、上下联、信息通、医防融”的新型医疗卫生服务体系。整合卫生资源，依托城口县县级公立医院和县疾病预防控制机构，辐射毗邻区县，提高重大传染病预防控制和医疗救治水平，提高群众健康素养水平，实现健康中国重庆实践核心指标高于全市平均水平，为全县经济社会高质量发展和为全县群众提供高品质生活奠定健康基础。</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（六）中医药事业统筹加快实施</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根据《重庆市中医事业发展</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十三五</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规划》文件精神，我县以县中医医院作为中医事业发展的龙头单位，基层医疗机构以基层中医药服务能力提升工程</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十三五</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行动计划为目标，紧抓</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中</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字不放，我县中医事业发展迈上了新的台阶</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已建成市级中医重点专科3个、正在建设市级中医重点专科1个，基层医疗机构正在建设精品中医馆1个，市级重点专科3个，中医医疗服务比重上升，县中医医院年诊疗量占全县医院总诊疗量 17.56%（较</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十二五</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期间上升5.34%），基层医疗机构中医诊疗人次比重达到 30.91%左右。建立</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内训外修</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培训机制，与山东省临沂市中医医院东西部协作、重庆市中医院等上级医院为平台，加强中医药人才培养，通过中医药</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师带徒</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专项培训、名老中医传承室等方式进行中医药人才培训。5年期间培养中医骨干人才17名、实用型中医药人才55名，基层人才（村医）125名，中医专科护士培训2名，3人参加了中医类别住院（全科）医师规范化培训，名老中医传承继承人6名，重庆市第三批中医药专家学术经验继承工作项目8名。</w:t>
      </w:r>
    </w:p>
    <w:p>
      <w:pPr>
        <w:keepNext w:val="0"/>
        <w:keepLines w:val="0"/>
        <w:pageBreakBefore w:val="0"/>
        <w:numPr>
          <w:ilvl w:val="0"/>
          <w:numId w:val="0"/>
        </w:numPr>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方正楷体_GBK" w:cs="Times New Roman"/>
          <w:color w:val="auto"/>
          <w:sz w:val="32"/>
          <w:szCs w:val="32"/>
          <w:u w:val="none"/>
          <w:lang w:eastAsia="zh-CN"/>
        </w:rPr>
      </w:pPr>
      <w:r>
        <w:rPr>
          <w:rFonts w:hint="eastAsia" w:eastAsia="方正楷体_GBK" w:cs="Times New Roman"/>
          <w:color w:val="auto"/>
          <w:sz w:val="32"/>
          <w:szCs w:val="32"/>
          <w:u w:val="none"/>
          <w:lang w:eastAsia="zh-CN"/>
        </w:rPr>
        <w:t>（七）</w:t>
      </w:r>
      <w:r>
        <w:rPr>
          <w:rFonts w:hint="default" w:ascii="Times New Roman" w:hAnsi="Times New Roman" w:eastAsia="方正楷体_GBK" w:cs="Times New Roman"/>
          <w:color w:val="auto"/>
          <w:sz w:val="32"/>
          <w:szCs w:val="32"/>
          <w:u w:val="none"/>
          <w:lang w:eastAsia="zh-CN"/>
        </w:rPr>
        <w:t>全力以赴防控阻击新冠肺炎疫情</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lang w:val="en-US" w:eastAsia="zh-CN"/>
        </w:rPr>
        <w:t>强化组织保障。</w:t>
      </w:r>
      <w:r>
        <w:rPr>
          <w:rFonts w:hint="default" w:ascii="Times New Roman" w:hAnsi="Times New Roman" w:eastAsia="方正仿宋_GBK" w:cs="Times New Roman"/>
          <w:color w:val="auto"/>
          <w:sz w:val="32"/>
          <w:szCs w:val="32"/>
          <w:u w:val="none"/>
        </w:rPr>
        <w:t>保持应急指挥体系持续运转</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坚持实行双组长制和指挥长负责制，县委县政府主要领导亲自指挥调度。不断完善联防联控、闭环管控机制，压实</w:t>
      </w:r>
      <w:r>
        <w:rPr>
          <w:rFonts w:hint="eastAsia"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四方</w:t>
      </w:r>
      <w:r>
        <w:rPr>
          <w:rFonts w:hint="eastAsia"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责任</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建立健全工作专班。对照市新冠肺炎疫情防控领导小组指挥体系，</w:t>
      </w:r>
      <w:r>
        <w:rPr>
          <w:rFonts w:hint="default" w:ascii="Times New Roman" w:hAnsi="Times New Roman" w:eastAsia="方正仿宋_GBK" w:cs="Times New Roman"/>
          <w:color w:val="auto"/>
          <w:sz w:val="32"/>
          <w:szCs w:val="32"/>
          <w:u w:val="none"/>
          <w:lang w:val="en-US" w:eastAsia="zh-CN"/>
        </w:rPr>
        <w:t>建立疫情防控应急响应指挥体系及</w:t>
      </w:r>
      <w:r>
        <w:rPr>
          <w:rFonts w:hint="default" w:ascii="Times New Roman" w:hAnsi="Times New Roman" w:eastAsia="方正仿宋_GBK" w:cs="Times New Roman"/>
          <w:color w:val="auto"/>
          <w:sz w:val="32"/>
          <w:szCs w:val="32"/>
          <w:u w:val="none"/>
        </w:rPr>
        <w:t>专项工作组</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疫情防控期间</w:t>
      </w:r>
      <w:r>
        <w:rPr>
          <w:rFonts w:hint="default" w:ascii="Times New Roman" w:hAnsi="Times New Roman" w:eastAsia="方正仿宋_GBK" w:cs="Times New Roman"/>
          <w:color w:val="auto"/>
          <w:sz w:val="32"/>
          <w:szCs w:val="32"/>
          <w:u w:val="none"/>
          <w:lang w:val="en-US" w:eastAsia="zh-CN"/>
        </w:rPr>
        <w:t>实行</w:t>
      </w:r>
      <w:r>
        <w:rPr>
          <w:rFonts w:hint="default" w:ascii="Times New Roman" w:hAnsi="Times New Roman" w:eastAsia="方正仿宋_GBK" w:cs="Times New Roman"/>
          <w:color w:val="auto"/>
          <w:sz w:val="32"/>
          <w:szCs w:val="32"/>
          <w:u w:val="none"/>
        </w:rPr>
        <w:t>政务值班工作</w:t>
      </w:r>
      <w:r>
        <w:rPr>
          <w:rFonts w:hint="default" w:ascii="Times New Roman" w:hAnsi="Times New Roman" w:eastAsia="方正仿宋_GBK" w:cs="Times New Roman"/>
          <w:color w:val="auto"/>
          <w:sz w:val="32"/>
          <w:szCs w:val="32"/>
          <w:u w:val="none"/>
          <w:lang w:val="en-US" w:eastAsia="zh-CN"/>
        </w:rPr>
        <w:t>制</w:t>
      </w:r>
      <w:r>
        <w:rPr>
          <w:rFonts w:hint="default" w:ascii="Times New Roman" w:hAnsi="Times New Roman" w:eastAsia="方正仿宋_GBK" w:cs="Times New Roman"/>
          <w:color w:val="auto"/>
          <w:sz w:val="32"/>
          <w:szCs w:val="32"/>
          <w:u w:val="none"/>
        </w:rPr>
        <w:t>，保持24小时值班值守</w:t>
      </w:r>
      <w:r>
        <w:rPr>
          <w:rFonts w:hint="eastAsia"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严格执行</w:t>
      </w:r>
      <w:r>
        <w:rPr>
          <w:rFonts w:hint="eastAsia"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日报告</w:t>
      </w:r>
      <w:r>
        <w:rPr>
          <w:rFonts w:hint="eastAsia"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和</w:t>
      </w:r>
      <w:r>
        <w:rPr>
          <w:rFonts w:hint="eastAsia"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零报告</w:t>
      </w:r>
      <w:r>
        <w:rPr>
          <w:rFonts w:hint="eastAsia"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制度，确保发生疫情后第一时间启动应急处置。</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规范设置管理。</w:t>
      </w:r>
      <w:r>
        <w:rPr>
          <w:rFonts w:hint="default" w:ascii="Times New Roman" w:hAnsi="Times New Roman" w:eastAsia="方正仿宋_GBK" w:cs="Times New Roman"/>
          <w:color w:val="auto"/>
          <w:sz w:val="32"/>
          <w:szCs w:val="32"/>
          <w:u w:val="none"/>
          <w:lang w:val="en-US" w:eastAsia="zh-CN"/>
        </w:rPr>
        <w:t>全县设置发热门诊1个，核酸采样点</w:t>
      </w:r>
      <w:r>
        <w:rPr>
          <w:rFonts w:hint="eastAsia" w:eastAsia="方正仿宋_GBK" w:cs="Times New Roman"/>
          <w:color w:val="auto"/>
          <w:sz w:val="32"/>
          <w:szCs w:val="32"/>
          <w:u w:val="none"/>
          <w:lang w:val="en-US" w:eastAsia="zh-CN"/>
        </w:rPr>
        <w:t>31</w:t>
      </w:r>
      <w:r>
        <w:rPr>
          <w:rFonts w:hint="default" w:ascii="Times New Roman" w:hAnsi="Times New Roman" w:eastAsia="方正仿宋_GBK" w:cs="Times New Roman"/>
          <w:color w:val="auto"/>
          <w:sz w:val="32"/>
          <w:szCs w:val="32"/>
          <w:u w:val="none"/>
          <w:lang w:val="en-US" w:eastAsia="zh-CN"/>
        </w:rPr>
        <w:t>个，核酸检测实验室3个，疫苗接种点2</w:t>
      </w:r>
      <w:r>
        <w:rPr>
          <w:rFonts w:hint="eastAsia"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lang w:val="en-US" w:eastAsia="zh-CN"/>
        </w:rPr>
        <w:t>个。</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b/>
          <w:bCs/>
          <w:color w:val="auto"/>
          <w:sz w:val="32"/>
          <w:szCs w:val="32"/>
          <w:u w:val="none"/>
        </w:rPr>
        <w:t>规范隔离场所设置</w:t>
      </w:r>
      <w:r>
        <w:rPr>
          <w:rFonts w:hint="default" w:ascii="Times New Roman" w:hAnsi="Times New Roman" w:eastAsia="方正仿宋_GBK" w:cs="Times New Roman"/>
          <w:b/>
          <w:bCs/>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集中隔离房间储备数量达到每万常住人口</w:t>
      </w:r>
      <w:r>
        <w:rPr>
          <w:rFonts w:hint="eastAsia" w:eastAsia="方正仿宋_GBK" w:cs="Times New Roman"/>
          <w:color w:val="auto"/>
          <w:sz w:val="32"/>
          <w:szCs w:val="32"/>
          <w:u w:val="none"/>
          <w:lang w:val="en-US" w:eastAsia="zh-CN"/>
        </w:rPr>
        <w:t>60</w:t>
      </w:r>
      <w:r>
        <w:rPr>
          <w:rFonts w:hint="default" w:ascii="Times New Roman" w:hAnsi="Times New Roman" w:eastAsia="方正仿宋_GBK" w:cs="Times New Roman"/>
          <w:color w:val="auto"/>
          <w:sz w:val="32"/>
          <w:szCs w:val="32"/>
          <w:u w:val="none"/>
          <w:lang w:val="en-US" w:eastAsia="zh-CN"/>
        </w:rPr>
        <w:t>间以上</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val="en-US" w:eastAsia="zh-CN"/>
        </w:rPr>
        <w:t>全县集中隔离房间总数达到</w:t>
      </w:r>
      <w:r>
        <w:rPr>
          <w:rFonts w:hint="eastAsia" w:eastAsia="方正仿宋_GBK" w:cs="Times New Roman"/>
          <w:color w:val="auto"/>
          <w:sz w:val="32"/>
          <w:szCs w:val="32"/>
          <w:u w:val="none"/>
          <w:lang w:val="en-US" w:eastAsia="zh-CN"/>
        </w:rPr>
        <w:t>1200</w:t>
      </w:r>
      <w:r>
        <w:rPr>
          <w:rFonts w:hint="default" w:ascii="Times New Roman" w:hAnsi="Times New Roman" w:eastAsia="方正仿宋_GBK" w:cs="Times New Roman"/>
          <w:color w:val="auto"/>
          <w:sz w:val="32"/>
          <w:szCs w:val="32"/>
          <w:u w:val="none"/>
          <w:lang w:val="en-US" w:eastAsia="zh-CN"/>
        </w:rPr>
        <w:t>间以上。目前，全县储备集中隔离场所</w:t>
      </w:r>
      <w:r>
        <w:rPr>
          <w:rFonts w:hint="eastAsia" w:eastAsia="方正仿宋_GBK" w:cs="Times New Roman"/>
          <w:color w:val="auto"/>
          <w:sz w:val="32"/>
          <w:szCs w:val="32"/>
          <w:u w:val="none"/>
          <w:lang w:val="en-US" w:eastAsia="zh-CN"/>
        </w:rPr>
        <w:t>18</w:t>
      </w:r>
      <w:r>
        <w:rPr>
          <w:rFonts w:hint="default" w:ascii="Times New Roman" w:hAnsi="Times New Roman" w:eastAsia="方正仿宋_GBK" w:cs="Times New Roman"/>
          <w:color w:val="auto"/>
          <w:sz w:val="32"/>
          <w:szCs w:val="32"/>
          <w:u w:val="none"/>
          <w:lang w:val="en-US" w:eastAsia="zh-CN"/>
        </w:rPr>
        <w:t>个，总房间数</w:t>
      </w:r>
      <w:r>
        <w:rPr>
          <w:rFonts w:hint="eastAsia" w:eastAsia="方正仿宋_GBK" w:cs="Times New Roman"/>
          <w:color w:val="auto"/>
          <w:sz w:val="32"/>
          <w:szCs w:val="32"/>
          <w:u w:val="none"/>
          <w:lang w:val="en-US" w:eastAsia="zh-CN"/>
        </w:rPr>
        <w:t>1228</w:t>
      </w:r>
      <w:r>
        <w:rPr>
          <w:rFonts w:hint="default" w:ascii="Times New Roman" w:hAnsi="Times New Roman" w:eastAsia="方正仿宋_GBK" w:cs="Times New Roman"/>
          <w:color w:val="auto"/>
          <w:sz w:val="32"/>
          <w:szCs w:val="32"/>
          <w:u w:val="none"/>
          <w:lang w:val="en-US" w:eastAsia="zh-CN"/>
        </w:rPr>
        <w:t>间</w:t>
      </w:r>
      <w:r>
        <w:rPr>
          <w:rFonts w:hint="eastAsia"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实行</w:t>
      </w:r>
      <w:r>
        <w:rPr>
          <w:rFonts w:hint="eastAsia"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双点长负责制</w:t>
      </w:r>
      <w:r>
        <w:rPr>
          <w:rFonts w:hint="eastAsia"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，行政点长由属地党委政府主要负责人担任，技术点长由辖区卫生院负责人担任，</w:t>
      </w:r>
      <w:r>
        <w:rPr>
          <w:rFonts w:hint="default" w:ascii="Times New Roman" w:hAnsi="Times New Roman" w:eastAsia="方正仿宋_GBK" w:cs="Times New Roman"/>
          <w:color w:val="auto"/>
          <w:sz w:val="32"/>
          <w:szCs w:val="32"/>
          <w:u w:val="none"/>
        </w:rPr>
        <w:t>细化分区、分通道措施，严格</w:t>
      </w:r>
      <w:r>
        <w:rPr>
          <w:rFonts w:hint="eastAsia" w:eastAsia="方正仿宋_GBK" w:cs="Times New Roman"/>
          <w:color w:val="auto"/>
          <w:sz w:val="32"/>
          <w:szCs w:val="32"/>
          <w:u w:val="none"/>
          <w:lang w:val="en-US" w:eastAsia="zh-CN"/>
        </w:rPr>
        <w:t>落实“</w:t>
      </w:r>
      <w:r>
        <w:rPr>
          <w:rFonts w:hint="default" w:ascii="Times New Roman" w:hAnsi="Times New Roman" w:eastAsia="方正仿宋_GBK" w:cs="Times New Roman"/>
          <w:color w:val="auto"/>
          <w:sz w:val="32"/>
          <w:szCs w:val="32"/>
          <w:u w:val="none"/>
          <w:lang w:val="en-US" w:eastAsia="zh-CN"/>
        </w:rPr>
        <w:t>闭环</w:t>
      </w:r>
      <w:r>
        <w:rPr>
          <w:rFonts w:hint="eastAsia"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管理。</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黑体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u w:val="none"/>
          <w:lang w:eastAsia="zh-CN"/>
          <w14:textFill>
            <w14:solidFill>
              <w14:schemeClr w14:val="tx1"/>
            </w14:solidFill>
          </w14:textFill>
        </w:rPr>
        <w:t>二、面临的主要问题和新形势</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楷体_GBK" w:cs="Times New Roman"/>
          <w:color w:val="000000" w:themeColor="text1"/>
          <w:sz w:val="32"/>
          <w:szCs w:val="32"/>
          <w:u w:val="none"/>
          <w14:textFill>
            <w14:solidFill>
              <w14:schemeClr w14:val="tx1"/>
            </w14:solidFill>
          </w14:textFill>
        </w:rPr>
      </w:pPr>
      <w:r>
        <w:rPr>
          <w:rFonts w:hint="default" w:ascii="Times New Roman" w:hAnsi="Times New Roman" w:eastAsia="方正楷体_GBK" w:cs="Times New Roman"/>
          <w:color w:val="000000" w:themeColor="text1"/>
          <w:sz w:val="32"/>
          <w:szCs w:val="32"/>
          <w:u w:val="none"/>
          <w14:textFill>
            <w14:solidFill>
              <w14:schemeClr w14:val="tx1"/>
            </w14:solidFill>
          </w14:textFill>
        </w:rPr>
        <w:t xml:space="preserve">（一）主要问题 </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十三五</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以来，全</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卫生健康事业取得</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了显著</w:t>
      </w:r>
      <w:r>
        <w:rPr>
          <w:rFonts w:hint="default" w:ascii="Times New Roman" w:hAnsi="Times New Roman" w:eastAsia="方正仿宋_GBK" w:cs="Times New Roman"/>
          <w:color w:val="000000" w:themeColor="text1"/>
          <w:sz w:val="32"/>
          <w:szCs w:val="32"/>
          <w:u w:val="none"/>
          <w14:textFill>
            <w14:solidFill>
              <w14:schemeClr w14:val="tx1"/>
            </w14:solidFill>
          </w14:textFill>
        </w:rPr>
        <w:t>进步，但与全</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经济社会发展和群众健康需求相比，还存在一些亟待解决的问题，主要表现为：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县级资金难以支撑医疗建设需要。</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脱贫攻坚期间，我县依托</w:t>
      </w:r>
      <w:r>
        <w:rPr>
          <w:rFonts w:hint="eastAsia"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十三五</w:t>
      </w:r>
      <w:r>
        <w:rPr>
          <w:rFonts w:hint="eastAsia"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基本建设项目和脱贫攻坚民生保障项目，初步建成了县乡村三级医疗服务体系。但</w:t>
      </w:r>
      <w:r>
        <w:rPr>
          <w:rFonts w:hint="default" w:ascii="Times New Roman" w:hAnsi="Times New Roman" w:eastAsia="方正仿宋_GBK" w:cs="Times New Roman"/>
          <w:color w:val="000000" w:themeColor="text1"/>
          <w:sz w:val="32"/>
          <w:szCs w:val="32"/>
          <w:u w:val="none"/>
          <w14:textFill>
            <w14:solidFill>
              <w14:schemeClr w14:val="tx1"/>
            </w14:solidFill>
          </w14:textFill>
        </w:rPr>
        <w:t>随着经济社会发展和健康服务模式改变，</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按照</w:t>
      </w:r>
      <w:r>
        <w:rPr>
          <w:rFonts w:hint="eastAsia"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十四五</w:t>
      </w:r>
      <w:r>
        <w:rPr>
          <w:rFonts w:hint="eastAsia"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规划，到2025年，脱贫地区县乡村三级医疗卫生体系要进一步完善，设施设备进一步改善，服务能力进一步提升，基本医疗有保障成果持续巩固，乡村医疗卫生机构和人员</w:t>
      </w:r>
      <w:r>
        <w:rPr>
          <w:rFonts w:hint="eastAsia"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空白点</w:t>
      </w:r>
      <w:r>
        <w:rPr>
          <w:rFonts w:hint="eastAsia"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持续实现动态清零，每个区县至少有1所三级医院。但由于我县医疗设施设备的不足，导致目前我县很多重点学科技术空白，无法满足县域内老百姓的就医需求，譬如针对恶性肿瘤，我县只能开展最基础的化疗和辅助对症治疗，因为缺乏放疗的基础设施和直线加速器等放疗设备，需要开展放射治疗的恶性肿瘤患者仍然需要外出到重庆等地就医，加大了老百姓的就医成本。</w:t>
      </w:r>
      <w:r>
        <w:rPr>
          <w:rFonts w:hint="default" w:ascii="Times New Roman" w:hAnsi="Times New Roman" w:eastAsia="方正仿宋_GBK" w:cs="Times New Roman"/>
          <w:color w:val="000000" w:themeColor="text1"/>
          <w:sz w:val="32"/>
          <w:szCs w:val="32"/>
          <w:u w:val="none"/>
          <w:lang w:val="zh-CN" w:eastAsia="zh-CN"/>
          <w14:textFill>
            <w14:solidFill>
              <w14:schemeClr w14:val="tx1"/>
            </w14:solidFill>
          </w14:textFill>
        </w:rPr>
        <w:t>按照重庆市人民政府办公厅关于印发《支持国家乡村振兴重点帮扶县城口县发展若干政策的通知》（渝府办</w:t>
      </w:r>
      <w:r>
        <w:rPr>
          <w:rFonts w:hint="default" w:ascii="Times New Roman" w:hAnsi="Times New Roman" w:eastAsia="华文仿宋" w:cs="Times New Roman"/>
          <w:color w:val="000000" w:themeColor="text1"/>
          <w:sz w:val="32"/>
          <w:szCs w:val="32"/>
          <w:u w:val="none"/>
          <w:lang w:val="zh-CN" w:eastAsia="zh-CN"/>
          <w14:textFill>
            <w14:solidFill>
              <w14:schemeClr w14:val="tx1"/>
            </w14:solidFill>
          </w14:textFill>
        </w:rPr>
        <w:t>〔</w:t>
      </w:r>
      <w:r>
        <w:rPr>
          <w:rFonts w:hint="default" w:ascii="Times New Roman" w:hAnsi="Times New Roman" w:eastAsia="华文仿宋" w:cs="Times New Roman"/>
          <w:color w:val="000000" w:themeColor="text1"/>
          <w:sz w:val="32"/>
          <w:szCs w:val="32"/>
          <w:u w:val="none"/>
          <w:lang w:val="en-US" w:eastAsia="zh-CN"/>
          <w14:textFill>
            <w14:solidFill>
              <w14:schemeClr w14:val="tx1"/>
            </w14:solidFill>
          </w14:textFill>
        </w:rPr>
        <w:t>2022</w:t>
      </w:r>
      <w:r>
        <w:rPr>
          <w:rFonts w:hint="default" w:ascii="Times New Roman" w:hAnsi="Times New Roman" w:eastAsia="华文仿宋" w:cs="Times New Roman"/>
          <w:color w:val="000000" w:themeColor="text1"/>
          <w:sz w:val="32"/>
          <w:szCs w:val="32"/>
          <w:u w:val="none"/>
          <w:lang w:val="zh-CN" w:eastAsia="zh-CN"/>
          <w14:textFill>
            <w14:solidFill>
              <w14:schemeClr w14:val="tx1"/>
            </w14:solidFill>
          </w14:textFill>
        </w:rPr>
        <w:t>〕</w:t>
      </w:r>
      <w:r>
        <w:rPr>
          <w:rFonts w:hint="default" w:ascii="Times New Roman" w:hAnsi="Times New Roman" w:eastAsia="华文仿宋" w:cs="Times New Roman"/>
          <w:color w:val="000000" w:themeColor="text1"/>
          <w:sz w:val="32"/>
          <w:szCs w:val="32"/>
          <w:u w:val="none"/>
          <w:lang w:val="en-US" w:eastAsia="zh-CN"/>
          <w14:textFill>
            <w14:solidFill>
              <w14:schemeClr w14:val="tx1"/>
            </w14:solidFill>
          </w14:textFill>
        </w:rPr>
        <w:t>3号</w:t>
      </w:r>
      <w:r>
        <w:rPr>
          <w:rFonts w:hint="default" w:ascii="Times New Roman" w:hAnsi="Times New Roman" w:eastAsia="方正仿宋_GBK" w:cs="Times New Roman"/>
          <w:color w:val="000000" w:themeColor="text1"/>
          <w:sz w:val="32"/>
          <w:szCs w:val="32"/>
          <w:u w:val="none"/>
          <w:lang w:val="zh-CN" w:eastAsia="zh-CN"/>
          <w14:textFill>
            <w14:solidFill>
              <w14:schemeClr w14:val="tx1"/>
            </w14:solidFill>
          </w14:textFill>
        </w:rPr>
        <w:t>）文件要求，我县需要加快创建县人民医院三级医院、县妇幼保健院二级甲等妇幼保健院、县疾控中心二级甲等疾控中心，按照三级中医院标准建设县中医院。但由于</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县级财政资金难以筹措建设资金，相关项目建设存在巨大资金缺口。</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lang w:eastAsia="zh-CN"/>
          <w14:textFill>
            <w14:solidFill>
              <w14:schemeClr w14:val="tx1"/>
            </w14:solidFill>
          </w14:textFill>
        </w:rPr>
        <w:t>医疗人员配备不足，人才引留困难</w:t>
      </w:r>
      <w:r>
        <w:rPr>
          <w:rFonts w:hint="default" w:ascii="Times New Roman" w:hAnsi="Times New Roman" w:eastAsia="方正仿宋_GBK" w:cs="Times New Roman"/>
          <w:b/>
          <w:bCs/>
          <w:color w:val="000000" w:themeColor="text1"/>
          <w:sz w:val="32"/>
          <w:szCs w:val="32"/>
          <w:u w:val="none"/>
          <w14:textFill>
            <w14:solidFill>
              <w14:schemeClr w14:val="tx1"/>
            </w14:solidFill>
          </w14:textFill>
        </w:rPr>
        <w:t>。</w:t>
      </w:r>
      <w:r>
        <w:rPr>
          <w:rFonts w:hint="default" w:ascii="Times New Roman" w:hAnsi="Times New Roman" w:eastAsia="方正仿宋_GBK" w:cs="Times New Roman"/>
          <w:b/>
          <w:bCs/>
          <w:color w:val="000000" w:themeColor="text1"/>
          <w:sz w:val="32"/>
          <w:szCs w:val="32"/>
          <w:u w:val="none"/>
          <w:lang w:eastAsia="zh-CN"/>
          <w14:textFill>
            <w14:solidFill>
              <w14:schemeClr w14:val="tx1"/>
            </w14:solidFill>
          </w14:textFill>
        </w:rPr>
        <w:t>一是</w:t>
      </w:r>
      <w:r>
        <w:rPr>
          <w:rFonts w:hint="default"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人员配备与市级标准有差距。</w:t>
      </w:r>
      <w:r>
        <w:rPr>
          <w:rFonts w:hint="default" w:ascii="Times New Roman" w:hAnsi="Times New Roman" w:eastAsia="方正仿宋_GBK" w:cs="Times New Roman"/>
          <w:color w:val="000000" w:themeColor="text1"/>
          <w:sz w:val="32"/>
          <w:szCs w:val="32"/>
          <w:u w:val="none"/>
          <w14:textFill>
            <w14:solidFill>
              <w14:schemeClr w14:val="tx1"/>
            </w14:solidFill>
          </w14:textFill>
        </w:rPr>
        <w:t>按照《重庆市医疗卫生服务体系规划（2015-2020年）》（渝府办发【2015】180号）文件要求</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以</w:t>
      </w:r>
      <w:r>
        <w:rPr>
          <w:rFonts w:hint="default"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2020年全国人口普查的数据为基础，</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全县卫生专业技术人员应配备</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1</w:t>
      </w: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900</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人</w:t>
      </w: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目前</w:t>
      </w: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，我县医疗机构现有在岗</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人员总量为</w:t>
      </w:r>
      <w:r>
        <w:rPr>
          <w:rFonts w:hint="default"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1436</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人</w:t>
      </w: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w:t>
      </w:r>
      <w:r>
        <w:rPr>
          <w:rFonts w:hint="eastAsia" w:eastAsia="方正仿宋_GBK" w:cs="Times New Roman"/>
          <w:color w:val="000000" w:themeColor="text1"/>
          <w:kern w:val="0"/>
          <w:sz w:val="32"/>
          <w:szCs w:val="32"/>
          <w:u w:val="none"/>
          <w:lang w:eastAsia="zh-CN"/>
          <w14:textFill>
            <w14:solidFill>
              <w14:schemeClr w14:val="tx1"/>
            </w14:solidFill>
          </w14:textFill>
        </w:rPr>
        <w:t>其中卫生专业技术人员数量为</w:t>
      </w:r>
      <w:r>
        <w:rPr>
          <w:rFonts w:hint="eastAsia" w:eastAsia="方正仿宋_GBK" w:cs="Times New Roman"/>
          <w:color w:val="000000" w:themeColor="text1"/>
          <w:kern w:val="0"/>
          <w:sz w:val="32"/>
          <w:szCs w:val="32"/>
          <w:highlight w:val="none"/>
          <w:u w:val="none"/>
          <w:lang w:val="en-US" w:eastAsia="zh-CN"/>
          <w14:textFill>
            <w14:solidFill>
              <w14:schemeClr w14:val="tx1"/>
            </w14:solidFill>
          </w14:textFill>
        </w:rPr>
        <w:t>80.2%</w:t>
      </w:r>
      <w:r>
        <w:rPr>
          <w:rFonts w:hint="eastAsia" w:eastAsia="方正仿宋_GBK" w:cs="Times New Roman"/>
          <w:color w:val="000000" w:themeColor="text1"/>
          <w:kern w:val="0"/>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人员</w:t>
      </w: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配备</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总量与</w:t>
      </w: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市级</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标准还有</w:t>
      </w: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较</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大的差距。</w:t>
      </w:r>
      <w:r>
        <w:rPr>
          <w:rFonts w:hint="default" w:ascii="Times New Roman" w:hAnsi="Times New Roman" w:eastAsia="方正仿宋_GBK" w:cs="Times New Roman"/>
          <w:b/>
          <w:bCs/>
          <w:color w:val="000000" w:themeColor="text1"/>
          <w:kern w:val="0"/>
          <w:sz w:val="32"/>
          <w:szCs w:val="32"/>
          <w:u w:val="none"/>
          <w:lang w:eastAsia="zh-CN"/>
          <w14:textFill>
            <w14:solidFill>
              <w14:schemeClr w14:val="tx1"/>
            </w14:solidFill>
          </w14:textFill>
        </w:rPr>
        <w:t>二是</w:t>
      </w:r>
      <w:r>
        <w:rPr>
          <w:rFonts w:hint="default" w:ascii="Times New Roman" w:hAnsi="Times New Roman" w:eastAsia="方正仿宋_GBK" w:cs="Times New Roman"/>
          <w:b w:val="0"/>
          <w:bCs w:val="0"/>
          <w:color w:val="000000" w:themeColor="text1"/>
          <w:kern w:val="0"/>
          <w:sz w:val="32"/>
          <w:szCs w:val="32"/>
          <w:u w:val="none"/>
          <w:lang w:eastAsia="zh-CN"/>
          <w14:textFill>
            <w14:solidFill>
              <w14:schemeClr w14:val="tx1"/>
            </w14:solidFill>
          </w14:textFill>
        </w:rPr>
        <w:t>编外人员支出费用高。</w:t>
      </w:r>
      <w:r>
        <w:rPr>
          <w:rFonts w:hint="default"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1436名在岗人员中，</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在编人员仅633人</w:t>
      </w:r>
      <w:r>
        <w:rPr>
          <w:rFonts w:hint="default"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为保证医疗服务正常开展，聘请</w:t>
      </w:r>
      <w:r>
        <w:rPr>
          <w:rFonts w:hint="default"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编外临聘人员803人，直接</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增加了医疗机构运行成本，每年编外人员支出高达</w:t>
      </w:r>
      <w:r>
        <w:rPr>
          <w:rFonts w:hint="eastAsia" w:eastAsia="方正仿宋_GBK" w:cs="Times New Roman"/>
          <w:color w:val="000000" w:themeColor="text1"/>
          <w:kern w:val="0"/>
          <w:sz w:val="32"/>
          <w:szCs w:val="32"/>
          <w:u w:val="none"/>
          <w:lang w:val="en-US" w:eastAsia="zh-CN"/>
          <w14:textFill>
            <w14:solidFill>
              <w14:schemeClr w14:val="tx1"/>
            </w14:solidFill>
          </w14:textFill>
        </w:rPr>
        <w:t>5000</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万元。</w:t>
      </w:r>
      <w:r>
        <w:rPr>
          <w:rFonts w:hint="default" w:ascii="Times New Roman" w:hAnsi="Times New Roman" w:eastAsia="方正仿宋_GBK" w:cs="Times New Roman"/>
          <w:b/>
          <w:bCs/>
          <w:color w:val="000000" w:themeColor="text1"/>
          <w:kern w:val="0"/>
          <w:sz w:val="32"/>
          <w:szCs w:val="32"/>
          <w:u w:val="none"/>
          <w:lang w:eastAsia="zh-CN"/>
          <w14:textFill>
            <w14:solidFill>
              <w14:schemeClr w14:val="tx1"/>
            </w14:solidFill>
          </w14:textFill>
        </w:rPr>
        <w:t>三是</w:t>
      </w:r>
      <w:r>
        <w:rPr>
          <w:rFonts w:hint="default"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人才</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引进困难且流失严重。</w:t>
      </w:r>
      <w:r>
        <w:rPr>
          <w:rFonts w:hint="default"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受人员编制</w:t>
      </w:r>
      <w:r>
        <w:rPr>
          <w:rFonts w:hint="eastAsia" w:eastAsia="方正仿宋_GBK" w:cs="Times New Roman"/>
          <w:b w:val="0"/>
          <w:bCs w:val="0"/>
          <w:color w:val="000000" w:themeColor="text1"/>
          <w:sz w:val="32"/>
          <w:szCs w:val="32"/>
          <w:u w:val="none"/>
          <w:lang w:eastAsia="zh-CN"/>
          <w14:textFill>
            <w14:solidFill>
              <w14:schemeClr w14:val="tx1"/>
            </w14:solidFill>
          </w14:textFill>
        </w:rPr>
        <w:t>限制</w:t>
      </w:r>
      <w:r>
        <w:rPr>
          <w:rFonts w:hint="default"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、薪酬待遇</w:t>
      </w:r>
      <w:r>
        <w:rPr>
          <w:rFonts w:hint="eastAsia" w:eastAsia="方正仿宋_GBK" w:cs="Times New Roman"/>
          <w:b w:val="0"/>
          <w:bCs w:val="0"/>
          <w:color w:val="000000" w:themeColor="text1"/>
          <w:sz w:val="32"/>
          <w:szCs w:val="32"/>
          <w:u w:val="none"/>
          <w:lang w:eastAsia="zh-CN"/>
          <w14:textFill>
            <w14:solidFill>
              <w14:schemeClr w14:val="tx1"/>
            </w14:solidFill>
          </w14:textFill>
        </w:rPr>
        <w:t>期望</w:t>
      </w:r>
      <w:r>
        <w:rPr>
          <w:rFonts w:hint="default"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和交通不便等因素的影响，高层次医疗人才引进困难，</w:t>
      </w:r>
      <w:r>
        <w:rPr>
          <w:rFonts w:hint="default" w:ascii="Times New Roman" w:hAnsi="Times New Roman" w:eastAsia="方正仿宋_GBK" w:cs="Times New Roman"/>
          <w:color w:val="000000" w:themeColor="text1"/>
          <w:sz w:val="32"/>
          <w:szCs w:val="32"/>
          <w:u w:val="none"/>
          <w14:textFill>
            <w14:solidFill>
              <w14:schemeClr w14:val="tx1"/>
            </w14:solidFill>
          </w14:textFill>
        </w:rPr>
        <w:t>人才吸引力和人才投入保障有待加强。</w:t>
      </w:r>
    </w:p>
    <w:p>
      <w:pPr>
        <w:keepNext w:val="0"/>
        <w:keepLines w:val="0"/>
        <w:pageBreakBefore w:val="0"/>
        <w:numPr>
          <w:ilvl w:val="0"/>
          <w:numId w:val="2"/>
        </w:numPr>
        <w:kinsoku/>
        <w:wordWrap/>
        <w:topLinePunct w:val="0"/>
        <w:autoSpaceDE/>
        <w:autoSpaceDN/>
        <w:bidi w:val="0"/>
        <w:spacing w:line="560" w:lineRule="exact"/>
        <w:ind w:left="0" w:leftChars="0" w:firstLine="632" w:firstLineChars="200"/>
        <w:jc w:val="left"/>
        <w:textAlignment w:val="auto"/>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面临的新形势</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十四五</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时期是推进成渝地区双城经济圈建设的关键时期，是卫生健康事业深化体制机制改革、实现高质量发展的重要战略机遇期，面临一系列的机遇和挑战。</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新时代重大战略叠加带来新机遇。</w:t>
      </w:r>
      <w:r>
        <w:rPr>
          <w:rFonts w:hint="default" w:ascii="Times New Roman" w:hAnsi="Times New Roman" w:eastAsia="方正仿宋_GBK" w:cs="Times New Roman"/>
          <w:color w:val="000000" w:themeColor="text1"/>
          <w:sz w:val="32"/>
          <w:szCs w:val="32"/>
          <w:u w:val="none"/>
          <w14:textFill>
            <w14:solidFill>
              <w14:schemeClr w14:val="tx1"/>
            </w14:solidFill>
          </w14:textFill>
        </w:rPr>
        <w:t>党中央作出构建以国内大循环为主体、国内国际双循环相互促进的新发展格局重大决策，</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一带一路</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建设、长江经济带发展、新时代西部大开发</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成渝地区双城经济圈</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建设、</w:t>
      </w:r>
      <w:r>
        <w:rPr>
          <w:rFonts w:hint="default" w:ascii="Times New Roman" w:hAnsi="Times New Roman" w:eastAsia="方正仿宋_GBK" w:cs="Times New Roman"/>
          <w:color w:val="000000" w:themeColor="text1"/>
          <w:sz w:val="32"/>
          <w:szCs w:val="32"/>
          <w:u w:val="none"/>
          <w14:textFill>
            <w14:solidFill>
              <w14:schemeClr w14:val="tx1"/>
            </w14:solidFill>
          </w14:textFill>
        </w:rPr>
        <w:t>推进</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一区两群</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经济社会协调发展等重大战略深入实施，为我县</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卫生健康事业</w:t>
      </w:r>
      <w:r>
        <w:rPr>
          <w:rFonts w:hint="default" w:ascii="Times New Roman" w:hAnsi="Times New Roman" w:eastAsia="方正仿宋_GBK" w:cs="Times New Roman"/>
          <w:color w:val="000000" w:themeColor="text1"/>
          <w:sz w:val="32"/>
          <w:szCs w:val="32"/>
          <w:u w:val="none"/>
          <w14:textFill>
            <w14:solidFill>
              <w14:schemeClr w14:val="tx1"/>
            </w14:solidFill>
          </w14:textFill>
        </w:rPr>
        <w:t>高质量发展</w:t>
      </w:r>
      <w:r>
        <w:rPr>
          <w:rFonts w:hint="eastAsia" w:eastAsia="方正仿宋_GBK" w:cs="Times New Roman"/>
          <w:color w:val="000000" w:themeColor="text1"/>
          <w:sz w:val="32"/>
          <w:szCs w:val="32"/>
          <w:u w:val="none"/>
          <w:lang w:eastAsia="zh-CN"/>
          <w14:textFill>
            <w14:solidFill>
              <w14:schemeClr w14:val="tx1"/>
            </w14:solidFill>
          </w14:textFill>
        </w:rPr>
        <w:t>赋予</w:t>
      </w:r>
      <w:r>
        <w:rPr>
          <w:rFonts w:hint="default" w:ascii="Times New Roman" w:hAnsi="Times New Roman" w:eastAsia="方正仿宋_GBK" w:cs="Times New Roman"/>
          <w:color w:val="000000" w:themeColor="text1"/>
          <w:sz w:val="32"/>
          <w:szCs w:val="32"/>
          <w:u w:val="none"/>
          <w14:textFill>
            <w14:solidFill>
              <w14:schemeClr w14:val="tx1"/>
            </w14:solidFill>
          </w14:textFill>
        </w:rPr>
        <w:t>了全新优势、创造了更为有利的条件</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和</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机遇。 </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u w:val="none"/>
          <w:shd w:val="clear" w:color="auto" w:fill="FFFFFF"/>
          <w:lang w:eastAsia="zh-CN"/>
          <w14:textFill>
            <w14:solidFill>
              <w14:schemeClr w14:val="tx1"/>
            </w14:solidFill>
          </w14:textFill>
        </w:rPr>
        <w:t>“</w:t>
      </w:r>
      <w:r>
        <w:rPr>
          <w:rFonts w:hint="eastAsia" w:ascii="方正仿宋_GBK" w:hAnsi="方正仿宋_GBK" w:eastAsia="方正仿宋_GBK" w:cs="方正仿宋_GBK"/>
          <w:b/>
          <w:bCs/>
          <w:color w:val="000000" w:themeColor="text1"/>
          <w:kern w:val="0"/>
          <w:sz w:val="32"/>
          <w:szCs w:val="32"/>
          <w:u w:val="none"/>
          <w:shd w:val="clear" w:color="auto" w:fill="FFFFFF"/>
          <w14:textFill>
            <w14:solidFill>
              <w14:schemeClr w14:val="tx1"/>
            </w14:solidFill>
          </w14:textFill>
        </w:rPr>
        <w:t>两高</w:t>
      </w:r>
      <w:r>
        <w:rPr>
          <w:rFonts w:hint="eastAsia" w:ascii="方正仿宋_GBK" w:hAnsi="方正仿宋_GBK" w:eastAsia="方正仿宋_GBK" w:cs="方正仿宋_GBK"/>
          <w:b/>
          <w:bCs/>
          <w:color w:val="000000" w:themeColor="text1"/>
          <w:kern w:val="0"/>
          <w:sz w:val="32"/>
          <w:szCs w:val="32"/>
          <w:u w:val="none"/>
          <w:shd w:val="clear" w:color="auto" w:fill="FFFFFF"/>
          <w:lang w:eastAsia="zh-CN"/>
          <w14:textFill>
            <w14:solidFill>
              <w14:schemeClr w14:val="tx1"/>
            </w14:solidFill>
          </w14:textFill>
        </w:rPr>
        <w:t>”</w:t>
      </w:r>
      <w:r>
        <w:rPr>
          <w:rFonts w:hint="eastAsia" w:ascii="方正仿宋_GBK" w:hAnsi="方正仿宋_GBK" w:eastAsia="方正仿宋_GBK" w:cs="方正仿宋_GBK"/>
          <w:b/>
          <w:bCs/>
          <w:color w:val="000000" w:themeColor="text1"/>
          <w:kern w:val="0"/>
          <w:sz w:val="32"/>
          <w:szCs w:val="32"/>
          <w:u w:val="none"/>
          <w:shd w:val="clear" w:color="auto" w:fill="FFFFFF"/>
          <w14:textFill>
            <w14:solidFill>
              <w14:schemeClr w14:val="tx1"/>
            </w14:solidFill>
          </w14:textFill>
        </w:rPr>
        <w:t>时代的到来对医疗卫生事业发展提出新要求。</w:t>
      </w:r>
      <w:r>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t>十</w:t>
      </w:r>
      <w:r>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t>四</w:t>
      </w:r>
      <w:r>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t>五</w:t>
      </w:r>
      <w:r>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t>时期是我县经济发展的重要阶段，</w:t>
      </w:r>
      <w:r>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t>两高</w:t>
      </w:r>
      <w:r>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t>时代</w:t>
      </w:r>
      <w:r>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t>即将</w:t>
      </w:r>
      <w:r>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t>到来，我县将成为一个交通小枢纽，存在可能被辐射和被虹吸的现象，生态旅游和乡村旅游带动的大量流动人口</w:t>
      </w:r>
      <w:r>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t>必须加</w:t>
      </w:r>
      <w:r>
        <w:rPr>
          <w:rFonts w:hint="default" w:ascii="Times New Roman" w:hAnsi="Times New Roman" w:eastAsia="方正仿宋_GBK" w:cs="Times New Roman"/>
          <w:color w:val="000000" w:themeColor="text1"/>
          <w:kern w:val="0"/>
          <w:sz w:val="32"/>
          <w:szCs w:val="32"/>
          <w:u w:val="none"/>
          <w:shd w:val="clear" w:color="auto" w:fill="FFFFFF"/>
          <w:lang w:eastAsia="zh-CN"/>
          <w14:textFill>
            <w14:solidFill>
              <w14:schemeClr w14:val="tx1"/>
            </w14:solidFill>
          </w14:textFill>
        </w:rPr>
        <w:t>快卫生健康服务能力建设，</w:t>
      </w:r>
      <w:r>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t>为有效地将旅游和健康结合奠定基础。</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u w:val="none"/>
          <w:shd w:val="clear" w:color="auto" w:fill="FFFFFF"/>
          <w14:textFill>
            <w14:solidFill>
              <w14:schemeClr w14:val="tx1"/>
            </w14:solidFill>
          </w14:textFill>
        </w:rPr>
        <w:t>四个全面对卫生健康发展提出新的更高要求。</w:t>
      </w:r>
      <w:r>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t>以全民健康深化全面小康，需要持续优化解决医疗卫生服务供给与人民健康需求不断增长之间的矛盾。全面深化改革要求卫生健康发展在方便群众就医、减轻看病用药负担上取得更大实效。全面推进依法治国要求卫生健康治理不断转变思维方式和治理方式。全面从严治党要求卫生健康队伍狠抓作风建设，彻底</w:t>
      </w:r>
      <w:r>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t>改善</w:t>
      </w:r>
      <w:r>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t>医疗卫生行业的负面</w:t>
      </w:r>
      <w:r>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t>因素</w:t>
      </w:r>
      <w:r>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t>。</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重大公共卫生事件防控对卫生健康服务提出新要求。</w:t>
      </w:r>
      <w:r>
        <w:rPr>
          <w:rFonts w:hint="default" w:ascii="Times New Roman" w:hAnsi="Times New Roman" w:eastAsia="方正仿宋_GBK" w:cs="Times New Roman"/>
          <w:color w:val="000000" w:themeColor="text1"/>
          <w:sz w:val="32"/>
          <w:szCs w:val="32"/>
          <w:u w:val="none"/>
          <w14:textFill>
            <w14:solidFill>
              <w14:schemeClr w14:val="tx1"/>
            </w14:solidFill>
          </w14:textFill>
        </w:rPr>
        <w:t>公共卫生领域面临着多重疾病威胁并存、多种健康影响因素交织的复杂局面，对提高公共卫生早期监测预警</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病原学检测、形势研判分析</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卫生应急队伍快速响应</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物资储备和培训演练</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临床人员疫情防治处置等能力提出了新要求。</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黑体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u w:val="none"/>
          <w:lang w:eastAsia="zh-CN"/>
          <w14:textFill>
            <w14:solidFill>
              <w14:schemeClr w14:val="tx1"/>
            </w14:solidFill>
          </w14:textFill>
        </w:rPr>
        <w:t>三、</w:t>
      </w:r>
      <w:r>
        <w:rPr>
          <w:rFonts w:hint="eastAsia" w:eastAsia="方正黑体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黑体_GBK" w:cs="Times New Roman"/>
          <w:color w:val="000000" w:themeColor="text1"/>
          <w:sz w:val="32"/>
          <w:szCs w:val="32"/>
          <w:u w:val="none"/>
          <w:lang w:eastAsia="zh-CN"/>
          <w14:textFill>
            <w14:solidFill>
              <w14:schemeClr w14:val="tx1"/>
            </w14:solidFill>
          </w14:textFill>
        </w:rPr>
        <w:t>十四五</w:t>
      </w:r>
      <w:r>
        <w:rPr>
          <w:rFonts w:hint="eastAsia" w:eastAsia="方正黑体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黑体_GBK" w:cs="Times New Roman"/>
          <w:color w:val="000000" w:themeColor="text1"/>
          <w:sz w:val="32"/>
          <w:szCs w:val="32"/>
          <w:u w:val="none"/>
          <w:lang w:eastAsia="zh-CN"/>
          <w14:textFill>
            <w14:solidFill>
              <w14:schemeClr w14:val="tx1"/>
            </w14:solidFill>
          </w14:textFill>
        </w:rPr>
        <w:t>卫生健康事业发展总体思路</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楷体_GBK" w:cs="Times New Roman"/>
          <w:color w:val="000000" w:themeColor="text1"/>
          <w:sz w:val="32"/>
          <w:szCs w:val="32"/>
          <w:u w:val="none"/>
          <w14:textFill>
            <w14:solidFill>
              <w14:schemeClr w14:val="tx1"/>
            </w14:solidFill>
          </w14:textFill>
        </w:rPr>
      </w:pPr>
      <w:r>
        <w:rPr>
          <w:rFonts w:hint="default" w:ascii="Times New Roman" w:hAnsi="Times New Roman" w:eastAsia="方正楷体_GBK" w:cs="Times New Roman"/>
          <w:color w:val="000000" w:themeColor="text1"/>
          <w:sz w:val="32"/>
          <w:szCs w:val="32"/>
          <w:u w:val="none"/>
          <w14:textFill>
            <w14:solidFill>
              <w14:schemeClr w14:val="tx1"/>
            </w14:solidFill>
          </w14:textFill>
        </w:rPr>
        <w:t xml:space="preserve">（一）指导思想 </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以习近平新时代中国特色社会主义思想为指导，深入贯彻党 的十九大和十九届二中、三中、四中、五中、六中全会精神，全面贯彻习近平总书记对重庆提出的营造良好政治生态，坚持</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两点</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定位、</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两地</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两高</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目标，发挥</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三个作用</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和推动成渝地区双城经济圈建设等重要指示要求，立足新发展阶段，完整、准确、全面贯彻新发展理念，积极融入服务新发展格局，把保障人民健康放在优先发展战略</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地位</w:t>
      </w:r>
      <w:r>
        <w:rPr>
          <w:rFonts w:hint="default" w:ascii="Times New Roman" w:hAnsi="Times New Roman" w:eastAsia="方正仿宋_GBK" w:cs="Times New Roman"/>
          <w:color w:val="000000" w:themeColor="text1"/>
          <w:sz w:val="32"/>
          <w:szCs w:val="32"/>
          <w:u w:val="none"/>
          <w14:textFill>
            <w14:solidFill>
              <w14:schemeClr w14:val="tx1"/>
            </w14:solidFill>
          </w14:textFill>
        </w:rPr>
        <w:t>，坚持卫生健康事业公益性，积极应对人口老龄化，加强预防为主、防治结合，持续推进健康促进，完善医疗卫生资源配置与机构设施布局，提升区域医疗、公共卫生服务</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u w:val="none"/>
          <w14:textFill>
            <w14:solidFill>
              <w14:schemeClr w14:val="tx1"/>
            </w14:solidFill>
          </w14:textFill>
        </w:rPr>
        <w:t>水平</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，为</w:t>
      </w:r>
      <w:r>
        <w:rPr>
          <w:rFonts w:hint="default" w:ascii="Times New Roman" w:hAnsi="Times New Roman" w:eastAsia="方正仿宋_GBK" w:cs="Times New Roman"/>
          <w:color w:val="000000" w:themeColor="text1"/>
          <w:sz w:val="32"/>
          <w:szCs w:val="32"/>
          <w:u w:val="none"/>
          <w14:textFill>
            <w14:solidFill>
              <w14:schemeClr w14:val="tx1"/>
            </w14:solidFill>
          </w14:textFill>
        </w:rPr>
        <w:t>全</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人民</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提供高效优质的医疗卫生服务。</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楷体_GBK" w:cs="Times New Roman"/>
          <w:color w:val="000000" w:themeColor="text1"/>
          <w:sz w:val="32"/>
          <w:szCs w:val="32"/>
          <w:u w:val="none"/>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（二）</w:t>
      </w:r>
      <w:r>
        <w:rPr>
          <w:rFonts w:hint="default" w:ascii="Times New Roman" w:hAnsi="Times New Roman" w:eastAsia="方正楷体_GBK" w:cs="Times New Roman"/>
          <w:color w:val="000000" w:themeColor="text1"/>
          <w:sz w:val="32"/>
          <w:szCs w:val="32"/>
          <w:u w:val="none"/>
          <w14:textFill>
            <w14:solidFill>
              <w14:schemeClr w14:val="tx1"/>
            </w14:solidFill>
          </w14:textFill>
        </w:rPr>
        <w:t xml:space="preserve">基本原则 </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坚持党的领导，统筹发展。</w:t>
      </w:r>
      <w:r>
        <w:rPr>
          <w:rFonts w:hint="default" w:ascii="Times New Roman" w:hAnsi="Times New Roman" w:eastAsia="方正仿宋_GBK" w:cs="Times New Roman"/>
          <w:color w:val="000000" w:themeColor="text1"/>
          <w:sz w:val="32"/>
          <w:szCs w:val="32"/>
          <w:u w:val="none"/>
          <w14:textFill>
            <w14:solidFill>
              <w14:schemeClr w14:val="tx1"/>
            </w14:solidFill>
          </w14:textFill>
        </w:rPr>
        <w:t>坚持党领导卫生健康发展的体制机制，全面加强卫生健康行政管理部门和医疗卫生机构党的建设，把党的领导落实到卫生健康改革发展的各领域各方面各环节，为全面推进健康中国</w:t>
      </w:r>
      <w:r>
        <w:rPr>
          <w:rFonts w:hint="default" w:ascii="Times New Roman" w:hAnsi="Times New Roman" w:eastAsia="方正仿宋_GBK" w:cs="Times New Roman"/>
          <w:color w:val="000000" w:themeColor="text1"/>
          <w:sz w:val="32"/>
          <w:szCs w:val="32"/>
          <w:highlight w:val="none"/>
          <w:u w:val="none"/>
          <w14:textFill>
            <w14:solidFill>
              <w14:schemeClr w14:val="tx1"/>
            </w14:solidFill>
          </w14:textFill>
        </w:rPr>
        <w:t>重庆</w:t>
      </w:r>
      <w:r>
        <w:rPr>
          <w:rFonts w:hint="eastAsia" w:eastAsia="方正仿宋_GBK" w:cs="Times New Roman"/>
          <w:color w:val="000000" w:themeColor="text1"/>
          <w:sz w:val="32"/>
          <w:szCs w:val="32"/>
          <w:highlight w:val="none"/>
          <w:u w:val="none"/>
          <w:lang w:eastAsia="zh-CN"/>
          <w14:textFill>
            <w14:solidFill>
              <w14:schemeClr w14:val="tx1"/>
            </w14:solidFill>
          </w14:textFill>
        </w:rPr>
        <w:t>行动</w:t>
      </w:r>
      <w:r>
        <w:rPr>
          <w:rFonts w:hint="default" w:ascii="Times New Roman" w:hAnsi="Times New Roman" w:eastAsia="方正仿宋_GBK" w:cs="Times New Roman"/>
          <w:color w:val="000000" w:themeColor="text1"/>
          <w:sz w:val="32"/>
          <w:szCs w:val="32"/>
          <w:u w:val="none"/>
          <w14:textFill>
            <w14:solidFill>
              <w14:schemeClr w14:val="tx1"/>
            </w14:solidFill>
          </w14:textFill>
        </w:rPr>
        <w:t>提供根本</w:t>
      </w:r>
      <w:r>
        <w:rPr>
          <w:rFonts w:hint="eastAsia" w:eastAsia="方正仿宋_GBK" w:cs="Times New Roman"/>
          <w:color w:val="000000" w:themeColor="text1"/>
          <w:sz w:val="32"/>
          <w:szCs w:val="32"/>
          <w:u w:val="none"/>
          <w:lang w:eastAsia="zh-CN"/>
          <w14:textFill>
            <w14:solidFill>
              <w14:schemeClr w14:val="tx1"/>
            </w14:solidFill>
          </w14:textFill>
        </w:rPr>
        <w:t>保障</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坚持健康优先，共享发展。</w:t>
      </w:r>
      <w:r>
        <w:rPr>
          <w:rFonts w:hint="default" w:ascii="Times New Roman" w:hAnsi="Times New Roman" w:eastAsia="方正仿宋_GBK" w:cs="Times New Roman"/>
          <w:color w:val="000000" w:themeColor="text1"/>
          <w:sz w:val="32"/>
          <w:szCs w:val="32"/>
          <w:u w:val="none"/>
          <w14:textFill>
            <w14:solidFill>
              <w14:schemeClr w14:val="tx1"/>
            </w14:solidFill>
          </w14:textFill>
        </w:rPr>
        <w:t>加快构建保障人民健康优先发展的制度体系，推动形成有利于健康的生活方式、生产方式、 经济社会发展和治理方式，实现健康与经济社会协调发展。坚持人民主体地位，创新社会动员机制，建立</w:t>
      </w:r>
      <w:r>
        <w:rPr>
          <w:rFonts w:hint="eastAsia"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政府、社会、个人</w:t>
      </w:r>
      <w:r>
        <w:rPr>
          <w:rFonts w:hint="default"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共同行动的体制机制，形成共建共治共享格局。</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坚持优质均衡，内涵发展。</w:t>
      </w:r>
      <w:r>
        <w:rPr>
          <w:rFonts w:hint="default" w:ascii="Times New Roman" w:hAnsi="Times New Roman" w:eastAsia="方正仿宋_GBK" w:cs="Times New Roman"/>
          <w:color w:val="000000" w:themeColor="text1"/>
          <w:sz w:val="32"/>
          <w:szCs w:val="32"/>
          <w:u w:val="none"/>
          <w14:textFill>
            <w14:solidFill>
              <w14:schemeClr w14:val="tx1"/>
            </w14:solidFill>
          </w14:textFill>
        </w:rPr>
        <w:t>坚持高质量发展，推动优质高效医疗卫生服务体系建设，提高医疗卫生服务质量与水平，加快优质医疗卫生资源扩容和区域均衡布局。提升基本医疗卫生服务均等化和同质化水平，缩小城乡、区域、人群之间配置、服务水平和健康结果差异，促进健康公平。</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坚持改革创新，系统整合。</w:t>
      </w:r>
      <w:r>
        <w:rPr>
          <w:rFonts w:hint="default" w:ascii="Times New Roman" w:hAnsi="Times New Roman" w:eastAsia="方正仿宋_GBK" w:cs="Times New Roman"/>
          <w:color w:val="000000" w:themeColor="text1"/>
          <w:sz w:val="32"/>
          <w:szCs w:val="32"/>
          <w:u w:val="none"/>
          <w14:textFill>
            <w14:solidFill>
              <w14:schemeClr w14:val="tx1"/>
            </w14:solidFill>
          </w14:textFill>
        </w:rPr>
        <w:t>加快系统集成改革，破除重点领域关键环节体制机制障碍，维护基本医疗卫生事业公益性。 关注生命全周期、健康全过程，统筹预防、治疗、康复、健康促进。促进中西医相互补充、协调发展。</w:t>
      </w:r>
    </w:p>
    <w:p>
      <w:pPr>
        <w:keepNext w:val="0"/>
        <w:keepLines w:val="0"/>
        <w:pageBreakBefore w:val="0"/>
        <w:numPr>
          <w:ilvl w:val="0"/>
          <w:numId w:val="2"/>
        </w:numPr>
        <w:kinsoku/>
        <w:wordWrap/>
        <w:topLinePunct w:val="0"/>
        <w:autoSpaceDE/>
        <w:autoSpaceDN/>
        <w:bidi w:val="0"/>
        <w:spacing w:line="560" w:lineRule="exact"/>
        <w:ind w:left="0" w:leftChars="0" w:firstLine="632" w:firstLineChars="200"/>
        <w:jc w:val="left"/>
        <w:textAlignment w:val="auto"/>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发展目标</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eastAsia" w:eastAsia="方正仿宋_GBK" w:cs="Times New Roman"/>
          <w:color w:val="000000" w:themeColor="text1"/>
          <w:sz w:val="32"/>
          <w:szCs w:val="32"/>
          <w:u w:val="none"/>
          <w:lang w:val="en-US" w:eastAsia="zh-CN"/>
          <w14:textFill>
            <w14:solidFill>
              <w14:schemeClr w14:val="tx1"/>
            </w14:solidFill>
          </w14:textFill>
        </w:rPr>
      </w:pPr>
      <w:r>
        <w:rPr>
          <w:rFonts w:hint="eastAsia" w:eastAsia="方正仿宋_GBK" w:cs="Times New Roman"/>
          <w:color w:val="000000" w:themeColor="text1"/>
          <w:sz w:val="32"/>
          <w:szCs w:val="32"/>
          <w:u w:val="none"/>
          <w:lang w:eastAsia="zh-CN"/>
          <w14:textFill>
            <w14:solidFill>
              <w14:schemeClr w14:val="tx1"/>
            </w14:solidFill>
          </w14:textFill>
        </w:rPr>
        <w:t>到</w:t>
      </w:r>
      <w:r>
        <w:rPr>
          <w:rFonts w:hint="eastAsia" w:eastAsia="方正仿宋_GBK" w:cs="Times New Roman"/>
          <w:color w:val="000000" w:themeColor="text1"/>
          <w:sz w:val="32"/>
          <w:szCs w:val="32"/>
          <w:u w:val="none"/>
          <w:lang w:val="en-US" w:eastAsia="zh-CN"/>
          <w14:textFill>
            <w14:solidFill>
              <w14:schemeClr w14:val="tx1"/>
            </w14:solidFill>
          </w14:textFill>
        </w:rPr>
        <w:t>2025年，基本医疗卫生制度更加完善，突发公共卫生事件应急管理能力显著提升，科技水平创新能力不断提升，保障全民健康的制度更加完善，健康领域发展更加协调，健康服务质量和健康保障水平不断增强，健康生活方式得到普及，居民健康水平进一步提高，基本实现健康水平。</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到2025年具体实现以下目标：</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居民健康水平持续提升。</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居民主要健康指标进一步提升，人均预期寿命达到</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79</w:t>
      </w:r>
      <w:r>
        <w:rPr>
          <w:rFonts w:hint="eastAsia" w:eastAsia="方正仿宋_GBK" w:cs="Times New Roman"/>
          <w:color w:val="000000" w:themeColor="text1"/>
          <w:sz w:val="32"/>
          <w:szCs w:val="32"/>
          <w:highlight w:val="none"/>
          <w:u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岁</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，健康预期寿命稳步提高，婴儿死亡率小于3.5‰，孕产妇死亡率小于10/10万，健康行为全面普及，居民健康素养水平达到30%。</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公共卫生保障能力明显增强。</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强大公共卫生服务体系基本构建，重大疫情和突发公共卫生事件防控救治能力得到增强，主要健康危害因素得到有效控制，重大慢性病过早死亡率下降至13.5%，医防协同更加高效。</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健康服务能力大幅提升。</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医疗服务实现高质量发展，优质高效整合型医疗卫生服务体系全面建立，医疗卫生服务均等化水平进一步提高，分级诊疗体系进一步完善，卫生健康领域数字化水平显著提升。</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健康</w:t>
      </w:r>
      <w:r>
        <w:rPr>
          <w:rFonts w:hint="eastAsia" w:eastAsia="方正仿宋_GBK" w:cs="Times New Roman"/>
          <w:b/>
          <w:bCs/>
          <w:color w:val="000000" w:themeColor="text1"/>
          <w:sz w:val="32"/>
          <w:szCs w:val="32"/>
          <w:u w:val="none"/>
          <w:lang w:val="en-US" w:eastAsia="zh-CN"/>
          <w14:textFill>
            <w14:solidFill>
              <w14:schemeClr w14:val="tx1"/>
            </w14:solidFill>
          </w14:textFill>
        </w:rPr>
        <w:t>科技创新能力与健康</w:t>
      </w: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产业稳步发展。</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适应行业特点的医学教育和人才培养体系更加完善，健康科技创新整体能力进一步提升，推进医学重点学科建设，加强卫生健康科技创新能力建设。多元社会办医格局基本形成，健康服务新业态更加丰富，健康服务业成为推动发展</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的重要力量。</w:t>
      </w:r>
    </w:p>
    <w:p>
      <w:pPr>
        <w:keepNext w:val="0"/>
        <w:keepLines w:val="0"/>
        <w:pageBreakBefore w:val="0"/>
        <w:kinsoku/>
        <w:wordWrap/>
        <w:topLinePunct w:val="0"/>
        <w:autoSpaceDE/>
        <w:autoSpaceDN/>
        <w:bidi w:val="0"/>
        <w:spacing w:line="560" w:lineRule="exact"/>
        <w:ind w:firstLine="1264" w:firstLineChars="400"/>
        <w:jc w:val="left"/>
        <w:textAlignment w:val="auto"/>
        <w:rPr>
          <w:rFonts w:hint="default" w:ascii="Times New Roman" w:hAnsi="Times New Roman" w:eastAsia="方正黑体_GBK" w:cs="Times New Roman"/>
          <w:color w:val="000000" w:themeColor="text1"/>
          <w:sz w:val="32"/>
          <w:szCs w:val="32"/>
          <w:u w:val="none"/>
          <w14:textFill>
            <w14:solidFill>
              <w14:schemeClr w14:val="tx1"/>
            </w14:solidFill>
          </w14:textFill>
        </w:rPr>
      </w:pPr>
      <w:r>
        <w:rPr>
          <w:rFonts w:hint="eastAsia" w:ascii="Times New Roman" w:hAnsi="Times New Roman" w:eastAsia="方正黑体_GBK" w:cs="Times New Roman"/>
          <w:color w:val="000000" w:themeColor="text1"/>
          <w:sz w:val="32"/>
          <w:szCs w:val="32"/>
          <w:u w:val="none"/>
          <w:lang w:val="en-US" w:eastAsia="zh-CN"/>
          <w14:textFill>
            <w14:solidFill>
              <w14:schemeClr w14:val="tx1"/>
            </w14:solidFill>
          </w14:textFill>
        </w:rPr>
        <w:t>表1</w:t>
      </w:r>
      <w:r>
        <w:rPr>
          <w:rFonts w:hint="eastAsia" w:ascii="Times New Roman" w:hAnsi="Times New Roman" w:eastAsia="方正黑体_GBK" w:cs="Times New Roman"/>
          <w:color w:val="000000" w:themeColor="text1"/>
          <w:sz w:val="32"/>
          <w:szCs w:val="32"/>
          <w:u w:val="none"/>
          <w14:textFill>
            <w14:solidFill>
              <w14:schemeClr w14:val="tx1"/>
            </w14:solidFill>
          </w14:textFill>
        </w:rPr>
        <w:t xml:space="preserve"> </w:t>
      </w:r>
      <w:r>
        <w:rPr>
          <w:rFonts w:hint="eastAsia" w:eastAsia="方正黑体_GBK"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2"/>
          <w:szCs w:val="32"/>
          <w:u w:val="none"/>
          <w:lang w:eastAsia="zh-CN"/>
          <w14:textFill>
            <w14:solidFill>
              <w14:schemeClr w14:val="tx1"/>
            </w14:solidFill>
          </w14:textFill>
        </w:rPr>
        <w:t>城口县</w:t>
      </w:r>
      <w:r>
        <w:rPr>
          <w:rFonts w:hint="default" w:ascii="Times New Roman" w:hAnsi="Times New Roman" w:eastAsia="方正黑体_GBK" w:cs="Times New Roman"/>
          <w:color w:val="000000" w:themeColor="text1"/>
          <w:sz w:val="32"/>
          <w:szCs w:val="32"/>
          <w:u w:val="none"/>
          <w14:textFill>
            <w14:solidFill>
              <w14:schemeClr w14:val="tx1"/>
            </w14:solidFill>
          </w14:textFill>
        </w:rPr>
        <w:t>卫生健康发展</w:t>
      </w:r>
      <w:r>
        <w:rPr>
          <w:rFonts w:hint="eastAsia" w:eastAsia="方正黑体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黑体_GBK" w:cs="Times New Roman"/>
          <w:color w:val="000000" w:themeColor="text1"/>
          <w:sz w:val="32"/>
          <w:szCs w:val="32"/>
          <w:u w:val="none"/>
          <w14:textFill>
            <w14:solidFill>
              <w14:schemeClr w14:val="tx1"/>
            </w14:solidFill>
          </w14:textFill>
        </w:rPr>
        <w:t>十四五</w:t>
      </w:r>
      <w:r>
        <w:rPr>
          <w:rFonts w:hint="eastAsia" w:eastAsia="方正黑体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黑体_GBK" w:cs="Times New Roman"/>
          <w:color w:val="000000" w:themeColor="text1"/>
          <w:sz w:val="32"/>
          <w:szCs w:val="32"/>
          <w:u w:val="none"/>
          <w14:textFill>
            <w14:solidFill>
              <w14:schemeClr w14:val="tx1"/>
            </w14:solidFill>
          </w14:textFill>
        </w:rPr>
        <w:t>指标</w:t>
      </w:r>
    </w:p>
    <w:tbl>
      <w:tblPr>
        <w:tblStyle w:val="13"/>
        <w:tblW w:w="8607" w:type="dxa"/>
        <w:jc w:val="center"/>
        <w:tblLayout w:type="fixed"/>
        <w:tblCellMar>
          <w:top w:w="0" w:type="dxa"/>
          <w:left w:w="108" w:type="dxa"/>
          <w:bottom w:w="0" w:type="dxa"/>
          <w:right w:w="108" w:type="dxa"/>
        </w:tblCellMar>
      </w:tblPr>
      <w:tblGrid>
        <w:gridCol w:w="1077"/>
        <w:gridCol w:w="598"/>
        <w:gridCol w:w="2087"/>
        <w:gridCol w:w="1050"/>
        <w:gridCol w:w="819"/>
        <w:gridCol w:w="1549"/>
        <w:gridCol w:w="1427"/>
      </w:tblGrid>
      <w:tr>
        <w:tblPrEx>
          <w:tblCellMar>
            <w:top w:w="0" w:type="dxa"/>
            <w:left w:w="108" w:type="dxa"/>
            <w:bottom w:w="0" w:type="dxa"/>
            <w:right w:w="108" w:type="dxa"/>
          </w:tblCellMar>
        </w:tblPrEx>
        <w:trPr>
          <w:trHeight w:val="62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t>类别</w:t>
            </w:r>
          </w:p>
        </w:tc>
        <w:tc>
          <w:tcPr>
            <w:tcW w:w="59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t>序号</w:t>
            </w:r>
          </w:p>
        </w:tc>
        <w:tc>
          <w:tcPr>
            <w:tcW w:w="31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18"/>
                <w:szCs w:val="18"/>
                <w:u w:val="none"/>
                <w:lang w:eastAsia="zh-CN"/>
                <w14:textFill>
                  <w14:solidFill>
                    <w14:schemeClr w14:val="tx1"/>
                  </w14:solidFill>
                </w14:textFill>
              </w:rPr>
              <w:t>主要</w:t>
            </w:r>
            <w:r>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t>指标</w:t>
            </w:r>
          </w:p>
        </w:tc>
        <w:tc>
          <w:tcPr>
            <w:tcW w:w="8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t>2020</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18"/>
                <w:szCs w:val="18"/>
                <w:u w:val="none"/>
                <w:lang w:eastAsia="zh-CN"/>
                <w14:textFill>
                  <w14:solidFill>
                    <w14:schemeClr w14:val="tx1"/>
                  </w14:solidFill>
                </w14:textFill>
              </w:rPr>
              <w:t>实际</w:t>
            </w:r>
            <w:r>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t>值</w:t>
            </w:r>
          </w:p>
        </w:tc>
        <w:tc>
          <w:tcPr>
            <w:tcW w:w="154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t>2025年</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000000" w:themeColor="text1"/>
                <w:kern w:val="0"/>
                <w:sz w:val="18"/>
                <w:szCs w:val="18"/>
                <w:u w:val="none"/>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t>目标</w:t>
            </w:r>
            <w:r>
              <w:rPr>
                <w:rFonts w:hint="eastAsia" w:ascii="方正黑体_GBK" w:hAnsi="方正黑体_GBK" w:eastAsia="方正黑体_GBK" w:cs="方正黑体_GBK"/>
                <w:b w:val="0"/>
                <w:bCs w:val="0"/>
                <w:color w:val="000000" w:themeColor="text1"/>
                <w:kern w:val="0"/>
                <w:sz w:val="18"/>
                <w:szCs w:val="18"/>
                <w:u w:val="none"/>
                <w:lang w:eastAsia="zh-CN"/>
                <w14:textFill>
                  <w14:solidFill>
                    <w14:schemeClr w14:val="tx1"/>
                  </w14:solidFill>
                </w14:textFill>
              </w:rPr>
              <w:t>值</w:t>
            </w:r>
          </w:p>
        </w:tc>
        <w:tc>
          <w:tcPr>
            <w:tcW w:w="14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000000" w:themeColor="text1"/>
                <w:kern w:val="0"/>
                <w:sz w:val="18"/>
                <w:szCs w:val="18"/>
                <w:u w:val="none"/>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t>指标</w:t>
            </w:r>
            <w:r>
              <w:rPr>
                <w:rFonts w:hint="eastAsia" w:ascii="方正黑体_GBK" w:hAnsi="方正黑体_GBK" w:eastAsia="方正黑体_GBK" w:cs="方正黑体_GBK"/>
                <w:b w:val="0"/>
                <w:bCs w:val="0"/>
                <w:color w:val="000000" w:themeColor="text1"/>
                <w:kern w:val="0"/>
                <w:sz w:val="18"/>
                <w:szCs w:val="18"/>
                <w:u w:val="none"/>
                <w:lang w:eastAsia="zh-CN"/>
                <w14:textFill>
                  <w14:solidFill>
                    <w14:schemeClr w14:val="tx1"/>
                  </w14:solidFill>
                </w14:textFill>
              </w:rPr>
              <w:t>性质</w:t>
            </w:r>
          </w:p>
        </w:tc>
      </w:tr>
      <w:tr>
        <w:tblPrEx>
          <w:tblCellMar>
            <w:top w:w="0" w:type="dxa"/>
            <w:left w:w="108" w:type="dxa"/>
            <w:bottom w:w="0" w:type="dxa"/>
            <w:right w:w="108" w:type="dxa"/>
          </w:tblCellMar>
        </w:tblPrEx>
        <w:trPr>
          <w:trHeight w:val="475" w:hRule="atLeast"/>
          <w:jc w:val="center"/>
        </w:trPr>
        <w:tc>
          <w:tcPr>
            <w:tcW w:w="10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健康</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水平</w:t>
            </w:r>
          </w:p>
        </w:tc>
        <w:tc>
          <w:tcPr>
            <w:tcW w:w="5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1</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人口预期寿命（岁）</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eastAsia" w:eastAsia="等线" w:cs="Times New Roman"/>
                <w:color w:val="000000" w:themeColor="text1"/>
                <w:kern w:val="0"/>
                <w:sz w:val="18"/>
                <w:szCs w:val="18"/>
                <w:u w:val="none"/>
                <w:lang w:val="en-US" w:eastAsia="zh-CN"/>
                <w14:textFill>
                  <w14:solidFill>
                    <w14:schemeClr w14:val="tx1"/>
                  </w14:solidFill>
                </w14:textFill>
              </w:rPr>
              <w:t>75.85</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79.3</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490"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2</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健康预期寿命（岁）</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eastAsia" w:ascii="宋体" w:hAnsi="宋体" w:eastAsia="宋体" w:cs="宋体"/>
                <w:color w:val="000000" w:themeColor="text1"/>
                <w:kern w:val="0"/>
                <w:sz w:val="18"/>
                <w:szCs w:val="18"/>
                <w:u w:val="none"/>
                <w14:textFill>
                  <w14:solidFill>
                    <w14:schemeClr w14:val="tx1"/>
                  </w14:solidFill>
                </w14:textFill>
              </w:rPr>
              <w:t>－</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同比例提高</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460"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3</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孕产妇死亡率（/10万）</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eastAsia" w:eastAsia="等线" w:cs="Times New Roman"/>
                <w:color w:val="000000" w:themeColor="text1"/>
                <w:kern w:val="0"/>
                <w:sz w:val="18"/>
                <w:szCs w:val="18"/>
                <w:u w:val="none"/>
                <w:lang w:val="en-US" w:eastAsia="zh-CN"/>
                <w14:textFill>
                  <w14:solidFill>
                    <w14:schemeClr w14:val="tx1"/>
                  </w14:solidFill>
                </w14:textFill>
              </w:rPr>
              <w:t>0</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≤10</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445"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4</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eastAsia" w:eastAsia="方正仿宋_GBK" w:cs="Times New Roman"/>
                <w:color w:val="000000" w:themeColor="text1"/>
                <w:kern w:val="0"/>
                <w:sz w:val="18"/>
                <w:szCs w:val="18"/>
                <w:u w:val="none"/>
                <w:lang w:eastAsia="zh-CN"/>
                <w14:textFill>
                  <w14:solidFill>
                    <w14:schemeClr w14:val="tx1"/>
                  </w14:solidFill>
                </w14:textFill>
              </w:rPr>
              <w:t>婴儿</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死亡率（</w:t>
            </w:r>
            <w:r>
              <w:rPr>
                <w:rFonts w:hint="default" w:ascii="Times New Roman" w:hAnsi="Times New Roman" w:eastAsia="等线" w:cs="Times New Roman"/>
                <w:color w:val="000000" w:themeColor="text1"/>
                <w:kern w:val="0"/>
                <w:sz w:val="18"/>
                <w:szCs w:val="18"/>
                <w:u w:val="none"/>
                <w14:textFill>
                  <w14:solidFill>
                    <w14:schemeClr w14:val="tx1"/>
                  </w14:solidFill>
                </w14:textFill>
              </w:rPr>
              <w:t>‰</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eastAsia" w:eastAsia="等线" w:cs="Times New Roman"/>
                <w:color w:val="000000" w:themeColor="text1"/>
                <w:kern w:val="0"/>
                <w:sz w:val="18"/>
                <w:szCs w:val="18"/>
                <w:u w:val="none"/>
                <w:lang w:val="en-US" w:eastAsia="zh-CN"/>
                <w14:textFill>
                  <w14:solidFill>
                    <w14:schemeClr w14:val="tx1"/>
                  </w14:solidFill>
                </w14:textFill>
              </w:rPr>
              <w:t>2.92</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w:t>
            </w:r>
            <w:r>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t>3.5</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430"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5</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5</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岁以下儿童死亡率（</w:t>
            </w:r>
            <w:r>
              <w:rPr>
                <w:rFonts w:hint="default" w:ascii="Times New Roman" w:hAnsi="Times New Roman" w:eastAsia="等线" w:cs="Times New Roman"/>
                <w:color w:val="000000" w:themeColor="text1"/>
                <w:kern w:val="0"/>
                <w:sz w:val="18"/>
                <w:szCs w:val="18"/>
                <w:u w:val="none"/>
                <w14:textFill>
                  <w14:solidFill>
                    <w14:schemeClr w14:val="tx1"/>
                  </w14:solidFill>
                </w14:textFill>
              </w:rPr>
              <w:t>‰</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eastAsia" w:eastAsia="等线" w:cs="Times New Roman"/>
                <w:color w:val="000000" w:themeColor="text1"/>
                <w:kern w:val="0"/>
                <w:sz w:val="18"/>
                <w:szCs w:val="18"/>
                <w:u w:val="none"/>
                <w:lang w:val="en-US" w:eastAsia="zh-CN"/>
                <w14:textFill>
                  <w14:solidFill>
                    <w14:schemeClr w14:val="tx1"/>
                  </w14:solidFill>
                </w14:textFill>
              </w:rPr>
              <w:t>4.69</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≤5</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475"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6</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重大慢性病过早死亡率（%）</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eastAsia" w:eastAsia="等线" w:cs="Times New Roman"/>
                <w:color w:val="000000" w:themeColor="text1"/>
                <w:kern w:val="0"/>
                <w:sz w:val="18"/>
                <w:szCs w:val="18"/>
                <w:u w:val="none"/>
                <w:lang w:val="en-US" w:eastAsia="zh-CN"/>
                <w14:textFill>
                  <w14:solidFill>
                    <w14:schemeClr w14:val="tx1"/>
                  </w14:solidFill>
                </w14:textFill>
              </w:rPr>
              <w:t>14.58</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≤13.5</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605"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7</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城乡居民达到《国民体质测定标准》合格以上的人数比例（%）</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eastAsia" w:eastAsia="等线" w:cs="Times New Roman"/>
                <w:color w:val="000000" w:themeColor="text1"/>
                <w:kern w:val="0"/>
                <w:sz w:val="18"/>
                <w:szCs w:val="18"/>
                <w:u w:val="none"/>
                <w:lang w:val="en-US" w:eastAsia="zh-CN"/>
                <w14:textFill>
                  <w14:solidFill>
                    <w14:schemeClr w14:val="tx1"/>
                  </w14:solidFill>
                </w14:textFill>
              </w:rPr>
              <w:t>98</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cs="Times New Roman"/>
                <w:color w:val="000000" w:themeColor="text1"/>
                <w:kern w:val="0"/>
                <w:sz w:val="18"/>
                <w:szCs w:val="18"/>
                <w:u w:val="none"/>
                <w14:textFill>
                  <w14:solidFill>
                    <w14:schemeClr w14:val="tx1"/>
                  </w14:solidFill>
                </w14:textFill>
              </w:rPr>
              <w:t>≥</w:t>
            </w:r>
            <w:r>
              <w:rPr>
                <w:rFonts w:hint="default" w:ascii="Times New Roman" w:hAnsi="Times New Roman" w:eastAsia="等线" w:cs="Times New Roman"/>
                <w:color w:val="000000" w:themeColor="text1"/>
                <w:kern w:val="0"/>
                <w:sz w:val="18"/>
                <w:szCs w:val="18"/>
                <w:u w:val="none"/>
                <w14:textFill>
                  <w14:solidFill>
                    <w14:schemeClr w14:val="tx1"/>
                  </w14:solidFill>
                </w14:textFill>
              </w:rPr>
              <w:t>93.5</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505" w:hRule="atLeast"/>
          <w:jc w:val="center"/>
        </w:trPr>
        <w:tc>
          <w:tcPr>
            <w:tcW w:w="10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健康</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生活</w:t>
            </w:r>
          </w:p>
        </w:tc>
        <w:tc>
          <w:tcPr>
            <w:tcW w:w="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8</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居民健康素养水平（%）</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eastAsia" w:eastAsia="等线" w:cs="Times New Roman"/>
                <w:color w:val="000000" w:themeColor="text1"/>
                <w:kern w:val="0"/>
                <w:sz w:val="18"/>
                <w:szCs w:val="18"/>
                <w:u w:val="none"/>
                <w:lang w:val="en-US" w:eastAsia="zh-CN"/>
                <w14:textFill>
                  <w14:solidFill>
                    <w14:schemeClr w14:val="tx1"/>
                  </w14:solidFill>
                </w14:textFill>
              </w:rPr>
              <w:t>19.08</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≥30</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505"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t>9</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经常参加体育锻炼人数比例</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w:t>
            </w:r>
            <w:r>
              <w:rPr>
                <w:rFonts w:hint="default" w:ascii="Times New Roman" w:hAnsi="Times New Roman" w:eastAsia="等线" w:cs="Times New Roman"/>
                <w:color w:val="000000" w:themeColor="text1"/>
                <w:kern w:val="0"/>
                <w:sz w:val="18"/>
                <w:szCs w:val="18"/>
                <w:u w:val="none"/>
                <w14:textFill>
                  <w14:solidFill>
                    <w14:schemeClr w14:val="tx1"/>
                  </w14:solidFill>
                </w14:textFill>
              </w:rPr>
              <w:t>%</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eastAsia" w:eastAsia="等线" w:cs="Times New Roman"/>
                <w:color w:val="000000" w:themeColor="text1"/>
                <w:kern w:val="0"/>
                <w:sz w:val="18"/>
                <w:szCs w:val="18"/>
                <w:u w:val="none"/>
                <w:lang w:val="en-US" w:eastAsia="zh-CN"/>
                <w14:textFill>
                  <w14:solidFill>
                    <w14:schemeClr w14:val="tx1"/>
                  </w14:solidFill>
                </w14:textFill>
              </w:rPr>
              <w:t>29.03</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w:t>
            </w:r>
            <w:r>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t>48</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510"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t>10</w:t>
            </w:r>
          </w:p>
        </w:tc>
        <w:tc>
          <w:tcPr>
            <w:tcW w:w="31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15</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岁以上人群吸烟率（</w:t>
            </w:r>
            <w:r>
              <w:rPr>
                <w:rFonts w:hint="default" w:ascii="Times New Roman" w:hAnsi="Times New Roman" w:eastAsia="等线" w:cs="Times New Roman"/>
                <w:color w:val="000000" w:themeColor="text1"/>
                <w:kern w:val="0"/>
                <w:sz w:val="18"/>
                <w:szCs w:val="18"/>
                <w:u w:val="none"/>
                <w14:textFill>
                  <w14:solidFill>
                    <w14:schemeClr w14:val="tx1"/>
                  </w14:solidFill>
                </w14:textFill>
              </w:rPr>
              <w:t>%</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eastAsia" w:ascii="宋体" w:hAnsi="宋体" w:eastAsia="宋体" w:cs="宋体"/>
                <w:color w:val="000000" w:themeColor="text1"/>
                <w:kern w:val="0"/>
                <w:sz w:val="18"/>
                <w:szCs w:val="18"/>
                <w:u w:val="none"/>
                <w14:textFill>
                  <w14:solidFill>
                    <w14:schemeClr w14:val="tx1"/>
                  </w14:solidFill>
                </w14:textFill>
              </w:rPr>
              <w:t>－</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≤22</w:t>
            </w:r>
          </w:p>
        </w:tc>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435" w:hRule="atLeast"/>
          <w:jc w:val="center"/>
        </w:trPr>
        <w:tc>
          <w:tcPr>
            <w:tcW w:w="10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健康</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服务</w:t>
            </w:r>
          </w:p>
        </w:tc>
        <w:tc>
          <w:tcPr>
            <w:tcW w:w="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11</w:t>
            </w:r>
          </w:p>
        </w:tc>
        <w:tc>
          <w:tcPr>
            <w:tcW w:w="31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每千人口执业（助理）医师数（人）</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eastAsia" w:eastAsia="等线" w:cs="Times New Roman"/>
                <w:color w:val="000000" w:themeColor="text1"/>
                <w:kern w:val="0"/>
                <w:sz w:val="18"/>
                <w:szCs w:val="18"/>
                <w:u w:val="none"/>
                <w:lang w:val="en-US" w:eastAsia="zh-CN"/>
                <w14:textFill>
                  <w14:solidFill>
                    <w14:schemeClr w14:val="tx1"/>
                  </w14:solidFill>
                </w14:textFill>
              </w:rPr>
              <w:t>2.61</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等线"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3.</w:t>
            </w:r>
            <w:r>
              <w:rPr>
                <w:rFonts w:hint="eastAsia" w:eastAsia="等线" w:cs="Times New Roman"/>
                <w:color w:val="000000" w:themeColor="text1"/>
                <w:kern w:val="0"/>
                <w:sz w:val="18"/>
                <w:szCs w:val="18"/>
                <w:u w:val="none"/>
                <w:lang w:val="en-US" w:eastAsia="zh-CN"/>
                <w14:textFill>
                  <w14:solidFill>
                    <w14:schemeClr w14:val="tx1"/>
                  </w14:solidFill>
                </w14:textFill>
              </w:rPr>
              <w:t>1</w:t>
            </w:r>
          </w:p>
        </w:tc>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约束性</w:t>
            </w:r>
          </w:p>
        </w:tc>
      </w:tr>
      <w:tr>
        <w:tblPrEx>
          <w:tblCellMar>
            <w:top w:w="0" w:type="dxa"/>
            <w:left w:w="108" w:type="dxa"/>
            <w:bottom w:w="0" w:type="dxa"/>
            <w:right w:w="108" w:type="dxa"/>
          </w:tblCellMar>
        </w:tblPrEx>
        <w:trPr>
          <w:trHeight w:val="450"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12</w:t>
            </w:r>
          </w:p>
        </w:tc>
        <w:tc>
          <w:tcPr>
            <w:tcW w:w="31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每百张床位临床药师数（人）</w:t>
            </w:r>
          </w:p>
        </w:tc>
        <w:tc>
          <w:tcPr>
            <w:tcW w:w="8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eastAsia" w:eastAsia="等线" w:cs="Times New Roman"/>
                <w:color w:val="000000" w:themeColor="text1"/>
                <w:kern w:val="0"/>
                <w:sz w:val="18"/>
                <w:szCs w:val="18"/>
                <w:u w:val="none"/>
                <w:lang w:val="en-US" w:eastAsia="zh-CN"/>
                <w14:textFill>
                  <w14:solidFill>
                    <w14:schemeClr w14:val="tx1"/>
                  </w14:solidFill>
                </w14:textFill>
              </w:rPr>
              <w:t>0.64</w:t>
            </w:r>
          </w:p>
        </w:tc>
        <w:tc>
          <w:tcPr>
            <w:tcW w:w="154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t>0.7</w:t>
            </w:r>
          </w:p>
        </w:tc>
        <w:tc>
          <w:tcPr>
            <w:tcW w:w="14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555"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13</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每千人口拥有</w:t>
            </w:r>
            <w:r>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岁以下婴幼儿托位数（个）</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eastAsia" w:ascii="宋体" w:hAnsi="宋体" w:eastAsia="宋体" w:cs="宋体"/>
                <w:color w:val="000000" w:themeColor="text1"/>
                <w:kern w:val="0"/>
                <w:sz w:val="18"/>
                <w:szCs w:val="18"/>
                <w:u w:val="none"/>
                <w14:textFill>
                  <w14:solidFill>
                    <w14:schemeClr w14:val="tx1"/>
                  </w14:solidFill>
                </w14:textFill>
              </w:rPr>
              <w:t>－</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4.5</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460"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14</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全</w:t>
            </w:r>
            <w:r>
              <w:rPr>
                <w:rFonts w:hint="eastAsia" w:eastAsia="方正仿宋_GBK" w:cs="Times New Roman"/>
                <w:color w:val="000000" w:themeColor="text1"/>
                <w:kern w:val="0"/>
                <w:sz w:val="18"/>
                <w:szCs w:val="18"/>
                <w:u w:val="none"/>
                <w:lang w:eastAsia="zh-CN"/>
                <w14:textFill>
                  <w14:solidFill>
                    <w14:schemeClr w14:val="tx1"/>
                  </w14:solidFill>
                </w14:textFill>
              </w:rPr>
              <w:t>县</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儿童青少年总体近视率（%）</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49.89</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t>≤49.0</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约束性</w:t>
            </w:r>
          </w:p>
        </w:tc>
      </w:tr>
      <w:tr>
        <w:tblPrEx>
          <w:tblCellMar>
            <w:top w:w="0" w:type="dxa"/>
            <w:left w:w="108" w:type="dxa"/>
            <w:bottom w:w="0" w:type="dxa"/>
            <w:right w:w="108" w:type="dxa"/>
          </w:tblCellMar>
        </w:tblPrEx>
        <w:trPr>
          <w:trHeight w:val="640"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15</w:t>
            </w:r>
          </w:p>
        </w:tc>
        <w:tc>
          <w:tcPr>
            <w:tcW w:w="3137" w:type="dxa"/>
            <w:gridSpan w:val="2"/>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二级以上综合性医院设置老年医学科的比例（%）</w:t>
            </w:r>
          </w:p>
        </w:tc>
        <w:tc>
          <w:tcPr>
            <w:tcW w:w="819"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66</w:t>
            </w:r>
          </w:p>
        </w:tc>
        <w:tc>
          <w:tcPr>
            <w:tcW w:w="1549"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w:t>
            </w:r>
            <w:r>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t>60</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285" w:hRule="atLeast"/>
          <w:jc w:val="center"/>
        </w:trPr>
        <w:tc>
          <w:tcPr>
            <w:tcW w:w="107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健康</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环境</w:t>
            </w:r>
          </w:p>
        </w:tc>
        <w:tc>
          <w:tcPr>
            <w:tcW w:w="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16</w:t>
            </w:r>
          </w:p>
        </w:tc>
        <w:tc>
          <w:tcPr>
            <w:tcW w:w="31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城市空气质量优良天数比率（%）</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98</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w:t>
            </w:r>
            <w:r>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t>88</w:t>
            </w:r>
          </w:p>
        </w:tc>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约束性</w:t>
            </w:r>
          </w:p>
        </w:tc>
      </w:tr>
      <w:tr>
        <w:tblPrEx>
          <w:tblCellMar>
            <w:top w:w="0" w:type="dxa"/>
            <w:left w:w="108" w:type="dxa"/>
            <w:bottom w:w="0" w:type="dxa"/>
            <w:right w:w="108" w:type="dxa"/>
          </w:tblCellMar>
        </w:tblPrEx>
        <w:trPr>
          <w:trHeight w:val="285" w:hRule="atLeast"/>
          <w:jc w:val="center"/>
        </w:trPr>
        <w:tc>
          <w:tcPr>
            <w:tcW w:w="107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17</w:t>
            </w:r>
          </w:p>
        </w:tc>
        <w:tc>
          <w:tcPr>
            <w:tcW w:w="31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地表水达到或好于Ⅲ类水体比例（%）</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100</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国家下达</w:t>
            </w:r>
          </w:p>
        </w:tc>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约束性</w:t>
            </w:r>
          </w:p>
        </w:tc>
      </w:tr>
      <w:tr>
        <w:tblPrEx>
          <w:tblCellMar>
            <w:top w:w="0" w:type="dxa"/>
            <w:left w:w="108" w:type="dxa"/>
            <w:bottom w:w="0" w:type="dxa"/>
            <w:right w:w="108" w:type="dxa"/>
          </w:tblCellMar>
        </w:tblPrEx>
        <w:trPr>
          <w:trHeight w:val="285" w:hRule="atLeast"/>
          <w:jc w:val="center"/>
        </w:trPr>
        <w:tc>
          <w:tcPr>
            <w:tcW w:w="10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健康</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保障</w:t>
            </w:r>
          </w:p>
        </w:tc>
        <w:tc>
          <w:tcPr>
            <w:tcW w:w="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18</w:t>
            </w:r>
          </w:p>
        </w:tc>
        <w:tc>
          <w:tcPr>
            <w:tcW w:w="31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hanging="176" w:hangingChars="100"/>
              <w:jc w:val="left"/>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个人卫生支出占卫生总费用的比</w:t>
            </w: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重</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27</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t>≤27</w:t>
            </w:r>
          </w:p>
        </w:tc>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约束性</w:t>
            </w:r>
          </w:p>
        </w:tc>
      </w:tr>
      <w:tr>
        <w:tblPrEx>
          <w:tblCellMar>
            <w:top w:w="0" w:type="dxa"/>
            <w:left w:w="108" w:type="dxa"/>
            <w:bottom w:w="0" w:type="dxa"/>
            <w:right w:w="108" w:type="dxa"/>
          </w:tblCellMar>
        </w:tblPrEx>
        <w:trPr>
          <w:trHeight w:val="285"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19</w:t>
            </w: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政策范围内住院费用支付比例（%）</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城镇职工医保</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67</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t>85</w:t>
            </w:r>
          </w:p>
        </w:tc>
        <w:tc>
          <w:tcPr>
            <w:tcW w:w="14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665"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政策范围内住院费用支付比例（%）</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城乡居民医保</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56.27</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t>70</w:t>
            </w: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健康</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产业</w:t>
            </w:r>
          </w:p>
        </w:tc>
        <w:tc>
          <w:tcPr>
            <w:tcW w:w="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20</w:t>
            </w:r>
          </w:p>
        </w:tc>
        <w:tc>
          <w:tcPr>
            <w:tcW w:w="31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健康服务业总规模（亿元）</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176" w:firstLineChars="100"/>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eastAsia" w:ascii="宋体" w:hAnsi="宋体" w:eastAsia="宋体" w:cs="宋体"/>
                <w:color w:val="000000" w:themeColor="text1"/>
                <w:kern w:val="0"/>
                <w:sz w:val="18"/>
                <w:szCs w:val="18"/>
                <w:u w:val="none"/>
                <w14:textFill>
                  <w14:solidFill>
                    <w14:schemeClr w14:val="tx1"/>
                  </w14:solidFill>
                </w14:textFill>
              </w:rPr>
              <w:t>－</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稳步增长</w:t>
            </w:r>
          </w:p>
        </w:tc>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bl>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pPr>
      <w:r>
        <w:rPr>
          <w:rFonts w:hint="eastAsia" w:eastAsia="方正黑体_GBK" w:cs="Times New Roman"/>
          <w:color w:val="000000" w:themeColor="text1"/>
          <w:sz w:val="32"/>
          <w:szCs w:val="32"/>
          <w:u w:val="none"/>
          <w:lang w:val="en-US" w:eastAsia="zh-CN"/>
          <w14:textFill>
            <w14:solidFill>
              <w14:schemeClr w14:val="tx1"/>
            </w14:solidFill>
          </w14:textFill>
        </w:rPr>
        <w:t>四、</w:t>
      </w: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重点任务</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（一）强化公共卫生体系建设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eastAsia" w:eastAsia="方正仿宋_GBK" w:cs="Times New Roman"/>
          <w:b/>
          <w:bCs/>
          <w:color w:val="000000" w:themeColor="text1"/>
          <w:sz w:val="32"/>
          <w:szCs w:val="32"/>
          <w:u w:val="none"/>
          <w:lang w:eastAsia="zh-CN"/>
          <w14:textFill>
            <w14:solidFill>
              <w14:schemeClr w14:val="tx1"/>
            </w14:solidFill>
          </w14:textFill>
        </w:rPr>
        <w:t>强化疾病预防控制体系和能力建设</w:t>
      </w:r>
      <w:r>
        <w:rPr>
          <w:rFonts w:hint="default" w:ascii="Times New Roman" w:hAnsi="Times New Roman" w:eastAsia="方正仿宋_GBK" w:cs="Times New Roman"/>
          <w:b/>
          <w:bCs/>
          <w:color w:val="000000" w:themeColor="text1"/>
          <w:sz w:val="32"/>
          <w:szCs w:val="32"/>
          <w:u w:val="none"/>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健全疾病预防控制机构、医院、基层医疗卫生机构</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三位一体</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的疾病预防控制网络， 增强早期监测预警、快速检测、应急处置和综合救治能力，做好常态化疫情防控工作，从源头上预防和控制重大疾病。</w:t>
      </w:r>
      <w:r>
        <w:rPr>
          <w:rFonts w:hint="eastAsia" w:eastAsia="方正仿宋_GBK" w:cs="Times New Roman"/>
          <w:color w:val="000000" w:themeColor="text1"/>
          <w:sz w:val="32"/>
          <w:szCs w:val="32"/>
          <w:u w:val="none"/>
          <w:lang w:eastAsia="zh-CN"/>
          <w14:textFill>
            <w14:solidFill>
              <w14:schemeClr w14:val="tx1"/>
            </w14:solidFill>
          </w14:textFill>
        </w:rPr>
        <w:t>推动二级疾控中心建设，</w:t>
      </w:r>
      <w:r>
        <w:rPr>
          <w:rFonts w:hint="default" w:ascii="Times New Roman" w:hAnsi="Times New Roman" w:eastAsia="方正仿宋_GBK" w:cs="Times New Roman"/>
          <w:color w:val="000000" w:themeColor="text1"/>
          <w:sz w:val="32"/>
          <w:szCs w:val="32"/>
          <w:u w:val="none"/>
          <w14:textFill>
            <w14:solidFill>
              <w14:schemeClr w14:val="tx1"/>
            </w14:solidFill>
          </w14:textFill>
        </w:rPr>
        <w:t>完善社区网络化疫情防控体系，织密织牢防控网。加强疾控中心实验室能力建设，提升疾控中心实验室检测能力，加强二级生物安全实验室建设，实验室设备配置达到地市级标准，</w:t>
      </w:r>
      <w:r>
        <w:rPr>
          <w:rFonts w:hint="default" w:ascii="Times New Roman" w:hAnsi="Times New Roman" w:eastAsia="方正仿宋_GBK" w:cs="Times New Roman"/>
          <w:b w:val="0"/>
          <w:bCs w:val="0"/>
          <w:color w:val="auto"/>
          <w:sz w:val="32"/>
          <w:szCs w:val="32"/>
          <w:u w:val="none"/>
        </w:rPr>
        <w:t>检测</w:t>
      </w:r>
      <w:r>
        <w:rPr>
          <w:rFonts w:hint="eastAsia" w:eastAsia="方正仿宋_GBK" w:cs="Times New Roman"/>
          <w:b w:val="0"/>
          <w:bCs w:val="0"/>
          <w:color w:val="auto"/>
          <w:sz w:val="32"/>
          <w:szCs w:val="32"/>
          <w:highlight w:val="none"/>
          <w:u w:val="none"/>
          <w:shd w:val="clear" w:color="auto" w:fill="auto"/>
          <w:lang w:eastAsia="zh-CN"/>
        </w:rPr>
        <w:t>项目</w:t>
      </w:r>
      <w:r>
        <w:rPr>
          <w:rFonts w:hint="default" w:ascii="Times New Roman" w:hAnsi="Times New Roman" w:eastAsia="方正仿宋_GBK" w:cs="Times New Roman"/>
          <w:b w:val="0"/>
          <w:bCs w:val="0"/>
          <w:color w:val="auto"/>
          <w:sz w:val="32"/>
          <w:szCs w:val="32"/>
          <w:u w:val="none"/>
        </w:rPr>
        <w:t>达到</w:t>
      </w:r>
      <w:r>
        <w:rPr>
          <w:rFonts w:hint="eastAsia" w:eastAsia="方正仿宋_GBK" w:cs="Times New Roman"/>
          <w:b w:val="0"/>
          <w:bCs w:val="0"/>
          <w:color w:val="auto"/>
          <w:sz w:val="32"/>
          <w:szCs w:val="32"/>
          <w:u w:val="none"/>
          <w:lang w:val="en-US" w:eastAsia="zh-CN"/>
        </w:rPr>
        <w:t>280</w:t>
      </w:r>
      <w:r>
        <w:rPr>
          <w:rFonts w:hint="default" w:ascii="Times New Roman" w:hAnsi="Times New Roman" w:eastAsia="方正仿宋_GBK" w:cs="Times New Roman"/>
          <w:b w:val="0"/>
          <w:bCs w:val="0"/>
          <w:color w:val="auto"/>
          <w:sz w:val="32"/>
          <w:szCs w:val="32"/>
          <w:u w:val="none"/>
        </w:rPr>
        <w:t>项以上，</w:t>
      </w:r>
      <w:r>
        <w:rPr>
          <w:rFonts w:hint="default" w:ascii="Times New Roman" w:hAnsi="Times New Roman" w:eastAsia="方正仿宋_GBK" w:cs="Times New Roman"/>
          <w:color w:val="000000" w:themeColor="text1"/>
          <w:sz w:val="32"/>
          <w:szCs w:val="32"/>
          <w:u w:val="none"/>
          <w14:textFill>
            <w14:solidFill>
              <w14:schemeClr w14:val="tx1"/>
            </w14:solidFill>
          </w14:textFill>
        </w:rPr>
        <w:t>强化服务能力、检测能力、基础设施和装备配备力度。</w:t>
      </w:r>
    </w:p>
    <w:p>
      <w:pPr>
        <w:keepNext w:val="0"/>
        <w:keepLines w:val="0"/>
        <w:pageBreakBefore w:val="0"/>
        <w:kinsoku/>
        <w:wordWrap/>
        <w:topLinePunct w:val="0"/>
        <w:autoSpaceDE/>
        <w:autoSpaceDN/>
        <w:bidi w:val="0"/>
        <w:spacing w:line="560" w:lineRule="exact"/>
        <w:ind w:firstLine="632" w:firstLineChars="200"/>
        <w:textAlignment w:val="auto"/>
        <w:rPr>
          <w:rFonts w:eastAsia="方正仿宋_GBK"/>
          <w:color w:val="000000" w:themeColor="text1"/>
          <w:sz w:val="32"/>
          <w:szCs w:val="32"/>
          <w:u w:val="none"/>
          <w14:textFill>
            <w14:solidFill>
              <w14:schemeClr w14:val="tx1"/>
            </w14:solidFill>
          </w14:textFill>
        </w:rPr>
      </w:pPr>
      <w:r>
        <w:rPr>
          <w:rFonts w:eastAsia="方正仿宋_GBK"/>
          <w:b/>
          <w:bCs/>
          <w:color w:val="000000" w:themeColor="text1"/>
          <w:sz w:val="32"/>
          <w:szCs w:val="32"/>
          <w:u w:val="none"/>
          <w14:textFill>
            <w14:solidFill>
              <w14:schemeClr w14:val="tx1"/>
            </w14:solidFill>
          </w14:textFill>
        </w:rPr>
        <w:t>加强应急保障能力建设。</w:t>
      </w:r>
      <w:r>
        <w:rPr>
          <w:rFonts w:eastAsia="方正仿宋_GBK"/>
          <w:color w:val="000000" w:themeColor="text1"/>
          <w:sz w:val="32"/>
          <w:szCs w:val="32"/>
          <w:u w:val="none"/>
          <w14:textFill>
            <w14:solidFill>
              <w14:schemeClr w14:val="tx1"/>
            </w14:solidFill>
          </w14:textFill>
        </w:rPr>
        <w:t>建立</w:t>
      </w:r>
      <w:r>
        <w:rPr>
          <w:rFonts w:hint="eastAsia" w:eastAsia="方正仿宋_GBK"/>
          <w:color w:val="000000" w:themeColor="text1"/>
          <w:sz w:val="32"/>
          <w:szCs w:val="32"/>
          <w:u w:val="none"/>
          <w:lang w:eastAsia="zh-CN"/>
          <w14:textFill>
            <w14:solidFill>
              <w14:schemeClr w14:val="tx1"/>
            </w14:solidFill>
          </w14:textFill>
        </w:rPr>
        <w:t>县</w:t>
      </w:r>
      <w:r>
        <w:rPr>
          <w:rFonts w:eastAsia="方正仿宋_GBK"/>
          <w:color w:val="000000" w:themeColor="text1"/>
          <w:sz w:val="32"/>
          <w:szCs w:val="32"/>
          <w:u w:val="none"/>
          <w14:textFill>
            <w14:solidFill>
              <w14:schemeClr w14:val="tx1"/>
            </w14:solidFill>
          </w14:textFill>
        </w:rPr>
        <w:t>级重大疫情应急指挥机制，建设集中统一高效的应急指挥中心。完善应急保障网络，提升卫生应急处置能力。建立应急人员和应急物资</w:t>
      </w:r>
      <w:r>
        <w:rPr>
          <w:rFonts w:hint="eastAsia" w:eastAsia="方正仿宋_GBK"/>
          <w:color w:val="000000" w:themeColor="text1"/>
          <w:sz w:val="32"/>
          <w:szCs w:val="32"/>
          <w:u w:val="none"/>
          <w:lang w:eastAsia="zh-CN"/>
          <w14:textFill>
            <w14:solidFill>
              <w14:schemeClr w14:val="tx1"/>
            </w14:solidFill>
          </w14:textFill>
        </w:rPr>
        <w:t>“</w:t>
      </w:r>
      <w:r>
        <w:rPr>
          <w:rFonts w:eastAsia="方正仿宋_GBK"/>
          <w:color w:val="000000" w:themeColor="text1"/>
          <w:sz w:val="32"/>
          <w:szCs w:val="32"/>
          <w:u w:val="none"/>
          <w14:textFill>
            <w14:solidFill>
              <w14:schemeClr w14:val="tx1"/>
            </w14:solidFill>
          </w14:textFill>
        </w:rPr>
        <w:t>双储备</w:t>
      </w:r>
      <w:r>
        <w:rPr>
          <w:rFonts w:hint="eastAsia" w:eastAsia="方正仿宋_GBK"/>
          <w:color w:val="000000" w:themeColor="text1"/>
          <w:sz w:val="32"/>
          <w:szCs w:val="32"/>
          <w:u w:val="none"/>
          <w:lang w:eastAsia="zh-CN"/>
          <w14:textFill>
            <w14:solidFill>
              <w14:schemeClr w14:val="tx1"/>
            </w14:solidFill>
          </w14:textFill>
        </w:rPr>
        <w:t>”</w:t>
      </w:r>
      <w:r>
        <w:rPr>
          <w:rFonts w:eastAsia="方正仿宋_GBK"/>
          <w:color w:val="000000" w:themeColor="text1"/>
          <w:sz w:val="32"/>
          <w:szCs w:val="32"/>
          <w:u w:val="none"/>
          <w14:textFill>
            <w14:solidFill>
              <w14:schemeClr w14:val="tx1"/>
            </w14:solidFill>
          </w14:textFill>
        </w:rPr>
        <w:t>常态机制。健全平急结合的联防联控机制，建立应急救援队</w:t>
      </w:r>
      <w:r>
        <w:rPr>
          <w:rFonts w:hint="eastAsia" w:eastAsia="方正仿宋_GBK"/>
          <w:color w:val="000000" w:themeColor="text1"/>
          <w:sz w:val="32"/>
          <w:szCs w:val="32"/>
          <w:u w:val="none"/>
          <w:lang w:eastAsia="zh-CN"/>
          <w14:textFill>
            <w14:solidFill>
              <w14:schemeClr w14:val="tx1"/>
            </w14:solidFill>
          </w14:textFill>
        </w:rPr>
        <w:t>伍</w:t>
      </w:r>
      <w:r>
        <w:rPr>
          <w:rFonts w:eastAsia="方正仿宋_GBK"/>
          <w:color w:val="000000" w:themeColor="text1"/>
          <w:sz w:val="32"/>
          <w:szCs w:val="32"/>
          <w:u w:val="none"/>
          <w14:textFill>
            <w14:solidFill>
              <w14:schemeClr w14:val="tx1"/>
            </w14:solidFill>
          </w14:textFill>
        </w:rPr>
        <w:t>制度，探索建立急诊ICU一体化综合救治模式。加</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强</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120</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u w:val="none"/>
          <w14:textFill>
            <w14:solidFill>
              <w14:schemeClr w14:val="tx1"/>
            </w14:solidFill>
          </w14:textFill>
        </w:rPr>
        <w:t>网络站点和调度指挥中心建设。健全院前急救和医学救援能力，提升基层医疗机构院前急救能力，</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构建完善突发事件应急医疗物资储备体系和应急调用机制，落实各级医疗卫生机构应急基本物资储备，</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加强重大疫情应对培训、演练</w:t>
      </w:r>
      <w:r>
        <w:rPr>
          <w:rFonts w:eastAsia="方正仿宋_GBK"/>
          <w:color w:val="000000" w:themeColor="text1"/>
          <w:sz w:val="32"/>
          <w:szCs w:val="32"/>
          <w:u w:val="none"/>
          <w14:textFill>
            <w14:solidFill>
              <w14:schemeClr w14:val="tx1"/>
            </w14:solidFill>
          </w14:textFill>
        </w:rPr>
        <w:t>和普及宣传。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eastAsia="方正仿宋_GBK" w:cs="Times New Roman"/>
          <w:b/>
          <w:bCs/>
          <w:color w:val="000000" w:themeColor="text1"/>
          <w:sz w:val="32"/>
          <w:szCs w:val="32"/>
          <w:u w:val="none"/>
          <w:lang w:eastAsia="zh-CN"/>
          <w14:textFill>
            <w14:solidFill>
              <w14:schemeClr w14:val="tx1"/>
            </w14:solidFill>
          </w14:textFill>
        </w:rPr>
      </w:pPr>
      <w:r>
        <w:rPr>
          <w:rFonts w:hint="eastAsia" w:eastAsia="方正仿宋_GBK" w:cs="Times New Roman"/>
          <w:b/>
          <w:bCs/>
          <w:color w:val="000000" w:themeColor="text1"/>
          <w:sz w:val="32"/>
          <w:szCs w:val="32"/>
          <w:u w:val="none"/>
          <w:lang w:eastAsia="zh-CN"/>
          <w14:textFill>
            <w14:solidFill>
              <w14:schemeClr w14:val="tx1"/>
            </w14:solidFill>
          </w14:textFill>
        </w:rPr>
        <w:t>创新医防协同机制。</w:t>
      </w:r>
      <w:r>
        <w:rPr>
          <w:rFonts w:hint="default" w:eastAsia="方正仿宋_GBK" w:cs="Times New Roman"/>
          <w:b w:val="0"/>
          <w:bCs w:val="0"/>
          <w:color w:val="000000" w:themeColor="text1"/>
          <w:sz w:val="32"/>
          <w:szCs w:val="32"/>
          <w:u w:val="none"/>
          <w:lang w:eastAsia="zh-CN"/>
          <w14:textFill>
            <w14:solidFill>
              <w14:schemeClr w14:val="tx1"/>
            </w14:solidFill>
          </w14:textFill>
        </w:rPr>
        <w:t>推进医疗机构和专业公共卫生机构的深度协作，制定医疗机构（</w:t>
      </w:r>
      <w:r>
        <w:rPr>
          <w:rFonts w:hint="eastAsia" w:eastAsia="方正仿宋_GBK" w:cs="Times New Roman"/>
          <w:b w:val="0"/>
          <w:bCs w:val="0"/>
          <w:color w:val="000000" w:themeColor="text1"/>
          <w:sz w:val="32"/>
          <w:szCs w:val="32"/>
          <w:u w:val="none"/>
          <w:lang w:eastAsia="zh-CN"/>
          <w14:textFill>
            <w14:solidFill>
              <w14:schemeClr w14:val="tx1"/>
            </w14:solidFill>
          </w14:textFill>
        </w:rPr>
        <w:t>县域医共体</w:t>
      </w:r>
      <w:r>
        <w:rPr>
          <w:rFonts w:hint="default" w:eastAsia="方正仿宋_GBK" w:cs="Times New Roman"/>
          <w:b w:val="0"/>
          <w:bCs w:val="0"/>
          <w:color w:val="000000" w:themeColor="text1"/>
          <w:sz w:val="32"/>
          <w:szCs w:val="32"/>
          <w:u w:val="none"/>
          <w:lang w:eastAsia="zh-CN"/>
          <w14:textFill>
            <w14:solidFill>
              <w14:schemeClr w14:val="tx1"/>
            </w14:solidFill>
          </w14:textFill>
        </w:rPr>
        <w:t>）公共卫生责任清单，落实</w:t>
      </w:r>
      <w:r>
        <w:rPr>
          <w:rFonts w:hint="eastAsia" w:eastAsia="方正仿宋_GBK" w:cs="Times New Roman"/>
          <w:b w:val="0"/>
          <w:bCs w:val="0"/>
          <w:color w:val="000000" w:themeColor="text1"/>
          <w:sz w:val="32"/>
          <w:szCs w:val="32"/>
          <w:u w:val="none"/>
          <w:lang w:eastAsia="zh-CN"/>
          <w14:textFill>
            <w14:solidFill>
              <w14:schemeClr w14:val="tx1"/>
            </w14:solidFill>
          </w14:textFill>
        </w:rPr>
        <w:t>医共体成员单位</w:t>
      </w:r>
      <w:r>
        <w:rPr>
          <w:rFonts w:hint="default" w:eastAsia="方正仿宋_GBK" w:cs="Times New Roman"/>
          <w:b w:val="0"/>
          <w:bCs w:val="0"/>
          <w:color w:val="000000" w:themeColor="text1"/>
          <w:sz w:val="32"/>
          <w:szCs w:val="32"/>
          <w:u w:val="none"/>
          <w:lang w:eastAsia="zh-CN"/>
          <w14:textFill>
            <w14:solidFill>
              <w14:schemeClr w14:val="tx1"/>
            </w14:solidFill>
          </w14:textFill>
        </w:rPr>
        <w:t>公共卫生责任。完善</w:t>
      </w:r>
      <w:r>
        <w:rPr>
          <w:rFonts w:hint="eastAsia" w:eastAsia="方正仿宋_GBK" w:cs="Times New Roman"/>
          <w:b w:val="0"/>
          <w:bCs w:val="0"/>
          <w:color w:val="000000" w:themeColor="text1"/>
          <w:sz w:val="32"/>
          <w:szCs w:val="32"/>
          <w:u w:val="none"/>
          <w:lang w:eastAsia="zh-CN"/>
          <w14:textFill>
            <w14:solidFill>
              <w14:schemeClr w14:val="tx1"/>
            </w14:solidFill>
          </w14:textFill>
        </w:rPr>
        <w:t>医共体成员单位</w:t>
      </w:r>
      <w:r>
        <w:rPr>
          <w:rFonts w:hint="default" w:eastAsia="方正仿宋_GBK" w:cs="Times New Roman"/>
          <w:b w:val="0"/>
          <w:bCs w:val="0"/>
          <w:color w:val="000000" w:themeColor="text1"/>
          <w:sz w:val="32"/>
          <w:szCs w:val="32"/>
          <w:u w:val="none"/>
          <w:lang w:eastAsia="zh-CN"/>
          <w14:textFill>
            <w14:solidFill>
              <w14:schemeClr w14:val="tx1"/>
            </w14:solidFill>
          </w14:textFill>
        </w:rPr>
        <w:t>公共卫生服务购买机制，建立职责清单，将公共卫生履职情况纳入绩效考核。加强疾控机构对</w:t>
      </w:r>
      <w:r>
        <w:rPr>
          <w:rFonts w:hint="eastAsia" w:eastAsia="方正仿宋_GBK" w:cs="Times New Roman"/>
          <w:b w:val="0"/>
          <w:bCs w:val="0"/>
          <w:color w:val="000000" w:themeColor="text1"/>
          <w:sz w:val="32"/>
          <w:szCs w:val="32"/>
          <w:u w:val="none"/>
          <w:lang w:eastAsia="zh-CN"/>
          <w14:textFill>
            <w14:solidFill>
              <w14:schemeClr w14:val="tx1"/>
            </w14:solidFill>
          </w14:textFill>
        </w:rPr>
        <w:t>医共体成员单位</w:t>
      </w:r>
      <w:r>
        <w:rPr>
          <w:rFonts w:hint="default" w:eastAsia="方正仿宋_GBK" w:cs="Times New Roman"/>
          <w:b w:val="0"/>
          <w:bCs w:val="0"/>
          <w:color w:val="000000" w:themeColor="text1"/>
          <w:sz w:val="32"/>
          <w:szCs w:val="32"/>
          <w:u w:val="none"/>
          <w:lang w:eastAsia="zh-CN"/>
          <w14:textFill>
            <w14:solidFill>
              <w14:schemeClr w14:val="tx1"/>
            </w14:solidFill>
          </w14:textFill>
        </w:rPr>
        <w:t>疾控</w:t>
      </w:r>
      <w:r>
        <w:rPr>
          <w:rFonts w:hint="eastAsia" w:eastAsia="方正仿宋_GBK" w:cs="Times New Roman"/>
          <w:b w:val="0"/>
          <w:bCs w:val="0"/>
          <w:color w:val="000000" w:themeColor="text1"/>
          <w:sz w:val="32"/>
          <w:szCs w:val="32"/>
          <w:u w:val="none"/>
          <w:lang w:eastAsia="zh-CN"/>
          <w14:textFill>
            <w14:solidFill>
              <w14:schemeClr w14:val="tx1"/>
            </w14:solidFill>
          </w14:textFill>
        </w:rPr>
        <w:t>相关</w:t>
      </w:r>
      <w:r>
        <w:rPr>
          <w:rFonts w:hint="default" w:eastAsia="方正仿宋_GBK" w:cs="Times New Roman"/>
          <w:b w:val="0"/>
          <w:bCs w:val="0"/>
          <w:color w:val="000000" w:themeColor="text1"/>
          <w:sz w:val="32"/>
          <w:szCs w:val="32"/>
          <w:u w:val="none"/>
          <w:lang w:eastAsia="zh-CN"/>
          <w14:textFill>
            <w14:solidFill>
              <w14:schemeClr w14:val="tx1"/>
            </w14:solidFill>
          </w14:textFill>
        </w:rPr>
        <w:t>工作的技术指导和监督考核。建立协同监测机制，发挥哨点作用。</w:t>
      </w:r>
      <w:r>
        <w:rPr>
          <w:rFonts w:hint="eastAsia" w:eastAsia="方正仿宋_GBK" w:cs="Times New Roman"/>
          <w:b w:val="0"/>
          <w:bCs w:val="0"/>
          <w:color w:val="000000" w:themeColor="text1"/>
          <w:sz w:val="32"/>
          <w:szCs w:val="32"/>
          <w:u w:val="none"/>
          <w:lang w:eastAsia="zh-CN"/>
          <w14:textFill>
            <w14:solidFill>
              <w14:schemeClr w14:val="tx1"/>
            </w14:solidFill>
          </w14:textFill>
        </w:rPr>
        <w:t>县级疾控机构要实现与医共体成员单位信息互联互通</w:t>
      </w:r>
      <w:r>
        <w:rPr>
          <w:rFonts w:hint="default" w:eastAsia="方正仿宋_GBK" w:cs="Times New Roman"/>
          <w:b w:val="0"/>
          <w:bCs w:val="0"/>
          <w:color w:val="000000" w:themeColor="text1"/>
          <w:sz w:val="32"/>
          <w:szCs w:val="32"/>
          <w:u w:val="none"/>
          <w:lang w:eastAsia="zh-CN"/>
          <w14:textFill>
            <w14:solidFill>
              <w14:schemeClr w14:val="tx1"/>
            </w14:solidFill>
          </w14:textFill>
        </w:rPr>
        <w:t>，建立完善人员通、信息通、资源通和监督监管相互制约的机制。建立公共卫生专业技术人员和医疗机构临床医生交叉培训制度，鼓励人员双向流动。探索建立疾控监督员制度，督促落实传染病疫情和突发公共卫生事件报告责任。</w:t>
      </w:r>
    </w:p>
    <w:p>
      <w:pPr>
        <w:keepNext w:val="0"/>
        <w:keepLines w:val="0"/>
        <w:pageBreakBefore w:val="0"/>
        <w:kinsoku/>
        <w:wordWrap/>
        <w:topLinePunct w:val="0"/>
        <w:autoSpaceDE/>
        <w:autoSpaceDN/>
        <w:bidi w:val="0"/>
        <w:spacing w:line="560" w:lineRule="exact"/>
        <w:ind w:firstLine="632" w:firstLineChars="200"/>
        <w:jc w:val="left"/>
        <w:textAlignment w:val="auto"/>
        <w:rPr>
          <w:rFonts w:eastAsia="方正仿宋_GBK"/>
          <w:color w:val="000000" w:themeColor="text1"/>
          <w:sz w:val="32"/>
          <w:szCs w:val="32"/>
          <w:u w:val="none"/>
          <w14:textFill>
            <w14:solidFill>
              <w14:schemeClr w14:val="tx1"/>
            </w14:solidFill>
          </w14:textFill>
        </w:rPr>
      </w:pPr>
      <w:r>
        <w:rPr>
          <w:rFonts w:eastAsia="方正仿宋_GBK"/>
          <w:b/>
          <w:bCs/>
          <w:color w:val="000000" w:themeColor="text1"/>
          <w:sz w:val="32"/>
          <w:szCs w:val="32"/>
          <w:u w:val="none"/>
          <w14:textFill>
            <w14:solidFill>
              <w14:schemeClr w14:val="tx1"/>
            </w14:solidFill>
          </w14:textFill>
        </w:rPr>
        <w:t>提升监测评价预警能力。</w:t>
      </w:r>
      <w:r>
        <w:rPr>
          <w:rFonts w:eastAsia="方正仿宋_GBK"/>
          <w:color w:val="000000" w:themeColor="text1"/>
          <w:sz w:val="32"/>
          <w:szCs w:val="32"/>
          <w:u w:val="none"/>
          <w14:textFill>
            <w14:solidFill>
              <w14:schemeClr w14:val="tx1"/>
            </w14:solidFill>
          </w14:textFill>
        </w:rPr>
        <w:t>加强监测预警网络建设，建设基于大数据分析的人工智能决策支持系统</w:t>
      </w:r>
      <w:r>
        <w:rPr>
          <w:rFonts w:hint="eastAsia" w:eastAsia="方正仿宋_GBK"/>
          <w:color w:val="000000" w:themeColor="text1"/>
          <w:sz w:val="32"/>
          <w:szCs w:val="32"/>
          <w:u w:val="none"/>
          <w:lang w:eastAsia="zh-CN"/>
          <w14:textFill>
            <w14:solidFill>
              <w14:schemeClr w14:val="tx1"/>
            </w14:solidFill>
          </w14:textFill>
        </w:rPr>
        <w:t>。</w:t>
      </w:r>
      <w:r>
        <w:rPr>
          <w:rFonts w:eastAsia="方正仿宋_GBK"/>
          <w:color w:val="000000" w:themeColor="text1"/>
          <w:sz w:val="32"/>
          <w:szCs w:val="32"/>
          <w:u w:val="none"/>
          <w14:textFill>
            <w14:solidFill>
              <w14:schemeClr w14:val="tx1"/>
            </w14:solidFill>
          </w14:textFill>
        </w:rPr>
        <w:t>整合现有的疫情监测、健康危险因素监测等模块，整合数据，构建集人口信息、社会信息、健康信息为一体的综合信息平台，实现数据动态更新、监测。组建</w:t>
      </w:r>
      <w:r>
        <w:rPr>
          <w:rFonts w:hint="eastAsia" w:eastAsia="方正仿宋_GBK"/>
          <w:color w:val="000000" w:themeColor="text1"/>
          <w:sz w:val="32"/>
          <w:szCs w:val="32"/>
          <w:u w:val="none"/>
          <w:lang w:eastAsia="zh-CN"/>
          <w14:textFill>
            <w14:solidFill>
              <w14:schemeClr w14:val="tx1"/>
            </w14:solidFill>
          </w14:textFill>
        </w:rPr>
        <w:t>县</w:t>
      </w:r>
      <w:r>
        <w:rPr>
          <w:rFonts w:eastAsia="方正仿宋_GBK"/>
          <w:color w:val="000000" w:themeColor="text1"/>
          <w:sz w:val="32"/>
          <w:szCs w:val="32"/>
          <w:u w:val="none"/>
          <w14:textFill>
            <w14:solidFill>
              <w14:schemeClr w14:val="tx1"/>
            </w14:solidFill>
          </w14:textFill>
        </w:rPr>
        <w:t>级健康及危险因素监测评价、公共卫生风险评估专家库，建立定期实时监测评价预警制度和评价结果运用机制，提高实时动态分析研判能力，为政府决策和突发公共卫生事件应对提供决策依据。</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方正仿宋_GBK" w:hAnsi="方正仿宋_GBK" w:eastAsia="方正仿宋_GBK" w:cs="方正仿宋_GBK"/>
          <w:sz w:val="32"/>
          <w:szCs w:val="32"/>
          <w:u w:val="none"/>
          <w:lang w:val="en-US" w:eastAsia="zh-CN"/>
        </w:rPr>
      </w:pPr>
      <w:r>
        <w:rPr>
          <w:rFonts w:eastAsia="方正仿宋_GBK"/>
          <w:b/>
          <w:color w:val="000000" w:themeColor="text1"/>
          <w:sz w:val="32"/>
          <w:szCs w:val="32"/>
          <w:u w:val="none"/>
          <w14:textFill>
            <w14:solidFill>
              <w14:schemeClr w14:val="tx1"/>
            </w14:solidFill>
          </w14:textFill>
        </w:rPr>
        <w:t>提高传染病救治能力。</w:t>
      </w:r>
      <w:r>
        <w:rPr>
          <w:rFonts w:hint="eastAsia" w:ascii="方正仿宋_GBK" w:hAnsi="方正仿宋_GBK" w:eastAsia="方正仿宋_GBK" w:cs="方正仿宋_GBK"/>
          <w:sz w:val="32"/>
          <w:szCs w:val="32"/>
          <w:u w:val="none"/>
          <w:lang w:val="en-US" w:eastAsia="zh-CN"/>
        </w:rPr>
        <w:t xml:space="preserve">加强县人民医院、中医医院感染性疾病科和发热门诊建设，中心乡镇卫生院和有条件的乡镇卫生院、社区卫生服务中心设立独立发热门诊，一般乡镇卫生院设立标准化的发热诊室、发热哨点。全面加强基层医疗卫生机构突发急性传染病快速检测、隔离、转运等处置能力。加强中西医结合，发挥好中医药疫情防控独特优势和作用。 </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（二）推动医疗服务高质量发展</w:t>
      </w:r>
    </w:p>
    <w:p>
      <w:pPr>
        <w:keepNext w:val="0"/>
        <w:keepLines w:val="0"/>
        <w:pageBreakBefore w:val="0"/>
        <w:kinsoku/>
        <w:wordWrap/>
        <w:topLinePunct w:val="0"/>
        <w:autoSpaceDE/>
        <w:autoSpaceDN/>
        <w:bidi w:val="0"/>
        <w:spacing w:line="560" w:lineRule="exact"/>
        <w:ind w:firstLine="630"/>
        <w:jc w:val="left"/>
        <w:textAlignment w:val="auto"/>
        <w:rPr>
          <w:rFonts w:hint="eastAsia" w:eastAsia="方正仿宋_GBK"/>
          <w:color w:val="000000" w:themeColor="text1"/>
          <w:sz w:val="32"/>
          <w:szCs w:val="32"/>
          <w:u w:val="none"/>
          <w:lang w:eastAsia="zh-CN"/>
          <w14:textFill>
            <w14:solidFill>
              <w14:schemeClr w14:val="tx1"/>
            </w14:solidFill>
          </w14:textFill>
        </w:rPr>
      </w:pPr>
      <w:r>
        <w:rPr>
          <w:rFonts w:hint="eastAsia"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明确发展定位。</w:t>
      </w:r>
      <w:r>
        <w:rPr>
          <w:rFonts w:eastAsia="方正仿宋_GBK"/>
          <w:color w:val="000000" w:themeColor="text1"/>
          <w:sz w:val="32"/>
          <w:szCs w:val="32"/>
          <w:u w:val="none"/>
          <w14:textFill>
            <w14:solidFill>
              <w14:schemeClr w14:val="tx1"/>
            </w14:solidFill>
          </w14:textFill>
        </w:rPr>
        <w:t>坚持立足本</w:t>
      </w:r>
      <w:r>
        <w:rPr>
          <w:rFonts w:hint="eastAsia" w:eastAsia="方正仿宋_GBK"/>
          <w:color w:val="000000" w:themeColor="text1"/>
          <w:sz w:val="32"/>
          <w:szCs w:val="32"/>
          <w:u w:val="none"/>
          <w:lang w:eastAsia="zh-CN"/>
          <w14:textFill>
            <w14:solidFill>
              <w14:schemeClr w14:val="tx1"/>
            </w14:solidFill>
          </w14:textFill>
        </w:rPr>
        <w:t>县</w:t>
      </w:r>
      <w:r>
        <w:rPr>
          <w:rFonts w:eastAsia="方正仿宋_GBK"/>
          <w:color w:val="000000" w:themeColor="text1"/>
          <w:sz w:val="32"/>
          <w:szCs w:val="32"/>
          <w:u w:val="none"/>
          <w14:textFill>
            <w14:solidFill>
              <w14:schemeClr w14:val="tx1"/>
            </w14:solidFill>
          </w14:textFill>
        </w:rPr>
        <w:t>、辐射周边</w:t>
      </w:r>
      <w:r>
        <w:rPr>
          <w:rFonts w:hint="eastAsia" w:eastAsia="方正仿宋_GBK"/>
          <w:color w:val="000000" w:themeColor="text1"/>
          <w:sz w:val="32"/>
          <w:szCs w:val="32"/>
          <w:u w:val="none"/>
          <w:lang w:eastAsia="zh-CN"/>
          <w14:textFill>
            <w14:solidFill>
              <w14:schemeClr w14:val="tx1"/>
            </w14:solidFill>
          </w14:textFill>
        </w:rPr>
        <w:t>区县目标</w:t>
      </w:r>
      <w:r>
        <w:rPr>
          <w:rFonts w:eastAsia="方正仿宋_GBK"/>
          <w:color w:val="000000" w:themeColor="text1"/>
          <w:sz w:val="32"/>
          <w:szCs w:val="32"/>
          <w:u w:val="none"/>
          <w14:textFill>
            <w14:solidFill>
              <w14:schemeClr w14:val="tx1"/>
            </w14:solidFill>
          </w14:textFill>
        </w:rPr>
        <w:t>。坚持保障基本、创新机制，把基层医疗卫生机构打造成为政府履行基本卫生健康服务职能的平台。科学合理配置医疗资源，优化城区医疗资源布局，合理提高资源配置标准，增加服务供给，形成城区优质医疗资源均衡发展态势，构建优质高效、医防融合的新型医疗卫生服务体系</w:t>
      </w:r>
      <w:r>
        <w:rPr>
          <w:rFonts w:hint="eastAsia" w:eastAsia="方正仿宋_GBK"/>
          <w:color w:val="000000" w:themeColor="text1"/>
          <w:sz w:val="32"/>
          <w:szCs w:val="32"/>
          <w:u w:val="none"/>
          <w:lang w:eastAsia="zh-CN"/>
          <w14:textFill>
            <w14:solidFill>
              <w14:schemeClr w14:val="tx1"/>
            </w14:solidFill>
          </w14:textFill>
        </w:rPr>
        <w:t>。</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Times New Roman" w:hAnsi="Times New Roman" w:eastAsia="方正仿宋_GBK" w:cs="Times New Roman"/>
          <w:snapToGrid w:val="0"/>
          <w:spacing w:val="0"/>
          <w:w w:val="100"/>
          <w:kern w:val="21"/>
          <w:sz w:val="32"/>
          <w:szCs w:val="32"/>
          <w:u w:val="none"/>
        </w:rPr>
      </w:pPr>
      <w:r>
        <w:rPr>
          <w:rFonts w:hint="eastAsia"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打造县级高水平医院。</w:t>
      </w:r>
      <w:r>
        <w:rPr>
          <w:rFonts w:hint="eastAsia" w:ascii="Times New Roman" w:hAnsi="Times New Roman" w:eastAsia="方正仿宋_GBK" w:cs="Times New Roman"/>
          <w:snapToGrid w:val="0"/>
          <w:spacing w:val="0"/>
          <w:w w:val="100"/>
          <w:kern w:val="21"/>
          <w:sz w:val="32"/>
          <w:szCs w:val="32"/>
          <w:u w:val="none"/>
        </w:rPr>
        <w:t>推动县级医院综合服务能力提升，县人民医院建设卒中、胸痛、咯血、创伤、危重孕产妇救治、危重儿童和新生儿救治等“六大中心”，提高肿瘤、心脑血管、呼吸、消化和感染性疾病等防治能力，提高县域就诊率</w:t>
      </w:r>
      <w:r>
        <w:rPr>
          <w:rFonts w:hint="eastAsia" w:ascii="Times New Roman" w:hAnsi="Times New Roman" w:eastAsia="方正仿宋_GBK" w:cs="方正仿宋_GBK"/>
          <w:snapToGrid w:val="0"/>
          <w:color w:val="000000"/>
          <w:spacing w:val="0"/>
          <w:w w:val="100"/>
          <w:kern w:val="21"/>
          <w:sz w:val="32"/>
          <w:szCs w:val="32"/>
          <w:u w:val="none"/>
        </w:rPr>
        <w:t>。</w:t>
      </w:r>
      <w:r>
        <w:rPr>
          <w:rFonts w:hint="eastAsia" w:ascii="Times New Roman" w:hAnsi="Times New Roman" w:eastAsia="方正仿宋_GBK" w:cs="Times New Roman"/>
          <w:snapToGrid w:val="0"/>
          <w:spacing w:val="0"/>
          <w:w w:val="100"/>
          <w:kern w:val="21"/>
          <w:sz w:val="32"/>
          <w:szCs w:val="32"/>
          <w:u w:val="none"/>
        </w:rPr>
        <w:t>县中医院设置治未病科室，建设中医治未病中心。</w:t>
      </w:r>
      <w:r>
        <w:rPr>
          <w:rFonts w:hint="eastAsia" w:ascii="Times New Roman" w:hAnsi="Times New Roman" w:eastAsia="方正仿宋_GBK" w:cs="方正仿宋_GBK"/>
          <w:snapToGrid w:val="0"/>
          <w:color w:val="000000"/>
          <w:spacing w:val="0"/>
          <w:w w:val="100"/>
          <w:kern w:val="21"/>
          <w:sz w:val="32"/>
          <w:szCs w:val="32"/>
          <w:u w:val="none"/>
        </w:rPr>
        <w:t>做好市级三级医院对县级医院的对口帮扶工作，制定可量化的对口帮扶目标。</w:t>
      </w:r>
      <w:r>
        <w:rPr>
          <w:rFonts w:hint="eastAsia" w:ascii="Times New Roman" w:hAnsi="Times New Roman" w:eastAsia="方正仿宋_GBK" w:cs="方正仿宋_GBK"/>
          <w:snapToGrid w:val="0"/>
          <w:spacing w:val="0"/>
          <w:w w:val="100"/>
          <w:kern w:val="21"/>
          <w:sz w:val="32"/>
          <w:szCs w:val="32"/>
          <w:u w:val="none"/>
        </w:rPr>
        <w:t>到</w:t>
      </w:r>
      <w:r>
        <w:rPr>
          <w:rFonts w:ascii="Times New Roman" w:hAnsi="Times New Roman" w:eastAsia="方正仿宋_GBK" w:cs="Times New Roman"/>
          <w:snapToGrid w:val="0"/>
          <w:spacing w:val="0"/>
          <w:w w:val="100"/>
          <w:kern w:val="21"/>
          <w:sz w:val="32"/>
          <w:szCs w:val="32"/>
          <w:u w:val="none"/>
        </w:rPr>
        <w:t>2025年</w:t>
      </w:r>
      <w:r>
        <w:rPr>
          <w:rFonts w:hint="eastAsia" w:ascii="Times New Roman" w:hAnsi="Times New Roman" w:eastAsia="方正仿宋_GBK" w:cs="Times New Roman"/>
          <w:snapToGrid w:val="0"/>
          <w:spacing w:val="0"/>
          <w:w w:val="100"/>
          <w:kern w:val="21"/>
          <w:sz w:val="32"/>
          <w:szCs w:val="32"/>
          <w:u w:val="none"/>
        </w:rPr>
        <w:t>，</w:t>
      </w:r>
      <w:r>
        <w:rPr>
          <w:rFonts w:hint="eastAsia" w:ascii="Times New Roman" w:hAnsi="Times New Roman" w:eastAsia="方正仿宋_GBK" w:cs="Times New Roman"/>
          <w:snapToGrid w:val="0"/>
          <w:spacing w:val="0"/>
          <w:w w:val="100"/>
          <w:kern w:val="21"/>
          <w:sz w:val="32"/>
          <w:szCs w:val="32"/>
          <w:u w:val="none"/>
          <w:lang w:eastAsia="zh-CN"/>
        </w:rPr>
        <w:t>县人民医院完成</w:t>
      </w:r>
      <w:r>
        <w:rPr>
          <w:rFonts w:hint="eastAsia" w:ascii="Times New Roman" w:hAnsi="Times New Roman" w:eastAsia="方正仿宋_GBK" w:cs="Times New Roman"/>
          <w:snapToGrid w:val="0"/>
          <w:spacing w:val="0"/>
          <w:w w:val="100"/>
          <w:kern w:val="21"/>
          <w:sz w:val="32"/>
          <w:szCs w:val="32"/>
          <w:u w:val="none"/>
        </w:rPr>
        <w:t>三级医院</w:t>
      </w:r>
      <w:r>
        <w:rPr>
          <w:rFonts w:hint="eastAsia" w:ascii="Times New Roman" w:hAnsi="Times New Roman" w:eastAsia="方正仿宋_GBK" w:cs="Times New Roman"/>
          <w:snapToGrid w:val="0"/>
          <w:spacing w:val="0"/>
          <w:w w:val="100"/>
          <w:kern w:val="21"/>
          <w:sz w:val="32"/>
          <w:szCs w:val="32"/>
          <w:u w:val="none"/>
          <w:lang w:eastAsia="zh-CN"/>
        </w:rPr>
        <w:t>创建、县中医医院完成二级甲创建、县</w:t>
      </w:r>
      <w:r>
        <w:rPr>
          <w:rFonts w:hint="eastAsia" w:ascii="Times New Roman" w:hAnsi="Times New Roman" w:eastAsia="方正仿宋_GBK" w:cs="Times New Roman"/>
          <w:snapToGrid w:val="0"/>
          <w:spacing w:val="0"/>
          <w:w w:val="100"/>
          <w:kern w:val="21"/>
          <w:sz w:val="32"/>
          <w:szCs w:val="32"/>
          <w:u w:val="none"/>
        </w:rPr>
        <w:t>妇幼保健机构达到二级</w:t>
      </w:r>
      <w:r>
        <w:rPr>
          <w:rFonts w:hint="eastAsia" w:ascii="Times New Roman" w:hAnsi="Times New Roman" w:eastAsia="方正仿宋_GBK" w:cs="Times New Roman"/>
          <w:snapToGrid w:val="0"/>
          <w:spacing w:val="0"/>
          <w:w w:val="100"/>
          <w:kern w:val="21"/>
          <w:sz w:val="32"/>
          <w:szCs w:val="32"/>
          <w:u w:val="none"/>
          <w:lang w:eastAsia="zh-CN"/>
        </w:rPr>
        <w:t>甲等</w:t>
      </w:r>
      <w:r>
        <w:rPr>
          <w:rFonts w:hint="eastAsia" w:ascii="Times New Roman" w:hAnsi="Times New Roman" w:eastAsia="方正仿宋_GBK" w:cs="Times New Roman"/>
          <w:snapToGrid w:val="0"/>
          <w:spacing w:val="0"/>
          <w:w w:val="100"/>
          <w:kern w:val="21"/>
          <w:sz w:val="32"/>
          <w:szCs w:val="32"/>
          <w:u w:val="none"/>
        </w:rPr>
        <w:t>妇幼保健院建设标准。</w:t>
      </w:r>
    </w:p>
    <w:p>
      <w:pPr>
        <w:keepNext w:val="0"/>
        <w:keepLines w:val="0"/>
        <w:pageBreakBefore w:val="0"/>
        <w:widowControl w:val="0"/>
        <w:kinsoku/>
        <w:wordWrap/>
        <w:overflowPunct/>
        <w:topLinePunct w:val="0"/>
        <w:autoSpaceDE/>
        <w:autoSpaceDN/>
        <w:bidi w:val="0"/>
        <w:adjustRightInd/>
        <w:snapToGrid/>
        <w:spacing w:line="560" w:lineRule="exact"/>
        <w:ind w:firstLine="474" w:firstLineChars="150"/>
        <w:jc w:val="both"/>
        <w:textAlignment w:val="auto"/>
        <w:rPr>
          <w:rFonts w:hint="eastAsia" w:ascii="Times New Roman" w:hAnsi="Times New Roman" w:eastAsia="方正仿宋_GBK" w:cs="Times New Roman"/>
          <w:snapToGrid w:val="0"/>
          <w:spacing w:val="0"/>
          <w:w w:val="100"/>
          <w:kern w:val="21"/>
          <w:sz w:val="32"/>
          <w:szCs w:val="32"/>
          <w:u w:val="none"/>
          <w:lang w:val="en-US" w:eastAsia="zh-CN"/>
        </w:rPr>
      </w:pPr>
      <w:r>
        <w:rPr>
          <w:rFonts w:hint="eastAsia"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加强临床专科学科建设。</w:t>
      </w:r>
      <w:r>
        <w:rPr>
          <w:rFonts w:hint="eastAsia" w:ascii="Times New Roman" w:hAnsi="Times New Roman" w:eastAsia="方正仿宋_GBK" w:cs="Times New Roman"/>
          <w:snapToGrid w:val="0"/>
          <w:spacing w:val="0"/>
          <w:w w:val="100"/>
          <w:kern w:val="21"/>
          <w:sz w:val="32"/>
          <w:szCs w:val="32"/>
          <w:u w:val="none"/>
        </w:rPr>
        <w:t>充分发挥</w:t>
      </w:r>
      <w:r>
        <w:rPr>
          <w:rFonts w:hint="eastAsia" w:ascii="Times New Roman" w:hAnsi="Times New Roman" w:eastAsia="方正仿宋_GBK" w:cs="Times New Roman"/>
          <w:snapToGrid w:val="0"/>
          <w:spacing w:val="0"/>
          <w:w w:val="100"/>
          <w:kern w:val="21"/>
          <w:sz w:val="32"/>
          <w:szCs w:val="32"/>
          <w:u w:val="none"/>
          <w:lang w:eastAsia="zh-CN"/>
        </w:rPr>
        <w:t>公立医院</w:t>
      </w:r>
      <w:r>
        <w:rPr>
          <w:rFonts w:hint="eastAsia" w:ascii="Times New Roman" w:hAnsi="Times New Roman" w:eastAsia="方正仿宋_GBK" w:cs="Times New Roman"/>
          <w:snapToGrid w:val="0"/>
          <w:spacing w:val="0"/>
          <w:w w:val="100"/>
          <w:kern w:val="21"/>
          <w:sz w:val="32"/>
          <w:szCs w:val="32"/>
          <w:u w:val="none"/>
        </w:rPr>
        <w:t>技术优势、科研优势、人才优势、学科优势、管理优势的作用，加强高层次医学人才引进和培养，打造一批在市内有影响力的临床</w:t>
      </w:r>
      <w:r>
        <w:rPr>
          <w:rFonts w:hint="eastAsia" w:ascii="Times New Roman" w:hAnsi="Times New Roman" w:eastAsia="方正仿宋_GBK" w:cs="Times New Roman"/>
          <w:snapToGrid w:val="0"/>
          <w:spacing w:val="0"/>
          <w:w w:val="100"/>
          <w:kern w:val="21"/>
          <w:sz w:val="32"/>
          <w:szCs w:val="32"/>
          <w:u w:val="none"/>
          <w:lang w:val="en-US" w:eastAsia="zh-CN"/>
        </w:rPr>
        <w:t>重点</w:t>
      </w:r>
      <w:r>
        <w:rPr>
          <w:rFonts w:hint="eastAsia" w:ascii="Times New Roman" w:hAnsi="Times New Roman" w:eastAsia="方正仿宋_GBK" w:cs="Times New Roman"/>
          <w:snapToGrid w:val="0"/>
          <w:spacing w:val="0"/>
          <w:w w:val="100"/>
          <w:kern w:val="21"/>
          <w:sz w:val="32"/>
          <w:szCs w:val="32"/>
          <w:u w:val="none"/>
        </w:rPr>
        <w:t>专科。</w:t>
      </w:r>
      <w:r>
        <w:rPr>
          <w:rFonts w:hint="eastAsia" w:ascii="Times New Roman" w:hAnsi="Times New Roman" w:eastAsia="方正仿宋_GBK" w:cs="Times New Roman"/>
          <w:snapToGrid w:val="0"/>
          <w:spacing w:val="0"/>
          <w:w w:val="100"/>
          <w:kern w:val="21"/>
          <w:sz w:val="32"/>
          <w:szCs w:val="32"/>
          <w:u w:val="none"/>
          <w:lang w:val="en-US" w:eastAsia="zh-CN"/>
        </w:rPr>
        <w:t>建设一批市级、县级临床重点专科，重点发展重症、放射科、康复医学科、妇科、产科、麻醉、等临床专科。制定《城口县</w:t>
      </w:r>
      <w:r>
        <w:rPr>
          <w:rFonts w:hint="default" w:ascii="Times New Roman" w:hAnsi="Times New Roman" w:eastAsia="方正仿宋_GBK" w:cs="Times New Roman"/>
          <w:snapToGrid w:val="0"/>
          <w:spacing w:val="0"/>
          <w:w w:val="100"/>
          <w:kern w:val="21"/>
          <w:sz w:val="32"/>
          <w:szCs w:val="32"/>
          <w:u w:val="none"/>
          <w:lang w:val="en-US" w:eastAsia="zh-CN"/>
        </w:rPr>
        <w:t>2022—2025</w:t>
      </w:r>
      <w:r>
        <w:rPr>
          <w:rFonts w:hint="eastAsia" w:ascii="Times New Roman" w:hAnsi="Times New Roman" w:eastAsia="方正仿宋_GBK" w:cs="Times New Roman"/>
          <w:snapToGrid w:val="0"/>
          <w:spacing w:val="0"/>
          <w:w w:val="100"/>
          <w:kern w:val="21"/>
          <w:sz w:val="32"/>
          <w:szCs w:val="32"/>
          <w:u w:val="none"/>
          <w:lang w:val="en-US" w:eastAsia="zh-CN"/>
        </w:rPr>
        <w:t>年临床重点专科建设方案》，到2025年县人民医院县人民医院重症、放射科、妇科、麻醉科，县中医院呼吸科、针灸科，县妇保健院儿保科、产科</w:t>
      </w:r>
      <w:r>
        <w:rPr>
          <w:rFonts w:hint="eastAsia" w:eastAsia="方正仿宋_GBK" w:cs="Times New Roman"/>
          <w:snapToGrid w:val="0"/>
          <w:spacing w:val="0"/>
          <w:w w:val="100"/>
          <w:kern w:val="21"/>
          <w:sz w:val="32"/>
          <w:szCs w:val="32"/>
          <w:u w:val="none"/>
          <w:lang w:val="en-US" w:eastAsia="zh-CN"/>
        </w:rPr>
        <w:t>、妇科</w:t>
      </w:r>
      <w:r>
        <w:rPr>
          <w:rFonts w:hint="eastAsia" w:ascii="Times New Roman" w:hAnsi="Times New Roman" w:eastAsia="方正仿宋_GBK" w:cs="Times New Roman"/>
          <w:snapToGrid w:val="0"/>
          <w:spacing w:val="0"/>
          <w:w w:val="100"/>
          <w:kern w:val="21"/>
          <w:sz w:val="32"/>
          <w:szCs w:val="32"/>
          <w:u w:val="none"/>
          <w:lang w:val="en-US" w:eastAsia="zh-CN"/>
        </w:rPr>
        <w:t>等创建为市级临床重点专（学）科。在2025年前，公立医院完成县级临床重点专科申报和验收至少12个（县人民医院6个、县中医院3个、县妇</w:t>
      </w:r>
      <w:r>
        <w:rPr>
          <w:rFonts w:hint="eastAsia" w:eastAsia="方正仿宋_GBK" w:cs="Times New Roman"/>
          <w:snapToGrid w:val="0"/>
          <w:spacing w:val="0"/>
          <w:w w:val="100"/>
          <w:kern w:val="21"/>
          <w:sz w:val="32"/>
          <w:szCs w:val="32"/>
          <w:u w:val="none"/>
          <w:lang w:val="en-US" w:eastAsia="zh-CN"/>
        </w:rPr>
        <w:t>保健院</w:t>
      </w:r>
      <w:r>
        <w:rPr>
          <w:rFonts w:hint="eastAsia" w:ascii="Times New Roman" w:hAnsi="Times New Roman" w:eastAsia="方正仿宋_GBK" w:cs="Times New Roman"/>
          <w:snapToGrid w:val="0"/>
          <w:spacing w:val="0"/>
          <w:w w:val="100"/>
          <w:kern w:val="21"/>
          <w:sz w:val="32"/>
          <w:szCs w:val="32"/>
          <w:u w:val="none"/>
          <w:lang w:val="en-US" w:eastAsia="zh-CN"/>
        </w:rPr>
        <w:t>3个）。</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eastAsia="方正仿宋_GBK" w:cs="Times New Roman"/>
          <w:snapToGrid w:val="0"/>
          <w:spacing w:val="0"/>
          <w:w w:val="100"/>
          <w:kern w:val="21"/>
          <w:sz w:val="32"/>
          <w:szCs w:val="32"/>
          <w:u w:val="none"/>
          <w:lang w:eastAsia="zh-CN"/>
        </w:rPr>
      </w:pPr>
      <w:r>
        <w:rPr>
          <w:rFonts w:hint="eastAsia"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强化信息化支撑作用。</w:t>
      </w:r>
      <w:r>
        <w:rPr>
          <w:rFonts w:hint="eastAsia" w:ascii="Times New Roman" w:hAnsi="Times New Roman" w:eastAsia="方正仿宋_GBK" w:cs="Times New Roman"/>
          <w:snapToGrid w:val="0"/>
          <w:spacing w:val="0"/>
          <w:w w:val="100"/>
          <w:kern w:val="21"/>
          <w:sz w:val="32"/>
          <w:szCs w:val="32"/>
          <w:u w:val="none"/>
        </w:rPr>
        <w:t>推动云计算、大数据、物联网、区块链、5G等信息技术与医疗服务深度融合，持续推进5G医疗专网示范建设。推进县级公立医院智慧医院和医院信息标准化建设，逐步实现诊疗服务流程实现智能化应用全覆盖，普遍开展智慧医疗服务。依托全市医学影像云中心，推进线上检查质量控制互认，逐步实现医学影像“无胶片”城市。大力发展远程医疗和互联网诊疗，推动远程医疗服务覆盖所有乡镇卫生院（社区卫生服务中心）</w:t>
      </w:r>
      <w:r>
        <w:rPr>
          <w:rFonts w:hint="eastAsia" w:eastAsia="方正仿宋_GBK" w:cs="Times New Roman"/>
          <w:snapToGrid w:val="0"/>
          <w:spacing w:val="0"/>
          <w:w w:val="100"/>
          <w:kern w:val="21"/>
          <w:sz w:val="32"/>
          <w:szCs w:val="32"/>
          <w:u w:val="none"/>
          <w:lang w:eastAsia="zh-CN"/>
        </w:rPr>
        <w:t>。</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统筹推进</w:t>
      </w:r>
      <w:r>
        <w:rPr>
          <w:rFonts w:hint="eastAsia"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美丽医院建设</w:t>
      </w:r>
      <w:r>
        <w:rPr>
          <w:rFonts w:hint="eastAsia"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 xml:space="preserve"> 聚焦</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环境美</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，提档升级就医环境。聚焦绿色低碳发展，开展医院绿色建筑创建行动，推动既有建筑围护结构、照明、电梯等综合型用能系统和设施设备节能改造，新建建筑全面执行绿色建筑标准，落实节能节地节水节材</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持续抓好医疗污水和医疗废弃物规范处置，加强生活垃圾源头减量，推进节水型单位、节约型公共机构示范单位和生态文明示范单位等创建。持续改善便捷停车、文明就餐、方便如厕、绿色办公、低碳出行。聚焦</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服务美</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，持续改善医疗服务。加快县级医院综合服务能力全面提升，健全预约诊疗、检查检验结果互认等便民服务措施</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 xml:space="preserve"> 聚焦</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人文美</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，稳步提升人文环境。坚持以患者和医务人员为中心，建设平安医院，注重人文关怀，改善患者就医感受和医务人员执业感受。优化改善便民服务设施，增添</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一老一小</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和残疾人关怀设施，提升就医满意度。优化医护人员工作环境，提高医护人员积极性。注重医院文化建设，增强认同感。</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pPr>
      <w:r>
        <w:rPr>
          <w:rFonts w:hint="eastAsia" w:eastAsia="方正仿宋_GBK" w:cs="Times New Roman"/>
          <w:b/>
          <w:bCs/>
          <w:color w:val="000000" w:themeColor="text1"/>
          <w:sz w:val="32"/>
          <w:szCs w:val="32"/>
          <w:u w:val="none"/>
          <w:lang w:val="en-US" w:eastAsia="zh-CN"/>
          <w14:textFill>
            <w14:solidFill>
              <w14:schemeClr w14:val="tx1"/>
            </w14:solidFill>
          </w14:textFill>
        </w:rPr>
        <w:t>建强</w:t>
      </w: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基层医疗卫生机构。一是</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完善基层医疗服务网络。强化建设以县级医院为龙头，乡镇卫生院（社区卫生服务中心）为枢纽，村卫生室为基础的基层医疗卫生服务网络。开展国家基层卫生健康综合试验区建设，基层医疗卫生服务体系纳入乡村振兴战略全局统筹推进。每个乡镇（街道）设置1个标准化卫生院（社区卫生服务中心），</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合理设置村卫生室</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二是</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提升基层医疗服务能力。提升乡镇卫生院（社区卫生服务中心）急诊急救、二级以下常规手术、高危孕产妇筛查和中医诊疗等基本医疗服务能力，强化内科、儿科、口腔科、五官科等科室建设，特色科室达到30%。开展基层医疗卫生机构等级评审，</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3-4个基层医疗机构</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服务能力达到二级医疗机构标准。推进乡镇卫生院（社区卫生服务中心）中医馆全覆盖，建设</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“精品”</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中医馆1个，中医诊疗量占比达到30%以上。</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加强医疗质量管理。</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健全县质控体系，建立科学的医疗管理绩效评价机制、医疗质量控制动态监测和反馈机制。加强医师执业管理，健全医师定期考核制度。规范诊疗行为，实施临床路径，推进预约诊疗</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推广多学科诊疗模式，将麻醉、医学检验、医学影像、病理、药学等专业技术人员纳入多学科诊疗团队。</w:t>
      </w:r>
    </w:p>
    <w:p>
      <w:pPr>
        <w:keepNext w:val="0"/>
        <w:keepLines w:val="0"/>
        <w:pageBreakBefore w:val="0"/>
        <w:kinsoku/>
        <w:wordWrap/>
        <w:topLinePunct w:val="0"/>
        <w:autoSpaceDE/>
        <w:autoSpaceDN/>
        <w:bidi w:val="0"/>
        <w:spacing w:line="560" w:lineRule="exact"/>
        <w:ind w:firstLine="630"/>
        <w:jc w:val="left"/>
        <w:textAlignment w:val="auto"/>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优化护理服务。</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 xml:space="preserve">加强护理队伍建设，增加护士配备，医护比达到1:1.3。以患者为中心，全面落实护理责任制，整体提升护理服务水平，二级以上公立医疗机构开展优质护理服务全覆盖。推动优质护理服务下沉，通过培训、指导、远程等方式，将优质护理延伸到基层医疗卫生机构。 </w:t>
      </w:r>
    </w:p>
    <w:p>
      <w:pPr>
        <w:keepNext w:val="0"/>
        <w:keepLines w:val="0"/>
        <w:pageBreakBefore w:val="0"/>
        <w:kinsoku/>
        <w:wordWrap/>
        <w:topLinePunct w:val="0"/>
        <w:autoSpaceDE/>
        <w:autoSpaceDN/>
        <w:bidi w:val="0"/>
        <w:spacing w:line="560" w:lineRule="exact"/>
        <w:ind w:firstLine="63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加强药学服务能力建设。</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完善药事管理与药物治疗学委员会制度，建立临床药师工作制度。加强药房、静脉配置中心标准化建设，开设药学或医药联合门诊。加大临床药师培养力度，每</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百</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张床位临床药师数达到</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0.7</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人，探索开展中医临床药师和社区临床药师培养工作。开展处方医嘱审核，推行临床药师驻科服务，规范用药行为，促进合理用药，探索在医共体内统一药事管理和药学服务。</w:t>
      </w:r>
      <w:r>
        <w:rPr>
          <w:rFonts w:hint="default" w:ascii="Times New Roman" w:hAnsi="Times New Roman" w:eastAsia="方正仿宋_GBK" w:cs="Times New Roman"/>
          <w:color w:val="000000" w:themeColor="text1"/>
          <w:sz w:val="32"/>
          <w:szCs w:val="32"/>
          <w:u w:val="none"/>
          <w14:textFill>
            <w14:solidFill>
              <w14:schemeClr w14:val="tx1"/>
            </w14:solidFill>
          </w14:textFill>
        </w:rPr>
        <w:t>以抗菌药物及抗肿瘤药物为重点推进合理用药，加强互联网+处方监管。</w:t>
      </w:r>
    </w:p>
    <w:p>
      <w:pPr>
        <w:keepNext w:val="0"/>
        <w:keepLines w:val="0"/>
        <w:pageBreakBefore w:val="0"/>
        <w:kinsoku/>
        <w:wordWrap/>
        <w:topLinePunct w:val="0"/>
        <w:autoSpaceDE/>
        <w:autoSpaceDN/>
        <w:bidi w:val="0"/>
        <w:spacing w:line="560" w:lineRule="exact"/>
        <w:ind w:firstLine="63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加强血液安全保障。</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强化采供血保障体系优化无偿献血环境</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完善</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无偿献血组织网络和工作机制。强化血液质量和安全保障，血液核酸检测率达到100%。加强临床用血管理，提高临床合理用血水平。</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eastAsia" w:eastAsia="方正楷体_GBK" w:cs="Times New Roman"/>
          <w:color w:val="auto"/>
          <w:sz w:val="32"/>
          <w:szCs w:val="32"/>
          <w:u w:val="none"/>
          <w:lang w:eastAsia="zh-CN"/>
        </w:rPr>
      </w:pP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（三）</w:t>
      </w:r>
      <w:r>
        <w:rPr>
          <w:rFonts w:hint="eastAsia" w:eastAsia="方正楷体_GBK" w:cs="Times New Roman"/>
          <w:color w:val="auto"/>
          <w:sz w:val="32"/>
          <w:szCs w:val="32"/>
          <w:u w:val="none"/>
          <w:lang w:eastAsia="zh-CN"/>
        </w:rPr>
        <w:t>全面推进健康中国重庆行动</w:t>
      </w:r>
    </w:p>
    <w:p>
      <w:pPr>
        <w:keepNext w:val="0"/>
        <w:keepLines w:val="0"/>
        <w:pageBreakBefore w:val="0"/>
        <w:kinsoku/>
        <w:wordWrap/>
        <w:topLinePunct w:val="0"/>
        <w:autoSpaceDE/>
        <w:autoSpaceDN/>
        <w:bidi w:val="0"/>
        <w:spacing w:line="560" w:lineRule="exact"/>
        <w:ind w:firstLine="630"/>
        <w:jc w:val="left"/>
        <w:textAlignment w:val="auto"/>
        <w:rPr>
          <w:rFonts w:hint="eastAsia"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普及健康生活方式。建立完善全县健康科普专家库，构建全媒体健康科普知识发布和传播机制。引导居民养成</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三减三健</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减盐、减糖、减油，健康口腔、健康体重、健康骨骼）、手卫生、个人防护等健康生活方式。深入开展控烟宣传教育，推动落实《重庆市公共场所控制吸烟条例》，推进医院、学校、机关全面禁烟。广泛开展全民健身运动，落实主动健康理念，普及运动促进健康知识。</w:t>
      </w:r>
    </w:p>
    <w:p>
      <w:pPr>
        <w:keepNext w:val="0"/>
        <w:keepLines w:val="0"/>
        <w:pageBreakBefore w:val="0"/>
        <w:kinsoku/>
        <w:wordWrap/>
        <w:topLinePunct w:val="0"/>
        <w:autoSpaceDE/>
        <w:autoSpaceDN/>
        <w:bidi w:val="0"/>
        <w:spacing w:line="560" w:lineRule="exact"/>
        <w:ind w:firstLine="641"/>
        <w:jc w:val="left"/>
        <w:textAlignment w:val="auto"/>
        <w:rPr>
          <w:rFonts w:hint="default" w:eastAsia="方正仿宋_GBK"/>
          <w:color w:val="000000" w:themeColor="text1"/>
          <w:sz w:val="32"/>
          <w:szCs w:val="32"/>
          <w:u w:val="none"/>
          <w14:textFill>
            <w14:solidFill>
              <w14:schemeClr w14:val="tx1"/>
            </w14:solidFill>
          </w14:textFill>
        </w:rPr>
      </w:pPr>
      <w:r>
        <w:rPr>
          <w:rFonts w:eastAsia="方正仿宋_GBK"/>
          <w:b/>
          <w:color w:val="000000" w:themeColor="text1"/>
          <w:sz w:val="32"/>
          <w:szCs w:val="32"/>
          <w:u w:val="none"/>
          <w14:textFill>
            <w14:solidFill>
              <w14:schemeClr w14:val="tx1"/>
            </w14:solidFill>
          </w14:textFill>
        </w:rPr>
        <w:t>加强传染病、寄生虫病和地方病防控。</w:t>
      </w:r>
      <w:r>
        <w:rPr>
          <w:rFonts w:eastAsia="方正仿宋_GBK"/>
          <w:color w:val="000000" w:themeColor="text1"/>
          <w:sz w:val="32"/>
          <w:szCs w:val="32"/>
          <w:u w:val="none"/>
          <w14:textFill>
            <w14:solidFill>
              <w14:schemeClr w14:val="tx1"/>
            </w14:solidFill>
          </w14:textFill>
        </w:rPr>
        <w:t>加强传染病监测预警，法定传染病报告率达到98%以上。加强鼠疫、霍乱等烈性传染病防控</w:t>
      </w:r>
      <w:r>
        <w:rPr>
          <w:rFonts w:hint="eastAsia" w:eastAsia="方正仿宋_GBK"/>
          <w:color w:val="000000" w:themeColor="text1"/>
          <w:sz w:val="32"/>
          <w:szCs w:val="32"/>
          <w:u w:val="none"/>
          <w:lang w:eastAsia="zh-CN"/>
          <w14:textFill>
            <w14:solidFill>
              <w14:schemeClr w14:val="tx1"/>
            </w14:solidFill>
          </w14:textFill>
        </w:rPr>
        <w:t>，防范突发急性传染病输入。加强艾滋病防治，</w:t>
      </w:r>
      <w:r>
        <w:rPr>
          <w:rFonts w:eastAsia="方正仿宋_GBK"/>
          <w:color w:val="000000" w:themeColor="text1"/>
          <w:sz w:val="32"/>
          <w:szCs w:val="32"/>
          <w:u w:val="none"/>
          <w14:textFill>
            <w14:solidFill>
              <w14:schemeClr w14:val="tx1"/>
            </w14:solidFill>
          </w14:textFill>
        </w:rPr>
        <w:t>全面落实临床用血核酸检测和预防艾滋病母婴传播。加强肺结核患者发现力度，强化耐多药肺结核筛查和监测，实现患者全程随访管理。有效应对流感、手足口病、麻疹等重点传染病疫情，完善狂犬病、布鲁氏菌病、禽流感等人畜共患传染病综合治理。</w:t>
      </w:r>
      <w:r>
        <w:rPr>
          <w:rFonts w:hint="eastAsia" w:eastAsia="方正仿宋_GBK"/>
          <w:color w:val="000000" w:themeColor="text1"/>
          <w:sz w:val="32"/>
          <w:szCs w:val="32"/>
          <w:u w:val="none"/>
          <w:lang w:eastAsia="zh-CN"/>
          <w14:textFill>
            <w14:solidFill>
              <w14:schemeClr w14:val="tx1"/>
            </w14:solidFill>
          </w14:textFill>
        </w:rPr>
        <w:t>稳妥有序做好新冠疫苗接种工作，逐步提高人群接种率。</w:t>
      </w:r>
      <w:r>
        <w:rPr>
          <w:rFonts w:eastAsia="方正仿宋_GBK"/>
          <w:color w:val="000000" w:themeColor="text1"/>
          <w:sz w:val="32"/>
          <w:szCs w:val="32"/>
          <w:u w:val="none"/>
          <w14:textFill>
            <w14:solidFill>
              <w14:schemeClr w14:val="tx1"/>
            </w14:solidFill>
          </w14:textFill>
        </w:rPr>
        <w:t>落实国家免疫规划，</w:t>
      </w:r>
      <w:r>
        <w:rPr>
          <w:rFonts w:hint="eastAsia" w:eastAsia="方正仿宋_GBK"/>
          <w:color w:val="000000" w:themeColor="text1"/>
          <w:sz w:val="32"/>
          <w:szCs w:val="32"/>
          <w:u w:val="none"/>
          <w:lang w:eastAsia="zh-CN"/>
          <w14:textFill>
            <w14:solidFill>
              <w14:schemeClr w14:val="tx1"/>
            </w14:solidFill>
          </w14:textFill>
        </w:rPr>
        <w:t>以乡镇（街道）为单位适龄</w:t>
      </w:r>
      <w:r>
        <w:rPr>
          <w:rFonts w:eastAsia="方正仿宋_GBK"/>
          <w:color w:val="000000" w:themeColor="text1"/>
          <w:sz w:val="32"/>
          <w:szCs w:val="32"/>
          <w:u w:val="none"/>
          <w14:textFill>
            <w14:solidFill>
              <w14:schemeClr w14:val="tx1"/>
            </w14:solidFill>
          </w14:textFill>
        </w:rPr>
        <w:t>儿童国家免疫规划疫苗接种率</w:t>
      </w:r>
      <w:r>
        <w:rPr>
          <w:rFonts w:hint="eastAsia" w:eastAsia="方正仿宋_GBK"/>
          <w:color w:val="000000" w:themeColor="text1"/>
          <w:sz w:val="32"/>
          <w:szCs w:val="32"/>
          <w:u w:val="none"/>
          <w:lang w:eastAsia="zh-CN"/>
          <w14:textFill>
            <w14:solidFill>
              <w14:schemeClr w14:val="tx1"/>
            </w14:solidFill>
          </w14:textFill>
        </w:rPr>
        <w:t>达到</w:t>
      </w:r>
      <w:r>
        <w:rPr>
          <w:rFonts w:hint="eastAsia" w:eastAsia="方正仿宋_GBK"/>
          <w:color w:val="000000" w:themeColor="text1"/>
          <w:sz w:val="32"/>
          <w:szCs w:val="32"/>
          <w:u w:val="none"/>
          <w:lang w:val="en-US" w:eastAsia="zh-CN"/>
          <w14:textFill>
            <w14:solidFill>
              <w14:schemeClr w14:val="tx1"/>
            </w14:solidFill>
          </w14:textFill>
        </w:rPr>
        <w:t>95%以上，</w:t>
      </w:r>
      <w:r>
        <w:rPr>
          <w:rFonts w:eastAsia="方正仿宋_GBK"/>
          <w:color w:val="000000" w:themeColor="text1"/>
          <w:sz w:val="32"/>
          <w:szCs w:val="32"/>
          <w:u w:val="none"/>
          <w14:textFill>
            <w14:solidFill>
              <w14:schemeClr w14:val="tx1"/>
            </w14:solidFill>
          </w14:textFill>
        </w:rPr>
        <w:t>健全预防接种异常反应补偿保险机制。</w:t>
      </w:r>
      <w:r>
        <w:rPr>
          <w:rFonts w:hint="eastAsia" w:eastAsia="方正仿宋_GBK"/>
          <w:color w:val="000000" w:themeColor="text1"/>
          <w:sz w:val="32"/>
          <w:szCs w:val="32"/>
          <w:u w:val="none"/>
          <w:lang w:eastAsia="zh-CN"/>
          <w14:textFill>
            <w14:solidFill>
              <w14:schemeClr w14:val="tx1"/>
            </w14:solidFill>
          </w14:textFill>
        </w:rPr>
        <w:t>巩固地方病防治成果，做好</w:t>
      </w:r>
      <w:r>
        <w:rPr>
          <w:rFonts w:eastAsia="方正仿宋_GBK"/>
          <w:color w:val="000000" w:themeColor="text1"/>
          <w:sz w:val="32"/>
          <w:szCs w:val="32"/>
          <w:u w:val="none"/>
          <w14:textFill>
            <w14:solidFill>
              <w14:schemeClr w14:val="tx1"/>
            </w14:solidFill>
          </w14:textFill>
        </w:rPr>
        <w:t>碘缺乏病等地方</w:t>
      </w:r>
      <w:r>
        <w:rPr>
          <w:rFonts w:hint="eastAsia" w:eastAsia="方正仿宋_GBK"/>
          <w:color w:val="000000" w:themeColor="text1"/>
          <w:sz w:val="32"/>
          <w:szCs w:val="32"/>
          <w:u w:val="none"/>
          <w:lang w:eastAsia="zh-CN"/>
          <w14:textFill>
            <w14:solidFill>
              <w14:schemeClr w14:val="tx1"/>
            </w14:solidFill>
          </w14:textFill>
        </w:rPr>
        <w:t>病</w:t>
      </w:r>
      <w:r>
        <w:rPr>
          <w:rFonts w:eastAsia="方正仿宋_GBK"/>
          <w:color w:val="000000" w:themeColor="text1"/>
          <w:sz w:val="32"/>
          <w:szCs w:val="32"/>
          <w:u w:val="none"/>
          <w14:textFill>
            <w14:solidFill>
              <w14:schemeClr w14:val="tx1"/>
            </w14:solidFill>
          </w14:textFill>
        </w:rPr>
        <w:t>监测，通过合理补碘、健康教育等综合干预措施，降低地方病危害。</w:t>
      </w:r>
    </w:p>
    <w:p>
      <w:pPr>
        <w:keepNext w:val="0"/>
        <w:keepLines w:val="0"/>
        <w:pageBreakBefore w:val="0"/>
        <w:kinsoku/>
        <w:wordWrap/>
        <w:topLinePunct w:val="0"/>
        <w:autoSpaceDE/>
        <w:autoSpaceDN/>
        <w:bidi w:val="0"/>
        <w:spacing w:line="560" w:lineRule="exact"/>
        <w:ind w:firstLine="632" w:firstLineChars="200"/>
        <w:textAlignment w:val="auto"/>
        <w:rPr>
          <w:rFonts w:eastAsia="方正仿宋_GBK"/>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强化慢病管理。</w:t>
      </w:r>
      <w:r>
        <w:rPr>
          <w:rFonts w:eastAsia="方正仿宋_GBK"/>
          <w:color w:val="000000" w:themeColor="text1"/>
          <w:sz w:val="32"/>
          <w:szCs w:val="32"/>
          <w:u w:val="none"/>
          <w14:textFill>
            <w14:solidFill>
              <w14:schemeClr w14:val="tx1"/>
            </w14:solidFill>
          </w14:textFill>
        </w:rPr>
        <w:t>实施医防融合与慢性病综合防控策略，努力提升慢性非传染性疾病防治能力，完善主要慢性病及其危险因素监测网络，推进疾病治疗向健康管理转变。依托基本公共卫生服务，推行</w:t>
      </w:r>
      <w:r>
        <w:rPr>
          <w:rFonts w:hint="eastAsia" w:eastAsia="方正仿宋_GBK"/>
          <w:color w:val="000000" w:themeColor="text1"/>
          <w:sz w:val="32"/>
          <w:szCs w:val="32"/>
          <w:u w:val="none"/>
          <w:lang w:eastAsia="zh-CN"/>
          <w14:textFill>
            <w14:solidFill>
              <w14:schemeClr w14:val="tx1"/>
            </w14:solidFill>
          </w14:textFill>
        </w:rPr>
        <w:t>“</w:t>
      </w:r>
      <w:r>
        <w:rPr>
          <w:rFonts w:eastAsia="方正仿宋_GBK"/>
          <w:color w:val="000000" w:themeColor="text1"/>
          <w:sz w:val="32"/>
          <w:szCs w:val="32"/>
          <w:u w:val="none"/>
          <w14:textFill>
            <w14:solidFill>
              <w14:schemeClr w14:val="tx1"/>
            </w14:solidFill>
          </w14:textFill>
        </w:rPr>
        <w:t>三高</w:t>
      </w:r>
      <w:r>
        <w:rPr>
          <w:rFonts w:hint="eastAsia" w:eastAsia="方正仿宋_GBK"/>
          <w:color w:val="000000" w:themeColor="text1"/>
          <w:sz w:val="32"/>
          <w:szCs w:val="32"/>
          <w:u w:val="none"/>
          <w:lang w:eastAsia="zh-CN"/>
          <w14:textFill>
            <w14:solidFill>
              <w14:schemeClr w14:val="tx1"/>
            </w14:solidFill>
          </w14:textFill>
        </w:rPr>
        <w:t>”</w:t>
      </w:r>
      <w:r>
        <w:rPr>
          <w:rFonts w:eastAsia="方正仿宋_GBK"/>
          <w:color w:val="000000" w:themeColor="text1"/>
          <w:sz w:val="32"/>
          <w:szCs w:val="32"/>
          <w:u w:val="none"/>
          <w14:textFill>
            <w14:solidFill>
              <w14:schemeClr w14:val="tx1"/>
            </w14:solidFill>
          </w14:textFill>
        </w:rPr>
        <w:t>患者、慢性呼吸性系统疾病和糖尿病患者规范共管，指导前期人群加强健康管理，科学降低发病风险。区域内高血压、糖尿病患者规范管理率达到70%以上。将重点癌症、脑卒中等重大疾病早诊早治适宜技术纳入诊疗常规。到2025年，重大慢性疾病过早死亡率下降到13.5%。</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实施心理健康促进行动。</w:t>
      </w:r>
      <w:r>
        <w:rPr>
          <w:rFonts w:hint="default" w:ascii="Times New Roman" w:hAnsi="Times New Roman" w:eastAsia="方正仿宋_GBK" w:cs="Times New Roman"/>
          <w:color w:val="000000" w:themeColor="text1"/>
          <w:sz w:val="32"/>
          <w:szCs w:val="32"/>
          <w:u w:val="none"/>
          <w14:textFill>
            <w14:solidFill>
              <w14:schemeClr w14:val="tx1"/>
            </w14:solidFill>
          </w14:textFill>
        </w:rPr>
        <w:t>重视精神卫生和心理健康。实施精神卫生中心标准化建设工程和社会心理服务体系建设，提升精神卫生和心理健康服务保障能力。到2025年</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居民心理健康素养水平提升到</w:t>
      </w:r>
      <w:r>
        <w:rPr>
          <w:rFonts w:hint="eastAsia" w:eastAsia="方正仿宋_GBK" w:cs="Times New Roman"/>
          <w:color w:val="000000" w:themeColor="text1"/>
          <w:sz w:val="32"/>
          <w:szCs w:val="32"/>
          <w:u w:val="none"/>
          <w:lang w:val="en-US" w:eastAsia="zh-CN"/>
          <w14:textFill>
            <w14:solidFill>
              <w14:schemeClr w14:val="tx1"/>
            </w14:solidFill>
          </w14:textFill>
        </w:rPr>
        <w:t>40</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登记在册的精神分裂症治疗率、严重精神障碍患者规范管理率均达</w:t>
      </w:r>
      <w:r>
        <w:rPr>
          <w:rFonts w:hint="eastAsia" w:eastAsia="方正仿宋_GBK" w:cs="Times New Roman"/>
          <w:color w:val="000000" w:themeColor="text1"/>
          <w:sz w:val="32"/>
          <w:szCs w:val="32"/>
          <w:u w:val="none"/>
          <w:lang w:val="en-US" w:eastAsia="zh-CN"/>
          <w14:textFill>
            <w14:solidFill>
              <w14:schemeClr w14:val="tx1"/>
            </w14:solidFill>
          </w14:textFill>
        </w:rPr>
        <w:t>95</w:t>
      </w:r>
      <w:r>
        <w:rPr>
          <w:rFonts w:hint="default" w:ascii="Times New Roman" w:hAnsi="Times New Roman" w:eastAsia="方正仿宋_GBK" w:cs="Times New Roman"/>
          <w:color w:val="000000" w:themeColor="text1"/>
          <w:sz w:val="32"/>
          <w:szCs w:val="32"/>
          <w:u w:val="none"/>
          <w14:textFill>
            <w14:solidFill>
              <w14:schemeClr w14:val="tx1"/>
            </w14:solidFill>
          </w14:textFill>
        </w:rPr>
        <w:t>%以上。</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深入开展爱国卫生运动。</w:t>
      </w:r>
      <w:r>
        <w:rPr>
          <w:rFonts w:hint="default" w:ascii="Times New Roman" w:hAnsi="Times New Roman" w:eastAsia="方正仿宋_GBK" w:cs="Times New Roman"/>
          <w:color w:val="000000" w:themeColor="text1"/>
          <w:sz w:val="32"/>
          <w:szCs w:val="32"/>
          <w:u w:val="none"/>
          <w14:textFill>
            <w14:solidFill>
              <w14:schemeClr w14:val="tx1"/>
            </w14:solidFill>
          </w14:textFill>
        </w:rPr>
        <w:t>全面改善人居环境，倡导文明健康绿色环保的生活方式，推动爱国卫生从环境卫生治理向全面社会健康管理转变。</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统筹推进城乡环境卫生整治，完善城乡环境卫生治理长效机制，推进卫生乡镇创建，</w:t>
      </w:r>
      <w:r>
        <w:rPr>
          <w:rFonts w:hint="default" w:ascii="Times New Roman" w:hAnsi="Times New Roman" w:eastAsia="方正仿宋_GBK" w:cs="Times New Roman"/>
          <w:color w:val="000000" w:themeColor="text1"/>
          <w:sz w:val="32"/>
          <w:szCs w:val="32"/>
          <w:u w:val="none"/>
          <w14:textFill>
            <w14:solidFill>
              <w14:schemeClr w14:val="tx1"/>
            </w14:solidFill>
          </w14:textFill>
        </w:rPr>
        <w:t>2025年，力争国家卫生乡镇覆盖率达10%。</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持续加强</w:t>
      </w:r>
      <w:r>
        <w:rPr>
          <w:rFonts w:hint="default" w:ascii="Times New Roman" w:hAnsi="Times New Roman" w:eastAsia="方正仿宋_GBK" w:cs="Times New Roman"/>
          <w:color w:val="000000" w:themeColor="text1"/>
          <w:sz w:val="32"/>
          <w:szCs w:val="32"/>
          <w:u w:val="none"/>
          <w14:textFill>
            <w14:solidFill>
              <w14:schemeClr w14:val="tx1"/>
            </w14:solidFill>
          </w14:textFill>
        </w:rPr>
        <w:t>健康村镇、健康社区、健康单位（企业）、健康学校、健康家庭等健康细胞建设。</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强化以环境治理为主、以专业防治为辅的病媒生物防制工作。依托乡镇政府（街道办事处）、村（居）民委员会等基层组织及机关、企事业单位，发挥村规民约、居民公约的积极作用，发挥周末、卫生清洁日活动有效经验，发挥群团组织作用，推动爱国卫生运动融入群众日常生活。</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强化职业健康危害源头防控和风险管控。</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 xml:space="preserve">健全完善职业病危害项目申报制度。建立健全职业病和职业病危害因素监测评估制度，扩大主动监测范围，工作场所职业病危害因素监测合格率达到85%以上。建立中小微型企业职工健康帮扶机制，支持企业完善职业病防护设施。健全职业病诊断与鉴定制度，强化尘肺病等职业病救治保障。加强职业健康教育和健康促进，提高劳动者职业健康素养。推进健康企业建设，建设一批示范性健康企业。到2025年，辖区职业健康检查和职业病诊断服务覆盖率达到93%以上。 </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提高职业病防治工作技术支撑能力。</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加强职业健康风险评估、职业病危害监测及控制、职业病诊断救治能力建设。开展重点职业病监测与职业健康风险评估、职业性放射性疾病监测与职业健康风险评估、医疗卫生机构与非医疗单位辐射防护监测。加强组织机构和人才队伍、基础设施、职业病危害工程防护和治理能力建设，提升职业病危害因素检测检验、职业健康检查、职业病诊断和救治的技术支撑能力。到2025年，全县有1</w:t>
      </w:r>
      <w:r>
        <w:rPr>
          <w:rFonts w:hint="eastAsia" w:eastAsia="方正仿宋_GBK" w:cs="Times New Roman"/>
          <w:color w:val="000000" w:themeColor="text1"/>
          <w:sz w:val="32"/>
          <w:szCs w:val="32"/>
          <w:u w:val="none"/>
          <w:lang w:val="en-US" w:eastAsia="zh-CN"/>
          <w14:textFill>
            <w14:solidFill>
              <w14:schemeClr w14:val="tx1"/>
            </w14:solidFill>
          </w14:textFill>
        </w:rPr>
        <w:t>家</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公立医院能够开展职业健康检查，甲级基层医疗卫生机构均具备职业健康检查能力，尘肺病康复站覆盖60%以上基层医疗卫生机构。</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eastAsia" w:eastAsia="方正楷体_GBK" w:cs="Times New Roman"/>
          <w:color w:val="000000" w:themeColor="text1"/>
          <w:sz w:val="32"/>
          <w:szCs w:val="32"/>
          <w:u w:val="none"/>
          <w:lang w:eastAsia="zh-CN"/>
          <w14:textFill>
            <w14:solidFill>
              <w14:schemeClr w14:val="tx1"/>
            </w14:solidFill>
          </w14:textFill>
        </w:rPr>
        <w:t>（四）</w:t>
      </w:r>
      <w:r>
        <w:rPr>
          <w:rFonts w:hint="eastAsia" w:eastAsia="方正楷体_GBK" w:cs="Times New Roman"/>
          <w:color w:val="000000" w:themeColor="text1"/>
          <w:sz w:val="32"/>
          <w:szCs w:val="32"/>
          <w:u w:val="none"/>
          <w:lang w:val="en-US" w:eastAsia="zh-CN"/>
          <w14:textFill>
            <w14:solidFill>
              <w14:schemeClr w14:val="tx1"/>
            </w14:solidFill>
          </w14:textFill>
        </w:rPr>
        <w:t>加快中医药服务传承创新</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t>健全中医药服务体系。</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优化调整中医医疗资源布局，推进中医医疗机构建设和提档升级。</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建成以</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u w:val="none"/>
          <w14:textFill>
            <w14:solidFill>
              <w14:schemeClr w14:val="tx1"/>
            </w14:solidFill>
          </w14:textFill>
        </w:rPr>
        <w:t>中</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医</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医院为龙头，其他医疗机构中医科室为骨干，基层医疗卫生机构为基础，融预防保健、疾病治疗和康复于一体的中医药服务体系。加强中医医院基础设施建设，建</w:t>
      </w:r>
      <w:r>
        <w:rPr>
          <w:rFonts w:hint="default" w:ascii="Times New Roman" w:hAnsi="Times New Roman" w:eastAsia="方正仿宋_GBK" w:cs="Times New Roman"/>
          <w:color w:val="000000" w:themeColor="text1"/>
          <w:sz w:val="32"/>
          <w:szCs w:val="32"/>
          <w:u w:val="none"/>
          <w14:textFill>
            <w14:solidFill>
              <w14:schemeClr w14:val="tx1"/>
            </w14:solidFill>
          </w14:textFill>
        </w:rPr>
        <w:t>设</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w:t>
      </w:r>
      <w:r>
        <w:rPr>
          <w:rFonts w:hint="eastAsia" w:eastAsia="方正仿宋_GBK" w:cs="Times New Roman"/>
          <w:color w:val="000000" w:themeColor="text1"/>
          <w:sz w:val="32"/>
          <w:szCs w:val="32"/>
          <w:u w:val="none"/>
          <w:lang w:eastAsia="zh-CN"/>
          <w14:textFill>
            <w14:solidFill>
              <w14:schemeClr w14:val="tx1"/>
            </w14:solidFill>
          </w14:textFill>
        </w:rPr>
        <w:t>家</w:t>
      </w:r>
      <w:r>
        <w:rPr>
          <w:rFonts w:hint="eastAsia" w:ascii="方正仿宋_GBK" w:hAnsi="方正仿宋_GBK" w:eastAsia="方正仿宋_GBK" w:cs="方正仿宋_GBK"/>
          <w:color w:val="000000" w:themeColor="text1"/>
          <w:sz w:val="32"/>
          <w:szCs w:val="32"/>
          <w:u w:val="none"/>
          <w14:textFill>
            <w14:solidFill>
              <w14:schemeClr w14:val="tx1"/>
            </w14:solidFill>
          </w14:textFill>
        </w:rPr>
        <w:t>二级甲等公立中医类医院，开展中医特色重点</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科室</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建设。</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积极参与</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全国基层中医药工作示范县创建，推进中医馆提档升级。加强综合医院、专科医院、妇幼保健院中医科室和中药房建设。加快中西医结合发展，开展中西医结合示范项目建设，建立中西医临床协作长效机制。发展中医特色专科医院、门诊部和诊所，鼓励连锁经营。</w:t>
      </w:r>
    </w:p>
    <w:p>
      <w:pPr>
        <w:keepNext w:val="0"/>
        <w:keepLines w:val="0"/>
        <w:pageBreakBefore w:val="0"/>
        <w:kinsoku/>
        <w:wordWrap/>
        <w:topLinePunct w:val="0"/>
        <w:autoSpaceDE/>
        <w:autoSpaceDN/>
        <w:bidi w:val="0"/>
        <w:spacing w:line="560" w:lineRule="exact"/>
        <w:ind w:right="-306" w:rightChars="-149"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14:textFill>
            <w14:solidFill>
              <w14:schemeClr w14:val="tx1"/>
            </w14:solidFill>
          </w14:textFill>
        </w:rPr>
        <w:t>强化中医药服务能力</w:t>
      </w:r>
      <w:r>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加强中医重点学科专科建设，开展中医优势病种防治和中医适宜技术推广，建设一批中医康复适宜技术推广示范点。推动医疗机构开展中医特色康复医疗、康复护理等服务，实现县中医医院治未病科室建设，积极运用中医药技术和方法开展诊疗服务</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推动中医药健康服务高质量多业态融合发展，推进中医康养服务</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实施</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巴渝岐黄工程</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，培养</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巴渝岐黄学者</w:t>
      </w:r>
      <w:r>
        <w:rPr>
          <w:rFonts w:hint="eastAsia" w:eastAsia="方正仿宋_GBK" w:cs="Times New Roman"/>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u w:val="none"/>
          <w14:textFill>
            <w14:solidFill>
              <w14:schemeClr w14:val="tx1"/>
            </w14:solidFill>
          </w14:textFill>
        </w:rPr>
        <w:t>人、中西医结合高层次人才</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3-5</w:t>
      </w:r>
      <w:r>
        <w:rPr>
          <w:rFonts w:hint="default" w:ascii="Times New Roman" w:hAnsi="Times New Roman" w:eastAsia="方正仿宋_GBK" w:cs="Times New Roman"/>
          <w:color w:val="000000" w:themeColor="text1"/>
          <w:sz w:val="32"/>
          <w:szCs w:val="32"/>
          <w:u w:val="none"/>
          <w14:textFill>
            <w14:solidFill>
              <w14:schemeClr w14:val="tx1"/>
            </w14:solidFill>
          </w14:textFill>
        </w:rPr>
        <w:t>人，评选重庆市名中医</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u w:val="none"/>
          <w14:textFill>
            <w14:solidFill>
              <w14:schemeClr w14:val="tx1"/>
            </w14:solidFill>
          </w14:textFill>
        </w:rPr>
        <w:t>人，新增市级以上（基层）名老中医药专家传承工作室</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u w:val="none"/>
          <w14:textFill>
            <w14:solidFill>
              <w14:schemeClr w14:val="tx1"/>
            </w14:solidFill>
          </w14:textFill>
        </w:rPr>
        <w:t>个，市级以上老中医药专家学术经验继承人</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u w:val="none"/>
          <w14:textFill>
            <w14:solidFill>
              <w14:schemeClr w14:val="tx1"/>
            </w14:solidFill>
          </w14:textFill>
        </w:rPr>
        <w:t>人。加强名老中医药专家学术经验、特色技艺及地方特色中医药流派的整理和活态传承，实施中医药文化传播行动，广泛开展中医药文化普及群众性活动，到2025 年，公民中医药健康文化素养水平提高到25%以上。</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楷体_GBK" w:cs="Times New Roman"/>
          <w:color w:val="000000" w:themeColor="text1"/>
          <w:sz w:val="32"/>
          <w:szCs w:val="32"/>
          <w:u w:val="none"/>
          <w14:textFill>
            <w14:solidFill>
              <w14:schemeClr w14:val="tx1"/>
            </w14:solidFill>
          </w14:textFill>
        </w:rPr>
      </w:pPr>
      <w:r>
        <w:rPr>
          <w:rFonts w:hint="eastAsia" w:eastAsia="方正楷体_GBK" w:cs="Times New Roman"/>
          <w:color w:val="000000" w:themeColor="text1"/>
          <w:sz w:val="32"/>
          <w:szCs w:val="32"/>
          <w:u w:val="none"/>
          <w:lang w:eastAsia="zh-CN"/>
          <w14:textFill>
            <w14:solidFill>
              <w14:schemeClr w14:val="tx1"/>
            </w14:solidFill>
          </w14:textFill>
        </w:rPr>
        <w:t>（五）</w:t>
      </w:r>
      <w:r>
        <w:rPr>
          <w:rFonts w:hint="default" w:ascii="Times New Roman" w:hAnsi="Times New Roman" w:eastAsia="方正楷体_GBK" w:cs="Times New Roman"/>
          <w:color w:val="000000" w:themeColor="text1"/>
          <w:sz w:val="32"/>
          <w:szCs w:val="32"/>
          <w:u w:val="none"/>
          <w14:textFill>
            <w14:solidFill>
              <w14:schemeClr w14:val="tx1"/>
            </w14:solidFill>
          </w14:textFill>
        </w:rPr>
        <w:t xml:space="preserve">全面深化医药卫生体制改革 </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坚持和加强党对公立医院的全面领导。</w:t>
      </w:r>
      <w:r>
        <w:rPr>
          <w:rFonts w:hint="default" w:ascii="Times New Roman" w:hAnsi="Times New Roman" w:eastAsia="方正仿宋_GBK" w:cs="Times New Roman"/>
          <w:color w:val="000000" w:themeColor="text1"/>
          <w:sz w:val="32"/>
          <w:szCs w:val="32"/>
          <w:u w:val="none"/>
          <w14:textFill>
            <w14:solidFill>
              <w14:schemeClr w14:val="tx1"/>
            </w14:solidFill>
          </w14:textFill>
        </w:rPr>
        <w:t>全面执行和落实党委领导下的院长负责制。加强领导班子和干部人才队伍建设，提升医院党组织和党员队伍建设质量。落实公立医院党建工作责任，建立健全党建工作机制。提升医院基层党建工作水平，把党支部建设成为坚强战斗堡垒。</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u w:val="none"/>
          <w14:textFill>
            <w14:solidFill>
              <w14:schemeClr w14:val="tx1"/>
            </w14:solidFill>
          </w14:textFill>
        </w:rPr>
        <w:t>进一步深化公立医院改革。</w:t>
      </w:r>
      <w:r>
        <w:rPr>
          <w:rFonts w:hint="default" w:ascii="Times New Roman" w:hAnsi="Times New Roman" w:eastAsia="方正仿宋_GBK" w:cs="Times New Roman"/>
          <w:color w:val="000000" w:themeColor="text1"/>
          <w:sz w:val="32"/>
          <w:szCs w:val="32"/>
          <w:u w:val="none"/>
          <w14:textFill>
            <w14:solidFill>
              <w14:schemeClr w14:val="tx1"/>
            </w14:solidFill>
          </w14:textFill>
        </w:rPr>
        <w:t>因地制宜学习三明医改经验。健全公立医院治理体系，落实政府领导、保障、管理、监督责任，全面落实政府举办公立医院的主体责任和投入责任，坚持公立医院公益属性。推动公立医院高质量发展，创新管理体制机制，加快推进管理模式和运行方式转变升级，建立起维护公益性、调动积极性、保障可持续的公立医院运行新机制。加强公立医院绩效考核，推进全面预算管理和成本核算，进一步提高医院运营管理科学化、规范化、精细化、信息化水平。推进公立医院编制管理创新和人事制度改革，加快薪酬制度改革。统筹推进医疗管理体制、运行机制、服务价格、绩效分配等综合改革，深化医疗、医保、医药联动改革。</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加强基层医疗卫生综合改革。</w:t>
      </w:r>
      <w:r>
        <w:rPr>
          <w:rFonts w:hint="default" w:ascii="Times New Roman" w:hAnsi="Times New Roman" w:eastAsia="方正仿宋_GBK" w:cs="Times New Roman"/>
          <w:color w:val="000000" w:themeColor="text1"/>
          <w:sz w:val="32"/>
          <w:szCs w:val="32"/>
          <w:u w:val="none"/>
          <w14:textFill>
            <w14:solidFill>
              <w14:schemeClr w14:val="tx1"/>
            </w14:solidFill>
          </w14:textFill>
        </w:rPr>
        <w:t>以提高医疗质量和服务效率为导向，完善基层医疗卫生机构补偿机制，强化政府主体责任，保障政府办基层医疗卫生机构公益属性。以</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医通、人通、财通</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为重点，加强</w:t>
      </w:r>
      <w:r>
        <w:rPr>
          <w:rFonts w:hint="eastAsia" w:eastAsia="方正仿宋_GBK" w:cs="Times New Roman"/>
          <w:color w:val="000000" w:themeColor="text1"/>
          <w:sz w:val="32"/>
          <w:szCs w:val="32"/>
          <w:u w:val="none"/>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域医共体</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三通</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建设</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推进业务、财务、资产、药品和人员为主要内容的乡村一体化管理。</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完善乡村基层卫生健康人才激励机制，合理保障基层医务人员薪酬水平。</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持续推进分级诊疗体系建设。</w:t>
      </w:r>
      <w:r>
        <w:rPr>
          <w:rFonts w:hint="default" w:ascii="Times New Roman" w:hAnsi="Times New Roman" w:eastAsia="方正仿宋_GBK" w:cs="Times New Roman"/>
          <w:color w:val="000000" w:themeColor="text1"/>
          <w:sz w:val="32"/>
          <w:szCs w:val="32"/>
          <w:u w:val="none"/>
          <w14:textFill>
            <w14:solidFill>
              <w14:schemeClr w14:val="tx1"/>
            </w14:solidFill>
          </w14:textFill>
        </w:rPr>
        <w:t>推进城市医联体及</w:t>
      </w:r>
      <w:r>
        <w:rPr>
          <w:rFonts w:hint="eastAsia" w:eastAsia="方正仿宋_GBK" w:cs="Times New Roman"/>
          <w:color w:val="000000" w:themeColor="text1"/>
          <w:sz w:val="32"/>
          <w:szCs w:val="32"/>
          <w:u w:val="none"/>
          <w:lang w:eastAsia="zh-CN"/>
          <w14:textFill>
            <w14:solidFill>
              <w14:schemeClr w14:val="tx1"/>
            </w14:solidFill>
          </w14:textFill>
        </w:rPr>
        <w:t>县域</w:t>
      </w:r>
      <w:r>
        <w:rPr>
          <w:rFonts w:hint="default" w:ascii="Times New Roman" w:hAnsi="Times New Roman" w:eastAsia="方正仿宋_GBK" w:cs="Times New Roman"/>
          <w:color w:val="000000" w:themeColor="text1"/>
          <w:sz w:val="32"/>
          <w:szCs w:val="32"/>
          <w:u w:val="none"/>
          <w14:textFill>
            <w14:solidFill>
              <w14:schemeClr w14:val="tx1"/>
            </w14:solidFill>
          </w14:textFill>
        </w:rPr>
        <w:t>紧密型医共体</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三通</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内涵建设，放大优质医疗资源辐射效应，加强公立医院对基层医疗卫生机构的人才和技术支持，促进优质医疗资源下沉。建立新型基层医疗卫生服务体系，以家庭医生签约服务为抓手，深化基层卫生服务综合改革，加快形成基层首诊、双向转诊、急慢分治、上下联动的分级诊疗秩序。</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eastAsia" w:eastAsia="方正仿宋_GBK" w:cs="Times New Roman"/>
          <w:b/>
          <w:bCs/>
          <w:color w:val="000000" w:themeColor="text1"/>
          <w:sz w:val="32"/>
          <w:szCs w:val="32"/>
          <w:u w:val="none"/>
          <w:lang w:eastAsia="zh-CN"/>
          <w14:textFill>
            <w14:solidFill>
              <w14:schemeClr w14:val="tx1"/>
            </w14:solidFill>
          </w14:textFill>
        </w:rPr>
        <w:t>推进医药卫生监管体制综合改革。</w:t>
      </w:r>
      <w:r>
        <w:rPr>
          <w:rFonts w:hint="default" w:ascii="Times New Roman" w:hAnsi="Times New Roman" w:eastAsia="方正仿宋_GBK" w:cs="Times New Roman"/>
          <w:color w:val="000000" w:themeColor="text1"/>
          <w:sz w:val="32"/>
          <w:szCs w:val="32"/>
          <w:u w:val="none"/>
          <w14:textFill>
            <w14:solidFill>
              <w14:schemeClr w14:val="tx1"/>
            </w14:solidFill>
          </w14:textFill>
        </w:rPr>
        <w:t>健全卫生健康规范性文件制定和工作机制，严格开展合法性审核、重大行政执法决定法制审核和公平竞争审查</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加强普法宣传，增强全社会法治意识</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建立完善机构自治、行业自律、政府监管、社会监督相结合的多元化综合监管体系；推进</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诚信+综合监管</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试点，全面加强医疗服务多元化监管</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加强公立医院动态监测与评估，实施公立医院监测数据接入全覆盖</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强化医疗服务监管职能，完善机构、人员、技术、装备准入和退出机制</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支持社会各界参与监督，发挥媒体监督作用</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推进规范化卫生健康监督执法机构提档升级，建设专业高效、统一规范、文明公正的</w:t>
      </w:r>
      <w:r>
        <w:rPr>
          <w:rFonts w:hint="eastAsia" w:eastAsia="方正仿宋_GBK" w:cs="Times New Roman"/>
          <w:color w:val="000000" w:themeColor="text1"/>
          <w:sz w:val="32"/>
          <w:szCs w:val="32"/>
          <w:u w:val="none"/>
          <w:lang w:eastAsia="zh-CN"/>
          <w14:textFill>
            <w14:solidFill>
              <w14:schemeClr w14:val="tx1"/>
            </w14:solidFill>
          </w14:textFill>
        </w:rPr>
        <w:t>卫</w:t>
      </w:r>
      <w:r>
        <w:rPr>
          <w:rFonts w:hint="default" w:ascii="Times New Roman" w:hAnsi="Times New Roman" w:eastAsia="方正仿宋_GBK" w:cs="Times New Roman"/>
          <w:color w:val="000000" w:themeColor="text1"/>
          <w:sz w:val="32"/>
          <w:szCs w:val="32"/>
          <w:u w:val="none"/>
          <w14:textFill>
            <w14:solidFill>
              <w14:schemeClr w14:val="tx1"/>
            </w14:solidFill>
          </w14:textFill>
        </w:rPr>
        <w:t>生健康执法监督队伍</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实施卫生监督智能化监管，以信息化和大数据为手段，提升</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智慧卫监</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水平</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推进执法办案质量提升行动，重点加强传染病防控等领域监督执法。</w:t>
      </w:r>
    </w:p>
    <w:p>
      <w:pPr>
        <w:keepNext w:val="0"/>
        <w:keepLines w:val="0"/>
        <w:pageBreakBefore w:val="0"/>
        <w:numPr>
          <w:ilvl w:val="0"/>
          <w:numId w:val="3"/>
        </w:numPr>
        <w:kinsoku/>
        <w:wordWrap/>
        <w:topLinePunct w:val="0"/>
        <w:autoSpaceDE/>
        <w:autoSpaceDN/>
        <w:bidi w:val="0"/>
        <w:spacing w:line="560" w:lineRule="exact"/>
        <w:ind w:firstLine="632" w:firstLineChars="200"/>
        <w:textAlignment w:val="auto"/>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促进人口长期均衡发展</w:t>
      </w:r>
    </w:p>
    <w:p>
      <w:pPr>
        <w:keepNext w:val="0"/>
        <w:keepLines w:val="0"/>
        <w:pageBreakBefore w:val="0"/>
        <w:numPr>
          <w:ilvl w:val="0"/>
          <w:numId w:val="0"/>
        </w:numPr>
        <w:kinsoku/>
        <w:wordWrap/>
        <w:topLinePunct w:val="0"/>
        <w:autoSpaceDE/>
        <w:autoSpaceDN/>
        <w:bidi w:val="0"/>
        <w:spacing w:line="560" w:lineRule="exact"/>
        <w:ind w:firstLine="612" w:firstLineChars="200"/>
        <w:textAlignment w:val="auto"/>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方正仿宋_GBK" w:cs="Times New Roman"/>
          <w:b/>
          <w:bCs/>
          <w:color w:val="000000" w:themeColor="text1"/>
          <w:kern w:val="0"/>
          <w:sz w:val="31"/>
          <w:szCs w:val="31"/>
          <w:u w:val="none"/>
          <w:lang w:val="en-US" w:eastAsia="zh-CN" w:bidi="ar"/>
          <w14:textFill>
            <w14:solidFill>
              <w14:schemeClr w14:val="tx1"/>
            </w14:solidFill>
          </w14:textFill>
        </w:rPr>
        <w:t>落实优化生育政策。</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 xml:space="preserve">提倡适龄婚育、优生优育，实施三孩生育政策，促进生育政策和相关经济社会政策配套衔接，减轻生育、养育、教育负担。鼓励用人单位制定有利于平衡工作与家庭关系的措施。全面落实产假、育儿假、哺乳假等政策，加强税收支持政策。完善生育休假与生育保险制度。合理配置母婴设施等公共服务资源。 </w:t>
      </w:r>
    </w:p>
    <w:p>
      <w:pPr>
        <w:keepNext w:val="0"/>
        <w:keepLines w:val="0"/>
        <w:pageBreakBefore w:val="0"/>
        <w:widowControl/>
        <w:suppressLineNumbers w:val="0"/>
        <w:kinsoku/>
        <w:wordWrap/>
        <w:topLinePunct w:val="0"/>
        <w:autoSpaceDE/>
        <w:autoSpaceDN/>
        <w:bidi w:val="0"/>
        <w:spacing w:line="560" w:lineRule="exact"/>
        <w:ind w:firstLine="612" w:firstLineChars="200"/>
        <w:jc w:val="left"/>
        <w:textAlignment w:val="auto"/>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方正仿宋_GBK" w:cs="Times New Roman"/>
          <w:b/>
          <w:bCs/>
          <w:color w:val="000000" w:themeColor="text1"/>
          <w:kern w:val="0"/>
          <w:sz w:val="31"/>
          <w:szCs w:val="31"/>
          <w:u w:val="none"/>
          <w:lang w:val="en-US" w:eastAsia="zh-CN" w:bidi="ar"/>
          <w14:textFill>
            <w14:solidFill>
              <w14:schemeClr w14:val="tx1"/>
            </w14:solidFill>
          </w14:textFill>
        </w:rPr>
        <w:t>建立健全人口服务体系。</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积极应对人口老龄化，促进人口长期均衡发展。以</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一老一小</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 xml:space="preserve">为重点，建立健全覆盖全生命周期的人口服务体系。加强基层服务体系和能力建设，增强抚幼养老功能。健全人口与家庭发展基层工作网络，持续提升服务能力。加强计生协会的组织和能力建设，开展协会工作。完善人口监测体系，健全人口监测预警制度。开展健康知识进万家活动，推动健康家庭建设。 </w:t>
      </w:r>
    </w:p>
    <w:p>
      <w:pPr>
        <w:keepNext w:val="0"/>
        <w:keepLines w:val="0"/>
        <w:pageBreakBefore w:val="0"/>
        <w:widowControl/>
        <w:suppressLineNumbers w:val="0"/>
        <w:kinsoku/>
        <w:wordWrap/>
        <w:topLinePunct w:val="0"/>
        <w:autoSpaceDE/>
        <w:autoSpaceDN/>
        <w:bidi w:val="0"/>
        <w:spacing w:line="560" w:lineRule="exact"/>
        <w:ind w:firstLine="612" w:firstLineChars="200"/>
        <w:jc w:val="left"/>
        <w:textAlignment w:val="auto"/>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方正仿宋_GBK" w:cs="Times New Roman"/>
          <w:b/>
          <w:bCs/>
          <w:color w:val="000000" w:themeColor="text1"/>
          <w:kern w:val="0"/>
          <w:sz w:val="31"/>
          <w:szCs w:val="31"/>
          <w:u w:val="none"/>
          <w:lang w:val="en-US" w:eastAsia="zh-CN" w:bidi="ar"/>
          <w14:textFill>
            <w14:solidFill>
              <w14:schemeClr w14:val="tx1"/>
            </w14:solidFill>
          </w14:textFill>
        </w:rPr>
        <w:t>加强政策调整有序衔接。</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对全面两孩政策调整前的独生子女家庭和农村计划生育双女家庭，继续实行现行各项奖励扶助制度和优惠政策。建立健全政府主导、社会组织参与的扶助关怀工作机制。建立定期巡</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访</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制度，落实计划生育特殊家庭</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双岗</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 xml:space="preserve">联系人制度。 </w:t>
      </w:r>
    </w:p>
    <w:p>
      <w:pPr>
        <w:keepNext w:val="0"/>
        <w:keepLines w:val="0"/>
        <w:pageBreakBefore w:val="0"/>
        <w:widowControl/>
        <w:suppressLineNumbers w:val="0"/>
        <w:kinsoku/>
        <w:wordWrap/>
        <w:topLinePunct w:val="0"/>
        <w:autoSpaceDE/>
        <w:autoSpaceDN/>
        <w:bidi w:val="0"/>
        <w:spacing w:line="560" w:lineRule="exact"/>
        <w:ind w:firstLine="612" w:firstLineChars="200"/>
        <w:jc w:val="left"/>
        <w:textAlignment w:val="auto"/>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方正仿宋_GBK" w:cs="Times New Roman"/>
          <w:b/>
          <w:bCs/>
          <w:color w:val="000000" w:themeColor="text1"/>
          <w:kern w:val="0"/>
          <w:sz w:val="31"/>
          <w:szCs w:val="31"/>
          <w:u w:val="none"/>
          <w:lang w:val="en-US" w:eastAsia="zh-CN" w:bidi="ar"/>
          <w14:textFill>
            <w14:solidFill>
              <w14:schemeClr w14:val="tx1"/>
            </w14:solidFill>
          </w14:textFill>
        </w:rPr>
        <w:t>推进托育服务专业化、规范化发展。</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 xml:space="preserve">完善托育机构设置标准和托育机构管理规范，建立健全托育服务机构备案登记制度、信息公示制度和质量评估制度。制定托育从业人员学历教育和相关职业标准，建立综合监管机制，加强社会监督和行业自律，提高保育保教质量和水平。 </w:t>
      </w:r>
    </w:p>
    <w:p>
      <w:pPr>
        <w:keepNext w:val="0"/>
        <w:keepLines w:val="0"/>
        <w:pageBreakBefore w:val="0"/>
        <w:widowControl/>
        <w:suppressLineNumbers w:val="0"/>
        <w:kinsoku/>
        <w:wordWrap/>
        <w:topLinePunct w:val="0"/>
        <w:autoSpaceDE/>
        <w:autoSpaceDN/>
        <w:bidi w:val="0"/>
        <w:spacing w:line="560" w:lineRule="exact"/>
        <w:ind w:firstLine="612" w:firstLineChars="200"/>
        <w:jc w:val="left"/>
        <w:textAlignment w:val="auto"/>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kern w:val="0"/>
          <w:sz w:val="31"/>
          <w:szCs w:val="31"/>
          <w:u w:val="none"/>
          <w:lang w:val="en-US" w:eastAsia="zh-CN" w:bidi="ar"/>
          <w14:textFill>
            <w14:solidFill>
              <w14:schemeClr w14:val="tx1"/>
            </w14:solidFill>
          </w14:textFill>
        </w:rPr>
        <w:t>发展多种形式的婴幼儿照护服务。</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加强社区托育服务设施建设，发展集中管理运营的社区托育服务网络，完善社区婴幼儿活动场所和服务设施。研究出台家庭托育点管理办法，支持隔代照料、家庭互助等照护模式。支持有条件的用人单位以单独或联合相关单位共同举办的方式，在工作场所为职工提供托育服务。到2025年建成托位每千人口4.5个。</w:t>
      </w:r>
    </w:p>
    <w:p>
      <w:pPr>
        <w:keepNext w:val="0"/>
        <w:keepLines w:val="0"/>
        <w:pageBreakBefore w:val="0"/>
        <w:widowControl/>
        <w:suppressLineNumbers w:val="0"/>
        <w:kinsoku/>
        <w:wordWrap/>
        <w:topLinePunct w:val="0"/>
        <w:autoSpaceDE/>
        <w:autoSpaceDN/>
        <w:bidi w:val="0"/>
        <w:spacing w:line="560" w:lineRule="exact"/>
        <w:ind w:firstLine="612" w:firstLineChars="200"/>
        <w:jc w:val="left"/>
        <w:textAlignment w:val="auto"/>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kern w:val="0"/>
          <w:sz w:val="31"/>
          <w:szCs w:val="31"/>
          <w:u w:val="none"/>
          <w:lang w:val="en-US" w:eastAsia="zh-CN" w:bidi="ar"/>
          <w14:textFill>
            <w14:solidFill>
              <w14:schemeClr w14:val="tx1"/>
            </w14:solidFill>
          </w14:textFill>
        </w:rPr>
        <w:t>提升妇幼健康服务能力。</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提升妇幼健康服务能力。</w:t>
      </w:r>
      <w:r>
        <w:rPr>
          <w:rFonts w:hint="eastAsia"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加强妇幼保健机构标准化建设和等级创建工作，到2025年，妇幼保健院达到国家</w:t>
      </w:r>
      <w:r>
        <w:rPr>
          <w:rFonts w:hint="eastAsia" w:ascii="Times New Roman" w:hAnsi="Times New Roman" w:eastAsia="方正仿宋_GBK" w:cs="Times New Roman"/>
          <w:color w:val="auto"/>
          <w:kern w:val="0"/>
          <w:sz w:val="31"/>
          <w:szCs w:val="31"/>
          <w:u w:val="none"/>
          <w:lang w:val="en-US" w:eastAsia="zh-CN" w:bidi="ar"/>
        </w:rPr>
        <w:t>二级</w:t>
      </w:r>
      <w:r>
        <w:rPr>
          <w:rFonts w:hint="eastAsia" w:eastAsia="方正仿宋_GBK" w:cs="Times New Roman"/>
          <w:color w:val="auto"/>
          <w:kern w:val="0"/>
          <w:sz w:val="31"/>
          <w:szCs w:val="31"/>
          <w:u w:val="none"/>
          <w:lang w:val="en-US" w:eastAsia="zh-CN" w:bidi="ar"/>
        </w:rPr>
        <w:t>甲等</w:t>
      </w:r>
      <w:r>
        <w:rPr>
          <w:rFonts w:hint="eastAsia"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妇幼保健院的建设标准。</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实施母婴安全行动提升计划，增加产科、儿科优质资源供给，筑牢妇幼保健服务网底。</w:t>
      </w:r>
      <w:r>
        <w:rPr>
          <w:rFonts w:hint="eastAsia"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建设孕产妇和新生儿重症监护室，加强</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危重孕产妇和新生儿救治中心能力建设。强化急救、转运、用血等重点环节保障，畅通转诊救治绿色通道，提升临床救治能力。</w:t>
      </w:r>
    </w:p>
    <w:p>
      <w:pPr>
        <w:keepNext w:val="0"/>
        <w:keepLines w:val="0"/>
        <w:pageBreakBefore w:val="0"/>
        <w:widowControl/>
        <w:suppressLineNumbers w:val="0"/>
        <w:kinsoku/>
        <w:wordWrap/>
        <w:topLinePunct w:val="0"/>
        <w:autoSpaceDE/>
        <w:autoSpaceDN/>
        <w:bidi w:val="0"/>
        <w:spacing w:line="560" w:lineRule="exact"/>
        <w:ind w:firstLine="612" w:firstLineChars="200"/>
        <w:jc w:val="left"/>
        <w:textAlignment w:val="auto"/>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kern w:val="0"/>
          <w:sz w:val="31"/>
          <w:szCs w:val="31"/>
          <w:u w:val="none"/>
          <w:lang w:val="en-US" w:eastAsia="zh-CN" w:bidi="ar"/>
          <w14:textFill>
            <w14:solidFill>
              <w14:schemeClr w14:val="tx1"/>
            </w14:solidFill>
          </w14:textFill>
        </w:rPr>
        <w:t>促进妇女儿童健康。</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完善妇幼健康服务全周期链条，实施健康儿童行动提升计划和母乳喂养促进行动计划，孕产妇系统管理率、</w:t>
      </w:r>
      <w:r>
        <w:rPr>
          <w:rFonts w:hint="default" w:ascii="Times New Roman" w:hAnsi="Times New Roman" w:eastAsia="宋体" w:cs="Times New Roman"/>
          <w:color w:val="000000" w:themeColor="text1"/>
          <w:kern w:val="0"/>
          <w:sz w:val="31"/>
          <w:szCs w:val="31"/>
          <w:u w:val="none"/>
          <w:lang w:val="en-US" w:eastAsia="zh-CN" w:bidi="ar"/>
          <w14:textFill>
            <w14:solidFill>
              <w14:schemeClr w14:val="tx1"/>
            </w14:solidFill>
          </w14:textFill>
        </w:rPr>
        <w:t>3</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岁以下儿童系统管理率均达到</w:t>
      </w:r>
      <w:r>
        <w:rPr>
          <w:rFonts w:hint="default" w:ascii="Times New Roman" w:hAnsi="Times New Roman" w:eastAsia="宋体" w:cs="Times New Roman"/>
          <w:color w:val="000000" w:themeColor="text1"/>
          <w:kern w:val="0"/>
          <w:sz w:val="31"/>
          <w:szCs w:val="31"/>
          <w:u w:val="none"/>
          <w:lang w:val="en-US" w:eastAsia="zh-CN" w:bidi="ar"/>
          <w14:textFill>
            <w14:solidFill>
              <w14:schemeClr w14:val="tx1"/>
            </w14:solidFill>
          </w14:textFill>
        </w:rPr>
        <w:t>94%</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。加强妇女常见病防治、妇女</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两癌</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检查覆盖率达到</w:t>
      </w:r>
      <w:r>
        <w:rPr>
          <w:rFonts w:hint="default" w:ascii="Times New Roman" w:hAnsi="Times New Roman" w:eastAsia="宋体" w:cs="Times New Roman"/>
          <w:color w:val="000000" w:themeColor="text1"/>
          <w:kern w:val="0"/>
          <w:sz w:val="31"/>
          <w:szCs w:val="31"/>
          <w:u w:val="none"/>
          <w:lang w:val="en-US" w:eastAsia="zh-CN" w:bidi="ar"/>
          <w14:textFill>
            <w14:solidFill>
              <w14:schemeClr w14:val="tx1"/>
            </w14:solidFill>
          </w14:textFill>
        </w:rPr>
        <w:t>100%</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，推进妇女更年期和老年期保健服务。加强出生缺陷综合防治，规范开展三级预防，到</w:t>
      </w:r>
      <w:r>
        <w:rPr>
          <w:rFonts w:hint="default" w:ascii="Times New Roman" w:hAnsi="Times New Roman" w:eastAsia="宋体" w:cs="Times New Roman"/>
          <w:color w:val="000000" w:themeColor="text1"/>
          <w:kern w:val="0"/>
          <w:sz w:val="31"/>
          <w:szCs w:val="31"/>
          <w:u w:val="none"/>
          <w:lang w:val="en-US" w:eastAsia="zh-CN" w:bidi="ar"/>
          <w14:textFill>
            <w14:solidFill>
              <w14:schemeClr w14:val="tx1"/>
            </w14:solidFill>
          </w14:textFill>
        </w:rPr>
        <w:t>2025</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年，产前筛查率达到</w:t>
      </w:r>
      <w:r>
        <w:rPr>
          <w:rFonts w:hint="default" w:ascii="Times New Roman" w:hAnsi="Times New Roman" w:eastAsia="宋体" w:cs="Times New Roman"/>
          <w:color w:val="000000" w:themeColor="text1"/>
          <w:kern w:val="0"/>
          <w:sz w:val="31"/>
          <w:szCs w:val="31"/>
          <w:u w:val="none"/>
          <w:lang w:val="en-US" w:eastAsia="zh-CN" w:bidi="ar"/>
          <w14:textFill>
            <w14:solidFill>
              <w14:schemeClr w14:val="tx1"/>
            </w14:solidFill>
          </w14:textFill>
        </w:rPr>
        <w:t>80%</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，新生儿遗传代谢性疾病筛查率达到</w:t>
      </w:r>
      <w:r>
        <w:rPr>
          <w:rFonts w:hint="default" w:ascii="Times New Roman" w:hAnsi="Times New Roman" w:eastAsia="宋体" w:cs="Times New Roman"/>
          <w:color w:val="000000" w:themeColor="text1"/>
          <w:kern w:val="0"/>
          <w:sz w:val="31"/>
          <w:szCs w:val="31"/>
          <w:u w:val="none"/>
          <w:lang w:val="en-US" w:eastAsia="zh-CN" w:bidi="ar"/>
          <w14:textFill>
            <w14:solidFill>
              <w14:schemeClr w14:val="tx1"/>
            </w14:solidFill>
          </w14:textFill>
        </w:rPr>
        <w:t>98%</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以上，新生儿听力筛查率达到</w:t>
      </w:r>
      <w:r>
        <w:rPr>
          <w:rFonts w:hint="default" w:ascii="Times New Roman" w:hAnsi="Times New Roman" w:eastAsia="宋体" w:cs="Times New Roman"/>
          <w:color w:val="000000" w:themeColor="text1"/>
          <w:kern w:val="0"/>
          <w:sz w:val="31"/>
          <w:szCs w:val="31"/>
          <w:u w:val="none"/>
          <w:lang w:val="en-US" w:eastAsia="zh-CN" w:bidi="ar"/>
          <w14:textFill>
            <w14:solidFill>
              <w14:schemeClr w14:val="tx1"/>
            </w14:solidFill>
          </w14:textFill>
        </w:rPr>
        <w:t>90%</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以上。强化婴幼儿养育照护指导，促进儿童早期发展。强化儿童保健和重点疾病防控，推进眼保健和心理健康服务。夯实学生常见病防控网络及技术支撑体系，加强学生营养健康膳食评估指导和学校卫生综合评价能力。加强学生近视、肥胖、龋齿、脊柱侧弯等常见病防治，12岁儿童患龋率控制在30%以内。开展青少年性与生殖健康促进行动，保护生育力。</w:t>
      </w:r>
    </w:p>
    <w:p>
      <w:pPr>
        <w:keepNext w:val="0"/>
        <w:keepLines w:val="0"/>
        <w:pageBreakBefore w:val="0"/>
        <w:widowControl/>
        <w:suppressLineNumbers w:val="0"/>
        <w:kinsoku/>
        <w:wordWrap/>
        <w:topLinePunct w:val="0"/>
        <w:autoSpaceDE/>
        <w:autoSpaceDN/>
        <w:bidi w:val="0"/>
        <w:spacing w:line="560" w:lineRule="exact"/>
        <w:ind w:firstLine="612" w:firstLineChars="200"/>
        <w:jc w:val="left"/>
        <w:textAlignment w:val="auto"/>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方正仿宋_GBK" w:cs="Times New Roman"/>
          <w:b/>
          <w:bCs/>
          <w:color w:val="000000" w:themeColor="text1"/>
          <w:kern w:val="0"/>
          <w:sz w:val="31"/>
          <w:szCs w:val="31"/>
          <w:u w:val="none"/>
          <w:lang w:val="en-US" w:eastAsia="zh-CN" w:bidi="ar"/>
          <w14:textFill>
            <w14:solidFill>
              <w14:schemeClr w14:val="tx1"/>
            </w14:solidFill>
          </w14:textFill>
        </w:rPr>
        <w:t>完善老年健康服务体系。</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推动</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县人民医院</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 xml:space="preserve">、中医医院开设老年病科、康复科或治未病科。加强老年友善医疗机构建设。建立长期照护服务体系，推进安宁疗护工作，保障疾病终末期患者生命质量。 </w:t>
      </w:r>
    </w:p>
    <w:p>
      <w:pPr>
        <w:keepNext w:val="0"/>
        <w:keepLines w:val="0"/>
        <w:pageBreakBefore w:val="0"/>
        <w:kinsoku/>
        <w:wordWrap/>
        <w:topLinePunct w:val="0"/>
        <w:autoSpaceDE/>
        <w:autoSpaceDN/>
        <w:bidi w:val="0"/>
        <w:spacing w:line="560" w:lineRule="exact"/>
        <w:ind w:firstLine="612"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kern w:val="0"/>
          <w:sz w:val="31"/>
          <w:szCs w:val="31"/>
          <w:u w:val="none"/>
          <w:lang w:val="en-US" w:eastAsia="zh-CN" w:bidi="ar"/>
          <w14:textFill>
            <w14:solidFill>
              <w14:schemeClr w14:val="tx1"/>
            </w14:solidFill>
          </w14:textFill>
        </w:rPr>
        <w:t>推进医养结合协调发展。</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构建居家社区机构相协调、医养康养相结合的养老服务体系。开展医养结合机构服务质量提升行动，依托社区卫生服务中心和乡镇卫生院等创建医养结合示范机构1个。引导</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医中有养</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养中有医</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的医养结合机构差异化发展，为老年人提供多元化、有针对性的健康养老服务</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，推动</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基层医疗卫生机构探索开展医养结合服务</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鼓励社会资本以市场化运作方式举办医养结合机构，支持社会办大型医养结合机构走集团化、连锁化发展道路。</w:t>
      </w:r>
      <w:r>
        <w:rPr>
          <w:rFonts w:hint="default" w:ascii="Times New Roman" w:hAnsi="Times New Roman" w:eastAsia="方正仿宋_GBK" w:cs="Times New Roman"/>
          <w:color w:val="000000" w:themeColor="text1"/>
          <w:sz w:val="32"/>
          <w:szCs w:val="32"/>
          <w:u w:val="none"/>
          <w14:textFill>
            <w14:solidFill>
              <w14:schemeClr w14:val="tx1"/>
            </w14:solidFill>
          </w14:textFill>
        </w:rPr>
        <w:t>建立健全医疗机构与养老机构间的业务协作机制，开通养老机构与医疗机构的绿色通道，协同做好老年人慢性病管理和康复护理。</w:t>
      </w:r>
    </w:p>
    <w:p>
      <w:pPr>
        <w:keepNext w:val="0"/>
        <w:keepLines w:val="0"/>
        <w:pageBreakBefore w:val="0"/>
        <w:kinsoku/>
        <w:wordWrap/>
        <w:topLinePunct w:val="0"/>
        <w:autoSpaceDE/>
        <w:autoSpaceDN/>
        <w:bidi w:val="0"/>
        <w:spacing w:line="560" w:lineRule="exact"/>
        <w:ind w:firstLine="612" w:firstLineChars="200"/>
        <w:textAlignment w:val="auto"/>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
          <w:bCs/>
          <w:color w:val="000000" w:themeColor="text1"/>
          <w:kern w:val="0"/>
          <w:sz w:val="31"/>
          <w:szCs w:val="31"/>
          <w:u w:val="none"/>
          <w:lang w:val="en-US" w:eastAsia="zh-CN" w:bidi="ar"/>
          <w14:textFill>
            <w14:solidFill>
              <w14:schemeClr w14:val="tx1"/>
            </w14:solidFill>
          </w14:textFill>
        </w:rPr>
        <w:t>加强老年健康管理与健康干预。</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 xml:space="preserve">加强老年预防保健，开展老年健康生活方式和可干预危险因素的健康教育，发展适合老年人特点的体育健身活动。指导开展老年人慢性病和神经退行性病症的早期筛查干预和健康指导，实施老年人失能预防项目和心理健康预防干预计划。 </w:t>
      </w:r>
    </w:p>
    <w:p>
      <w:pPr>
        <w:keepNext w:val="0"/>
        <w:keepLines w:val="0"/>
        <w:pageBreakBefore w:val="0"/>
        <w:numPr>
          <w:ilvl w:val="0"/>
          <w:numId w:val="0"/>
        </w:numPr>
        <w:kinsoku/>
        <w:wordWrap/>
        <w:topLinePunct w:val="0"/>
        <w:autoSpaceDE/>
        <w:autoSpaceDN/>
        <w:bidi w:val="0"/>
        <w:spacing w:line="560" w:lineRule="exact"/>
        <w:ind w:firstLine="632" w:firstLineChars="200"/>
        <w:textAlignment w:val="auto"/>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w:t>
      </w:r>
      <w:r>
        <w:rPr>
          <w:rFonts w:hint="eastAsia" w:eastAsia="方正楷体_GBK" w:cs="Times New Roman"/>
          <w:color w:val="000000" w:themeColor="text1"/>
          <w:sz w:val="32"/>
          <w:szCs w:val="32"/>
          <w:u w:val="none"/>
          <w:lang w:eastAsia="zh-CN"/>
          <w14:textFill>
            <w14:solidFill>
              <w14:schemeClr w14:val="tx1"/>
            </w14:solidFill>
          </w14:textFill>
        </w:rPr>
        <w:t>七</w:t>
      </w: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）加强卫生健康人才队伍建设</w:t>
      </w:r>
    </w:p>
    <w:p>
      <w:pPr>
        <w:keepNext w:val="0"/>
        <w:keepLines w:val="0"/>
        <w:pageBreakBefore w:val="0"/>
        <w:widowControl/>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着眼需求导向和学科建设</w:t>
      </w:r>
      <w:r>
        <w:rPr>
          <w:rFonts w:hint="default" w:ascii="Times New Roman" w:hAnsi="Times New Roman" w:eastAsia="方正仿宋_GBK" w:cs="Times New Roman"/>
          <w:b/>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加大高层次人才引进力度</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紧盯急需和紧缺专业，创新模式灵活引进人才</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补齐公共卫生服务短板，加强公共卫生人才队伍建设。建立健全三级人才培养体系，注重专业化和规范化，因地制宜利用培训基地加强本区域卫生人才培养，立足长远有计划分批次逐年选派人才参加更高层次进修培训，全方位高水平培养卫生专业人才。落实人才评价和激励保障机制。</w:t>
      </w:r>
    </w:p>
    <w:p>
      <w:pPr>
        <w:keepNext w:val="0"/>
        <w:keepLines w:val="0"/>
        <w:pageBreakBefore w:val="0"/>
        <w:widowControl/>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强化基层人才队伍建设。</w:t>
      </w:r>
      <w:r>
        <w:rPr>
          <w:rFonts w:hint="default" w:ascii="Times New Roman" w:hAnsi="Times New Roman" w:eastAsia="方正仿宋_GBK" w:cs="Times New Roman"/>
          <w:color w:val="000000" w:themeColor="text1"/>
          <w:sz w:val="32"/>
          <w:szCs w:val="32"/>
          <w:u w:val="none"/>
          <w14:textFill>
            <w14:solidFill>
              <w14:schemeClr w14:val="tx1"/>
            </w14:solidFill>
          </w14:textFill>
        </w:rPr>
        <w:t>优化人才配置使用，建立向基层和卫生人力资源薄弱地区倾斜的人才招录与培养机制，贯彻落实引导和鼓励医学院校毕业生到基层工作的政策，依托医学高等院校定向培养基层医疗卫生机构全科医生。加强基层紧缺卫生技术人员培训，提高基层卫生技术人员业务技能。加强基层卫生管理人员培训，提高基层卫生管理水平</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推进落实</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县聘乡用、乡聘村用</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等人才政策。</w:t>
      </w:r>
    </w:p>
    <w:p>
      <w:pPr>
        <w:keepNext w:val="0"/>
        <w:keepLines w:val="0"/>
        <w:pageBreakBefore w:val="0"/>
        <w:kinsoku/>
        <w:wordWrap/>
        <w:topLinePunct w:val="0"/>
        <w:autoSpaceDE/>
        <w:autoSpaceDN/>
        <w:bidi w:val="0"/>
        <w:spacing w:line="560" w:lineRule="exact"/>
        <w:ind w:firstLine="632" w:firstLineChars="200"/>
        <w:textAlignment w:val="auto"/>
        <w:rPr>
          <w:rFonts w:hint="default" w:ascii="Times New Roman" w:hAnsi="Times New Roman" w:eastAsia="方正楷体_GBK" w:cs="Times New Roman"/>
          <w:color w:val="000000" w:themeColor="text1"/>
          <w:sz w:val="32"/>
          <w:szCs w:val="32"/>
          <w:u w:val="none"/>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w:t>
      </w:r>
      <w:r>
        <w:rPr>
          <w:rFonts w:hint="eastAsia" w:eastAsia="方正楷体_GBK" w:cs="Times New Roman"/>
          <w:color w:val="000000" w:themeColor="text1"/>
          <w:sz w:val="32"/>
          <w:szCs w:val="32"/>
          <w:u w:val="none"/>
          <w:lang w:eastAsia="zh-CN"/>
          <w14:textFill>
            <w14:solidFill>
              <w14:schemeClr w14:val="tx1"/>
            </w14:solidFill>
          </w14:textFill>
        </w:rPr>
        <w:t>八</w:t>
      </w: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u w:val="none"/>
          <w14:textFill>
            <w14:solidFill>
              <w14:schemeClr w14:val="tx1"/>
            </w14:solidFill>
          </w14:textFill>
        </w:rPr>
        <w:t>强化区域协同发展</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聚焦医疗资源、人才交流、科研合作、惠民服务等领域，充分利用北京协和、重医附一院、三峡中心医院、山东临沂中心医院等三甲医院对口支援，集中力量解决</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我县</w:t>
      </w:r>
      <w:r>
        <w:rPr>
          <w:rFonts w:hint="default" w:ascii="Times New Roman" w:hAnsi="Times New Roman" w:eastAsia="方正仿宋_GBK" w:cs="Times New Roman"/>
          <w:color w:val="000000" w:themeColor="text1"/>
          <w:sz w:val="32"/>
          <w:szCs w:val="32"/>
          <w:u w:val="none"/>
          <w14:textFill>
            <w14:solidFill>
              <w14:schemeClr w14:val="tx1"/>
            </w14:solidFill>
          </w14:textFill>
        </w:rPr>
        <w:t>常见病、多发病、急危重症，持续提升提高</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我县</w:t>
      </w:r>
      <w:r>
        <w:rPr>
          <w:rFonts w:hint="default" w:ascii="Times New Roman" w:hAnsi="Times New Roman" w:eastAsia="方正仿宋_GBK" w:cs="Times New Roman"/>
          <w:color w:val="000000" w:themeColor="text1"/>
          <w:sz w:val="32"/>
          <w:szCs w:val="32"/>
          <w:u w:val="none"/>
          <w14:textFill>
            <w14:solidFill>
              <w14:schemeClr w14:val="tx1"/>
            </w14:solidFill>
          </w14:textFill>
        </w:rPr>
        <w:t>诊疗能力。持续加强远程医疗建设，搭建互联网诊疗信息平台、远程会诊系统</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eastAsia" w:eastAsia="方正仿宋_GBK" w:cs="Times New Roman"/>
          <w:color w:val="000000" w:themeColor="text1"/>
          <w:sz w:val="32"/>
          <w:szCs w:val="32"/>
          <w:u w:val="none"/>
          <w:lang w:eastAsia="zh-CN"/>
          <w14:textFill>
            <w14:solidFill>
              <w14:schemeClr w14:val="tx1"/>
            </w14:solidFill>
          </w14:textFill>
        </w:rPr>
        <w:t>推动县、乡、村</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开展</w:t>
      </w:r>
      <w:r>
        <w:rPr>
          <w:rFonts w:hint="default" w:ascii="Times New Roman" w:hAnsi="Times New Roman" w:eastAsia="方正仿宋_GBK" w:cs="Times New Roman"/>
          <w:color w:val="000000" w:themeColor="text1"/>
          <w:sz w:val="32"/>
          <w:szCs w:val="32"/>
          <w:u w:val="none"/>
          <w14:textFill>
            <w14:solidFill>
              <w14:schemeClr w14:val="tx1"/>
            </w14:solidFill>
          </w14:textFill>
        </w:rPr>
        <w:t>远程会诊、远程心电、远程病例讨论等</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互联网+医疗服务</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，实现互联网与医疗服务深度融合。持续改善医疗卫生服务条件，提升人才队伍素质水平，增强公共卫生服务能力，扩大惠民医疗服务范围，为实施乡村振兴战略提供坚实的健康保障。</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（九）</w:t>
      </w:r>
      <w:r>
        <w:rPr>
          <w:rFonts w:hint="eastAsia" w:ascii="方正楷体_GBK" w:hAnsi="方正楷体_GBK" w:eastAsia="方正楷体_GBK" w:cs="方正楷体_GBK"/>
          <w:color w:val="000000" w:themeColor="text1"/>
          <w:sz w:val="32"/>
          <w:szCs w:val="32"/>
          <w:u w:val="none"/>
          <w14:textFill>
            <w14:solidFill>
              <w14:schemeClr w14:val="tx1"/>
            </w14:solidFill>
          </w14:textFill>
        </w:rPr>
        <w:t xml:space="preserve">加强宣传能力建设 </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方正仿宋_GBK" w:hAnsi="方正仿宋_GBK" w:eastAsia="方正仿宋_GBK" w:cs="方正仿宋_GBK"/>
          <w:color w:val="000000" w:themeColor="text1"/>
          <w:sz w:val="32"/>
          <w:szCs w:val="32"/>
          <w:u w:val="none"/>
          <w14:textFill>
            <w14:solidFill>
              <w14:schemeClr w14:val="tx1"/>
            </w14:solidFill>
          </w14:textFill>
        </w:rPr>
      </w:pPr>
      <w:r>
        <w:rPr>
          <w:rFonts w:hint="eastAsia" w:ascii="方正仿宋_GBK" w:hAnsi="方正仿宋_GBK" w:eastAsia="方正仿宋_GBK" w:cs="方正仿宋_GBK"/>
          <w:color w:val="000000" w:themeColor="text1"/>
          <w:sz w:val="32"/>
          <w:szCs w:val="32"/>
          <w:u w:val="none"/>
          <w14:textFill>
            <w14:solidFill>
              <w14:schemeClr w14:val="tx1"/>
            </w14:solidFill>
          </w14:textFill>
        </w:rPr>
        <w:t>提升应急宣传水平，完善突发事件信息发布机制，及时准确、公开透明发布权威信息。完善健康传播机制，优化舆情快速反应机制，强化属地第一时间反应、核实、处置。建立应急科普联合宣传机制，提高应急科普生产和传播能力。</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黑体_GBK" w:cs="Times New Roman"/>
          <w:color w:val="000000" w:themeColor="text1"/>
          <w:sz w:val="32"/>
          <w:szCs w:val="32"/>
          <w:u w:val="none"/>
          <w14:textFill>
            <w14:solidFill>
              <w14:schemeClr w14:val="tx1"/>
            </w14:solidFill>
          </w14:textFill>
        </w:rPr>
      </w:pPr>
      <w:r>
        <w:rPr>
          <w:rFonts w:hint="default" w:ascii="Times New Roman" w:hAnsi="Times New Roman" w:eastAsia="方正黑体_GBK" w:cs="Times New Roman"/>
          <w:color w:val="000000" w:themeColor="text1"/>
          <w:sz w:val="32"/>
          <w:szCs w:val="32"/>
          <w:u w:val="none"/>
          <w:lang w:eastAsia="zh-CN"/>
          <w14:textFill>
            <w14:solidFill>
              <w14:schemeClr w14:val="tx1"/>
            </w14:solidFill>
          </w14:textFill>
        </w:rPr>
        <w:t>五、</w:t>
      </w:r>
      <w:r>
        <w:rPr>
          <w:rFonts w:hint="default" w:ascii="Times New Roman" w:hAnsi="Times New Roman" w:eastAsia="方正黑体_GBK" w:cs="Times New Roman"/>
          <w:color w:val="000000" w:themeColor="text1"/>
          <w:sz w:val="32"/>
          <w:szCs w:val="32"/>
          <w:u w:val="none"/>
          <w14:textFill>
            <w14:solidFill>
              <w14:schemeClr w14:val="tx1"/>
            </w14:solidFill>
          </w14:textFill>
        </w:rPr>
        <w:t>保障措施</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（一）</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加强组织领导</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要切实加强组织领导，强化规划贯彻落实，健全工作机制， 及时协调解决卫生健康发展中的重大问题，促进卫生健康事业与经济社会发展相协调、居民健康保障水平与经济社会发展水平相适应，协同推进和落实规划内的各项任务，确保全</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卫生健康事业持续健康向上发展。及时组织细化各项任务措施，建立规划目标管理责任制，层层落实责任。科学编制各专项规划，确定卫生健康阶段性、单项性的发展目标和任务。</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（二）完善配套政策</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完善政府主导的多元化卫生健康筹资机制，强化政府对卫生健康基本公共服务的投入责任，引导社会资金参与发展卫生健康事业。政府要落实好各项卫生健康投入政策，建立适应医药卫生体制改革的投入机制，保障卫生健康改革发展顺利推进。 </w:t>
      </w:r>
    </w:p>
    <w:p>
      <w:pPr>
        <w:keepNext w:val="0"/>
        <w:keepLines w:val="0"/>
        <w:pageBreakBefore w:val="0"/>
        <w:kinsoku/>
        <w:wordWrap/>
        <w:topLinePunct w:val="0"/>
        <w:autoSpaceDE/>
        <w:autoSpaceDN/>
        <w:bidi w:val="0"/>
        <w:spacing w:line="560" w:lineRule="exact"/>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合理确定政府投入责任，进一步强化政府在提供基本医疗、公共卫生、计生惠民等服务中的主导地位，加大政府卫生健康事业投入力度。完善各类公立医疗卫生健康机构的财政补助政策，健全政府购买卫生健康服务的机制。调整和完善政府卫生投入结构，重点支持基层卫生、公共卫生、基本医疗保障等，切实加强卫生健康基础设施建设、卫生健康科技创新和卫生健康人才培养等工作。</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楷体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（三）</w:t>
      </w:r>
      <w:r>
        <w:rPr>
          <w:rFonts w:hint="default" w:ascii="Times New Roman" w:hAnsi="Times New Roman" w:eastAsia="方正楷体_GBK" w:cs="Times New Roman"/>
          <w:bCs/>
          <w:color w:val="000000" w:themeColor="text1"/>
          <w:sz w:val="32"/>
          <w:szCs w:val="32"/>
          <w:u w:val="none"/>
          <w14:textFill>
            <w14:solidFill>
              <w14:schemeClr w14:val="tx1"/>
            </w14:solidFill>
          </w14:textFill>
        </w:rPr>
        <w:t>营造良好发展环境</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加强党的全面领导，加强行风建设，完善重大案件问责、违规事件通报、不良执业行为记录等制度。弘扬和践行社会主义核心价值观，强化医德医风建设和行业自律，规范诊疗服务行为。加强行业信用制度建设，完善行风评议和患者就医体验满意度第三方评价机制。加强宣传引导，提高居民科学就医意识和能力，引导公众合理利用医疗卫生资源</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从提升薪酬待遇、发展空间、执业环境、社会地位等方面入手，关心爱护医务人员身心健康，通过多种形式增强医务人员职业荣誉感，营造全社会尊医重卫的良好风气。</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深化平安医院建设，</w:t>
      </w:r>
      <w:r>
        <w:rPr>
          <w:rFonts w:hint="default" w:ascii="Times New Roman" w:hAnsi="Times New Roman" w:eastAsia="方正仿宋_GBK" w:cs="Times New Roman"/>
          <w:color w:val="000000" w:themeColor="text1"/>
          <w:sz w:val="32"/>
          <w:szCs w:val="32"/>
          <w:u w:val="none"/>
          <w14:textFill>
            <w14:solidFill>
              <w14:schemeClr w14:val="tx1"/>
            </w14:solidFill>
          </w14:textFill>
        </w:rPr>
        <w:t>严厉依法打击涉医违法犯罪行为特别是伤害医务人员的暴力犯罪行为，保护医务人员安全。</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推进院内调解、人民调解、司法调解和医疗责任险</w:t>
      </w:r>
      <w:r>
        <w:rPr>
          <w:rFonts w:hint="default" w:ascii="Times New Roman" w:hAnsi="Times New Roman" w:eastAsia="方正仿宋_GBK" w:cs="Times New Roman"/>
          <w:color w:val="000000" w:themeColor="text1"/>
          <w:sz w:val="32"/>
          <w:szCs w:val="32"/>
          <w:u w:val="none"/>
          <w14:textFill>
            <w14:solidFill>
              <w14:schemeClr w14:val="tx1"/>
            </w14:solidFill>
          </w14:textFill>
        </w:rPr>
        <w:t>机制建设，妥善化解医疗纠纷，构建和谐医患关系。</w:t>
      </w:r>
    </w:p>
    <w:p>
      <w:pPr>
        <w:keepNext w:val="0"/>
        <w:keepLines w:val="0"/>
        <w:pageBreakBefore w:val="0"/>
        <w:numPr>
          <w:ilvl w:val="0"/>
          <w:numId w:val="0"/>
        </w:numPr>
        <w:kinsoku/>
        <w:wordWrap/>
        <w:topLinePunct w:val="0"/>
        <w:autoSpaceDE/>
        <w:autoSpaceDN/>
        <w:bidi w:val="0"/>
        <w:spacing w:line="560" w:lineRule="exact"/>
        <w:ind w:leftChars="200"/>
        <w:jc w:val="left"/>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（四）加强监测评估</w:t>
      </w:r>
      <w:r>
        <w:rPr>
          <w:rFonts w:hint="eastAsia" w:ascii="方正楷体_GBK" w:hAnsi="方正楷体_GBK" w:eastAsia="方正楷体_GBK" w:cs="方正楷体_GBK"/>
          <w:color w:val="000000" w:themeColor="text1"/>
          <w:sz w:val="32"/>
          <w:szCs w:val="32"/>
          <w:u w:val="none"/>
          <w14:textFill>
            <w14:solidFill>
              <w14:schemeClr w14:val="tx1"/>
            </w14:solidFill>
          </w14:textFill>
        </w:rPr>
        <w:t xml:space="preserve"> </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sectPr>
          <w:footerReference r:id="rId3" w:type="default"/>
          <w:pgSz w:w="11906" w:h="16838"/>
          <w:pgMar w:top="2098" w:right="1474" w:bottom="1984" w:left="1587" w:header="851" w:footer="992" w:gutter="0"/>
          <w:pgNumType w:fmt="numberInDash"/>
          <w:cols w:space="0" w:num="1"/>
          <w:rtlGutter w:val="0"/>
          <w:docGrid w:type="linesAndChars" w:linePitch="579" w:charSpace="-842"/>
        </w:sect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完善规划监测评估机制，定期对规划实施进度及效果开展全面评估。监督重大项目的执行情况。完善规划中期、终期评估制度，对监测评估中发现的问题，加强督导和纠偏，认真研究解决办法，确保规划目标的实现。充分发挥规划引领作用，在重大项目审批、医疗卫生要素准入等方面严格管理，强化规划的约束力，规范项目准入与实施。建立规划实施情况动态评估机制，及时发现实施中的问题，研究解决对策。</w:t>
      </w:r>
    </w:p>
    <w:p>
      <w:pPr>
        <w:jc w:val="center"/>
        <w:rPr>
          <w:rFonts w:hint="default" w:ascii="Times New Roman" w:hAnsi="Times New Roman" w:cs="Times New Roman"/>
          <w:color w:val="000000" w:themeColor="text1"/>
          <w:u w:val="none"/>
          <w14:textFill>
            <w14:solidFill>
              <w14:schemeClr w14:val="tx1"/>
            </w14:solidFill>
          </w14:textFill>
        </w:rPr>
      </w:pPr>
      <w:r>
        <w:rPr>
          <w:rFonts w:hint="eastAsia" w:ascii="Times New Roman" w:hAnsi="Times New Roman" w:eastAsia="方正黑体_GBK" w:cs="Times New Roman"/>
          <w:i w:val="0"/>
          <w:iCs w:val="0"/>
          <w:color w:val="000000" w:themeColor="text1"/>
          <w:kern w:val="0"/>
          <w:sz w:val="32"/>
          <w:szCs w:val="32"/>
          <w:u w:val="none"/>
          <w:lang w:val="en-US" w:eastAsia="zh-CN" w:bidi="ar"/>
          <w14:textFill>
            <w14:solidFill>
              <w14:schemeClr w14:val="tx1"/>
            </w14:solidFill>
          </w14:textFill>
        </w:rPr>
        <w:t>表</w:t>
      </w:r>
      <w:r>
        <w:rPr>
          <w:rFonts w:hint="default" w:ascii="Times New Roman" w:hAnsi="Times New Roman" w:eastAsia="方正黑体_GBK" w:cs="Times New Roman"/>
          <w:i w:val="0"/>
          <w:iCs w:val="0"/>
          <w:color w:val="000000" w:themeColor="text1"/>
          <w:kern w:val="0"/>
          <w:sz w:val="32"/>
          <w:szCs w:val="32"/>
          <w:u w:val="none"/>
          <w:lang w:val="en-US" w:eastAsia="zh-CN" w:bidi="ar"/>
          <w14:textFill>
            <w14:solidFill>
              <w14:schemeClr w14:val="tx1"/>
            </w14:solidFill>
          </w14:textFill>
        </w:rPr>
        <w:t>2</w:t>
      </w:r>
      <w:r>
        <w:rPr>
          <w:rFonts w:hint="eastAsia" w:eastAsia="方正黑体_GBK" w:cs="Times New Roman"/>
          <w:i w:val="0"/>
          <w:iCs w:val="0"/>
          <w:color w:val="000000" w:themeColor="text1"/>
          <w:kern w:val="0"/>
          <w:sz w:val="32"/>
          <w:szCs w:val="32"/>
          <w:u w:val="none"/>
          <w:lang w:val="en-US" w:eastAsia="zh-CN" w:bidi="ar"/>
          <w14:textFill>
            <w14:solidFill>
              <w14:schemeClr w14:val="tx1"/>
            </w14:solidFill>
          </w14:textFill>
        </w:rPr>
        <w:t xml:space="preserve"> </w:t>
      </w:r>
      <w:r>
        <w:rPr>
          <w:rFonts w:hint="default" w:ascii="Times New Roman" w:hAnsi="Times New Roman" w:eastAsia="方正黑体_GBK" w:cs="Times New Roman"/>
          <w:i w:val="0"/>
          <w:iCs w:val="0"/>
          <w:color w:val="000000" w:themeColor="text1"/>
          <w:kern w:val="0"/>
          <w:sz w:val="32"/>
          <w:szCs w:val="32"/>
          <w:u w:val="none"/>
          <w:lang w:val="en-US" w:eastAsia="zh-CN" w:bidi="ar"/>
          <w14:textFill>
            <w14:solidFill>
              <w14:schemeClr w14:val="tx1"/>
            </w14:solidFill>
          </w14:textFill>
        </w:rPr>
        <w:t>城口县卫生健康</w:t>
      </w:r>
      <w:r>
        <w:rPr>
          <w:rFonts w:hint="eastAsia" w:eastAsia="方正黑体_GBK" w:cs="Times New Roman"/>
          <w:i w:val="0"/>
          <w:iCs w:val="0"/>
          <w:color w:val="000000" w:themeColor="text1"/>
          <w:kern w:val="0"/>
          <w:sz w:val="32"/>
          <w:szCs w:val="32"/>
          <w:u w:val="none"/>
          <w:lang w:val="en-US" w:eastAsia="zh-CN" w:bidi="ar"/>
          <w14:textFill>
            <w14:solidFill>
              <w14:schemeClr w14:val="tx1"/>
            </w14:solidFill>
          </w14:textFill>
        </w:rPr>
        <w:t>“</w:t>
      </w:r>
      <w:r>
        <w:rPr>
          <w:rFonts w:hint="default" w:ascii="Times New Roman" w:hAnsi="Times New Roman" w:eastAsia="方正黑体_GBK" w:cs="Times New Roman"/>
          <w:i w:val="0"/>
          <w:iCs w:val="0"/>
          <w:color w:val="000000" w:themeColor="text1"/>
          <w:kern w:val="0"/>
          <w:sz w:val="32"/>
          <w:szCs w:val="32"/>
          <w:u w:val="none"/>
          <w:lang w:val="en-US" w:eastAsia="zh-CN" w:bidi="ar"/>
          <w14:textFill>
            <w14:solidFill>
              <w14:schemeClr w14:val="tx1"/>
            </w14:solidFill>
          </w14:textFill>
        </w:rPr>
        <w:t>十四五</w:t>
      </w:r>
      <w:r>
        <w:rPr>
          <w:rFonts w:hint="eastAsia" w:eastAsia="方正黑体_GBK" w:cs="Times New Roman"/>
          <w:i w:val="0"/>
          <w:iCs w:val="0"/>
          <w:color w:val="000000" w:themeColor="text1"/>
          <w:kern w:val="0"/>
          <w:sz w:val="32"/>
          <w:szCs w:val="32"/>
          <w:u w:val="none"/>
          <w:lang w:val="en-US" w:eastAsia="zh-CN" w:bidi="ar"/>
          <w14:textFill>
            <w14:solidFill>
              <w14:schemeClr w14:val="tx1"/>
            </w14:solidFill>
          </w14:textFill>
        </w:rPr>
        <w:t>”</w:t>
      </w:r>
      <w:r>
        <w:rPr>
          <w:rFonts w:hint="default" w:ascii="Times New Roman" w:hAnsi="Times New Roman" w:eastAsia="方正黑体_GBK" w:cs="Times New Roman"/>
          <w:i w:val="0"/>
          <w:iCs w:val="0"/>
          <w:color w:val="000000" w:themeColor="text1"/>
          <w:kern w:val="0"/>
          <w:sz w:val="32"/>
          <w:szCs w:val="32"/>
          <w:u w:val="none"/>
          <w:lang w:val="en-US" w:eastAsia="zh-CN" w:bidi="ar"/>
          <w14:textFill>
            <w14:solidFill>
              <w14:schemeClr w14:val="tx1"/>
            </w14:solidFill>
          </w14:textFill>
        </w:rPr>
        <w:t>建设项目规划表</w:t>
      </w:r>
    </w:p>
    <w:tbl>
      <w:tblPr>
        <w:tblStyle w:val="13"/>
        <w:tblpPr w:leftFromText="180" w:rightFromText="180" w:vertAnchor="text" w:horzAnchor="page" w:tblpX="841" w:tblpY="306"/>
        <w:tblOverlap w:val="never"/>
        <w:tblW w:w="15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1"/>
        <w:gridCol w:w="1750"/>
        <w:gridCol w:w="788"/>
        <w:gridCol w:w="992"/>
        <w:gridCol w:w="791"/>
        <w:gridCol w:w="842"/>
        <w:gridCol w:w="967"/>
        <w:gridCol w:w="5750"/>
        <w:gridCol w:w="1066"/>
        <w:gridCol w:w="1000"/>
        <w:gridCol w:w="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重要性序号</w:t>
            </w:r>
          </w:p>
        </w:tc>
        <w:tc>
          <w:tcPr>
            <w:tcW w:w="1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项目名称</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建设性质</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建设规模（平方米）</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开工年份</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拟建成年份</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总投资（万元）</w:t>
            </w:r>
          </w:p>
        </w:tc>
        <w:tc>
          <w:tcPr>
            <w:tcW w:w="5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年度建设内容</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项目（法人）单位</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项目进展情况</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5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1</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城口县妇幼保健院儿童保健院迁建工程</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续建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23290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2019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2023</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w:t>
            </w:r>
            <w:r>
              <w:rPr>
                <w:rFonts w:hint="eastAsia" w:eastAsia="方正仿宋_GBK" w:cs="Times New Roman"/>
                <w:color w:val="000000" w:themeColor="text1"/>
                <w:u w:val="none"/>
                <w:lang w:val="en-US" w:eastAsia="zh-CN"/>
                <w14:textFill>
                  <w14:solidFill>
                    <w14:schemeClr w14:val="tx1"/>
                  </w14:solidFill>
                </w14:textFill>
              </w:rPr>
              <w:t>3000</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建设业务用房面积23290平方米；完善附属配套设施建设，场地平整、土石方开挖、围墙、堡坎、备用电源、污水处理等设施，打造美丽医院；设备配置：核磁共振、CT 、彩超等基本医疗设备；建设妇科、产科、儿科等重点专科1批。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城口县妇幼保健院</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完成主体工程</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城口县中医医院迁建项目</w:t>
            </w:r>
            <w:r>
              <w:rPr>
                <w:rFonts w:hint="eastAsia" w:eastAsia="方正仿宋_GBK" w:cs="Times New Roman"/>
                <w:color w:val="000000" w:themeColor="text1"/>
                <w:u w:val="none"/>
                <w:lang w:val="en-US" w:eastAsia="zh-CN"/>
                <w14:textFill>
                  <w14:solidFill>
                    <w14:schemeClr w14:val="tx1"/>
                  </w14:solidFill>
                </w14:textFill>
              </w:rPr>
              <w:t>（一期）</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续建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17060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2019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2021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8530</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建设业务用房17060平方米，包含住院病房、门诊、急诊等功能用房。工程内容包括场地平整、土石方开挖、建筑工程、装饰工程、节能工程、给排水工程、电气工程、电梯工程、消防工程、红线内室外给排水管网及设备配置等。</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城口县中医医院</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完成主体工程</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3</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城口县人民医院住院综合楼改扩建项目</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新建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15000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2021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2024</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13000</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建设业务用房13613平方米，配备医疗设施设备。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城口县人民医院</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完成基础施工</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城口县人民医院三级医院创建项目（城口县传染病医院）</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新建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48</w:t>
            </w:r>
            <w:r>
              <w:rPr>
                <w:rFonts w:hint="default" w:ascii="Times New Roman" w:hAnsi="Times New Roman" w:eastAsia="方正仿宋_GBK" w:cs="Times New Roman"/>
                <w:color w:val="000000" w:themeColor="text1"/>
                <w:u w:val="none"/>
                <w:lang w:val="en-US" w:eastAsia="zh-CN"/>
                <w14:textFill>
                  <w14:solidFill>
                    <w14:schemeClr w14:val="tx1"/>
                  </w14:solidFill>
                </w14:textFill>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2022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202</w:t>
            </w:r>
            <w:r>
              <w:rPr>
                <w:rFonts w:hint="eastAsia" w:eastAsia="方正仿宋_GBK" w:cs="Times New Roman"/>
                <w:color w:val="000000" w:themeColor="text1"/>
                <w:u w:val="none"/>
                <w:lang w:val="en-US" w:eastAsia="zh-CN"/>
                <w14:textFill>
                  <w14:solidFill>
                    <w14:schemeClr w14:val="tx1"/>
                  </w14:solidFill>
                </w14:textFill>
              </w:rPr>
              <w:t>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58</w:t>
            </w:r>
            <w:r>
              <w:rPr>
                <w:rFonts w:hint="default" w:ascii="Times New Roman" w:hAnsi="Times New Roman" w:eastAsia="方正仿宋_GBK" w:cs="Times New Roman"/>
                <w:color w:val="000000" w:themeColor="text1"/>
                <w:u w:val="none"/>
                <w:lang w:val="en-US" w:eastAsia="zh-CN"/>
                <w14:textFill>
                  <w14:solidFill>
                    <w14:schemeClr w14:val="tx1"/>
                  </w14:solidFill>
                </w14:textFill>
              </w:rPr>
              <w:t>000</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建设业务用房48000平方米，其中传染病区业务用房12000平方米；美丽医院建设：院内道路、绿化、院坝化、围墙、堡坎、配电、污水处理等附属配套设施建设；设备配置：3.0核磁共振、128排256层螺旋CT、直线加速器等医疗设备；学科建设：新建15个临床学科，创建9个市县级重点学科。程、节能工程、给排水工程、电气工程、电梯工程、消防工程及红线内室外给排水管网等附属工程以及室内装饰工程及设备配置。</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城口县人民医院</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规划</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5</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城口县中医医院迁建项目（二期）</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新建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24000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2022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2025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38000</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建设业务用房24000平方米，院坝硬化、围墙、堡坎、道路、污水处理、配电等附属设施，医疗设备配置。</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城口县中医医院</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规划</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6</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城口县乡镇卫生院建设项目（一期）</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新建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37100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2021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2024</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26300</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改扩建巴山镇、咸宜镇、高观镇、东安镇、岚天乡、蓼子乡、明通镇、治平乡、精神卫生中心等9个基层医疗卫生机构，完善院坝硬化绿化、堡坎、围墙、道路、备用电源、污水处理设施设备、CT等医疗设备购置等。</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城口县卫生健康委员会</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规划</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7</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城口县乡镇卫生院建设项目（二期）</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新建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37500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2023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2025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55700</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改扩建葛城街治平乡、龙田乡、左岚乡、厚坪乡、高楠镇、修齐镇、高燕镇、坪坝镇、庙坝镇、双河乡等10个基层医疗卫生机构，完善院坝硬化绿化、堡坎、围墙、道路、备用电源、污水处理设施设备、CT等医疗设备购置等。</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kern w:val="2"/>
                <w:sz w:val="21"/>
                <w:szCs w:val="22"/>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城口县卫生健康委员会</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kern w:val="2"/>
                <w:sz w:val="21"/>
                <w:szCs w:val="22"/>
                <w:u w:val="none"/>
                <w:lang w:val="en-US" w:eastAsia="zh-CN" w:bidi="ar-SA"/>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规划</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8</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全县卫生健康系统信息化建设项目</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2022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2025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10000</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信息化建设软硬件采购、智慧医院建设、医院互联互通标准化建设、突发公共卫生事件应急指挥平台建设、区域检验检查系统、区域影像中心、区域合理用药系统、区域妇幼保健系统、区域卫生信息化平台建设等。</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kern w:val="2"/>
                <w:sz w:val="21"/>
                <w:szCs w:val="22"/>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城口县卫生健康委员会</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kern w:val="2"/>
                <w:sz w:val="21"/>
                <w:szCs w:val="22"/>
                <w:u w:val="none"/>
                <w:lang w:val="en-US" w:eastAsia="zh-CN" w:bidi="ar-SA"/>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规划</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9</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城口县星级村卫生室达标改造项目</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改扩建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9000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2022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2025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5800</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改扩建125个村卫生室，配置医疗设备，逐步实现村卫生室一体化管理。</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kern w:val="2"/>
                <w:sz w:val="21"/>
                <w:szCs w:val="22"/>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城口县卫生健康委员会</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kern w:val="2"/>
                <w:sz w:val="21"/>
                <w:szCs w:val="22"/>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规划</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10</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城口县医养结合建设项目</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新建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20000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2022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2025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20000</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新建业务用房20000平方米，院坝硬化绿化、备用电源、污水处理设施设备、设备购置等。</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城口县卫生健康委员会</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规划</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p>
        </w:tc>
      </w:tr>
    </w:tbl>
    <w:p>
      <w:pPr>
        <w:pStyle w:val="12"/>
        <w:numPr>
          <w:ilvl w:val="0"/>
          <w:numId w:val="0"/>
        </w:numPr>
        <w:rPr>
          <w:rFonts w:hint="default" w:ascii="Times New Roman" w:hAnsi="Times New Roman" w:cs="Times New Roman"/>
          <w:color w:val="000000" w:themeColor="text1"/>
          <w:lang w:val="en-US" w:eastAsia="zh-CN"/>
          <w14:textFill>
            <w14:solidFill>
              <w14:schemeClr w14:val="tx1"/>
            </w14:solidFill>
          </w14:textFill>
        </w:rPr>
      </w:pPr>
    </w:p>
    <w:sectPr>
      <w:pgSz w:w="16838" w:h="11906" w:orient="landscape"/>
      <w:pgMar w:top="1587" w:right="2098" w:bottom="1474" w:left="1984" w:header="851" w:footer="992"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10" w:usb3="00000000" w:csb0="0004009F" w:csb1="00000000"/>
  </w:font>
  <w:font w:name="仿宋_GB2312">
    <w:altName w:val="方正仿宋_GBK"/>
    <w:panose1 w:val="02010609030101010101"/>
    <w:charset w:val="86"/>
    <w:family w:val="auto"/>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仿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eastAsia="宋体"/>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23D47"/>
    <w:multiLevelType w:val="singleLevel"/>
    <w:tmpl w:val="90723D47"/>
    <w:lvl w:ilvl="0" w:tentative="0">
      <w:start w:val="1"/>
      <w:numFmt w:val="chineseCounting"/>
      <w:suff w:val="nothing"/>
      <w:lvlText w:val="（%1）"/>
      <w:lvlJc w:val="left"/>
      <w:rPr>
        <w:rFonts w:hint="eastAsia"/>
      </w:rPr>
    </w:lvl>
  </w:abstractNum>
  <w:abstractNum w:abstractNumId="1">
    <w:nsid w:val="E1F2810C"/>
    <w:multiLevelType w:val="singleLevel"/>
    <w:tmpl w:val="E1F2810C"/>
    <w:lvl w:ilvl="0" w:tentative="0">
      <w:start w:val="1"/>
      <w:numFmt w:val="chineseCounting"/>
      <w:suff w:val="nothing"/>
      <w:lvlText w:val="%1、"/>
      <w:lvlJc w:val="left"/>
      <w:rPr>
        <w:rFonts w:hint="eastAsia"/>
      </w:rPr>
    </w:lvl>
  </w:abstractNum>
  <w:abstractNum w:abstractNumId="2">
    <w:nsid w:val="2C222071"/>
    <w:multiLevelType w:val="singleLevel"/>
    <w:tmpl w:val="2C222071"/>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MjNjY2EzMjI3ZGMxNGM1YTc1YTU0ZGQ5Y2Y3YTAifQ=="/>
  </w:docVars>
  <w:rsids>
    <w:rsidRoot w:val="00000000"/>
    <w:rsid w:val="00275EAD"/>
    <w:rsid w:val="007A21B5"/>
    <w:rsid w:val="008020E6"/>
    <w:rsid w:val="00AD5C05"/>
    <w:rsid w:val="00E16A0B"/>
    <w:rsid w:val="00FE23F9"/>
    <w:rsid w:val="01696BA5"/>
    <w:rsid w:val="016D526C"/>
    <w:rsid w:val="01936BC7"/>
    <w:rsid w:val="01FD47DA"/>
    <w:rsid w:val="021B5321"/>
    <w:rsid w:val="028433D1"/>
    <w:rsid w:val="029B773C"/>
    <w:rsid w:val="02BA5FF4"/>
    <w:rsid w:val="02F10838"/>
    <w:rsid w:val="02FB79A6"/>
    <w:rsid w:val="03217BCE"/>
    <w:rsid w:val="035F1F16"/>
    <w:rsid w:val="03723AA4"/>
    <w:rsid w:val="03A44009"/>
    <w:rsid w:val="03B705DC"/>
    <w:rsid w:val="03FE6586"/>
    <w:rsid w:val="04161171"/>
    <w:rsid w:val="041923D9"/>
    <w:rsid w:val="04545573"/>
    <w:rsid w:val="04CC7C6B"/>
    <w:rsid w:val="04D40578"/>
    <w:rsid w:val="04DA7B22"/>
    <w:rsid w:val="055562E6"/>
    <w:rsid w:val="055A7807"/>
    <w:rsid w:val="05690E58"/>
    <w:rsid w:val="05722A74"/>
    <w:rsid w:val="05FA3626"/>
    <w:rsid w:val="062F7E3D"/>
    <w:rsid w:val="06770B42"/>
    <w:rsid w:val="06E55801"/>
    <w:rsid w:val="07152705"/>
    <w:rsid w:val="071609F0"/>
    <w:rsid w:val="07225EB9"/>
    <w:rsid w:val="07322BD3"/>
    <w:rsid w:val="075421A4"/>
    <w:rsid w:val="0769760C"/>
    <w:rsid w:val="07931957"/>
    <w:rsid w:val="07B01EE0"/>
    <w:rsid w:val="07D91817"/>
    <w:rsid w:val="07E134CF"/>
    <w:rsid w:val="07E35BAC"/>
    <w:rsid w:val="08116C54"/>
    <w:rsid w:val="084A5E05"/>
    <w:rsid w:val="0866773C"/>
    <w:rsid w:val="08743EFD"/>
    <w:rsid w:val="087B6A20"/>
    <w:rsid w:val="0885440E"/>
    <w:rsid w:val="089969B8"/>
    <w:rsid w:val="089A66E6"/>
    <w:rsid w:val="091E6C86"/>
    <w:rsid w:val="092A71D8"/>
    <w:rsid w:val="093D05F9"/>
    <w:rsid w:val="09A326BD"/>
    <w:rsid w:val="09D61DA2"/>
    <w:rsid w:val="0A137788"/>
    <w:rsid w:val="0A1F5B3A"/>
    <w:rsid w:val="0A246027"/>
    <w:rsid w:val="0A246186"/>
    <w:rsid w:val="0A532D30"/>
    <w:rsid w:val="0A957D63"/>
    <w:rsid w:val="0AC65156"/>
    <w:rsid w:val="0B120FB1"/>
    <w:rsid w:val="0B4770C2"/>
    <w:rsid w:val="0B4F3831"/>
    <w:rsid w:val="0B6E6B9D"/>
    <w:rsid w:val="0C1A5EE1"/>
    <w:rsid w:val="0C257803"/>
    <w:rsid w:val="0C616AE8"/>
    <w:rsid w:val="0CB32D22"/>
    <w:rsid w:val="0CE561AC"/>
    <w:rsid w:val="0D6161DC"/>
    <w:rsid w:val="0D756E85"/>
    <w:rsid w:val="0D8C5CA5"/>
    <w:rsid w:val="0DAC1BA4"/>
    <w:rsid w:val="0DBE75E7"/>
    <w:rsid w:val="0DD37082"/>
    <w:rsid w:val="0E0F23FE"/>
    <w:rsid w:val="0E257341"/>
    <w:rsid w:val="0F3A2171"/>
    <w:rsid w:val="0F4C1CFA"/>
    <w:rsid w:val="0FA0327B"/>
    <w:rsid w:val="0FAA536F"/>
    <w:rsid w:val="0FE71586"/>
    <w:rsid w:val="100F513E"/>
    <w:rsid w:val="103B425F"/>
    <w:rsid w:val="104E5BE3"/>
    <w:rsid w:val="10673C6C"/>
    <w:rsid w:val="114F613A"/>
    <w:rsid w:val="116317AE"/>
    <w:rsid w:val="1182468B"/>
    <w:rsid w:val="118C00A5"/>
    <w:rsid w:val="11A035F4"/>
    <w:rsid w:val="11BC0984"/>
    <w:rsid w:val="11D86B90"/>
    <w:rsid w:val="11DA65FF"/>
    <w:rsid w:val="120B7A46"/>
    <w:rsid w:val="12552D68"/>
    <w:rsid w:val="125775CA"/>
    <w:rsid w:val="12826096"/>
    <w:rsid w:val="12E11CB6"/>
    <w:rsid w:val="12F51BCB"/>
    <w:rsid w:val="130C5C52"/>
    <w:rsid w:val="134B488D"/>
    <w:rsid w:val="135C195C"/>
    <w:rsid w:val="13A82E7D"/>
    <w:rsid w:val="13AD3361"/>
    <w:rsid w:val="13CC4D89"/>
    <w:rsid w:val="142F4826"/>
    <w:rsid w:val="144A5996"/>
    <w:rsid w:val="14836A6C"/>
    <w:rsid w:val="149D0644"/>
    <w:rsid w:val="14A029B0"/>
    <w:rsid w:val="14D145B7"/>
    <w:rsid w:val="14DD3179"/>
    <w:rsid w:val="15090144"/>
    <w:rsid w:val="150D23CF"/>
    <w:rsid w:val="1537074F"/>
    <w:rsid w:val="154309B4"/>
    <w:rsid w:val="157B75FC"/>
    <w:rsid w:val="159F655B"/>
    <w:rsid w:val="15D3217E"/>
    <w:rsid w:val="16067C1A"/>
    <w:rsid w:val="164C2076"/>
    <w:rsid w:val="165E382E"/>
    <w:rsid w:val="16735BFD"/>
    <w:rsid w:val="16890C92"/>
    <w:rsid w:val="173B0B91"/>
    <w:rsid w:val="174A7162"/>
    <w:rsid w:val="177D76C5"/>
    <w:rsid w:val="17A03A20"/>
    <w:rsid w:val="17B35873"/>
    <w:rsid w:val="17D5123E"/>
    <w:rsid w:val="17E8345D"/>
    <w:rsid w:val="182B7F91"/>
    <w:rsid w:val="1889736A"/>
    <w:rsid w:val="189F07B1"/>
    <w:rsid w:val="18C56D28"/>
    <w:rsid w:val="18CD4B87"/>
    <w:rsid w:val="1902369D"/>
    <w:rsid w:val="191345E1"/>
    <w:rsid w:val="19511866"/>
    <w:rsid w:val="198D3482"/>
    <w:rsid w:val="19D939E0"/>
    <w:rsid w:val="19FE2199"/>
    <w:rsid w:val="1A113943"/>
    <w:rsid w:val="1A1E2991"/>
    <w:rsid w:val="1A8F47C2"/>
    <w:rsid w:val="1A9D651F"/>
    <w:rsid w:val="1AC23BCC"/>
    <w:rsid w:val="1B6F2E2D"/>
    <w:rsid w:val="1B9756E6"/>
    <w:rsid w:val="1B982959"/>
    <w:rsid w:val="1BF20700"/>
    <w:rsid w:val="1C05323F"/>
    <w:rsid w:val="1C067F85"/>
    <w:rsid w:val="1C492D0D"/>
    <w:rsid w:val="1C6D787A"/>
    <w:rsid w:val="1C837603"/>
    <w:rsid w:val="1CBC5B2D"/>
    <w:rsid w:val="1D5E4C1B"/>
    <w:rsid w:val="1D6C2C74"/>
    <w:rsid w:val="1D754FC8"/>
    <w:rsid w:val="1D8234D4"/>
    <w:rsid w:val="1D8776BE"/>
    <w:rsid w:val="1DD66119"/>
    <w:rsid w:val="1E0449F3"/>
    <w:rsid w:val="1E330A5D"/>
    <w:rsid w:val="1E383F1F"/>
    <w:rsid w:val="1E712ACC"/>
    <w:rsid w:val="1E8454AB"/>
    <w:rsid w:val="1E9B68CB"/>
    <w:rsid w:val="1EB976EF"/>
    <w:rsid w:val="1ED10393"/>
    <w:rsid w:val="1F6741E2"/>
    <w:rsid w:val="1F6A3F7B"/>
    <w:rsid w:val="1F7616A8"/>
    <w:rsid w:val="1F8D01D5"/>
    <w:rsid w:val="1FBB1A2A"/>
    <w:rsid w:val="1FDA3D55"/>
    <w:rsid w:val="2006529B"/>
    <w:rsid w:val="20136F38"/>
    <w:rsid w:val="203406CE"/>
    <w:rsid w:val="207C6B12"/>
    <w:rsid w:val="20DC0EC0"/>
    <w:rsid w:val="210230C0"/>
    <w:rsid w:val="213F0BD9"/>
    <w:rsid w:val="21624553"/>
    <w:rsid w:val="21955021"/>
    <w:rsid w:val="219C4E05"/>
    <w:rsid w:val="21B05F95"/>
    <w:rsid w:val="220F2121"/>
    <w:rsid w:val="226D384E"/>
    <w:rsid w:val="22871423"/>
    <w:rsid w:val="23146EA8"/>
    <w:rsid w:val="23265D20"/>
    <w:rsid w:val="23396642"/>
    <w:rsid w:val="2344190E"/>
    <w:rsid w:val="23521C7A"/>
    <w:rsid w:val="23876368"/>
    <w:rsid w:val="23B9662A"/>
    <w:rsid w:val="23E44604"/>
    <w:rsid w:val="23F864A4"/>
    <w:rsid w:val="24722BB0"/>
    <w:rsid w:val="248324F9"/>
    <w:rsid w:val="24BF762D"/>
    <w:rsid w:val="251C7BEE"/>
    <w:rsid w:val="253C6743"/>
    <w:rsid w:val="25570BA7"/>
    <w:rsid w:val="25B14BB3"/>
    <w:rsid w:val="25B20BEC"/>
    <w:rsid w:val="25EC17AF"/>
    <w:rsid w:val="262079F0"/>
    <w:rsid w:val="26313629"/>
    <w:rsid w:val="264C1736"/>
    <w:rsid w:val="26FF6248"/>
    <w:rsid w:val="27190541"/>
    <w:rsid w:val="277722C0"/>
    <w:rsid w:val="277778D3"/>
    <w:rsid w:val="27BA7E5D"/>
    <w:rsid w:val="27D8076D"/>
    <w:rsid w:val="28042177"/>
    <w:rsid w:val="28196233"/>
    <w:rsid w:val="283F15F5"/>
    <w:rsid w:val="288D3F07"/>
    <w:rsid w:val="288E7374"/>
    <w:rsid w:val="289923FA"/>
    <w:rsid w:val="28EA1BEB"/>
    <w:rsid w:val="290A7F82"/>
    <w:rsid w:val="29163B5B"/>
    <w:rsid w:val="29276CAC"/>
    <w:rsid w:val="292E2EDC"/>
    <w:rsid w:val="29480027"/>
    <w:rsid w:val="29694A9E"/>
    <w:rsid w:val="29B25162"/>
    <w:rsid w:val="2A3447A2"/>
    <w:rsid w:val="2A3B0948"/>
    <w:rsid w:val="2A493E9D"/>
    <w:rsid w:val="2A517502"/>
    <w:rsid w:val="2A9E6388"/>
    <w:rsid w:val="2AA26F9B"/>
    <w:rsid w:val="2ABC7ED6"/>
    <w:rsid w:val="2ADF4DE4"/>
    <w:rsid w:val="2B065060"/>
    <w:rsid w:val="2B187A49"/>
    <w:rsid w:val="2B4539A7"/>
    <w:rsid w:val="2BBE47F5"/>
    <w:rsid w:val="2C0A68BA"/>
    <w:rsid w:val="2C69683F"/>
    <w:rsid w:val="2C83397C"/>
    <w:rsid w:val="2D030E83"/>
    <w:rsid w:val="2D5955E0"/>
    <w:rsid w:val="2D6F2E0E"/>
    <w:rsid w:val="2DA7229A"/>
    <w:rsid w:val="2DDE5603"/>
    <w:rsid w:val="2DE95CC6"/>
    <w:rsid w:val="2E0F7E0F"/>
    <w:rsid w:val="2E73124C"/>
    <w:rsid w:val="2EC109A0"/>
    <w:rsid w:val="2F0E6FA5"/>
    <w:rsid w:val="2F390D7E"/>
    <w:rsid w:val="2F3F19A2"/>
    <w:rsid w:val="2F69384A"/>
    <w:rsid w:val="2FE35316"/>
    <w:rsid w:val="2FEE0A1B"/>
    <w:rsid w:val="2FF14444"/>
    <w:rsid w:val="303B6EDE"/>
    <w:rsid w:val="304E4429"/>
    <w:rsid w:val="30800076"/>
    <w:rsid w:val="3091139D"/>
    <w:rsid w:val="30994095"/>
    <w:rsid w:val="30FA54C6"/>
    <w:rsid w:val="31606678"/>
    <w:rsid w:val="31D67FFB"/>
    <w:rsid w:val="31F60DE3"/>
    <w:rsid w:val="32020D65"/>
    <w:rsid w:val="321713F0"/>
    <w:rsid w:val="3242497F"/>
    <w:rsid w:val="324668DD"/>
    <w:rsid w:val="327E4846"/>
    <w:rsid w:val="3289471B"/>
    <w:rsid w:val="32916783"/>
    <w:rsid w:val="32B463B8"/>
    <w:rsid w:val="32B946B9"/>
    <w:rsid w:val="332C5272"/>
    <w:rsid w:val="334A6DDC"/>
    <w:rsid w:val="33647746"/>
    <w:rsid w:val="3376611D"/>
    <w:rsid w:val="33825F83"/>
    <w:rsid w:val="33BA0F43"/>
    <w:rsid w:val="33BF2A1D"/>
    <w:rsid w:val="34000C35"/>
    <w:rsid w:val="34123FF2"/>
    <w:rsid w:val="34180EF1"/>
    <w:rsid w:val="345E7C01"/>
    <w:rsid w:val="34616215"/>
    <w:rsid w:val="346522CB"/>
    <w:rsid w:val="34A642DC"/>
    <w:rsid w:val="34CA62F9"/>
    <w:rsid w:val="34E2446B"/>
    <w:rsid w:val="35110468"/>
    <w:rsid w:val="352D04F6"/>
    <w:rsid w:val="354521B7"/>
    <w:rsid w:val="357D7F04"/>
    <w:rsid w:val="35CB3A1B"/>
    <w:rsid w:val="35D013E6"/>
    <w:rsid w:val="36550DD3"/>
    <w:rsid w:val="36663C3C"/>
    <w:rsid w:val="36693AA3"/>
    <w:rsid w:val="36B83F01"/>
    <w:rsid w:val="36C11AD1"/>
    <w:rsid w:val="37674B13"/>
    <w:rsid w:val="37E93BC7"/>
    <w:rsid w:val="37EC5B36"/>
    <w:rsid w:val="37F804BE"/>
    <w:rsid w:val="38056FBC"/>
    <w:rsid w:val="380D20E8"/>
    <w:rsid w:val="380F0937"/>
    <w:rsid w:val="381944BE"/>
    <w:rsid w:val="38233E05"/>
    <w:rsid w:val="384C3100"/>
    <w:rsid w:val="38636D86"/>
    <w:rsid w:val="38A95EF9"/>
    <w:rsid w:val="38D01E17"/>
    <w:rsid w:val="38E76B50"/>
    <w:rsid w:val="39801F7A"/>
    <w:rsid w:val="39A87C53"/>
    <w:rsid w:val="39B22F14"/>
    <w:rsid w:val="39BD6F8A"/>
    <w:rsid w:val="39F87C92"/>
    <w:rsid w:val="3A0F0241"/>
    <w:rsid w:val="3A1430FC"/>
    <w:rsid w:val="3A497E22"/>
    <w:rsid w:val="3A72229A"/>
    <w:rsid w:val="3A77429D"/>
    <w:rsid w:val="3A836D30"/>
    <w:rsid w:val="3A9447BA"/>
    <w:rsid w:val="3B43363F"/>
    <w:rsid w:val="3B7B1F6D"/>
    <w:rsid w:val="3BE06CC2"/>
    <w:rsid w:val="3BE41B4C"/>
    <w:rsid w:val="3C00660F"/>
    <w:rsid w:val="3C0D5EA1"/>
    <w:rsid w:val="3C16718D"/>
    <w:rsid w:val="3C313D02"/>
    <w:rsid w:val="3CF34A8F"/>
    <w:rsid w:val="3D590B42"/>
    <w:rsid w:val="3D6041DF"/>
    <w:rsid w:val="3D8618A6"/>
    <w:rsid w:val="3DCD5E3E"/>
    <w:rsid w:val="3E0106C5"/>
    <w:rsid w:val="3E3E7DEE"/>
    <w:rsid w:val="3E4B36F3"/>
    <w:rsid w:val="3E861147"/>
    <w:rsid w:val="3E955AE9"/>
    <w:rsid w:val="3EA720D0"/>
    <w:rsid w:val="3EB202D8"/>
    <w:rsid w:val="3EC658F7"/>
    <w:rsid w:val="3ED189A5"/>
    <w:rsid w:val="3EDA22A0"/>
    <w:rsid w:val="3F03340B"/>
    <w:rsid w:val="3F2559FB"/>
    <w:rsid w:val="3F687F40"/>
    <w:rsid w:val="3F6D6CAB"/>
    <w:rsid w:val="3F896283"/>
    <w:rsid w:val="3FC169A1"/>
    <w:rsid w:val="3FC318B5"/>
    <w:rsid w:val="3FCD0A51"/>
    <w:rsid w:val="3FF5597E"/>
    <w:rsid w:val="40136921"/>
    <w:rsid w:val="402C0473"/>
    <w:rsid w:val="402D47BF"/>
    <w:rsid w:val="40892635"/>
    <w:rsid w:val="40CB6F0E"/>
    <w:rsid w:val="411A2510"/>
    <w:rsid w:val="41231549"/>
    <w:rsid w:val="41260EF2"/>
    <w:rsid w:val="4129021D"/>
    <w:rsid w:val="41335947"/>
    <w:rsid w:val="413B716A"/>
    <w:rsid w:val="41623312"/>
    <w:rsid w:val="420825AA"/>
    <w:rsid w:val="42630225"/>
    <w:rsid w:val="428C781B"/>
    <w:rsid w:val="42F461B5"/>
    <w:rsid w:val="430B09D2"/>
    <w:rsid w:val="43105401"/>
    <w:rsid w:val="432C431D"/>
    <w:rsid w:val="432C798D"/>
    <w:rsid w:val="43344444"/>
    <w:rsid w:val="43822D02"/>
    <w:rsid w:val="438B5392"/>
    <w:rsid w:val="43DB5341"/>
    <w:rsid w:val="43EF384E"/>
    <w:rsid w:val="43EF3E9F"/>
    <w:rsid w:val="44146F40"/>
    <w:rsid w:val="441649E5"/>
    <w:rsid w:val="443B7EB8"/>
    <w:rsid w:val="446C5E46"/>
    <w:rsid w:val="44823F2F"/>
    <w:rsid w:val="44B21F84"/>
    <w:rsid w:val="44FE21FB"/>
    <w:rsid w:val="452460E0"/>
    <w:rsid w:val="452F37A7"/>
    <w:rsid w:val="453F3134"/>
    <w:rsid w:val="45A2378A"/>
    <w:rsid w:val="45A61412"/>
    <w:rsid w:val="45A67D22"/>
    <w:rsid w:val="45AE4517"/>
    <w:rsid w:val="46712178"/>
    <w:rsid w:val="46E64DEF"/>
    <w:rsid w:val="46F70F7C"/>
    <w:rsid w:val="47135C0E"/>
    <w:rsid w:val="471D5109"/>
    <w:rsid w:val="4769569D"/>
    <w:rsid w:val="47A02BBE"/>
    <w:rsid w:val="47C72757"/>
    <w:rsid w:val="47DC0C4B"/>
    <w:rsid w:val="47EC6ADD"/>
    <w:rsid w:val="47F65D33"/>
    <w:rsid w:val="48201252"/>
    <w:rsid w:val="48445E93"/>
    <w:rsid w:val="485F7C00"/>
    <w:rsid w:val="489F099D"/>
    <w:rsid w:val="48AD3A0F"/>
    <w:rsid w:val="48C90AF2"/>
    <w:rsid w:val="48DC7FA3"/>
    <w:rsid w:val="48E86A54"/>
    <w:rsid w:val="495C2135"/>
    <w:rsid w:val="49B54A02"/>
    <w:rsid w:val="49CF3F6A"/>
    <w:rsid w:val="49FD0BA2"/>
    <w:rsid w:val="4A531D4B"/>
    <w:rsid w:val="4A6837BB"/>
    <w:rsid w:val="4A797A76"/>
    <w:rsid w:val="4AD80C80"/>
    <w:rsid w:val="4AE410D2"/>
    <w:rsid w:val="4AFF5E8B"/>
    <w:rsid w:val="4B003BA4"/>
    <w:rsid w:val="4B0B57C2"/>
    <w:rsid w:val="4B1C32A7"/>
    <w:rsid w:val="4B663D07"/>
    <w:rsid w:val="4B7376EC"/>
    <w:rsid w:val="4B750C1F"/>
    <w:rsid w:val="4B8451A3"/>
    <w:rsid w:val="4BAE59B0"/>
    <w:rsid w:val="4BD03255"/>
    <w:rsid w:val="4BD8682B"/>
    <w:rsid w:val="4BFE7EAD"/>
    <w:rsid w:val="4C4542BE"/>
    <w:rsid w:val="4C625552"/>
    <w:rsid w:val="4C942C95"/>
    <w:rsid w:val="4C990147"/>
    <w:rsid w:val="4CE62944"/>
    <w:rsid w:val="4CED60C9"/>
    <w:rsid w:val="4D2C3EF2"/>
    <w:rsid w:val="4D2D4EF5"/>
    <w:rsid w:val="4DE91114"/>
    <w:rsid w:val="4DF723CC"/>
    <w:rsid w:val="4DFE3590"/>
    <w:rsid w:val="4E107CD8"/>
    <w:rsid w:val="4E5B7176"/>
    <w:rsid w:val="4E5C01DD"/>
    <w:rsid w:val="4E5E41D0"/>
    <w:rsid w:val="4E953D12"/>
    <w:rsid w:val="4ED31398"/>
    <w:rsid w:val="4EED5A40"/>
    <w:rsid w:val="4EF565D6"/>
    <w:rsid w:val="4F033E69"/>
    <w:rsid w:val="4F0F0995"/>
    <w:rsid w:val="4F6C0C0B"/>
    <w:rsid w:val="4F7254D1"/>
    <w:rsid w:val="4FA63C88"/>
    <w:rsid w:val="4FD13248"/>
    <w:rsid w:val="4FDA279E"/>
    <w:rsid w:val="4FF95E5D"/>
    <w:rsid w:val="502061CE"/>
    <w:rsid w:val="505C1A52"/>
    <w:rsid w:val="50A0727E"/>
    <w:rsid w:val="50AE79E2"/>
    <w:rsid w:val="50D50CE5"/>
    <w:rsid w:val="51AA16A2"/>
    <w:rsid w:val="51CD509A"/>
    <w:rsid w:val="5257364D"/>
    <w:rsid w:val="53020149"/>
    <w:rsid w:val="53255B14"/>
    <w:rsid w:val="534750B2"/>
    <w:rsid w:val="535B1898"/>
    <w:rsid w:val="53AF17DE"/>
    <w:rsid w:val="53DA363D"/>
    <w:rsid w:val="53F67B17"/>
    <w:rsid w:val="54266FFB"/>
    <w:rsid w:val="54B067C5"/>
    <w:rsid w:val="54B661E1"/>
    <w:rsid w:val="55021BB0"/>
    <w:rsid w:val="559C0BA6"/>
    <w:rsid w:val="55E467E5"/>
    <w:rsid w:val="560F36B0"/>
    <w:rsid w:val="56152FD1"/>
    <w:rsid w:val="56286C7F"/>
    <w:rsid w:val="563F6FFE"/>
    <w:rsid w:val="568E3912"/>
    <w:rsid w:val="56C42EE0"/>
    <w:rsid w:val="56DC49FF"/>
    <w:rsid w:val="56E25B72"/>
    <w:rsid w:val="57746C64"/>
    <w:rsid w:val="57962A31"/>
    <w:rsid w:val="57CB017F"/>
    <w:rsid w:val="58040E96"/>
    <w:rsid w:val="582A3C76"/>
    <w:rsid w:val="58312AB4"/>
    <w:rsid w:val="58545C6C"/>
    <w:rsid w:val="585E2597"/>
    <w:rsid w:val="58971CA4"/>
    <w:rsid w:val="59146F6F"/>
    <w:rsid w:val="595F7DF8"/>
    <w:rsid w:val="59A83D82"/>
    <w:rsid w:val="59D2090E"/>
    <w:rsid w:val="59E97225"/>
    <w:rsid w:val="5A0C7151"/>
    <w:rsid w:val="5A2666FD"/>
    <w:rsid w:val="5A640F73"/>
    <w:rsid w:val="5A8A410E"/>
    <w:rsid w:val="5A9F16B7"/>
    <w:rsid w:val="5AB75A50"/>
    <w:rsid w:val="5AE835FF"/>
    <w:rsid w:val="5AFE0C69"/>
    <w:rsid w:val="5B024B5A"/>
    <w:rsid w:val="5B1858ED"/>
    <w:rsid w:val="5B5E3156"/>
    <w:rsid w:val="5BDC5B67"/>
    <w:rsid w:val="5C57221A"/>
    <w:rsid w:val="5C6F4F7E"/>
    <w:rsid w:val="5CB9748C"/>
    <w:rsid w:val="5D2F02A8"/>
    <w:rsid w:val="5DAB4C45"/>
    <w:rsid w:val="5DDB08CE"/>
    <w:rsid w:val="5DFA735A"/>
    <w:rsid w:val="5E6D37F1"/>
    <w:rsid w:val="5F016370"/>
    <w:rsid w:val="5F4332F6"/>
    <w:rsid w:val="5F4F248A"/>
    <w:rsid w:val="5F6C64E9"/>
    <w:rsid w:val="5F78095B"/>
    <w:rsid w:val="5F8B3515"/>
    <w:rsid w:val="5F9A6C3B"/>
    <w:rsid w:val="5FAE1E16"/>
    <w:rsid w:val="5FF3483F"/>
    <w:rsid w:val="6007123E"/>
    <w:rsid w:val="605A5FAC"/>
    <w:rsid w:val="60602136"/>
    <w:rsid w:val="60746BDE"/>
    <w:rsid w:val="608E66BA"/>
    <w:rsid w:val="60AC1607"/>
    <w:rsid w:val="60D77F9F"/>
    <w:rsid w:val="612B4022"/>
    <w:rsid w:val="614910FB"/>
    <w:rsid w:val="614C258A"/>
    <w:rsid w:val="615C50A3"/>
    <w:rsid w:val="617A1D0C"/>
    <w:rsid w:val="6183198B"/>
    <w:rsid w:val="620169B7"/>
    <w:rsid w:val="62715D81"/>
    <w:rsid w:val="62D60590"/>
    <w:rsid w:val="63067933"/>
    <w:rsid w:val="63093AB6"/>
    <w:rsid w:val="63294EF3"/>
    <w:rsid w:val="6342667C"/>
    <w:rsid w:val="63591A1E"/>
    <w:rsid w:val="635B493B"/>
    <w:rsid w:val="63D47E23"/>
    <w:rsid w:val="640F2611"/>
    <w:rsid w:val="64164ED4"/>
    <w:rsid w:val="64214D78"/>
    <w:rsid w:val="6448492B"/>
    <w:rsid w:val="64630897"/>
    <w:rsid w:val="646C2089"/>
    <w:rsid w:val="647454AC"/>
    <w:rsid w:val="647F3EB9"/>
    <w:rsid w:val="64BE45D6"/>
    <w:rsid w:val="64DB18CD"/>
    <w:rsid w:val="64FC1DD6"/>
    <w:rsid w:val="6511118D"/>
    <w:rsid w:val="6515385C"/>
    <w:rsid w:val="65197B38"/>
    <w:rsid w:val="65272610"/>
    <w:rsid w:val="652D49A3"/>
    <w:rsid w:val="65351933"/>
    <w:rsid w:val="65792961"/>
    <w:rsid w:val="65DE38F0"/>
    <w:rsid w:val="65FC77E6"/>
    <w:rsid w:val="664A3F90"/>
    <w:rsid w:val="66A64352"/>
    <w:rsid w:val="66BC0072"/>
    <w:rsid w:val="67A25086"/>
    <w:rsid w:val="67DC425E"/>
    <w:rsid w:val="67EB59B3"/>
    <w:rsid w:val="67EF7215"/>
    <w:rsid w:val="68024969"/>
    <w:rsid w:val="681641D7"/>
    <w:rsid w:val="683C40D4"/>
    <w:rsid w:val="685B528F"/>
    <w:rsid w:val="68655A4A"/>
    <w:rsid w:val="689F5F86"/>
    <w:rsid w:val="68A928DE"/>
    <w:rsid w:val="68C20E28"/>
    <w:rsid w:val="690E1747"/>
    <w:rsid w:val="691D2E38"/>
    <w:rsid w:val="697E75F7"/>
    <w:rsid w:val="69BC700E"/>
    <w:rsid w:val="69C81914"/>
    <w:rsid w:val="69D8119A"/>
    <w:rsid w:val="69E160C3"/>
    <w:rsid w:val="69EF3D9D"/>
    <w:rsid w:val="6A475A9F"/>
    <w:rsid w:val="6A4A6C05"/>
    <w:rsid w:val="6A5245A3"/>
    <w:rsid w:val="6A5304E5"/>
    <w:rsid w:val="6A60502A"/>
    <w:rsid w:val="6A6C09F4"/>
    <w:rsid w:val="6A6F7EB4"/>
    <w:rsid w:val="6B207D23"/>
    <w:rsid w:val="6B396424"/>
    <w:rsid w:val="6B777B47"/>
    <w:rsid w:val="6BB35CA3"/>
    <w:rsid w:val="6BD354BB"/>
    <w:rsid w:val="6BD7767A"/>
    <w:rsid w:val="6BD824C6"/>
    <w:rsid w:val="6BDE248E"/>
    <w:rsid w:val="6C980E35"/>
    <w:rsid w:val="6C9C5BF4"/>
    <w:rsid w:val="6CA201A2"/>
    <w:rsid w:val="6CAA14EE"/>
    <w:rsid w:val="6CAB0218"/>
    <w:rsid w:val="6CDD57C5"/>
    <w:rsid w:val="6CF8029E"/>
    <w:rsid w:val="6D2D7C36"/>
    <w:rsid w:val="6D763AB7"/>
    <w:rsid w:val="6DB421EF"/>
    <w:rsid w:val="6DB7238F"/>
    <w:rsid w:val="6DEC17FD"/>
    <w:rsid w:val="6E0B4672"/>
    <w:rsid w:val="6E181F4D"/>
    <w:rsid w:val="6E4D344D"/>
    <w:rsid w:val="6E5414BF"/>
    <w:rsid w:val="6E9E563A"/>
    <w:rsid w:val="6EB7357B"/>
    <w:rsid w:val="6F62104B"/>
    <w:rsid w:val="6F634D21"/>
    <w:rsid w:val="6FB212BD"/>
    <w:rsid w:val="6FF85F97"/>
    <w:rsid w:val="700361F7"/>
    <w:rsid w:val="701C7618"/>
    <w:rsid w:val="703231C4"/>
    <w:rsid w:val="70527A23"/>
    <w:rsid w:val="708151C4"/>
    <w:rsid w:val="709F0B83"/>
    <w:rsid w:val="709F5412"/>
    <w:rsid w:val="70BE1789"/>
    <w:rsid w:val="70ED0361"/>
    <w:rsid w:val="71194A2D"/>
    <w:rsid w:val="712E737B"/>
    <w:rsid w:val="712F57FB"/>
    <w:rsid w:val="714A0A6D"/>
    <w:rsid w:val="71B4575B"/>
    <w:rsid w:val="71BD648F"/>
    <w:rsid w:val="71C337DF"/>
    <w:rsid w:val="71F16BB9"/>
    <w:rsid w:val="720209DA"/>
    <w:rsid w:val="720A384A"/>
    <w:rsid w:val="725C4711"/>
    <w:rsid w:val="726F1C4E"/>
    <w:rsid w:val="72AA6265"/>
    <w:rsid w:val="72AC611A"/>
    <w:rsid w:val="72C20F62"/>
    <w:rsid w:val="730C547F"/>
    <w:rsid w:val="733A4D78"/>
    <w:rsid w:val="738110E0"/>
    <w:rsid w:val="73922FC1"/>
    <w:rsid w:val="73C92A2E"/>
    <w:rsid w:val="73FC300A"/>
    <w:rsid w:val="74160641"/>
    <w:rsid w:val="74341AA8"/>
    <w:rsid w:val="746E4A33"/>
    <w:rsid w:val="74E8459F"/>
    <w:rsid w:val="750E7E30"/>
    <w:rsid w:val="751D159E"/>
    <w:rsid w:val="753D783B"/>
    <w:rsid w:val="757B4AAD"/>
    <w:rsid w:val="75902134"/>
    <w:rsid w:val="75C423DA"/>
    <w:rsid w:val="75D936DD"/>
    <w:rsid w:val="763751C0"/>
    <w:rsid w:val="76423009"/>
    <w:rsid w:val="770049CE"/>
    <w:rsid w:val="7700616E"/>
    <w:rsid w:val="770509AE"/>
    <w:rsid w:val="772604B3"/>
    <w:rsid w:val="774235C4"/>
    <w:rsid w:val="778522D7"/>
    <w:rsid w:val="779C5572"/>
    <w:rsid w:val="77B6135A"/>
    <w:rsid w:val="77B866EF"/>
    <w:rsid w:val="77BF0CE7"/>
    <w:rsid w:val="77DC7E76"/>
    <w:rsid w:val="77E02721"/>
    <w:rsid w:val="77F15F5B"/>
    <w:rsid w:val="782107C4"/>
    <w:rsid w:val="78314048"/>
    <w:rsid w:val="78557FA8"/>
    <w:rsid w:val="789715AE"/>
    <w:rsid w:val="78AC60C3"/>
    <w:rsid w:val="78C534AC"/>
    <w:rsid w:val="78F72988"/>
    <w:rsid w:val="78FC2BDA"/>
    <w:rsid w:val="79BE0674"/>
    <w:rsid w:val="79E03CFD"/>
    <w:rsid w:val="79F40085"/>
    <w:rsid w:val="7A457733"/>
    <w:rsid w:val="7A7446E4"/>
    <w:rsid w:val="7A781B48"/>
    <w:rsid w:val="7AEA76A7"/>
    <w:rsid w:val="7AF9270A"/>
    <w:rsid w:val="7B2E11F2"/>
    <w:rsid w:val="7B5D0AC7"/>
    <w:rsid w:val="7B757EFF"/>
    <w:rsid w:val="7BF11619"/>
    <w:rsid w:val="7BFB14E1"/>
    <w:rsid w:val="7C1C0EFE"/>
    <w:rsid w:val="7C64601E"/>
    <w:rsid w:val="7C9406C1"/>
    <w:rsid w:val="7C971BC3"/>
    <w:rsid w:val="7CA057CD"/>
    <w:rsid w:val="7CA339A7"/>
    <w:rsid w:val="7CCC1467"/>
    <w:rsid w:val="7D0C3C11"/>
    <w:rsid w:val="7D0F78BC"/>
    <w:rsid w:val="7D6A32D9"/>
    <w:rsid w:val="7DB41101"/>
    <w:rsid w:val="7DCB7297"/>
    <w:rsid w:val="7DF5439C"/>
    <w:rsid w:val="7DFD7C83"/>
    <w:rsid w:val="7E25484B"/>
    <w:rsid w:val="7E497266"/>
    <w:rsid w:val="7E6C058D"/>
    <w:rsid w:val="7F5461B4"/>
    <w:rsid w:val="7F6F1064"/>
    <w:rsid w:val="89FB8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toc 5"/>
    <w:basedOn w:val="1"/>
    <w:next w:val="1"/>
    <w:qFormat/>
    <w:uiPriority w:val="0"/>
    <w:pPr>
      <w:ind w:left="1680" w:leftChars="800"/>
    </w:pPr>
  </w:style>
  <w:style w:type="paragraph" w:styleId="4">
    <w:name w:val="annotation text"/>
    <w:basedOn w:val="1"/>
    <w:qFormat/>
    <w:uiPriority w:val="0"/>
    <w:pPr>
      <w:jc w:val="left"/>
    </w:pPr>
  </w:style>
  <w:style w:type="paragraph" w:styleId="5">
    <w:name w:val="Body Text Indent"/>
    <w:basedOn w:val="1"/>
    <w:next w:val="1"/>
    <w:qFormat/>
    <w:uiPriority w:val="99"/>
    <w:pPr>
      <w:spacing w:after="120"/>
      <w:ind w:left="420" w:leftChars="200"/>
    </w:pPr>
  </w:style>
  <w:style w:type="paragraph" w:styleId="6">
    <w:name w:val="Date"/>
    <w:basedOn w:val="1"/>
    <w:next w:val="1"/>
    <w:qFormat/>
    <w:uiPriority w:val="0"/>
    <w:pPr>
      <w:ind w:left="100" w:leftChars="2500"/>
    </w:pPr>
  </w:style>
  <w:style w:type="paragraph" w:styleId="7">
    <w:name w:val="footer"/>
    <w:basedOn w:val="1"/>
    <w:next w:val="8"/>
    <w:unhideWhenUsed/>
    <w:qFormat/>
    <w:uiPriority w:val="99"/>
    <w:pPr>
      <w:tabs>
        <w:tab w:val="center" w:pos="4153"/>
        <w:tab w:val="right" w:pos="8306"/>
      </w:tabs>
      <w:snapToGrid w:val="0"/>
      <w:jc w:val="left"/>
    </w:pPr>
    <w:rPr>
      <w:kern w:val="0"/>
      <w:sz w:val="18"/>
      <w:szCs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pPr>
      <w:tabs>
        <w:tab w:val="right" w:leader="dot" w:pos="8296"/>
      </w:tabs>
    </w:pPr>
    <w:rPr>
      <w:rFonts w:ascii="方正仿宋_GBK" w:hAnsi="方正仿宋_GBK" w:eastAsia="方正仿宋_GBK" w:cs="方正仿宋_GBK"/>
      <w:b/>
      <w:sz w:val="28"/>
    </w:rPr>
  </w:style>
  <w:style w:type="paragraph" w:styleId="11">
    <w:name w:val="toc 2"/>
    <w:basedOn w:val="1"/>
    <w:next w:val="1"/>
    <w:unhideWhenUsed/>
    <w:qFormat/>
    <w:uiPriority w:val="39"/>
    <w:pPr>
      <w:ind w:left="420" w:leftChars="200"/>
    </w:pPr>
    <w:rPr>
      <w:rFonts w:eastAsia="方正仿宋_GBK"/>
      <w:sz w:val="24"/>
    </w:rPr>
  </w:style>
  <w:style w:type="paragraph" w:styleId="12">
    <w:name w:val="Body Text First Indent 2"/>
    <w:basedOn w:val="5"/>
    <w:qFormat/>
    <w:uiPriority w:val="99"/>
    <w:pPr>
      <w:spacing w:after="0"/>
      <w:ind w:firstLine="420" w:firstLineChars="200"/>
    </w:pPr>
    <w:rPr>
      <w:rFonts w:ascii="Calibri" w:hAnsi="Calibri" w:cs="黑体"/>
    </w:rPr>
  </w:style>
  <w:style w:type="character" w:styleId="15">
    <w:name w:val="page number"/>
    <w:basedOn w:val="14"/>
    <w:qFormat/>
    <w:uiPriority w:val="0"/>
  </w:style>
  <w:style w:type="character" w:styleId="16">
    <w:name w:val="Hyperlink"/>
    <w:unhideWhenUsed/>
    <w:qFormat/>
    <w:uiPriority w:val="99"/>
    <w:rPr>
      <w:color w:val="333333"/>
      <w:u w:val="none"/>
    </w:rPr>
  </w:style>
  <w:style w:type="paragraph" w:customStyle="1" w:styleId="17">
    <w:name w:val="UserStyle_0"/>
    <w:qFormat/>
    <w:uiPriority w:val="0"/>
    <w:pPr>
      <w:textAlignment w:val="baseline"/>
    </w:pPr>
    <w:rPr>
      <w:rFonts w:ascii="方正小标宋_GBK" w:hAnsi="Times New Roman" w:eastAsia="方正小标宋_GBK" w:cs="Times New Roman"/>
      <w:color w:val="000000"/>
      <w:sz w:val="24"/>
      <w:szCs w:val="24"/>
      <w:lang w:val="en-US" w:eastAsia="zh-CN" w:bidi="ar-SA"/>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39f4d4e-9fc8-41e5-ad95-4a945dee190c}"/>
        <w:style w:val=""/>
        <w:category>
          <w:name w:val="常规"/>
          <w:gallery w:val="placeholder"/>
        </w:category>
        <w:types>
          <w:type w:val="bbPlcHdr"/>
        </w:types>
        <w:behaviors>
          <w:behavior w:val="content"/>
        </w:behaviors>
        <w:description w:val=""/>
        <w:guid w:val="{039f4d4e-9fc8-41e5-ad95-4a945dee190c}"/>
      </w:docPartPr>
      <w:docPartBody>
        <w:p>
          <w:r>
            <w:rPr>
              <w:color w:val="808080"/>
            </w:rPr>
            <w:t>单击此处输入文字。</w:t>
          </w:r>
        </w:p>
      </w:docPartBody>
    </w:docPart>
    <w:docPart>
      <w:docPartPr>
        <w:name w:val="{00dd4901-9fb7-4daa-a31e-a89ed626e0b1}"/>
        <w:style w:val=""/>
        <w:category>
          <w:name w:val="常规"/>
          <w:gallery w:val="placeholder"/>
        </w:category>
        <w:types>
          <w:type w:val="bbPlcHdr"/>
        </w:types>
        <w:behaviors>
          <w:behavior w:val="content"/>
        </w:behaviors>
        <w:description w:val=""/>
        <w:guid w:val="{00dd4901-9fb7-4daa-a31e-a89ed626e0b1}"/>
      </w:docPartPr>
      <w:docPartBody>
        <w:p>
          <w:r>
            <w:rPr>
              <w:color w:val="808080"/>
            </w:rPr>
            <w:t>单击此处输入文字。</w:t>
          </w:r>
        </w:p>
      </w:docPartBody>
    </w:docPart>
    <w:docPart>
      <w:docPartPr>
        <w:name w:val="{1169a83d-7a9a-406e-a7fb-1c582b3c2712}"/>
        <w:style w:val=""/>
        <w:category>
          <w:name w:val="常规"/>
          <w:gallery w:val="placeholder"/>
        </w:category>
        <w:types>
          <w:type w:val="bbPlcHdr"/>
        </w:types>
        <w:behaviors>
          <w:behavior w:val="content"/>
        </w:behaviors>
        <w:description w:val=""/>
        <w:guid w:val="{1169a83d-7a9a-406e-a7fb-1c582b3c2712}"/>
      </w:docPartPr>
      <w:docPartBody>
        <w:p>
          <w:r>
            <w:rPr>
              <w:color w:val="808080"/>
            </w:rPr>
            <w:t>单击此处输入文字。</w:t>
          </w:r>
        </w:p>
      </w:docPartBody>
    </w:docPart>
    <w:docPart>
      <w:docPartPr>
        <w:name w:val="{340a9ff0-13a4-47b9-912e-460d2fa4390c}"/>
        <w:style w:val=""/>
        <w:category>
          <w:name w:val="常规"/>
          <w:gallery w:val="placeholder"/>
        </w:category>
        <w:types>
          <w:type w:val="bbPlcHdr"/>
        </w:types>
        <w:behaviors>
          <w:behavior w:val="content"/>
        </w:behaviors>
        <w:description w:val=""/>
        <w:guid w:val="{340a9ff0-13a4-47b9-912e-460d2fa4390c}"/>
      </w:docPartPr>
      <w:docPartBody>
        <w:p>
          <w:r>
            <w:rPr>
              <w:color w:val="808080"/>
            </w:rPr>
            <w:t>单击此处输入文字。</w:t>
          </w:r>
        </w:p>
      </w:docPartBody>
    </w:docPart>
    <w:docPart>
      <w:docPartPr>
        <w:name w:val="{4f096fa7-c224-4e6a-ab5a-85ae12a48e88}"/>
        <w:style w:val=""/>
        <w:category>
          <w:name w:val="常规"/>
          <w:gallery w:val="placeholder"/>
        </w:category>
        <w:types>
          <w:type w:val="bbPlcHdr"/>
        </w:types>
        <w:behaviors>
          <w:behavior w:val="content"/>
        </w:behaviors>
        <w:description w:val=""/>
        <w:guid w:val="{4f096fa7-c224-4e6a-ab5a-85ae12a48e88}"/>
      </w:docPartPr>
      <w:docPartBody>
        <w:p>
          <w:r>
            <w:rPr>
              <w:color w:val="808080"/>
            </w:rPr>
            <w:t>单击此处输入文字。</w:t>
          </w:r>
        </w:p>
      </w:docPartBody>
    </w:docPart>
    <w:docPart>
      <w:docPartPr>
        <w:name w:val="{6d7663c5-35a1-455a-9459-9ff8931107fe}"/>
        <w:style w:val=""/>
        <w:category>
          <w:name w:val="常规"/>
          <w:gallery w:val="placeholder"/>
        </w:category>
        <w:types>
          <w:type w:val="bbPlcHdr"/>
        </w:types>
        <w:behaviors>
          <w:behavior w:val="content"/>
        </w:behaviors>
        <w:description w:val=""/>
        <w:guid w:val="{6d7663c5-35a1-455a-9459-9ff8931107fe}"/>
      </w:docPartPr>
      <w:docPartBody>
        <w:p>
          <w:r>
            <w:rPr>
              <w:color w:val="808080"/>
            </w:rPr>
            <w:t>单击此处输入文字。</w:t>
          </w:r>
        </w:p>
      </w:docPartBody>
    </w:docPart>
    <w:docPart>
      <w:docPartPr>
        <w:name w:val="{ba210610-e20b-426e-a4fb-f52c86d0c7ea}"/>
        <w:style w:val=""/>
        <w:category>
          <w:name w:val="常规"/>
          <w:gallery w:val="placeholder"/>
        </w:category>
        <w:types>
          <w:type w:val="bbPlcHdr"/>
        </w:types>
        <w:behaviors>
          <w:behavior w:val="content"/>
        </w:behaviors>
        <w:description w:val=""/>
        <w:guid w:val="{ba210610-e20b-426e-a4fb-f52c86d0c7ea}"/>
      </w:docPartPr>
      <w:docPartBody>
        <w:p>
          <w:r>
            <w:rPr>
              <w:color w:val="808080"/>
            </w:rPr>
            <w:t>单击此处输入文字。</w:t>
          </w:r>
        </w:p>
      </w:docPartBody>
    </w:docPart>
    <w:docPart>
      <w:docPartPr>
        <w:name w:val="{d88e6e98-9644-4c4e-af00-91bbede99575}"/>
        <w:style w:val=""/>
        <w:category>
          <w:name w:val="常规"/>
          <w:gallery w:val="placeholder"/>
        </w:category>
        <w:types>
          <w:type w:val="bbPlcHdr"/>
        </w:types>
        <w:behaviors>
          <w:behavior w:val="content"/>
        </w:behaviors>
        <w:description w:val=""/>
        <w:guid w:val="{d88e6e98-9644-4c4e-af00-91bbede99575}"/>
      </w:docPartPr>
      <w:docPartBody>
        <w:p>
          <w:r>
            <w:rPr>
              <w:color w:val="808080"/>
            </w:rPr>
            <w:t>单击此处输入文字。</w:t>
          </w:r>
        </w:p>
      </w:docPartBody>
    </w:docPart>
    <w:docPart>
      <w:docPartPr>
        <w:name w:val="{de6db805-7540-4c76-a7cc-dd12850cc3ca}"/>
        <w:style w:val=""/>
        <w:category>
          <w:name w:val="常规"/>
          <w:gallery w:val="placeholder"/>
        </w:category>
        <w:types>
          <w:type w:val="bbPlcHdr"/>
        </w:types>
        <w:behaviors>
          <w:behavior w:val="content"/>
        </w:behaviors>
        <w:description w:val=""/>
        <w:guid w:val="{de6db805-7540-4c76-a7cc-dd12850cc3ca}"/>
      </w:docPartPr>
      <w:docPartBody>
        <w:p>
          <w:r>
            <w:rPr>
              <w:color w:val="808080"/>
            </w:rPr>
            <w:t>单击此处输入文字。</w:t>
          </w:r>
        </w:p>
      </w:docPartBody>
    </w:docPart>
    <w:docPart>
      <w:docPartPr>
        <w:name w:val="{455cbc16-6675-465b-98a3-00275329c3a4}"/>
        <w:style w:val=""/>
        <w:category>
          <w:name w:val="常规"/>
          <w:gallery w:val="placeholder"/>
        </w:category>
        <w:types>
          <w:type w:val="bbPlcHdr"/>
        </w:types>
        <w:behaviors>
          <w:behavior w:val="content"/>
        </w:behaviors>
        <w:description w:val=""/>
        <w:guid w:val="{455cbc16-6675-465b-98a3-00275329c3a4}"/>
      </w:docPartPr>
      <w:docPartBody>
        <w:p>
          <w:r>
            <w:rPr>
              <w:color w:val="808080"/>
            </w:rPr>
            <w:t>单击此处输入文字。</w:t>
          </w:r>
        </w:p>
      </w:docPartBody>
    </w:docPart>
    <w:docPart>
      <w:docPartPr>
        <w:name w:val="{7aa25f0d-faa2-4128-9d4d-7204a3bec017}"/>
        <w:style w:val=""/>
        <w:category>
          <w:name w:val="常规"/>
          <w:gallery w:val="placeholder"/>
        </w:category>
        <w:types>
          <w:type w:val="bbPlcHdr"/>
        </w:types>
        <w:behaviors>
          <w:behavior w:val="content"/>
        </w:behaviors>
        <w:description w:val=""/>
        <w:guid w:val="{7aa25f0d-faa2-4128-9d4d-7204a3bec017}"/>
      </w:docPartPr>
      <w:docPartBody>
        <w:p>
          <w:r>
            <w:rPr>
              <w:color w:val="808080"/>
            </w:rPr>
            <w:t>单击此处输入文字。</w:t>
          </w:r>
        </w:p>
      </w:docPartBody>
    </w:docPart>
    <w:docPart>
      <w:docPartPr>
        <w:name w:val="{cc61ce47-bb22-4b0d-a13c-3cb627180a4a}"/>
        <w:style w:val=""/>
        <w:category>
          <w:name w:val="常规"/>
          <w:gallery w:val="placeholder"/>
        </w:category>
        <w:types>
          <w:type w:val="bbPlcHdr"/>
        </w:types>
        <w:behaviors>
          <w:behavior w:val="content"/>
        </w:behaviors>
        <w:description w:val=""/>
        <w:guid w:val="{cc61ce47-bb22-4b0d-a13c-3cb627180a4a}"/>
      </w:docPartPr>
      <w:docPartBody>
        <w:p>
          <w:r>
            <w:rPr>
              <w:color w:val="808080"/>
            </w:rPr>
            <w:t>单击此处输入文字。</w:t>
          </w:r>
        </w:p>
      </w:docPartBody>
    </w:docPart>
    <w:docPart>
      <w:docPartPr>
        <w:name w:val="{6050a998-5101-406f-9642-2c4302fa3a3e}"/>
        <w:style w:val=""/>
        <w:category>
          <w:name w:val="常规"/>
          <w:gallery w:val="placeholder"/>
        </w:category>
        <w:types>
          <w:type w:val="bbPlcHdr"/>
        </w:types>
        <w:behaviors>
          <w:behavior w:val="content"/>
        </w:behaviors>
        <w:description w:val=""/>
        <w:guid w:val="{6050a998-5101-406f-9642-2c4302fa3a3e}"/>
      </w:docPartPr>
      <w:docPartBody>
        <w:p>
          <w:r>
            <w:rPr>
              <w:color w:val="808080"/>
            </w:rPr>
            <w:t>单击此处输入文字。</w:t>
          </w:r>
        </w:p>
      </w:docPartBody>
    </w:docPart>
    <w:docPart>
      <w:docPartPr>
        <w:name w:val="{108f17dd-fd18-4b4f-b943-49cc390e5502}"/>
        <w:style w:val=""/>
        <w:category>
          <w:name w:val="常规"/>
          <w:gallery w:val="placeholder"/>
        </w:category>
        <w:types>
          <w:type w:val="bbPlcHdr"/>
        </w:types>
        <w:behaviors>
          <w:behavior w:val="content"/>
        </w:behaviors>
        <w:description w:val=""/>
        <w:guid w:val="{108f17dd-fd18-4b4f-b943-49cc390e5502}"/>
      </w:docPartPr>
      <w:docPartBody>
        <w:p>
          <w:r>
            <w:rPr>
              <w:color w:val="808080"/>
            </w:rPr>
            <w:t>单击此处输入文字。</w:t>
          </w:r>
        </w:p>
      </w:docPartBody>
    </w:docPart>
    <w:docPart>
      <w:docPartPr>
        <w:name w:val="{75f997f5-f214-4422-aa3e-3b9f17ebe919}"/>
        <w:style w:val=""/>
        <w:category>
          <w:name w:val="常规"/>
          <w:gallery w:val="placeholder"/>
        </w:category>
        <w:types>
          <w:type w:val="bbPlcHdr"/>
        </w:types>
        <w:behaviors>
          <w:behavior w:val="content"/>
        </w:behaviors>
        <w:description w:val=""/>
        <w:guid w:val="{75f997f5-f214-4422-aa3e-3b9f17ebe919}"/>
      </w:docPartPr>
      <w:docPartBody>
        <w:p>
          <w:r>
            <w:rPr>
              <w:color w:val="808080"/>
            </w:rPr>
            <w:t>单击此处输入文字。</w:t>
          </w:r>
        </w:p>
      </w:docPartBody>
    </w:docPart>
    <w:docPart>
      <w:docPartPr>
        <w:name w:val="{132e5484-1712-483c-be60-82b4c680c7fc}"/>
        <w:style w:val=""/>
        <w:category>
          <w:name w:val="常规"/>
          <w:gallery w:val="placeholder"/>
        </w:category>
        <w:types>
          <w:type w:val="bbPlcHdr"/>
        </w:types>
        <w:behaviors>
          <w:behavior w:val="content"/>
        </w:behaviors>
        <w:description w:val=""/>
        <w:guid w:val="{132e5484-1712-483c-be60-82b4c680c7fc}"/>
      </w:docPartPr>
      <w:docPartBody>
        <w:p>
          <w:r>
            <w:rPr>
              <w:color w:val="808080"/>
            </w:rPr>
            <w:t>单击此处输入文字。</w:t>
          </w:r>
        </w:p>
      </w:docPartBody>
    </w:docPart>
    <w:docPart>
      <w:docPartPr>
        <w:name w:val="{5f3aa880-d15e-41e0-a305-c99023245547}"/>
        <w:style w:val=""/>
        <w:category>
          <w:name w:val="常规"/>
          <w:gallery w:val="placeholder"/>
        </w:category>
        <w:types>
          <w:type w:val="bbPlcHdr"/>
        </w:types>
        <w:behaviors>
          <w:behavior w:val="content"/>
        </w:behaviors>
        <w:description w:val=""/>
        <w:guid w:val="{5f3aa880-d15e-41e0-a305-c99023245547}"/>
      </w:docPartPr>
      <w:docPartBody>
        <w:p>
          <w:r>
            <w:rPr>
              <w:color w:val="808080"/>
            </w:rPr>
            <w:t>单击此处输入文字。</w:t>
          </w:r>
        </w:p>
      </w:docPartBody>
    </w:docPart>
    <w:docPart>
      <w:docPartPr>
        <w:name w:val="{0b3af41b-dd7d-4ffc-8043-e2b1fbfa5a03}"/>
        <w:style w:val=""/>
        <w:category>
          <w:name w:val="常规"/>
          <w:gallery w:val="placeholder"/>
        </w:category>
        <w:types>
          <w:type w:val="bbPlcHdr"/>
        </w:types>
        <w:behaviors>
          <w:behavior w:val="content"/>
        </w:behaviors>
        <w:description w:val=""/>
        <w:guid w:val="{0b3af41b-dd7d-4ffc-8043-e2b1fbfa5a03}"/>
      </w:docPartPr>
      <w:docPartBody>
        <w:p>
          <w:r>
            <w:rPr>
              <w:color w:val="808080"/>
            </w:rPr>
            <w:t>单击此处输入文字。</w:t>
          </w:r>
        </w:p>
      </w:docPartBody>
    </w:docPart>
    <w:docPart>
      <w:docPartPr>
        <w:name w:val="{a0470e09-c17a-4f81-bd29-02a46255c034}"/>
        <w:style w:val=""/>
        <w:category>
          <w:name w:val="常规"/>
          <w:gallery w:val="placeholder"/>
        </w:category>
        <w:types>
          <w:type w:val="bbPlcHdr"/>
        </w:types>
        <w:behaviors>
          <w:behavior w:val="content"/>
        </w:behaviors>
        <w:description w:val=""/>
        <w:guid w:val="{a0470e09-c17a-4f81-bd29-02a46255c034}"/>
      </w:docPartPr>
      <w:docPartBody>
        <w:p>
          <w:r>
            <w:rPr>
              <w:color w:val="808080"/>
            </w:rPr>
            <w:t>单击此处输入文字。</w:t>
          </w:r>
        </w:p>
      </w:docPartBody>
    </w:docPart>
    <w:docPart>
      <w:docPartPr>
        <w:name w:val="{a015b509-240a-450a-b8d4-5532713202e7}"/>
        <w:style w:val=""/>
        <w:category>
          <w:name w:val="常规"/>
          <w:gallery w:val="placeholder"/>
        </w:category>
        <w:types>
          <w:type w:val="bbPlcHdr"/>
        </w:types>
        <w:behaviors>
          <w:behavior w:val="content"/>
        </w:behaviors>
        <w:description w:val=""/>
        <w:guid w:val="{a015b509-240a-450a-b8d4-5532713202e7}"/>
      </w:docPartPr>
      <w:docPartBody>
        <w:p>
          <w:r>
            <w:rPr>
              <w:color w:val="808080"/>
            </w:rPr>
            <w:t>单击此处输入文字。</w:t>
          </w:r>
        </w:p>
      </w:docPartBody>
    </w:docPart>
    <w:docPart>
      <w:docPartPr>
        <w:name w:val="{1335d63c-6bf7-4a81-99a6-b4795948d056}"/>
        <w:style w:val=""/>
        <w:category>
          <w:name w:val="常规"/>
          <w:gallery w:val="placeholder"/>
        </w:category>
        <w:types>
          <w:type w:val="bbPlcHdr"/>
        </w:types>
        <w:behaviors>
          <w:behavior w:val="content"/>
        </w:behaviors>
        <w:description w:val=""/>
        <w:guid w:val="{1335d63c-6bf7-4a81-99a6-b4795948d056}"/>
      </w:docPartPr>
      <w:docPartBody>
        <w:p>
          <w:r>
            <w:rPr>
              <w:color w:val="808080"/>
            </w:rPr>
            <w:t>单击此处输入文字。</w:t>
          </w:r>
        </w:p>
      </w:docPartBody>
    </w:docPart>
    <w:docPart>
      <w:docPartPr>
        <w:name w:val="{9c4d5313-9256-4b09-a336-aefd56d9a6f4}"/>
        <w:style w:val=""/>
        <w:category>
          <w:name w:val="常规"/>
          <w:gallery w:val="placeholder"/>
        </w:category>
        <w:types>
          <w:type w:val="bbPlcHdr"/>
        </w:types>
        <w:behaviors>
          <w:behavior w:val="content"/>
        </w:behaviors>
        <w:description w:val=""/>
        <w:guid w:val="{9c4d5313-9256-4b09-a336-aefd56d9a6f4}"/>
      </w:docPartPr>
      <w:docPartBody>
        <w:p>
          <w:r>
            <w:rPr>
              <w:color w:val="808080"/>
            </w:rPr>
            <w:t>单击此处输入文字。</w:t>
          </w:r>
        </w:p>
      </w:docPartBody>
    </w:docPart>
    <w:docPart>
      <w:docPartPr>
        <w:name w:val="{1fd66396-b920-4e98-8a9c-c3c948e4d059}"/>
        <w:style w:val=""/>
        <w:category>
          <w:name w:val="常规"/>
          <w:gallery w:val="placeholder"/>
        </w:category>
        <w:types>
          <w:type w:val="bbPlcHdr"/>
        </w:types>
        <w:behaviors>
          <w:behavior w:val="content"/>
        </w:behaviors>
        <w:description w:val=""/>
        <w:guid w:val="{1fd66396-b920-4e98-8a9c-c3c948e4d059}"/>
      </w:docPartPr>
      <w:docPartBody>
        <w:p>
          <w:r>
            <w:rPr>
              <w:color w:val="808080"/>
            </w:rPr>
            <w:t>单击此处输入文字。</w:t>
          </w:r>
        </w:p>
      </w:docPartBody>
    </w:docPart>
    <w:docPart>
      <w:docPartPr>
        <w:name w:val="{dca92eec-a51f-4fed-9a2b-31e5c18ef8b1}"/>
        <w:style w:val=""/>
        <w:category>
          <w:name w:val="常规"/>
          <w:gallery w:val="placeholder"/>
        </w:category>
        <w:types>
          <w:type w:val="bbPlcHdr"/>
        </w:types>
        <w:behaviors>
          <w:behavior w:val="content"/>
        </w:behaviors>
        <w:description w:val=""/>
        <w:guid w:val="{dca92eec-a51f-4fed-9a2b-31e5c18ef8b1}"/>
      </w:docPartPr>
      <w:docPartBody>
        <w:p>
          <w:r>
            <w:rPr>
              <w:color w:val="808080"/>
            </w:rPr>
            <w:t>单击此处输入文字。</w:t>
          </w:r>
        </w:p>
      </w:docPartBody>
    </w:docPart>
    <w:docPart>
      <w:docPartPr>
        <w:name w:val="{c7b9b828-dcd7-4d06-80e1-bf13a14afacd}"/>
        <w:style w:val=""/>
        <w:category>
          <w:name w:val="常规"/>
          <w:gallery w:val="placeholder"/>
        </w:category>
        <w:types>
          <w:type w:val="bbPlcHdr"/>
        </w:types>
        <w:behaviors>
          <w:behavior w:val="content"/>
        </w:behaviors>
        <w:description w:val=""/>
        <w:guid w:val="{c7b9b828-dcd7-4d06-80e1-bf13a14afacd}"/>
      </w:docPartPr>
      <w:docPartBody>
        <w:p>
          <w:r>
            <w:rPr>
              <w:color w:val="808080"/>
            </w:rPr>
            <w:t>单击此处输入文字。</w:t>
          </w:r>
        </w:p>
      </w:docPartBody>
    </w:docPart>
    <w:docPart>
      <w:docPartPr>
        <w:name w:val="{1955eb20-0c65-45ed-9268-3e5222c36a2f}"/>
        <w:style w:val=""/>
        <w:category>
          <w:name w:val="常规"/>
          <w:gallery w:val="placeholder"/>
        </w:category>
        <w:types>
          <w:type w:val="bbPlcHdr"/>
        </w:types>
        <w:behaviors>
          <w:behavior w:val="content"/>
        </w:behaviors>
        <w:description w:val=""/>
        <w:guid w:val="{1955eb20-0c65-45ed-9268-3e5222c36a2f}"/>
      </w:docPartPr>
      <w:docPartBody>
        <w:p>
          <w:r>
            <w:rPr>
              <w:color w:val="808080"/>
            </w:rPr>
            <w:t>单击此处输入文字。</w:t>
          </w:r>
        </w:p>
      </w:docPartBody>
    </w:docPart>
    <w:docPart>
      <w:docPartPr>
        <w:name w:val="{20dc9347-32e3-4167-b627-43efda3d56ca}"/>
        <w:style w:val=""/>
        <w:category>
          <w:name w:val="常规"/>
          <w:gallery w:val="placeholder"/>
        </w:category>
        <w:types>
          <w:type w:val="bbPlcHdr"/>
        </w:types>
        <w:behaviors>
          <w:behavior w:val="content"/>
        </w:behaviors>
        <w:description w:val=""/>
        <w:guid w:val="{20dc9347-32e3-4167-b627-43efda3d56ca}"/>
      </w:docPartPr>
      <w:docPartBody>
        <w:p>
          <w:r>
            <w:rPr>
              <w:color w:val="808080"/>
            </w:rPr>
            <w:t>单击此处输入文字。</w:t>
          </w:r>
        </w:p>
      </w:docPartBody>
    </w:docPart>
    <w:docPart>
      <w:docPartPr>
        <w:name w:val="{432560b0-daa7-4b35-b760-38c8763864e7}"/>
        <w:style w:val=""/>
        <w:category>
          <w:name w:val="常规"/>
          <w:gallery w:val="placeholder"/>
        </w:category>
        <w:types>
          <w:type w:val="bbPlcHdr"/>
        </w:types>
        <w:behaviors>
          <w:behavior w:val="content"/>
        </w:behaviors>
        <w:description w:val=""/>
        <w:guid w:val="{432560b0-daa7-4b35-b760-38c8763864e7}"/>
      </w:docPartPr>
      <w:docPartBody>
        <w:p>
          <w:r>
            <w:rPr>
              <w:color w:val="808080"/>
            </w:rPr>
            <w:t>单击此处输入文字。</w:t>
          </w:r>
        </w:p>
      </w:docPartBody>
    </w:docPart>
    <w:docPart>
      <w:docPartPr>
        <w:name w:val="{52407e07-565e-40dd-928b-2202c54994e3}"/>
        <w:style w:val=""/>
        <w:category>
          <w:name w:val="常规"/>
          <w:gallery w:val="placeholder"/>
        </w:category>
        <w:types>
          <w:type w:val="bbPlcHdr"/>
        </w:types>
        <w:behaviors>
          <w:behavior w:val="content"/>
        </w:behaviors>
        <w:description w:val=""/>
        <w:guid w:val="{52407e07-565e-40dd-928b-2202c54994e3}"/>
      </w:docPartPr>
      <w:docPartBody>
        <w:p>
          <w:r>
            <w:rPr>
              <w:color w:val="808080"/>
            </w:rPr>
            <w:t>单击此处输入文字。</w:t>
          </w:r>
        </w:p>
      </w:docPartBody>
    </w:docPart>
    <w:docPart>
      <w:docPartPr>
        <w:name w:val="{ce75dd91-5080-4ec8-8a1e-dd8fe5f0b411}"/>
        <w:style w:val=""/>
        <w:category>
          <w:name w:val="常规"/>
          <w:gallery w:val="placeholder"/>
        </w:category>
        <w:types>
          <w:type w:val="bbPlcHdr"/>
        </w:types>
        <w:behaviors>
          <w:behavior w:val="content"/>
        </w:behaviors>
        <w:description w:val=""/>
        <w:guid w:val="{ce75dd91-5080-4ec8-8a1e-dd8fe5f0b41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17663</Words>
  <Characters>18623</Characters>
  <Lines>0</Lines>
  <Paragraphs>0</Paragraphs>
  <TotalTime>1</TotalTime>
  <ScaleCrop>false</ScaleCrop>
  <LinksUpToDate>false</LinksUpToDate>
  <CharactersWithSpaces>18692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2020-01-08T11:15:00Z</dcterms:created>
  <dc:creator>Administrator</dc:creator>
  <cp:lastModifiedBy>苟鑫</cp:lastModifiedBy>
  <cp:lastPrinted>2022-08-16T09:24:00Z</cp:lastPrinted>
  <dcterms:modified xsi:type="dcterms:W3CDTF">2022-12-14T11:52:20Z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3FF9CB82AC304C5085F2BDC14B72E4FB</vt:lpwstr>
  </property>
</Properties>
</file>