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7B" w:rsidRPr="00D66695" w:rsidRDefault="00A6087B" w:rsidP="00A6087B">
      <w:pPr>
        <w:adjustRightInd/>
        <w:snapToGrid/>
        <w:spacing w:after="0" w:line="5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32"/>
          <w:szCs w:val="32"/>
        </w:rPr>
        <w:t>城府办发〔</w:t>
      </w:r>
      <w:r w:rsidRPr="00D66695">
        <w:rPr>
          <w:rFonts w:asciiTheme="minorEastAsia" w:eastAsiaTheme="minorEastAsia" w:hAnsiTheme="minorEastAsia" w:cs="Times New Roman"/>
          <w:color w:val="000000"/>
          <w:sz w:val="32"/>
          <w:szCs w:val="32"/>
        </w:rPr>
        <w:t>2022</w:t>
      </w:r>
      <w:r w:rsidRPr="00D66695">
        <w:rPr>
          <w:rFonts w:asciiTheme="minorEastAsia" w:eastAsiaTheme="minorEastAsia" w:hAnsiTheme="minorEastAsia" w:cs="宋体" w:hint="eastAsia"/>
          <w:color w:val="000000"/>
          <w:sz w:val="32"/>
          <w:szCs w:val="32"/>
        </w:rPr>
        <w:t>〕</w:t>
      </w:r>
      <w:r w:rsidRPr="00D66695">
        <w:rPr>
          <w:rFonts w:asciiTheme="minorEastAsia" w:eastAsiaTheme="minorEastAsia" w:hAnsiTheme="minorEastAsia" w:cs="Times New Roman"/>
          <w:color w:val="000000"/>
          <w:sz w:val="32"/>
          <w:szCs w:val="32"/>
        </w:rPr>
        <w:t>43</w:t>
      </w:r>
      <w:r w:rsidRPr="00D66695">
        <w:rPr>
          <w:rFonts w:asciiTheme="minorEastAsia" w:eastAsiaTheme="minorEastAsia" w:hAnsiTheme="minorEastAsia" w:cs="宋体" w:hint="eastAsia"/>
          <w:color w:val="000000"/>
          <w:sz w:val="32"/>
          <w:szCs w:val="32"/>
        </w:rPr>
        <w:t>号</w:t>
      </w:r>
    </w:p>
    <w:p w:rsidR="00A6087B" w:rsidRPr="00D66695" w:rsidRDefault="00A6087B" w:rsidP="00A6087B">
      <w:pPr>
        <w:adjustRightInd/>
        <w:snapToGrid/>
        <w:spacing w:after="0" w:line="560" w:lineRule="atLeast"/>
        <w:jc w:val="center"/>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jc w:val="center"/>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44"/>
          <w:szCs w:val="44"/>
        </w:rPr>
        <w:t>城口县人民政府办公室</w:t>
      </w:r>
    </w:p>
    <w:p w:rsidR="00A6087B" w:rsidRPr="00D66695" w:rsidRDefault="00A6087B" w:rsidP="00A6087B">
      <w:pPr>
        <w:adjustRightInd/>
        <w:snapToGrid/>
        <w:spacing w:after="0" w:line="5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44"/>
          <w:szCs w:val="44"/>
        </w:rPr>
        <w:t>关于印发2022年城口县重点民生实事</w:t>
      </w:r>
    </w:p>
    <w:p w:rsidR="00A6087B" w:rsidRPr="00D66695" w:rsidRDefault="00A6087B" w:rsidP="00A6087B">
      <w:pPr>
        <w:adjustRightInd/>
        <w:snapToGrid/>
        <w:spacing w:after="0" w:line="5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44"/>
          <w:szCs w:val="44"/>
        </w:rPr>
        <w:t>工作目标任务的通知</w:t>
      </w:r>
    </w:p>
    <w:p w:rsidR="00A6087B" w:rsidRPr="00D66695" w:rsidRDefault="00A6087B" w:rsidP="00A6087B">
      <w:pPr>
        <w:adjustRightInd/>
        <w:snapToGrid/>
        <w:spacing w:after="0" w:line="560" w:lineRule="atLeast"/>
        <w:jc w:val="center"/>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32"/>
          <w:szCs w:val="32"/>
        </w:rPr>
        <w:t>各乡镇人民政府、街道办事处，县政府各部门，有关单位：</w:t>
      </w:r>
    </w:p>
    <w:p w:rsidR="00A6087B" w:rsidRPr="00D66695" w:rsidRDefault="00A6087B" w:rsidP="00A6087B">
      <w:pPr>
        <w:adjustRightInd/>
        <w:snapToGrid/>
        <w:spacing w:after="0" w:line="560" w:lineRule="atLeast"/>
        <w:ind w:left="480"/>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32"/>
          <w:szCs w:val="32"/>
        </w:rPr>
        <w:t>《2022年城口县重点民生实事工作目标任务》已经县政府同意，现印发给你们，并提出以下工作要求，请抓好贯彻落实。</w:t>
      </w:r>
    </w:p>
    <w:p w:rsidR="00A6087B" w:rsidRPr="00D66695" w:rsidRDefault="00A6087B" w:rsidP="00A6087B">
      <w:pPr>
        <w:adjustRightInd/>
        <w:snapToGrid/>
        <w:spacing w:after="0" w:line="560" w:lineRule="atLeast"/>
        <w:ind w:left="480"/>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32"/>
          <w:szCs w:val="32"/>
        </w:rPr>
        <w:t>一、提高思想认识。全县各级各部门要牢固树立以人民为中心的发展理念，聚焦加快建设“三县一城一枢纽”，强化为民情怀，改进工作作风，以感恩奋进、拼搏赶超的姿态全心全意办好民生实事，努力让全县群众获得感成色更足、幸福感更可持续、安全感更有保障。</w:t>
      </w:r>
    </w:p>
    <w:p w:rsidR="00A6087B" w:rsidRPr="00D66695" w:rsidRDefault="00A6087B" w:rsidP="00A6087B">
      <w:pPr>
        <w:adjustRightInd/>
        <w:snapToGrid/>
        <w:spacing w:after="0" w:line="560" w:lineRule="atLeast"/>
        <w:ind w:left="480"/>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32"/>
          <w:szCs w:val="32"/>
        </w:rPr>
        <w:t>二、压实工作责任。县发展改革委要加强统筹协调，坚持按月调度、按季抽查、定期通报、年终考核，督促各责任单位抓好重点民生实事各项工作。各责任单位要按照目标任务制定实施方案，倒排工期、落实责任，保质保量完成目标任务，并将实施方案报县政府督查室、县发展改革委备案。宣传部门要加大宣传引导力度，让重点民生实事深入民心、温暖人心。</w:t>
      </w:r>
    </w:p>
    <w:p w:rsidR="00A6087B" w:rsidRPr="00D66695" w:rsidRDefault="00A6087B" w:rsidP="00A6087B">
      <w:pPr>
        <w:adjustRightInd/>
        <w:snapToGrid/>
        <w:spacing w:after="0" w:line="560" w:lineRule="atLeast"/>
        <w:ind w:left="480"/>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32"/>
          <w:szCs w:val="32"/>
        </w:rPr>
        <w:lastRenderedPageBreak/>
        <w:t>三、强化督查考核。各责任单位每月底前将当月推进情况报县发展改革委（联系人：庞宇；联系电话：</w:t>
      </w:r>
      <w:r w:rsidRPr="00D66695">
        <w:rPr>
          <w:rFonts w:asciiTheme="minorEastAsia" w:eastAsiaTheme="minorEastAsia" w:hAnsiTheme="minorEastAsia" w:cs="Times New Roman"/>
          <w:color w:val="000000"/>
          <w:sz w:val="32"/>
          <w:szCs w:val="32"/>
        </w:rPr>
        <w:t>17783221690</w:t>
      </w:r>
      <w:r w:rsidRPr="00D66695">
        <w:rPr>
          <w:rFonts w:asciiTheme="minorEastAsia" w:eastAsiaTheme="minorEastAsia" w:hAnsiTheme="minorEastAsia" w:cs="宋体" w:hint="eastAsia"/>
          <w:color w:val="000000"/>
          <w:sz w:val="32"/>
          <w:szCs w:val="32"/>
        </w:rPr>
        <w:t>），县发展改革委汇总后上报县委、县政府。县政府督查室要会同县发展改革委加大督查督办力度，每季度通报一次重点民生实事推进情况，并将重点民生实事办理情况纳入经济社会发展年度实绩考核重要内容。</w:t>
      </w:r>
    </w:p>
    <w:p w:rsidR="00A6087B" w:rsidRPr="00D66695" w:rsidRDefault="00A6087B" w:rsidP="00A6087B">
      <w:pPr>
        <w:adjustRightInd/>
        <w:snapToGrid/>
        <w:spacing w:after="0" w:line="560" w:lineRule="atLeast"/>
        <w:ind w:left="480"/>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ind w:left="480"/>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32"/>
          <w:szCs w:val="32"/>
        </w:rPr>
        <w:t>附件：2022年城口县重点民生实事工作目标任务</w:t>
      </w:r>
    </w:p>
    <w:p w:rsidR="00A6087B" w:rsidRPr="00D66695" w:rsidRDefault="00A6087B" w:rsidP="00A6087B">
      <w:pPr>
        <w:adjustRightInd/>
        <w:snapToGrid/>
        <w:spacing w:after="0" w:line="560" w:lineRule="atLeast"/>
        <w:jc w:val="both"/>
        <w:rPr>
          <w:rFonts w:asciiTheme="minorEastAsia" w:eastAsiaTheme="minorEastAsia" w:hAnsiTheme="minorEastAsia" w:cs="宋体"/>
          <w:sz w:val="24"/>
          <w:szCs w:val="24"/>
        </w:rPr>
      </w:pPr>
    </w:p>
    <w:p w:rsidR="00A6087B" w:rsidRPr="00D66695" w:rsidRDefault="00A6087B" w:rsidP="00A6087B">
      <w:pPr>
        <w:adjustRightInd/>
        <w:snapToGrid/>
        <w:spacing w:after="120"/>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ind w:left="3360"/>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32"/>
          <w:szCs w:val="32"/>
        </w:rPr>
        <w:t>城口县人民政府办公室</w:t>
      </w:r>
    </w:p>
    <w:p w:rsidR="00A6087B" w:rsidRPr="00D66695" w:rsidRDefault="00A6087B" w:rsidP="00A6087B">
      <w:pPr>
        <w:adjustRightInd/>
        <w:snapToGrid/>
        <w:spacing w:after="0" w:line="560" w:lineRule="atLeast"/>
        <w:ind w:left="3600"/>
        <w:jc w:val="both"/>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32"/>
          <w:szCs w:val="32"/>
        </w:rPr>
        <w:t>2022年3月31</w:t>
      </w:r>
      <w:r w:rsidRPr="00D66695">
        <w:rPr>
          <w:rFonts w:asciiTheme="minorEastAsia" w:eastAsiaTheme="minorEastAsia" w:hAnsiTheme="minorEastAsia" w:cs="宋体" w:hint="eastAsia"/>
          <w:color w:val="000000"/>
          <w:sz w:val="32"/>
          <w:szCs w:val="32"/>
        </w:rPr>
        <w:t>日</w:t>
      </w:r>
    </w:p>
    <w:p w:rsidR="00A6087B" w:rsidRPr="00D66695" w:rsidRDefault="00A6087B" w:rsidP="00A6087B">
      <w:pPr>
        <w:adjustRightInd/>
        <w:snapToGrid/>
        <w:spacing w:after="0" w:line="560" w:lineRule="atLeast"/>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ind w:left="480"/>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32"/>
          <w:szCs w:val="32"/>
        </w:rPr>
        <w:t>（此件公开发布）</w:t>
      </w:r>
    </w:p>
    <w:p w:rsidR="00A6087B" w:rsidRPr="00D66695" w:rsidRDefault="00A6087B" w:rsidP="00A6087B">
      <w:pPr>
        <w:adjustRightInd/>
        <w:snapToGrid/>
        <w:spacing w:after="0"/>
        <w:jc w:val="both"/>
        <w:rPr>
          <w:rFonts w:asciiTheme="minorEastAsia" w:eastAsiaTheme="minorEastAsia" w:hAnsiTheme="minorEastAsia" w:cs="宋体"/>
          <w:sz w:val="24"/>
          <w:szCs w:val="24"/>
        </w:rPr>
      </w:pPr>
    </w:p>
    <w:p w:rsidR="00A6087B" w:rsidRPr="00D66695" w:rsidRDefault="00A6087B" w:rsidP="00A6087B">
      <w:pPr>
        <w:adjustRightInd/>
        <w:snapToGrid/>
        <w:spacing w:after="120"/>
        <w:jc w:val="both"/>
        <w:rPr>
          <w:rFonts w:asciiTheme="minorEastAsia" w:eastAsiaTheme="minorEastAsia" w:hAnsiTheme="minorEastAsia" w:cs="宋体"/>
          <w:sz w:val="24"/>
          <w:szCs w:val="24"/>
        </w:rPr>
      </w:pPr>
    </w:p>
    <w:p w:rsidR="00A6087B" w:rsidRPr="00D66695" w:rsidRDefault="00A6087B" w:rsidP="00A6087B">
      <w:pPr>
        <w:adjustRightInd/>
        <w:snapToGrid/>
        <w:spacing w:after="120"/>
        <w:jc w:val="both"/>
        <w:rPr>
          <w:rFonts w:asciiTheme="minorEastAsia" w:eastAsiaTheme="minorEastAsia" w:hAnsiTheme="minorEastAsia" w:cs="宋体"/>
          <w:sz w:val="24"/>
          <w:szCs w:val="24"/>
        </w:rPr>
      </w:pPr>
    </w:p>
    <w:p w:rsidR="00A6087B" w:rsidRPr="00D66695" w:rsidRDefault="00A6087B" w:rsidP="00A6087B">
      <w:pPr>
        <w:adjustRightInd/>
        <w:snapToGrid/>
        <w:spacing w:after="120"/>
        <w:jc w:val="both"/>
        <w:rPr>
          <w:rFonts w:asciiTheme="minorEastAsia" w:eastAsiaTheme="minorEastAsia" w:hAnsiTheme="minorEastAsia" w:cs="宋体"/>
          <w:sz w:val="24"/>
          <w:szCs w:val="24"/>
        </w:rPr>
      </w:pPr>
    </w:p>
    <w:p w:rsidR="00A6087B" w:rsidRPr="00D66695" w:rsidRDefault="00A6087B" w:rsidP="00A6087B">
      <w:pPr>
        <w:adjustRightInd/>
        <w:snapToGrid/>
        <w:spacing w:after="120"/>
        <w:jc w:val="both"/>
        <w:rPr>
          <w:rFonts w:asciiTheme="minorEastAsia" w:eastAsiaTheme="minorEastAsia" w:hAnsiTheme="minorEastAsia" w:cs="宋体"/>
          <w:sz w:val="24"/>
          <w:szCs w:val="24"/>
        </w:rPr>
      </w:pPr>
    </w:p>
    <w:p w:rsidR="00A6087B" w:rsidRPr="00D66695" w:rsidRDefault="00A6087B" w:rsidP="00A6087B">
      <w:pPr>
        <w:adjustRightInd/>
        <w:snapToGrid/>
        <w:spacing w:after="120"/>
        <w:jc w:val="both"/>
        <w:rPr>
          <w:rFonts w:asciiTheme="minorEastAsia" w:eastAsiaTheme="minorEastAsia" w:hAnsiTheme="minorEastAsia" w:cs="宋体"/>
          <w:sz w:val="24"/>
          <w:szCs w:val="24"/>
        </w:rPr>
      </w:pPr>
    </w:p>
    <w:p w:rsidR="00A6087B" w:rsidRPr="00D66695" w:rsidRDefault="00A6087B" w:rsidP="00A6087B">
      <w:pPr>
        <w:adjustRightInd/>
        <w:snapToGrid/>
        <w:spacing w:after="120"/>
        <w:jc w:val="both"/>
        <w:rPr>
          <w:rFonts w:asciiTheme="minorEastAsia" w:eastAsiaTheme="minorEastAsia" w:hAnsiTheme="minorEastAsia" w:cs="宋体"/>
          <w:sz w:val="24"/>
          <w:szCs w:val="24"/>
        </w:rPr>
      </w:pPr>
    </w:p>
    <w:p w:rsidR="00A6087B" w:rsidRPr="00D66695" w:rsidRDefault="00A6087B" w:rsidP="00A6087B">
      <w:pPr>
        <w:adjustRightInd/>
        <w:snapToGrid/>
        <w:spacing w:after="120"/>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32"/>
          <w:szCs w:val="32"/>
        </w:rPr>
        <w:t>附件</w:t>
      </w:r>
    </w:p>
    <w:p w:rsidR="00A6087B" w:rsidRPr="00D66695" w:rsidRDefault="00A6087B" w:rsidP="00A6087B">
      <w:pPr>
        <w:adjustRightInd/>
        <w:snapToGrid/>
        <w:spacing w:after="0" w:line="5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44"/>
          <w:szCs w:val="44"/>
        </w:rPr>
        <w:t>2022</w:t>
      </w:r>
      <w:r w:rsidRPr="00D66695">
        <w:rPr>
          <w:rFonts w:asciiTheme="minorEastAsia" w:eastAsiaTheme="minorEastAsia" w:hAnsiTheme="minorEastAsia" w:cs="宋体" w:hint="eastAsia"/>
          <w:color w:val="000000"/>
          <w:sz w:val="44"/>
          <w:szCs w:val="44"/>
        </w:rPr>
        <w:t>年城口县重点民生实事工作目标任务</w:t>
      </w:r>
    </w:p>
    <w:tbl>
      <w:tblPr>
        <w:tblW w:w="9525" w:type="dxa"/>
        <w:tblCellMar>
          <w:top w:w="15" w:type="dxa"/>
          <w:left w:w="15" w:type="dxa"/>
          <w:bottom w:w="15" w:type="dxa"/>
          <w:right w:w="15" w:type="dxa"/>
        </w:tblCellMar>
        <w:tblLook w:val="04A0"/>
      </w:tblPr>
      <w:tblGrid>
        <w:gridCol w:w="630"/>
        <w:gridCol w:w="1980"/>
        <w:gridCol w:w="2085"/>
        <w:gridCol w:w="4830"/>
      </w:tblGrid>
      <w:tr w:rsidR="00A6087B" w:rsidRPr="00D66695" w:rsidTr="00A6087B">
        <w:trPr>
          <w:trHeight w:val="540"/>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40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8"/>
                <w:szCs w:val="28"/>
              </w:rPr>
              <w:t>序号</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40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8"/>
                <w:szCs w:val="28"/>
              </w:rPr>
              <w:t>项目名称</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40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8"/>
                <w:szCs w:val="28"/>
              </w:rPr>
              <w:t>责任单位</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40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8"/>
                <w:szCs w:val="28"/>
              </w:rPr>
              <w:t>2022年工作目标任务</w:t>
            </w:r>
          </w:p>
        </w:tc>
      </w:tr>
      <w:tr w:rsidR="00A6087B" w:rsidRPr="00D66695" w:rsidTr="00A6087B">
        <w:trPr>
          <w:trHeight w:val="885"/>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lastRenderedPageBreak/>
              <w:t>1</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建成1个市民广场</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县住房城乡建委</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建成滨河公园广场8000平方米，为市民提供休闲娱乐的公共空间与活动场所。</w:t>
            </w:r>
          </w:p>
        </w:tc>
      </w:tr>
      <w:tr w:rsidR="00A6087B" w:rsidRPr="00D66695" w:rsidTr="00A6087B">
        <w:trPr>
          <w:trHeight w:val="1260"/>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2</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城区农贸市场标准化改造和新建农产品批发市场</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县供销社</w:t>
            </w:r>
          </w:p>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县商务委</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启动南大街城区菜市场标准化改造，完成文东巷城区菜市场标准化改造成和木瓜坝农产品（蔬菜水果）批发市场建设。</w:t>
            </w:r>
          </w:p>
        </w:tc>
      </w:tr>
      <w:tr w:rsidR="00A6087B" w:rsidRPr="00D66695" w:rsidTr="00A6087B">
        <w:trPr>
          <w:trHeight w:val="840"/>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3</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建设重庆市城口育才中学校</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县教委</w:t>
            </w:r>
          </w:p>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县国聚公司</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开工建设重庆市城口育才中学校，完成年度投资1.5亿元以上。</w:t>
            </w:r>
          </w:p>
        </w:tc>
      </w:tr>
      <w:tr w:rsidR="00A6087B" w:rsidRPr="00D66695" w:rsidTr="00A6087B">
        <w:trPr>
          <w:trHeight w:val="2535"/>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4</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新（改）建4座城市公厕，建设5个公共停车场，建成6个“劳动者港湾”示范点</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052F6" w:rsidRDefault="00A6087B" w:rsidP="00A6087B">
            <w:pPr>
              <w:adjustRightInd/>
              <w:snapToGrid/>
              <w:spacing w:after="0" w:line="360" w:lineRule="atLeast"/>
              <w:jc w:val="center"/>
              <w:rPr>
                <w:rFonts w:asciiTheme="minorEastAsia" w:eastAsiaTheme="minorEastAsia" w:hAnsiTheme="minorEastAsia" w:cs="宋体" w:hint="eastAsia"/>
                <w:color w:val="000000"/>
                <w:sz w:val="24"/>
                <w:szCs w:val="24"/>
              </w:rPr>
            </w:pPr>
            <w:r w:rsidRPr="00D66695">
              <w:rPr>
                <w:rFonts w:asciiTheme="minorEastAsia" w:eastAsiaTheme="minorEastAsia" w:hAnsiTheme="minorEastAsia" w:cs="宋体" w:hint="eastAsia"/>
                <w:color w:val="000000"/>
                <w:sz w:val="24"/>
                <w:szCs w:val="24"/>
              </w:rPr>
              <w:t>县住房城乡建委</w:t>
            </w:r>
          </w:p>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县总工会</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1.改造2座城市公厕（南大街农贸市场、诸葛寨植物公园），新建碧桂园、滨河公园路北岸公厕2座。</w:t>
            </w:r>
          </w:p>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2.启动东大街、三塘坝2个立体停车场建设，建成高坪坎、滨河水岸、老法院3个临时停车场，建成后新增停车泊位500个。</w:t>
            </w:r>
          </w:p>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3.建成“劳动者港湾”示范点6个。</w:t>
            </w:r>
          </w:p>
        </w:tc>
      </w:tr>
      <w:tr w:rsidR="00A6087B" w:rsidRPr="00D66695" w:rsidTr="00A6087B">
        <w:trPr>
          <w:trHeight w:val="1110"/>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5</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实施居民住宅用水提质工程</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color w:val="000000"/>
                <w:sz w:val="24"/>
                <w:szCs w:val="24"/>
              </w:rPr>
            </w:pPr>
            <w:r w:rsidRPr="00D66695">
              <w:rPr>
                <w:rFonts w:asciiTheme="minorEastAsia" w:eastAsiaTheme="minorEastAsia" w:hAnsiTheme="minorEastAsia" w:cs="宋体" w:hint="eastAsia"/>
                <w:color w:val="000000"/>
                <w:sz w:val="24"/>
                <w:szCs w:val="24"/>
              </w:rPr>
              <w:t>县住房城乡建委</w:t>
            </w:r>
          </w:p>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县惠民供水公司</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改造职教中心、阳光水岸、滨河水岸小区二次供水设备、泵房及管网，提升847户居民水质。</w:t>
            </w:r>
          </w:p>
        </w:tc>
      </w:tr>
      <w:tr w:rsidR="00A6087B" w:rsidRPr="00D66695" w:rsidTr="00A6087B">
        <w:trPr>
          <w:trHeight w:val="885"/>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6</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实施街头绿地提质工程</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县住房城乡建委</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打造南大街立体绿化示范街区1个。</w:t>
            </w:r>
          </w:p>
        </w:tc>
      </w:tr>
      <w:tr w:rsidR="00A6087B" w:rsidRPr="00D66695" w:rsidTr="00A6087B">
        <w:trPr>
          <w:trHeight w:val="1275"/>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7</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发展普惠性学前教育</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县教委</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建成投用示范幼儿园星辰分园、美宝乐幼儿园，新建咸宜幼儿园。实施3所民办普惠幼儿园的政府购买服务（阳光幼儿园、崇阳幼儿园、美宝乐幼儿园）。全县学前三年毛入园率达到92%以上，普惠性幼儿园覆盖率稳定在90%以上，公办幼儿园占比保持在75%以上。</w:t>
            </w:r>
          </w:p>
        </w:tc>
      </w:tr>
      <w:tr w:rsidR="00A6087B" w:rsidRPr="00D66695" w:rsidTr="00A6087B">
        <w:trPr>
          <w:trHeight w:val="2115"/>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8</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城镇老旧小区改造和社区服务提升</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color w:val="000000"/>
                <w:sz w:val="24"/>
                <w:szCs w:val="24"/>
              </w:rPr>
            </w:pPr>
            <w:r w:rsidRPr="00D66695">
              <w:rPr>
                <w:rFonts w:asciiTheme="minorEastAsia" w:eastAsiaTheme="minorEastAsia" w:hAnsiTheme="minorEastAsia" w:cs="宋体" w:hint="eastAsia"/>
                <w:color w:val="000000"/>
                <w:sz w:val="24"/>
                <w:szCs w:val="24"/>
              </w:rPr>
              <w:t>县住房城乡建委</w:t>
            </w:r>
          </w:p>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国网城口供电公司</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完成葛城街道东门片区、太和一路片区2个老旧小区改造，启动南后街片区、广场片区、太和二路片区、南大街片区4个老旧小区改造，总面积19.75万平方米。完成10个居民小区供电设施安全改造，消除高层建筑供电设施火灾隐患6处。</w:t>
            </w:r>
          </w:p>
        </w:tc>
      </w:tr>
      <w:tr w:rsidR="00A6087B" w:rsidRPr="00D66695" w:rsidTr="00A6087B">
        <w:trPr>
          <w:trHeight w:val="2250"/>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lastRenderedPageBreak/>
              <w:t>9</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推进义务教育阶段学生“双减”（减轻义务教育阶段学生作业负担和校外培训负担）</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县教委</w:t>
            </w:r>
          </w:p>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县市场监管局</w:t>
            </w:r>
          </w:p>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县民政局</w:t>
            </w:r>
          </w:p>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县公安局</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依法依规持续开展校外培训机构治理工作，加强义务教育阶段学校作业管理，规范开展中小学课后服务，提升课后服务水平，切实减轻义务教育阶段学生负担。加大对校外培训机构的监管，规范办学行为，促进校外培训机构规范有序发展。</w:t>
            </w:r>
          </w:p>
        </w:tc>
      </w:tr>
      <w:tr w:rsidR="00A6087B" w:rsidRPr="00D66695" w:rsidTr="00A6087B">
        <w:trPr>
          <w:trHeight w:val="975"/>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10</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实施农村公路生命安全防护工程</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县交通局</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实施农村公路生命安全防护工程150公里。</w:t>
            </w:r>
          </w:p>
        </w:tc>
      </w:tr>
      <w:tr w:rsidR="00A6087B" w:rsidRPr="00D66695" w:rsidTr="00A6087B">
        <w:trPr>
          <w:trHeight w:val="1695"/>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11</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实施农村社区居家养老服务全覆盖工程</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县民政局</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依托乡镇敬老院进行改扩建，完成高燕镇、龙田乡、巴山镇、左岚乡、坪坝镇、沿河乡、周溪乡、蓼子乡、双河乡、厚坪乡、岚天乡11个乡镇养老服务中心改造。</w:t>
            </w:r>
          </w:p>
        </w:tc>
      </w:tr>
      <w:tr w:rsidR="00A6087B" w:rsidRPr="00D66695" w:rsidTr="00A6087B">
        <w:trPr>
          <w:trHeight w:val="4905"/>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12</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开展青少年心理健康教育和综合防控儿童青少年近视</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县教委</w:t>
            </w:r>
          </w:p>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县卫生健康委</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1.全县中小学心理辅导室（中心）覆盖率达到87%以上，健全城口县心理健康和家庭教育指导服务中心工作体系，持续开展心理健康教育活动。开展培训心理健康教师300人次，送培到校9次以上，青少年健康核心知识知晓率达70%以上。县精神卫生中心建成投用。</w:t>
            </w:r>
          </w:p>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2.完成2所学校（庙坝中学、坪坝中学）护眼灯工程建设。严格控制手机进入校园，落实每天1小时的学生体育活动。加强青少年近视防控医疗指导，实现全县儿童青少年总体近视率逐年降低。</w:t>
            </w:r>
          </w:p>
        </w:tc>
      </w:tr>
      <w:tr w:rsidR="00A6087B" w:rsidRPr="00D66695" w:rsidTr="00A6087B">
        <w:trPr>
          <w:trHeight w:val="1875"/>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13</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开展“百千万惠残助残行动”</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县残联</w:t>
            </w:r>
          </w:p>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县卫生健康委</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建成残疾儿童康复中心，解决残疾儿童康复训练问题，使残疾儿童人人享有康复服务。创建3家“渝馨家园”（残疾人之家）；为有需求的残疾人提供辅助器具适配服务97人次。</w:t>
            </w:r>
          </w:p>
        </w:tc>
      </w:tr>
      <w:tr w:rsidR="00A6087B" w:rsidRPr="00D66695" w:rsidTr="00A6087B">
        <w:trPr>
          <w:trHeight w:val="2205"/>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lastRenderedPageBreak/>
              <w:t>14</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发展婴幼儿照护服务和开展妇幼健康促进行动</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县卫生健康委</w:t>
            </w:r>
          </w:p>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县发展改革委</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1.新增托位40个，全县每千人拥有3岁以下婴幼儿托位数达1.8个。</w:t>
            </w:r>
          </w:p>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2.免费孕前优生健康检查目标人群402对，覆盖率达100%；为35-64岁适龄妇女开展“两癌”免费检查8000人。</w:t>
            </w:r>
          </w:p>
        </w:tc>
      </w:tr>
      <w:tr w:rsidR="00A6087B" w:rsidRPr="00D66695" w:rsidTr="00A6087B">
        <w:trPr>
          <w:trHeight w:val="1050"/>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Times New Roman"/>
                <w:color w:val="000000"/>
                <w:sz w:val="24"/>
                <w:szCs w:val="24"/>
              </w:rPr>
              <w:t>15</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实施老年人照顾服务计划</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县民政局</w:t>
            </w:r>
          </w:p>
          <w:p w:rsidR="00A6087B" w:rsidRPr="00D66695" w:rsidRDefault="00A6087B" w:rsidP="00A6087B">
            <w:pPr>
              <w:adjustRightInd/>
              <w:snapToGrid/>
              <w:spacing w:after="0" w:line="360" w:lineRule="atLeast"/>
              <w:jc w:val="center"/>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县卫生健康委</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A6087B" w:rsidRPr="00D66695" w:rsidRDefault="00A6087B" w:rsidP="00A6087B">
            <w:pPr>
              <w:adjustRightInd/>
              <w:snapToGrid/>
              <w:spacing w:after="0" w:line="360" w:lineRule="atLeast"/>
              <w:jc w:val="both"/>
              <w:rPr>
                <w:rFonts w:asciiTheme="minorEastAsia" w:eastAsiaTheme="minorEastAsia" w:hAnsiTheme="minorEastAsia" w:cs="宋体"/>
                <w:sz w:val="24"/>
                <w:szCs w:val="24"/>
              </w:rPr>
            </w:pPr>
            <w:r w:rsidRPr="00D66695">
              <w:rPr>
                <w:rFonts w:asciiTheme="minorEastAsia" w:eastAsiaTheme="minorEastAsia" w:hAnsiTheme="minorEastAsia" w:cs="宋体" w:hint="eastAsia"/>
                <w:color w:val="000000"/>
                <w:sz w:val="24"/>
                <w:szCs w:val="24"/>
              </w:rPr>
              <w:t>在全县条件成熟社区开展3个试点，推行助餐、助浴、助医三助行动。</w:t>
            </w:r>
          </w:p>
        </w:tc>
      </w:tr>
    </w:tbl>
    <w:p w:rsidR="00A6087B" w:rsidRPr="00D66695" w:rsidRDefault="00A6087B" w:rsidP="00A6087B">
      <w:pPr>
        <w:adjustRightInd/>
        <w:snapToGrid/>
        <w:spacing w:after="0" w:line="560" w:lineRule="atLeast"/>
        <w:ind w:left="-720"/>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ind w:left="-720"/>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ind w:left="-720"/>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ind w:left="-720"/>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ind w:left="-720"/>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ind w:left="-720"/>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ind w:left="-720"/>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ind w:left="-720"/>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jc w:val="both"/>
        <w:rPr>
          <w:rFonts w:asciiTheme="minorEastAsia" w:eastAsiaTheme="minorEastAsia" w:hAnsiTheme="minorEastAsia" w:cs="宋体"/>
          <w:sz w:val="24"/>
          <w:szCs w:val="24"/>
        </w:rPr>
      </w:pPr>
    </w:p>
    <w:p w:rsidR="00A6087B" w:rsidRPr="00D66695" w:rsidRDefault="00A6087B" w:rsidP="00A6087B">
      <w:pPr>
        <w:adjustRightInd/>
        <w:snapToGrid/>
        <w:spacing w:after="0" w:line="560" w:lineRule="atLeast"/>
        <w:jc w:val="both"/>
        <w:rPr>
          <w:rFonts w:asciiTheme="minorEastAsia" w:eastAsiaTheme="minorEastAsia" w:hAnsiTheme="minorEastAsia" w:cs="宋体"/>
          <w:sz w:val="24"/>
          <w:szCs w:val="24"/>
        </w:rPr>
      </w:pPr>
    </w:p>
    <w:p w:rsidR="004358AB" w:rsidRPr="00D66695" w:rsidRDefault="004358AB" w:rsidP="00D31D50">
      <w:pPr>
        <w:spacing w:line="220" w:lineRule="atLeast"/>
        <w:rPr>
          <w:rFonts w:asciiTheme="minorEastAsia" w:eastAsiaTheme="minorEastAsia" w:hAnsiTheme="minorEastAsia"/>
        </w:rPr>
      </w:pPr>
    </w:p>
    <w:sectPr w:rsidR="004358AB" w:rsidRPr="00D6669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A052F6"/>
    <w:rsid w:val="00A6087B"/>
    <w:rsid w:val="00B02B0B"/>
    <w:rsid w:val="00CA7EDC"/>
    <w:rsid w:val="00D31D50"/>
    <w:rsid w:val="00D66695"/>
    <w:rsid w:val="00F35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6087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93345581">
      <w:bodyDiv w:val="1"/>
      <w:marLeft w:val="0"/>
      <w:marRight w:val="0"/>
      <w:marTop w:val="0"/>
      <w:marBottom w:val="0"/>
      <w:divBdr>
        <w:top w:val="none" w:sz="0" w:space="0" w:color="auto"/>
        <w:left w:val="none" w:sz="0" w:space="0" w:color="auto"/>
        <w:bottom w:val="none" w:sz="0" w:space="0" w:color="auto"/>
        <w:right w:val="none" w:sz="0" w:space="0" w:color="auto"/>
      </w:divBdr>
      <w:divsChild>
        <w:div w:id="188497514">
          <w:marLeft w:val="0"/>
          <w:marRight w:val="0"/>
          <w:marTop w:val="0"/>
          <w:marBottom w:val="0"/>
          <w:divBdr>
            <w:top w:val="none" w:sz="0" w:space="0" w:color="auto"/>
            <w:left w:val="none" w:sz="0" w:space="0" w:color="auto"/>
            <w:bottom w:val="none" w:sz="0" w:space="0" w:color="auto"/>
            <w:right w:val="none" w:sz="0" w:space="0" w:color="auto"/>
          </w:divBdr>
          <w:divsChild>
            <w:div w:id="19461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4</cp:revision>
  <dcterms:created xsi:type="dcterms:W3CDTF">2008-09-11T17:20:00Z</dcterms:created>
  <dcterms:modified xsi:type="dcterms:W3CDTF">2022-04-13T03:26:00Z</dcterms:modified>
</cp:coreProperties>
</file>