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44DB5">
      <w:bookmarkStart w:id="515" w:name="_GoBack"/>
      <w:bookmarkEnd w:id="515"/>
    </w:p>
    <w:p w14:paraId="35D97AE7">
      <w:pPr>
        <w:ind w:left="100"/>
        <w:jc w:val="center"/>
        <w:rPr>
          <w:szCs w:val="32"/>
        </w:rPr>
      </w:pPr>
      <w:r>
        <w:rPr>
          <w:rFonts w:hint="eastAsia"/>
          <w:kern w:val="0"/>
          <w:szCs w:val="32"/>
        </w:rPr>
        <w:t>城委办发〔2021〕31号</w:t>
      </w:r>
    </w:p>
    <w:p w14:paraId="42642A61">
      <w:pPr>
        <w:pStyle w:val="21"/>
        <w:widowControl/>
        <w:adjustRightInd w:val="0"/>
        <w:snapToGrid w:val="0"/>
        <w:spacing w:line="520" w:lineRule="exact"/>
        <w:rPr>
          <w:rFonts w:ascii="方正仿宋_GBK" w:hAnsi="方正仿宋_GBK" w:cs="方正仿宋_GBK"/>
          <w:kern w:val="0"/>
          <w:sz w:val="32"/>
          <w:szCs w:val="32"/>
        </w:rPr>
      </w:pPr>
    </w:p>
    <w:tbl>
      <w:tblPr>
        <w:tblStyle w:val="23"/>
        <w:tblW w:w="0" w:type="auto"/>
        <w:jc w:val="center"/>
        <w:tblLayout w:type="autofit"/>
        <w:tblCellMar>
          <w:top w:w="0" w:type="dxa"/>
          <w:left w:w="108" w:type="dxa"/>
          <w:bottom w:w="0" w:type="dxa"/>
          <w:right w:w="108" w:type="dxa"/>
        </w:tblCellMar>
      </w:tblPr>
      <w:tblGrid>
        <w:gridCol w:w="4700"/>
      </w:tblGrid>
      <w:tr w14:paraId="3FCA3FD7">
        <w:trPr>
          <w:jc w:val="center"/>
        </w:trPr>
        <w:tc>
          <w:tcPr>
            <w:tcW w:w="4700" w:type="dxa"/>
          </w:tcPr>
          <w:p w14:paraId="1CE77C8C">
            <w:pPr>
              <w:pStyle w:val="21"/>
              <w:widowControl/>
              <w:adjustRightInd w:val="0"/>
              <w:snapToGrid w:val="0"/>
              <w:spacing w:line="520" w:lineRule="exact"/>
              <w:jc w:val="distribute"/>
              <w:rPr>
                <w:rFonts w:eastAsia="方正小标宋_GBK"/>
                <w:sz w:val="44"/>
                <w:szCs w:val="44"/>
              </w:rPr>
            </w:pPr>
            <w:r>
              <w:rPr>
                <w:rFonts w:hint="eastAsia" w:eastAsia="方正小标宋_GBK"/>
                <w:sz w:val="44"/>
                <w:szCs w:val="44"/>
              </w:rPr>
              <w:t>中共城口县委办公室</w:t>
            </w:r>
          </w:p>
        </w:tc>
      </w:tr>
      <w:tr w14:paraId="4C890E73">
        <w:tblPrEx>
          <w:tblCellMar>
            <w:top w:w="0" w:type="dxa"/>
            <w:left w:w="108" w:type="dxa"/>
            <w:bottom w:w="0" w:type="dxa"/>
            <w:right w:w="108" w:type="dxa"/>
          </w:tblCellMar>
        </w:tblPrEx>
        <w:trPr>
          <w:jc w:val="center"/>
        </w:trPr>
        <w:tc>
          <w:tcPr>
            <w:tcW w:w="4700" w:type="dxa"/>
          </w:tcPr>
          <w:p w14:paraId="256A5DB4">
            <w:pPr>
              <w:pStyle w:val="21"/>
              <w:widowControl/>
              <w:adjustRightInd w:val="0"/>
              <w:snapToGrid w:val="0"/>
              <w:spacing w:line="520" w:lineRule="exact"/>
              <w:jc w:val="distribute"/>
              <w:rPr>
                <w:rFonts w:eastAsia="方正小标宋_GBK"/>
                <w:sz w:val="44"/>
                <w:szCs w:val="44"/>
              </w:rPr>
            </w:pPr>
            <w:r>
              <w:rPr>
                <w:rFonts w:hint="eastAsia" w:eastAsia="方正小标宋_GBK"/>
                <w:sz w:val="44"/>
                <w:szCs w:val="44"/>
              </w:rPr>
              <w:t>城口县人民政府办公室</w:t>
            </w:r>
          </w:p>
        </w:tc>
      </w:tr>
    </w:tbl>
    <w:p w14:paraId="5B9CC240">
      <w:pPr>
        <w:pStyle w:val="21"/>
        <w:widowControl/>
        <w:adjustRightInd w:val="0"/>
        <w:snapToGrid w:val="0"/>
        <w:spacing w:line="520" w:lineRule="exact"/>
        <w:jc w:val="center"/>
        <w:rPr>
          <w:rFonts w:eastAsia="方正小标宋_GBK"/>
          <w:sz w:val="44"/>
          <w:szCs w:val="44"/>
        </w:rPr>
      </w:pPr>
      <w:r>
        <w:rPr>
          <w:rFonts w:hint="eastAsia" w:eastAsia="方正小标宋_GBK"/>
          <w:sz w:val="44"/>
          <w:szCs w:val="44"/>
        </w:rPr>
        <w:t>关于</w:t>
      </w:r>
      <w:r>
        <w:rPr>
          <w:rFonts w:eastAsia="方正小标宋_GBK"/>
          <w:sz w:val="44"/>
          <w:szCs w:val="44"/>
        </w:rPr>
        <w:t>印发《城口县实施乡村振兴战略规划</w:t>
      </w:r>
    </w:p>
    <w:p w14:paraId="437F5D89">
      <w:pPr>
        <w:pStyle w:val="21"/>
        <w:widowControl/>
        <w:adjustRightInd w:val="0"/>
        <w:snapToGrid w:val="0"/>
        <w:spacing w:line="520" w:lineRule="exact"/>
        <w:jc w:val="center"/>
        <w:rPr>
          <w:rFonts w:eastAsia="方正小标宋_GBK"/>
          <w:sz w:val="44"/>
          <w:szCs w:val="44"/>
        </w:rPr>
      </w:pPr>
      <w:r>
        <w:rPr>
          <w:rFonts w:eastAsia="方正小标宋_GBK"/>
          <w:sz w:val="44"/>
          <w:szCs w:val="44"/>
        </w:rPr>
        <w:t>（2021—2025年）》的通知</w:t>
      </w:r>
    </w:p>
    <w:p w14:paraId="6D5E7F75">
      <w:pPr>
        <w:pStyle w:val="21"/>
        <w:widowControl/>
        <w:adjustRightInd w:val="0"/>
        <w:snapToGrid w:val="0"/>
        <w:spacing w:line="520" w:lineRule="exact"/>
        <w:jc w:val="center"/>
        <w:rPr>
          <w:rFonts w:eastAsia="方正楷体_GBK"/>
          <w:sz w:val="44"/>
          <w:szCs w:val="44"/>
        </w:rPr>
      </w:pPr>
    </w:p>
    <w:p w14:paraId="2802A6ED">
      <w:pPr>
        <w:adjustRightInd w:val="0"/>
        <w:snapToGrid w:val="0"/>
        <w:spacing w:line="560" w:lineRule="exact"/>
        <w:rPr>
          <w:rFonts w:eastAsia="方正楷体_GBK"/>
          <w:kern w:val="0"/>
          <w:szCs w:val="32"/>
        </w:rPr>
      </w:pPr>
      <w:r>
        <w:rPr>
          <w:rFonts w:hint="eastAsia" w:eastAsia="方正楷体_GBK"/>
          <w:kern w:val="0"/>
          <w:szCs w:val="32"/>
        </w:rPr>
        <w:t>各乡镇党委、街道党工委和乡镇人民政府、街道办事处，县委各部委，县级国家机关各部门，各人民团体，部分企业，有关单位</w:t>
      </w:r>
      <w:r>
        <w:rPr>
          <w:rFonts w:eastAsia="方正楷体_GBK"/>
          <w:kern w:val="0"/>
          <w:szCs w:val="32"/>
        </w:rPr>
        <w:t>：</w:t>
      </w:r>
    </w:p>
    <w:p w14:paraId="14D7E100">
      <w:pPr>
        <w:pStyle w:val="21"/>
        <w:widowControl/>
        <w:adjustRightInd w:val="0"/>
        <w:snapToGrid w:val="0"/>
        <w:spacing w:line="560" w:lineRule="exact"/>
        <w:ind w:firstLine="640" w:firstLineChars="200"/>
        <w:rPr>
          <w:rFonts w:eastAsia="方正楷体_GBK"/>
          <w:kern w:val="0"/>
          <w:sz w:val="32"/>
          <w:szCs w:val="32"/>
        </w:rPr>
      </w:pPr>
      <w:r>
        <w:rPr>
          <w:rFonts w:eastAsia="方正楷体_GBK"/>
          <w:kern w:val="0"/>
          <w:sz w:val="32"/>
          <w:szCs w:val="32"/>
        </w:rPr>
        <w:t>《城口县实施乡村振兴战略规划（2021—2025年）》已经</w:t>
      </w:r>
      <w:r>
        <w:rPr>
          <w:rFonts w:hint="eastAsia" w:eastAsia="方正楷体_GBK"/>
          <w:kern w:val="0"/>
          <w:sz w:val="32"/>
          <w:szCs w:val="32"/>
        </w:rPr>
        <w:t>县委、县政府同意</w:t>
      </w:r>
      <w:r>
        <w:rPr>
          <w:rFonts w:eastAsia="方正楷体_GBK"/>
          <w:kern w:val="0"/>
          <w:sz w:val="32"/>
          <w:szCs w:val="32"/>
        </w:rPr>
        <w:t>，现印发给你们，请遵照执行。</w:t>
      </w:r>
    </w:p>
    <w:p w14:paraId="75967F5B">
      <w:pPr>
        <w:pStyle w:val="21"/>
        <w:widowControl/>
        <w:adjustRightInd w:val="0"/>
        <w:snapToGrid w:val="0"/>
        <w:spacing w:line="560" w:lineRule="exact"/>
        <w:jc w:val="right"/>
        <w:rPr>
          <w:rFonts w:eastAsia="方正楷体_GBK"/>
          <w:kern w:val="0"/>
          <w:sz w:val="32"/>
          <w:szCs w:val="32"/>
        </w:rPr>
      </w:pPr>
    </w:p>
    <w:p w14:paraId="7785BBCF">
      <w:pPr>
        <w:pStyle w:val="21"/>
        <w:widowControl/>
        <w:adjustRightInd w:val="0"/>
        <w:snapToGrid w:val="0"/>
        <w:spacing w:line="560" w:lineRule="exact"/>
        <w:ind w:right="586" w:firstLine="54" w:firstLineChars="15"/>
        <w:jc w:val="right"/>
        <w:rPr>
          <w:rFonts w:eastAsia="方正楷体_GBK"/>
          <w:spacing w:val="20"/>
          <w:kern w:val="0"/>
          <w:sz w:val="32"/>
          <w:szCs w:val="32"/>
        </w:rPr>
      </w:pPr>
      <w:r>
        <w:rPr>
          <w:rFonts w:hint="eastAsia" w:eastAsia="方正楷体_GBK"/>
          <w:spacing w:val="20"/>
          <w:kern w:val="0"/>
          <w:sz w:val="32"/>
          <w:szCs w:val="32"/>
        </w:rPr>
        <w:t xml:space="preserve">中共城口县委办公室       </w:t>
      </w:r>
    </w:p>
    <w:p w14:paraId="02E48780">
      <w:pPr>
        <w:pStyle w:val="21"/>
        <w:widowControl/>
        <w:adjustRightInd w:val="0"/>
        <w:snapToGrid w:val="0"/>
        <w:spacing w:line="560" w:lineRule="exact"/>
        <w:ind w:right="632"/>
        <w:jc w:val="right"/>
        <w:rPr>
          <w:rFonts w:eastAsia="方正楷体_GBK"/>
          <w:kern w:val="0"/>
          <w:sz w:val="32"/>
          <w:szCs w:val="32"/>
        </w:rPr>
      </w:pPr>
      <w:r>
        <w:rPr>
          <w:rFonts w:eastAsia="方正楷体_GBK"/>
          <w:kern w:val="0"/>
          <w:sz w:val="32"/>
          <w:szCs w:val="32"/>
        </w:rPr>
        <w:t xml:space="preserve">城口县人民政府办公室      </w:t>
      </w:r>
    </w:p>
    <w:p w14:paraId="1E2FE7CB">
      <w:pPr>
        <w:pStyle w:val="21"/>
        <w:widowControl/>
        <w:adjustRightInd w:val="0"/>
        <w:snapToGrid w:val="0"/>
        <w:spacing w:line="360" w:lineRule="auto"/>
        <w:ind w:firstLine="4800" w:firstLineChars="1500"/>
        <w:rPr>
          <w:rFonts w:eastAsia="黑体"/>
          <w:kern w:val="0"/>
          <w:sz w:val="52"/>
          <w:szCs w:val="52"/>
        </w:rPr>
      </w:pPr>
      <w:r>
        <w:rPr>
          <w:rFonts w:eastAsia="方正楷体_GBK"/>
          <w:kern w:val="0"/>
          <w:sz w:val="32"/>
          <w:szCs w:val="32"/>
        </w:rPr>
        <w:t>2021年</w:t>
      </w:r>
      <w:r>
        <w:rPr>
          <w:rFonts w:hint="eastAsia" w:eastAsia="方正楷体_GBK"/>
          <w:kern w:val="0"/>
          <w:sz w:val="32"/>
          <w:szCs w:val="32"/>
        </w:rPr>
        <w:t>12</w:t>
      </w:r>
      <w:r>
        <w:rPr>
          <w:rFonts w:eastAsia="方正楷体_GBK"/>
          <w:kern w:val="0"/>
          <w:sz w:val="32"/>
          <w:szCs w:val="32"/>
        </w:rPr>
        <w:t>月</w:t>
      </w:r>
      <w:r>
        <w:rPr>
          <w:rFonts w:hint="eastAsia" w:eastAsia="方正楷体_GBK"/>
          <w:kern w:val="0"/>
          <w:sz w:val="32"/>
          <w:szCs w:val="32"/>
        </w:rPr>
        <w:t>14</w:t>
      </w:r>
      <w:r>
        <w:rPr>
          <w:rFonts w:eastAsia="方正楷体_GBK"/>
          <w:kern w:val="0"/>
          <w:sz w:val="32"/>
          <w:szCs w:val="32"/>
        </w:rPr>
        <w:t xml:space="preserve">日  </w:t>
      </w:r>
    </w:p>
    <w:p w14:paraId="1D22BAA7">
      <w:pPr>
        <w:pStyle w:val="21"/>
        <w:widowControl/>
        <w:adjustRightInd w:val="0"/>
        <w:snapToGrid w:val="0"/>
        <w:spacing w:line="360" w:lineRule="auto"/>
        <w:rPr>
          <w:rFonts w:eastAsia="黑体"/>
          <w:kern w:val="0"/>
          <w:sz w:val="52"/>
          <w:szCs w:val="52"/>
        </w:rPr>
      </w:pPr>
    </w:p>
    <w:p w14:paraId="1FE78E97">
      <w:pPr>
        <w:pStyle w:val="21"/>
        <w:widowControl/>
        <w:adjustRightInd w:val="0"/>
        <w:snapToGrid w:val="0"/>
        <w:spacing w:line="360" w:lineRule="auto"/>
        <w:rPr>
          <w:rFonts w:eastAsia="黑体"/>
          <w:kern w:val="0"/>
          <w:sz w:val="52"/>
          <w:szCs w:val="52"/>
        </w:rPr>
      </w:pPr>
    </w:p>
    <w:p w14:paraId="182E608D">
      <w:pPr>
        <w:pStyle w:val="21"/>
        <w:widowControl/>
        <w:adjustRightInd w:val="0"/>
        <w:snapToGrid w:val="0"/>
        <w:spacing w:line="360" w:lineRule="auto"/>
        <w:rPr>
          <w:rFonts w:eastAsia="黑体"/>
          <w:kern w:val="0"/>
          <w:sz w:val="52"/>
          <w:szCs w:val="52"/>
        </w:rPr>
      </w:pPr>
    </w:p>
    <w:p w14:paraId="680EA31C">
      <w:pPr>
        <w:pStyle w:val="21"/>
        <w:widowControl/>
        <w:adjustRightInd w:val="0"/>
        <w:snapToGrid w:val="0"/>
        <w:spacing w:line="360" w:lineRule="auto"/>
        <w:rPr>
          <w:rFonts w:eastAsia="黑体"/>
          <w:kern w:val="0"/>
          <w:sz w:val="52"/>
          <w:szCs w:val="52"/>
        </w:rPr>
      </w:pPr>
    </w:p>
    <w:p w14:paraId="3B4E6339">
      <w:pPr>
        <w:pStyle w:val="21"/>
        <w:widowControl/>
        <w:adjustRightInd w:val="0"/>
        <w:snapToGrid w:val="0"/>
        <w:spacing w:line="360" w:lineRule="auto"/>
        <w:rPr>
          <w:rStyle w:val="38"/>
          <w:rFonts w:ascii="Times New Roman" w:hAnsi="Times New Roman" w:eastAsia="黑体" w:cs="Times New Roman"/>
          <w:b w:val="0"/>
          <w:bCs w:val="0"/>
          <w:kern w:val="0"/>
          <w:sz w:val="52"/>
          <w:szCs w:val="52"/>
        </w:rPr>
      </w:pPr>
      <w:r>
        <w:rPr>
          <w:rFonts w:eastAsia="黑体"/>
          <w:kern w:val="0"/>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38"/>
          <w:rFonts w:ascii="Times New Roman" w:hAnsi="Times New Roman" w:eastAsia="黑体" w:cs="Times New Roman"/>
          <w:b w:val="0"/>
          <w:bCs w:val="0"/>
          <w:kern w:val="0"/>
          <w:sz w:val="52"/>
          <w:szCs w:val="52"/>
        </w:rPr>
        <w:instrText xml:space="preserve">ADDIN CNKISM.UserStyle</w:instrText>
      </w:r>
      <w:r>
        <w:rPr>
          <w:rFonts w:eastAsia="黑体"/>
          <w:kern w:val="0"/>
          <w:sz w:val="52"/>
          <w:szCs w:val="52"/>
        </w:rPr>
        <w:fldChar w:fldCharType="end"/>
      </w:r>
    </w:p>
    <w:p w14:paraId="01895F0D">
      <w:pPr>
        <w:pStyle w:val="21"/>
        <w:widowControl/>
        <w:adjustRightInd w:val="0"/>
        <w:snapToGrid w:val="0"/>
        <w:spacing w:line="360" w:lineRule="auto"/>
        <w:jc w:val="center"/>
        <w:rPr>
          <w:rStyle w:val="38"/>
          <w:rFonts w:ascii="Times New Roman" w:hAnsi="Times New Roman" w:eastAsia="方正小标宋_GBK" w:cs="Times New Roman"/>
          <w:b w:val="0"/>
          <w:bCs w:val="0"/>
          <w:kern w:val="0"/>
          <w:sz w:val="44"/>
          <w:szCs w:val="44"/>
        </w:rPr>
      </w:pPr>
      <w:r>
        <w:rPr>
          <w:rStyle w:val="38"/>
          <w:rFonts w:ascii="Times New Roman" w:hAnsi="Times New Roman" w:eastAsia="方正小标宋_GBK" w:cs="Times New Roman"/>
          <w:b w:val="0"/>
          <w:bCs w:val="0"/>
          <w:kern w:val="0"/>
          <w:sz w:val="44"/>
          <w:szCs w:val="44"/>
        </w:rPr>
        <w:t>城口县实施乡村振兴战略规划</w:t>
      </w:r>
    </w:p>
    <w:p w14:paraId="6B4712CB">
      <w:pPr>
        <w:pStyle w:val="21"/>
        <w:widowControl/>
        <w:adjustRightInd w:val="0"/>
        <w:snapToGrid w:val="0"/>
        <w:spacing w:line="360" w:lineRule="auto"/>
        <w:jc w:val="center"/>
        <w:rPr>
          <w:rFonts w:eastAsia="方正小标宋_GBK"/>
          <w:sz w:val="44"/>
          <w:szCs w:val="44"/>
        </w:rPr>
      </w:pPr>
      <w:r>
        <w:rPr>
          <w:rStyle w:val="38"/>
          <w:rFonts w:ascii="Times New Roman" w:hAnsi="Times New Roman" w:eastAsia="方正小标宋_GBK" w:cs="Times New Roman"/>
          <w:b w:val="0"/>
          <w:bCs w:val="0"/>
          <w:kern w:val="0"/>
          <w:sz w:val="44"/>
          <w:szCs w:val="44"/>
        </w:rPr>
        <w:t>（2021—2025年）</w:t>
      </w:r>
    </w:p>
    <w:p w14:paraId="24872195">
      <w:pPr>
        <w:spacing w:line="480" w:lineRule="exact"/>
        <w:rPr>
          <w:rFonts w:eastAsia="儷宋 Pro"/>
          <w:sz w:val="28"/>
          <w:szCs w:val="28"/>
        </w:rPr>
      </w:pPr>
    </w:p>
    <w:p w14:paraId="2E0BBCBE">
      <w:pPr>
        <w:spacing w:line="480" w:lineRule="exact"/>
        <w:rPr>
          <w:rFonts w:eastAsia="儷宋 Pro"/>
          <w:sz w:val="28"/>
          <w:szCs w:val="28"/>
        </w:rPr>
      </w:pPr>
    </w:p>
    <w:p w14:paraId="7E0C4E38">
      <w:pPr>
        <w:spacing w:line="480" w:lineRule="exact"/>
        <w:rPr>
          <w:rFonts w:eastAsia="儷宋 Pro"/>
          <w:sz w:val="28"/>
          <w:szCs w:val="28"/>
        </w:rPr>
      </w:pPr>
    </w:p>
    <w:p w14:paraId="6CF43819">
      <w:pPr>
        <w:spacing w:line="480" w:lineRule="exact"/>
        <w:rPr>
          <w:rFonts w:eastAsia="儷宋 Pro"/>
          <w:sz w:val="28"/>
          <w:szCs w:val="28"/>
        </w:rPr>
      </w:pPr>
    </w:p>
    <w:p w14:paraId="5ADCC118">
      <w:pPr>
        <w:pStyle w:val="4"/>
        <w:rPr>
          <w:rFonts w:eastAsia="儷宋 Pro"/>
          <w:bCs w:val="0"/>
          <w:sz w:val="28"/>
          <w:szCs w:val="28"/>
        </w:rPr>
      </w:pPr>
    </w:p>
    <w:p w14:paraId="41596C55"/>
    <w:p w14:paraId="4164EB59">
      <w:pPr>
        <w:spacing w:line="480" w:lineRule="exact"/>
        <w:rPr>
          <w:rFonts w:eastAsia="儷宋 Pro"/>
          <w:sz w:val="28"/>
          <w:szCs w:val="28"/>
        </w:rPr>
      </w:pPr>
    </w:p>
    <w:p w14:paraId="4A7FFAE3">
      <w:pPr>
        <w:spacing w:line="480" w:lineRule="exact"/>
        <w:rPr>
          <w:rFonts w:eastAsia="儷宋 Pro"/>
          <w:sz w:val="28"/>
          <w:szCs w:val="28"/>
        </w:rPr>
      </w:pPr>
    </w:p>
    <w:p w14:paraId="1C4F008C">
      <w:pPr>
        <w:spacing w:line="480" w:lineRule="exact"/>
        <w:rPr>
          <w:rFonts w:eastAsia="儷宋 Pro"/>
          <w:sz w:val="28"/>
          <w:szCs w:val="28"/>
        </w:rPr>
      </w:pPr>
    </w:p>
    <w:p w14:paraId="254E2657">
      <w:pPr>
        <w:spacing w:line="480" w:lineRule="exact"/>
        <w:rPr>
          <w:rFonts w:eastAsia="儷宋 Pro"/>
          <w:sz w:val="28"/>
          <w:szCs w:val="28"/>
        </w:rPr>
      </w:pPr>
    </w:p>
    <w:p w14:paraId="294CF36D">
      <w:pPr>
        <w:adjustRightInd w:val="0"/>
        <w:snapToGrid w:val="0"/>
        <w:spacing w:line="480" w:lineRule="exact"/>
        <w:rPr>
          <w:rFonts w:eastAsia="宋体"/>
          <w:sz w:val="28"/>
          <w:szCs w:val="28"/>
        </w:rPr>
      </w:pPr>
    </w:p>
    <w:p w14:paraId="2DEAFE10">
      <w:pPr>
        <w:adjustRightInd w:val="0"/>
        <w:snapToGrid w:val="0"/>
        <w:spacing w:line="480" w:lineRule="exact"/>
        <w:rPr>
          <w:rFonts w:eastAsia="宋体"/>
          <w:sz w:val="28"/>
          <w:szCs w:val="28"/>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1"/>
      </w:tblGrid>
      <w:tr w14:paraId="5943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01" w:type="dxa"/>
          </w:tcPr>
          <w:p w14:paraId="2437E97A">
            <w:pPr>
              <w:adjustRightInd w:val="0"/>
              <w:snapToGrid w:val="0"/>
              <w:spacing w:line="480" w:lineRule="exact"/>
              <w:jc w:val="distribute"/>
              <w:rPr>
                <w:rFonts w:eastAsia="宋体"/>
                <w:sz w:val="28"/>
                <w:szCs w:val="28"/>
              </w:rPr>
            </w:pPr>
            <w:r>
              <w:rPr>
                <w:rFonts w:eastAsia="方正黑体_GBK"/>
                <w:szCs w:val="32"/>
              </w:rPr>
              <w:t>城口县农业农村委员会</w:t>
            </w:r>
          </w:p>
        </w:tc>
      </w:tr>
      <w:tr w14:paraId="1E34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01" w:type="dxa"/>
          </w:tcPr>
          <w:p w14:paraId="3225DBC3">
            <w:pPr>
              <w:adjustRightInd w:val="0"/>
              <w:snapToGrid w:val="0"/>
              <w:spacing w:line="480" w:lineRule="exact"/>
              <w:jc w:val="distribute"/>
              <w:rPr>
                <w:rFonts w:eastAsia="宋体"/>
                <w:sz w:val="28"/>
                <w:szCs w:val="28"/>
              </w:rPr>
            </w:pPr>
            <w:r>
              <w:rPr>
                <w:rFonts w:eastAsia="方正黑体_GBK"/>
                <w:szCs w:val="32"/>
              </w:rPr>
              <w:t>西南大学中国乡村建设学院</w:t>
            </w:r>
          </w:p>
        </w:tc>
      </w:tr>
      <w:tr w14:paraId="2C11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01" w:type="dxa"/>
          </w:tcPr>
          <w:p w14:paraId="7F8249E1">
            <w:pPr>
              <w:adjustRightInd w:val="0"/>
              <w:snapToGrid w:val="0"/>
              <w:spacing w:line="480" w:lineRule="exact"/>
              <w:jc w:val="center"/>
              <w:rPr>
                <w:rFonts w:eastAsia="宋体"/>
                <w:sz w:val="28"/>
                <w:szCs w:val="28"/>
              </w:rPr>
            </w:pPr>
            <w:r>
              <w:rPr>
                <w:rFonts w:eastAsia="方正黑体_GBK"/>
                <w:szCs w:val="32"/>
              </w:rPr>
              <w:t>2021年</w:t>
            </w:r>
            <w:r>
              <w:rPr>
                <w:rFonts w:hint="eastAsia" w:eastAsia="方正黑体_GBK"/>
                <w:szCs w:val="32"/>
              </w:rPr>
              <w:t>9</w:t>
            </w:r>
            <w:r>
              <w:rPr>
                <w:rFonts w:eastAsia="方正黑体_GBK"/>
                <w:szCs w:val="32"/>
              </w:rPr>
              <w:t>月</w:t>
            </w:r>
          </w:p>
        </w:tc>
      </w:tr>
    </w:tbl>
    <w:p w14:paraId="44E14337">
      <w:pPr>
        <w:adjustRightInd w:val="0"/>
        <w:snapToGrid w:val="0"/>
        <w:spacing w:line="480" w:lineRule="exact"/>
        <w:ind w:firstLine="640" w:firstLineChars="200"/>
        <w:jc w:val="center"/>
        <w:rPr>
          <w:rFonts w:eastAsia="宋体"/>
          <w:szCs w:val="32"/>
        </w:rPr>
        <w:sectPr>
          <w:headerReference r:id="rId3" w:type="default"/>
          <w:footerReference r:id="rId4" w:type="default"/>
          <w:footerReference r:id="rId5" w:type="even"/>
          <w:type w:val="continuous"/>
          <w:pgSz w:w="11906" w:h="16838"/>
          <w:pgMar w:top="1440" w:right="1800" w:bottom="1440" w:left="1800" w:header="851" w:footer="992" w:gutter="0"/>
          <w:cols w:space="720" w:num="1"/>
          <w:docGrid w:type="lines" w:linePitch="312" w:charSpace="0"/>
        </w:sectPr>
      </w:pPr>
    </w:p>
    <w:p w14:paraId="735EDF4C">
      <w:pPr>
        <w:pStyle w:val="41"/>
        <w:spacing w:line="480" w:lineRule="exact"/>
        <w:jc w:val="center"/>
        <w:rPr>
          <w:rFonts w:ascii="Times New Roman" w:hAnsi="Times New Roman"/>
          <w:b w:val="0"/>
          <w:bCs w:val="0"/>
          <w:color w:val="auto"/>
          <w:lang w:val="zh-CN"/>
        </w:rPr>
      </w:pPr>
      <w:bookmarkStart w:id="0" w:name="_Toc28260"/>
      <w:bookmarkStart w:id="1" w:name="_Toc8648"/>
      <w:bookmarkStart w:id="2" w:name="_Toc1511"/>
      <w:bookmarkStart w:id="3" w:name="_Toc17203"/>
      <w:r>
        <w:rPr>
          <w:rFonts w:ascii="Times New Roman" w:hAnsi="Times New Roman" w:eastAsia="微软雅黑"/>
          <w:b w:val="0"/>
          <w:bCs w:val="0"/>
          <w:color w:val="auto"/>
          <w:lang w:val="zh-CN"/>
        </w:rPr>
        <w:t>目   录</w:t>
      </w:r>
      <w:bookmarkEnd w:id="0"/>
      <w:bookmarkEnd w:id="1"/>
      <w:bookmarkEnd w:id="2"/>
      <w:bookmarkEnd w:id="3"/>
    </w:p>
    <w:p w14:paraId="24236966">
      <w:pPr>
        <w:pStyle w:val="15"/>
        <w:tabs>
          <w:tab w:val="right" w:leader="dot" w:pos="8306"/>
        </w:tabs>
        <w:spacing w:line="480" w:lineRule="exact"/>
        <w:rPr>
          <w:sz w:val="28"/>
        </w:rPr>
      </w:pPr>
      <w:r>
        <w:rPr>
          <w:sz w:val="28"/>
        </w:rPr>
        <w:fldChar w:fldCharType="begin"/>
      </w:r>
      <w:r>
        <w:rPr>
          <w:sz w:val="28"/>
        </w:rPr>
        <w:instrText xml:space="preserve"> TOC \o "1-3" \h \z \u </w:instrText>
      </w:r>
      <w:r>
        <w:rPr>
          <w:sz w:val="28"/>
        </w:rPr>
        <w:fldChar w:fldCharType="separate"/>
      </w:r>
      <w:r>
        <w:fldChar w:fldCharType="begin"/>
      </w:r>
      <w:r>
        <w:instrText xml:space="preserve"> HYPERLINK \l "_Toc2801" </w:instrText>
      </w:r>
      <w:r>
        <w:fldChar w:fldCharType="separate"/>
      </w:r>
      <w:r>
        <w:rPr>
          <w:rFonts w:eastAsia="黑体"/>
          <w:sz w:val="28"/>
          <w:szCs w:val="36"/>
        </w:rPr>
        <w:t>前  言</w:t>
      </w:r>
      <w:r>
        <w:rPr>
          <w:sz w:val="28"/>
        </w:rPr>
        <w:tab/>
      </w:r>
      <w:r>
        <w:rPr>
          <w:sz w:val="28"/>
        </w:rPr>
        <w:fldChar w:fldCharType="begin"/>
      </w:r>
      <w:r>
        <w:rPr>
          <w:sz w:val="28"/>
        </w:rPr>
        <w:instrText xml:space="preserve"> PAGEREF _Toc2801 \h </w:instrText>
      </w:r>
      <w:r>
        <w:rPr>
          <w:sz w:val="28"/>
        </w:rPr>
        <w:fldChar w:fldCharType="separate"/>
      </w:r>
      <w:r>
        <w:rPr>
          <w:sz w:val="28"/>
        </w:rPr>
        <w:t>1</w:t>
      </w:r>
      <w:r>
        <w:rPr>
          <w:sz w:val="28"/>
        </w:rPr>
        <w:fldChar w:fldCharType="end"/>
      </w:r>
      <w:r>
        <w:rPr>
          <w:sz w:val="28"/>
        </w:rPr>
        <w:fldChar w:fldCharType="end"/>
      </w:r>
    </w:p>
    <w:p w14:paraId="047B10BF">
      <w:pPr>
        <w:pStyle w:val="15"/>
        <w:tabs>
          <w:tab w:val="right" w:leader="dot" w:pos="8306"/>
        </w:tabs>
        <w:spacing w:line="480" w:lineRule="exact"/>
        <w:rPr>
          <w:sz w:val="28"/>
        </w:rPr>
      </w:pPr>
      <w:r>
        <w:fldChar w:fldCharType="begin"/>
      </w:r>
      <w:r>
        <w:instrText xml:space="preserve"> HYPERLINK \l "_Toc9029" </w:instrText>
      </w:r>
      <w:r>
        <w:fldChar w:fldCharType="separate"/>
      </w:r>
      <w:r>
        <w:rPr>
          <w:rFonts w:eastAsia="方正黑体_GBK"/>
          <w:sz w:val="28"/>
          <w:szCs w:val="44"/>
        </w:rPr>
        <w:t>第一篇  规划背景</w:t>
      </w:r>
      <w:r>
        <w:rPr>
          <w:sz w:val="28"/>
        </w:rPr>
        <w:tab/>
      </w:r>
      <w:r>
        <w:rPr>
          <w:sz w:val="28"/>
        </w:rPr>
        <w:fldChar w:fldCharType="begin"/>
      </w:r>
      <w:r>
        <w:rPr>
          <w:sz w:val="28"/>
        </w:rPr>
        <w:instrText xml:space="preserve"> PAGEREF _Toc9029 \h </w:instrText>
      </w:r>
      <w:r>
        <w:rPr>
          <w:sz w:val="28"/>
        </w:rPr>
        <w:fldChar w:fldCharType="separate"/>
      </w:r>
      <w:r>
        <w:rPr>
          <w:sz w:val="28"/>
        </w:rPr>
        <w:t>2</w:t>
      </w:r>
      <w:r>
        <w:rPr>
          <w:sz w:val="28"/>
        </w:rPr>
        <w:fldChar w:fldCharType="end"/>
      </w:r>
      <w:r>
        <w:rPr>
          <w:sz w:val="28"/>
        </w:rPr>
        <w:fldChar w:fldCharType="end"/>
      </w:r>
    </w:p>
    <w:p w14:paraId="24FFC870">
      <w:pPr>
        <w:pStyle w:val="18"/>
        <w:tabs>
          <w:tab w:val="right" w:leader="dot" w:pos="8306"/>
        </w:tabs>
        <w:spacing w:line="480" w:lineRule="exact"/>
        <w:ind w:left="640"/>
        <w:rPr>
          <w:rFonts w:eastAsia="方正楷体_GBK"/>
          <w:sz w:val="28"/>
        </w:rPr>
      </w:pPr>
      <w:r>
        <w:fldChar w:fldCharType="begin"/>
      </w:r>
      <w:r>
        <w:instrText xml:space="preserve"> HYPERLINK \l "_Toc21276" </w:instrText>
      </w:r>
      <w:r>
        <w:fldChar w:fldCharType="separate"/>
      </w:r>
      <w:r>
        <w:rPr>
          <w:rFonts w:eastAsia="方正楷体_GBK"/>
          <w:sz w:val="28"/>
          <w:szCs w:val="36"/>
        </w:rPr>
        <w:t>第一章  重大意义</w:t>
      </w:r>
      <w:r>
        <w:rPr>
          <w:rFonts w:eastAsia="方正楷体_GBK"/>
          <w:sz w:val="28"/>
        </w:rPr>
        <w:tab/>
      </w:r>
      <w:r>
        <w:rPr>
          <w:rFonts w:eastAsia="方正楷体_GBK"/>
          <w:sz w:val="28"/>
        </w:rPr>
        <w:fldChar w:fldCharType="begin"/>
      </w:r>
      <w:r>
        <w:rPr>
          <w:rFonts w:eastAsia="方正楷体_GBK"/>
          <w:sz w:val="28"/>
        </w:rPr>
        <w:instrText xml:space="preserve"> PAGEREF _Toc21276 \h </w:instrText>
      </w:r>
      <w:r>
        <w:rPr>
          <w:rFonts w:eastAsia="方正楷体_GBK"/>
          <w:sz w:val="28"/>
        </w:rPr>
        <w:fldChar w:fldCharType="separate"/>
      </w:r>
      <w:r>
        <w:rPr>
          <w:rFonts w:eastAsia="方正楷体_GBK"/>
          <w:sz w:val="28"/>
        </w:rPr>
        <w:t>2</w:t>
      </w:r>
      <w:r>
        <w:rPr>
          <w:rFonts w:eastAsia="方正楷体_GBK"/>
          <w:sz w:val="28"/>
        </w:rPr>
        <w:fldChar w:fldCharType="end"/>
      </w:r>
      <w:r>
        <w:rPr>
          <w:rFonts w:eastAsia="方正楷体_GBK"/>
          <w:sz w:val="28"/>
        </w:rPr>
        <w:fldChar w:fldCharType="end"/>
      </w:r>
    </w:p>
    <w:p w14:paraId="5A353309">
      <w:pPr>
        <w:pStyle w:val="18"/>
        <w:tabs>
          <w:tab w:val="right" w:leader="dot" w:pos="8306"/>
        </w:tabs>
        <w:spacing w:line="480" w:lineRule="exact"/>
        <w:ind w:left="640"/>
        <w:rPr>
          <w:sz w:val="28"/>
        </w:rPr>
      </w:pPr>
      <w:r>
        <w:fldChar w:fldCharType="begin"/>
      </w:r>
      <w:r>
        <w:instrText xml:space="preserve"> HYPERLINK \l "_Toc23186" </w:instrText>
      </w:r>
      <w:r>
        <w:fldChar w:fldCharType="separate"/>
      </w:r>
      <w:r>
        <w:rPr>
          <w:rFonts w:eastAsia="方正楷体_GBK"/>
          <w:sz w:val="28"/>
          <w:szCs w:val="36"/>
        </w:rPr>
        <w:t>第二章  实施环境</w:t>
      </w:r>
      <w:r>
        <w:rPr>
          <w:rFonts w:eastAsia="方正楷体_GBK"/>
          <w:sz w:val="28"/>
        </w:rPr>
        <w:tab/>
      </w:r>
      <w:r>
        <w:rPr>
          <w:rFonts w:eastAsia="方正楷体_GBK"/>
          <w:sz w:val="28"/>
        </w:rPr>
        <w:fldChar w:fldCharType="begin"/>
      </w:r>
      <w:r>
        <w:rPr>
          <w:rFonts w:eastAsia="方正楷体_GBK"/>
          <w:sz w:val="28"/>
        </w:rPr>
        <w:instrText xml:space="preserve"> PAGEREF _Toc23186 \h </w:instrText>
      </w:r>
      <w:r>
        <w:rPr>
          <w:rFonts w:eastAsia="方正楷体_GBK"/>
          <w:sz w:val="28"/>
        </w:rPr>
        <w:fldChar w:fldCharType="separate"/>
      </w:r>
      <w:r>
        <w:rPr>
          <w:rFonts w:eastAsia="方正楷体_GBK"/>
          <w:sz w:val="28"/>
        </w:rPr>
        <w:t>4</w:t>
      </w:r>
      <w:r>
        <w:rPr>
          <w:rFonts w:eastAsia="方正楷体_GBK"/>
          <w:sz w:val="28"/>
        </w:rPr>
        <w:fldChar w:fldCharType="end"/>
      </w:r>
      <w:r>
        <w:rPr>
          <w:rFonts w:eastAsia="方正楷体_GBK"/>
          <w:sz w:val="28"/>
        </w:rPr>
        <w:fldChar w:fldCharType="end"/>
      </w:r>
    </w:p>
    <w:p w14:paraId="35376DDA">
      <w:pPr>
        <w:pStyle w:val="15"/>
        <w:tabs>
          <w:tab w:val="right" w:leader="dot" w:pos="8306"/>
        </w:tabs>
        <w:spacing w:line="480" w:lineRule="exact"/>
        <w:rPr>
          <w:sz w:val="28"/>
        </w:rPr>
      </w:pPr>
      <w:r>
        <w:fldChar w:fldCharType="begin"/>
      </w:r>
      <w:r>
        <w:instrText xml:space="preserve"> HYPERLINK \l "_Toc15088" </w:instrText>
      </w:r>
      <w:r>
        <w:fldChar w:fldCharType="separate"/>
      </w:r>
      <w:r>
        <w:rPr>
          <w:rFonts w:eastAsia="方正黑体_GBK"/>
          <w:sz w:val="28"/>
          <w:szCs w:val="44"/>
        </w:rPr>
        <w:t>第二篇  总体要求</w:t>
      </w:r>
      <w:r>
        <w:rPr>
          <w:sz w:val="28"/>
        </w:rPr>
        <w:tab/>
      </w:r>
      <w:r>
        <w:rPr>
          <w:sz w:val="28"/>
        </w:rPr>
        <w:fldChar w:fldCharType="begin"/>
      </w:r>
      <w:r>
        <w:rPr>
          <w:sz w:val="28"/>
        </w:rPr>
        <w:instrText xml:space="preserve"> PAGEREF _Toc15088 \h </w:instrText>
      </w:r>
      <w:r>
        <w:rPr>
          <w:sz w:val="28"/>
        </w:rPr>
        <w:fldChar w:fldCharType="separate"/>
      </w:r>
      <w:r>
        <w:rPr>
          <w:sz w:val="28"/>
        </w:rPr>
        <w:t>5</w:t>
      </w:r>
      <w:r>
        <w:rPr>
          <w:sz w:val="28"/>
        </w:rPr>
        <w:fldChar w:fldCharType="end"/>
      </w:r>
      <w:r>
        <w:rPr>
          <w:sz w:val="28"/>
        </w:rPr>
        <w:fldChar w:fldCharType="end"/>
      </w:r>
    </w:p>
    <w:p w14:paraId="4AA9CDFD">
      <w:pPr>
        <w:pStyle w:val="18"/>
        <w:tabs>
          <w:tab w:val="right" w:leader="dot" w:pos="8306"/>
        </w:tabs>
        <w:spacing w:line="480" w:lineRule="exact"/>
        <w:ind w:left="640"/>
        <w:rPr>
          <w:rFonts w:eastAsia="方正楷体_GBK"/>
          <w:sz w:val="28"/>
        </w:rPr>
      </w:pPr>
      <w:r>
        <w:fldChar w:fldCharType="begin"/>
      </w:r>
      <w:r>
        <w:instrText xml:space="preserve"> HYPERLINK \l "_Toc17033" </w:instrText>
      </w:r>
      <w:r>
        <w:fldChar w:fldCharType="separate"/>
      </w:r>
      <w:r>
        <w:rPr>
          <w:rFonts w:eastAsia="方正楷体_GBK"/>
          <w:sz w:val="28"/>
          <w:szCs w:val="36"/>
        </w:rPr>
        <w:t>第三章  指导思想</w:t>
      </w:r>
      <w:r>
        <w:rPr>
          <w:rFonts w:eastAsia="方正楷体_GBK"/>
          <w:sz w:val="28"/>
        </w:rPr>
        <w:tab/>
      </w:r>
      <w:r>
        <w:rPr>
          <w:rFonts w:eastAsia="方正楷体_GBK"/>
          <w:sz w:val="28"/>
        </w:rPr>
        <w:fldChar w:fldCharType="begin"/>
      </w:r>
      <w:r>
        <w:rPr>
          <w:rFonts w:eastAsia="方正楷体_GBK"/>
          <w:sz w:val="28"/>
        </w:rPr>
        <w:instrText xml:space="preserve"> PAGEREF _Toc17033 \h </w:instrText>
      </w:r>
      <w:r>
        <w:rPr>
          <w:rFonts w:eastAsia="方正楷体_GBK"/>
          <w:sz w:val="28"/>
        </w:rPr>
        <w:fldChar w:fldCharType="separate"/>
      </w:r>
      <w:r>
        <w:rPr>
          <w:rFonts w:eastAsia="方正楷体_GBK"/>
          <w:sz w:val="28"/>
        </w:rPr>
        <w:t>5</w:t>
      </w:r>
      <w:r>
        <w:rPr>
          <w:rFonts w:eastAsia="方正楷体_GBK"/>
          <w:sz w:val="28"/>
        </w:rPr>
        <w:fldChar w:fldCharType="end"/>
      </w:r>
      <w:r>
        <w:rPr>
          <w:rFonts w:eastAsia="方正楷体_GBK"/>
          <w:sz w:val="28"/>
        </w:rPr>
        <w:fldChar w:fldCharType="end"/>
      </w:r>
    </w:p>
    <w:p w14:paraId="1DF4974F">
      <w:pPr>
        <w:pStyle w:val="18"/>
        <w:tabs>
          <w:tab w:val="right" w:leader="dot" w:pos="8306"/>
        </w:tabs>
        <w:spacing w:line="480" w:lineRule="exact"/>
        <w:ind w:left="640"/>
        <w:rPr>
          <w:rFonts w:eastAsia="方正楷体_GBK"/>
          <w:sz w:val="28"/>
        </w:rPr>
      </w:pPr>
      <w:r>
        <w:fldChar w:fldCharType="begin"/>
      </w:r>
      <w:r>
        <w:instrText xml:space="preserve"> HYPERLINK \l "_Toc19153" </w:instrText>
      </w:r>
      <w:r>
        <w:fldChar w:fldCharType="separate"/>
      </w:r>
      <w:r>
        <w:rPr>
          <w:rFonts w:eastAsia="方正楷体_GBK"/>
          <w:sz w:val="28"/>
          <w:szCs w:val="36"/>
        </w:rPr>
        <w:t>第四章  基本原则</w:t>
      </w:r>
      <w:r>
        <w:rPr>
          <w:rFonts w:eastAsia="方正楷体_GBK"/>
          <w:sz w:val="28"/>
        </w:rPr>
        <w:tab/>
      </w:r>
      <w:r>
        <w:rPr>
          <w:rFonts w:eastAsia="方正楷体_GBK"/>
          <w:sz w:val="28"/>
        </w:rPr>
        <w:fldChar w:fldCharType="begin"/>
      </w:r>
      <w:r>
        <w:rPr>
          <w:rFonts w:eastAsia="方正楷体_GBK"/>
          <w:sz w:val="28"/>
        </w:rPr>
        <w:instrText xml:space="preserve"> PAGEREF _Toc19153 \h </w:instrText>
      </w:r>
      <w:r>
        <w:rPr>
          <w:rFonts w:eastAsia="方正楷体_GBK"/>
          <w:sz w:val="28"/>
        </w:rPr>
        <w:fldChar w:fldCharType="separate"/>
      </w:r>
      <w:r>
        <w:rPr>
          <w:rFonts w:eastAsia="方正楷体_GBK"/>
          <w:sz w:val="28"/>
        </w:rPr>
        <w:t>6</w:t>
      </w:r>
      <w:r>
        <w:rPr>
          <w:rFonts w:eastAsia="方正楷体_GBK"/>
          <w:sz w:val="28"/>
        </w:rPr>
        <w:fldChar w:fldCharType="end"/>
      </w:r>
      <w:r>
        <w:rPr>
          <w:rFonts w:eastAsia="方正楷体_GBK"/>
          <w:sz w:val="28"/>
        </w:rPr>
        <w:fldChar w:fldCharType="end"/>
      </w:r>
    </w:p>
    <w:p w14:paraId="1180D49E">
      <w:pPr>
        <w:pStyle w:val="18"/>
        <w:tabs>
          <w:tab w:val="right" w:leader="dot" w:pos="8306"/>
        </w:tabs>
        <w:spacing w:line="480" w:lineRule="exact"/>
        <w:ind w:left="640"/>
        <w:rPr>
          <w:rFonts w:eastAsia="方正楷体_GBK"/>
          <w:sz w:val="28"/>
        </w:rPr>
      </w:pPr>
      <w:r>
        <w:fldChar w:fldCharType="begin"/>
      </w:r>
      <w:r>
        <w:instrText xml:space="preserve"> HYPERLINK \l "_Toc18736" </w:instrText>
      </w:r>
      <w:r>
        <w:fldChar w:fldCharType="separate"/>
      </w:r>
      <w:r>
        <w:rPr>
          <w:rFonts w:eastAsia="方正楷体_GBK"/>
          <w:sz w:val="28"/>
          <w:szCs w:val="36"/>
        </w:rPr>
        <w:t>第五章  战略定位与主要路径</w:t>
      </w:r>
      <w:r>
        <w:rPr>
          <w:rFonts w:eastAsia="方正楷体_GBK"/>
          <w:sz w:val="28"/>
        </w:rPr>
        <w:tab/>
      </w:r>
      <w:r>
        <w:rPr>
          <w:rFonts w:eastAsia="方正楷体_GBK"/>
          <w:sz w:val="28"/>
        </w:rPr>
        <w:fldChar w:fldCharType="begin"/>
      </w:r>
      <w:r>
        <w:rPr>
          <w:rFonts w:eastAsia="方正楷体_GBK"/>
          <w:sz w:val="28"/>
        </w:rPr>
        <w:instrText xml:space="preserve"> PAGEREF _Toc18736 \h </w:instrText>
      </w:r>
      <w:r>
        <w:rPr>
          <w:rFonts w:eastAsia="方正楷体_GBK"/>
          <w:sz w:val="28"/>
        </w:rPr>
        <w:fldChar w:fldCharType="separate"/>
      </w:r>
      <w:r>
        <w:rPr>
          <w:rFonts w:eastAsia="方正楷体_GBK"/>
          <w:sz w:val="28"/>
        </w:rPr>
        <w:t>6</w:t>
      </w:r>
      <w:r>
        <w:rPr>
          <w:rFonts w:eastAsia="方正楷体_GBK"/>
          <w:sz w:val="28"/>
        </w:rPr>
        <w:fldChar w:fldCharType="end"/>
      </w:r>
      <w:r>
        <w:rPr>
          <w:rFonts w:eastAsia="方正楷体_GBK"/>
          <w:sz w:val="28"/>
        </w:rPr>
        <w:fldChar w:fldCharType="end"/>
      </w:r>
    </w:p>
    <w:p w14:paraId="235A5DA8">
      <w:pPr>
        <w:pStyle w:val="18"/>
        <w:tabs>
          <w:tab w:val="right" w:leader="dot" w:pos="8306"/>
        </w:tabs>
        <w:spacing w:line="480" w:lineRule="exact"/>
        <w:ind w:left="640"/>
        <w:rPr>
          <w:sz w:val="28"/>
        </w:rPr>
      </w:pPr>
      <w:r>
        <w:fldChar w:fldCharType="begin"/>
      </w:r>
      <w:r>
        <w:instrText xml:space="preserve"> HYPERLINK \l "_Toc27417" </w:instrText>
      </w:r>
      <w:r>
        <w:fldChar w:fldCharType="separate"/>
      </w:r>
      <w:r>
        <w:rPr>
          <w:rFonts w:eastAsia="方正楷体_GBK"/>
          <w:sz w:val="28"/>
          <w:szCs w:val="36"/>
        </w:rPr>
        <w:t>第六章  发展目标</w:t>
      </w:r>
      <w:r>
        <w:rPr>
          <w:rFonts w:eastAsia="方正楷体_GBK"/>
          <w:sz w:val="28"/>
        </w:rPr>
        <w:tab/>
      </w:r>
      <w:r>
        <w:rPr>
          <w:rFonts w:eastAsia="方正楷体_GBK"/>
          <w:sz w:val="28"/>
        </w:rPr>
        <w:fldChar w:fldCharType="begin"/>
      </w:r>
      <w:r>
        <w:rPr>
          <w:rFonts w:eastAsia="方正楷体_GBK"/>
          <w:sz w:val="28"/>
        </w:rPr>
        <w:instrText xml:space="preserve"> PAGEREF _Toc27417 \h </w:instrText>
      </w:r>
      <w:r>
        <w:rPr>
          <w:rFonts w:eastAsia="方正楷体_GBK"/>
          <w:sz w:val="28"/>
        </w:rPr>
        <w:fldChar w:fldCharType="separate"/>
      </w:r>
      <w:r>
        <w:rPr>
          <w:rFonts w:eastAsia="方正楷体_GBK"/>
          <w:sz w:val="28"/>
        </w:rPr>
        <w:t>8</w:t>
      </w:r>
      <w:r>
        <w:rPr>
          <w:rFonts w:eastAsia="方正楷体_GBK"/>
          <w:sz w:val="28"/>
        </w:rPr>
        <w:fldChar w:fldCharType="end"/>
      </w:r>
      <w:r>
        <w:rPr>
          <w:rFonts w:eastAsia="方正楷体_GBK"/>
          <w:sz w:val="28"/>
        </w:rPr>
        <w:fldChar w:fldCharType="end"/>
      </w:r>
    </w:p>
    <w:p w14:paraId="364338FF">
      <w:pPr>
        <w:pStyle w:val="15"/>
        <w:tabs>
          <w:tab w:val="right" w:leader="dot" w:pos="8306"/>
        </w:tabs>
        <w:spacing w:line="480" w:lineRule="exact"/>
        <w:rPr>
          <w:sz w:val="28"/>
        </w:rPr>
      </w:pPr>
      <w:r>
        <w:fldChar w:fldCharType="begin"/>
      </w:r>
      <w:r>
        <w:instrText xml:space="preserve"> HYPERLINK \l "_Toc17982" </w:instrText>
      </w:r>
      <w:r>
        <w:fldChar w:fldCharType="separate"/>
      </w:r>
      <w:r>
        <w:rPr>
          <w:rFonts w:eastAsia="方正黑体_GBK"/>
          <w:sz w:val="28"/>
          <w:szCs w:val="44"/>
        </w:rPr>
        <w:t>第三篇  重塑城乡发展新格局</w:t>
      </w:r>
      <w:r>
        <w:rPr>
          <w:sz w:val="28"/>
        </w:rPr>
        <w:tab/>
      </w:r>
      <w:r>
        <w:rPr>
          <w:sz w:val="28"/>
        </w:rPr>
        <w:fldChar w:fldCharType="begin"/>
      </w:r>
      <w:r>
        <w:rPr>
          <w:sz w:val="28"/>
        </w:rPr>
        <w:instrText xml:space="preserve"> PAGEREF _Toc17982 \h </w:instrText>
      </w:r>
      <w:r>
        <w:rPr>
          <w:sz w:val="28"/>
        </w:rPr>
        <w:fldChar w:fldCharType="separate"/>
      </w:r>
      <w:r>
        <w:rPr>
          <w:sz w:val="28"/>
        </w:rPr>
        <w:t>13</w:t>
      </w:r>
      <w:r>
        <w:rPr>
          <w:sz w:val="28"/>
        </w:rPr>
        <w:fldChar w:fldCharType="end"/>
      </w:r>
      <w:r>
        <w:rPr>
          <w:sz w:val="28"/>
        </w:rPr>
        <w:fldChar w:fldCharType="end"/>
      </w:r>
    </w:p>
    <w:p w14:paraId="621D15A1">
      <w:pPr>
        <w:pStyle w:val="18"/>
        <w:tabs>
          <w:tab w:val="right" w:leader="dot" w:pos="8306"/>
        </w:tabs>
        <w:spacing w:line="480" w:lineRule="exact"/>
        <w:ind w:left="640"/>
        <w:rPr>
          <w:rFonts w:eastAsia="方正楷体_GBK"/>
          <w:sz w:val="28"/>
        </w:rPr>
      </w:pPr>
      <w:r>
        <w:fldChar w:fldCharType="begin"/>
      </w:r>
      <w:r>
        <w:instrText xml:space="preserve"> HYPERLINK \l "_Toc27231" </w:instrText>
      </w:r>
      <w:r>
        <w:fldChar w:fldCharType="separate"/>
      </w:r>
      <w:r>
        <w:rPr>
          <w:rFonts w:eastAsia="方正楷体_GBK"/>
          <w:sz w:val="28"/>
          <w:szCs w:val="36"/>
        </w:rPr>
        <w:t>第七章  构建对外良性互动关系</w:t>
      </w:r>
      <w:r>
        <w:rPr>
          <w:rFonts w:eastAsia="方正楷体_GBK"/>
          <w:sz w:val="28"/>
        </w:rPr>
        <w:tab/>
      </w:r>
      <w:r>
        <w:rPr>
          <w:rFonts w:eastAsia="方正楷体_GBK"/>
          <w:sz w:val="28"/>
        </w:rPr>
        <w:fldChar w:fldCharType="begin"/>
      </w:r>
      <w:r>
        <w:rPr>
          <w:rFonts w:eastAsia="方正楷体_GBK"/>
          <w:sz w:val="28"/>
        </w:rPr>
        <w:instrText xml:space="preserve"> PAGEREF _Toc27231 \h </w:instrText>
      </w:r>
      <w:r>
        <w:rPr>
          <w:rFonts w:eastAsia="方正楷体_GBK"/>
          <w:sz w:val="28"/>
        </w:rPr>
        <w:fldChar w:fldCharType="separate"/>
      </w:r>
      <w:r>
        <w:rPr>
          <w:rFonts w:eastAsia="方正楷体_GBK"/>
          <w:sz w:val="28"/>
        </w:rPr>
        <w:t>13</w:t>
      </w:r>
      <w:r>
        <w:rPr>
          <w:rFonts w:eastAsia="方正楷体_GBK"/>
          <w:sz w:val="28"/>
        </w:rPr>
        <w:fldChar w:fldCharType="end"/>
      </w:r>
      <w:r>
        <w:rPr>
          <w:rFonts w:eastAsia="方正楷体_GBK"/>
          <w:sz w:val="28"/>
        </w:rPr>
        <w:fldChar w:fldCharType="end"/>
      </w:r>
    </w:p>
    <w:p w14:paraId="529F2295">
      <w:pPr>
        <w:pStyle w:val="10"/>
        <w:tabs>
          <w:tab w:val="right" w:leader="dot" w:pos="8306"/>
        </w:tabs>
        <w:spacing w:line="480" w:lineRule="exact"/>
        <w:ind w:left="1280"/>
        <w:rPr>
          <w:sz w:val="28"/>
        </w:rPr>
      </w:pPr>
      <w:r>
        <w:fldChar w:fldCharType="begin"/>
      </w:r>
      <w:r>
        <w:instrText xml:space="preserve"> HYPERLINK \l "_Toc13501" </w:instrText>
      </w:r>
      <w:r>
        <w:fldChar w:fldCharType="separate"/>
      </w:r>
      <w:r>
        <w:rPr>
          <w:sz w:val="28"/>
          <w:szCs w:val="32"/>
        </w:rPr>
        <w:t>第一节  明确城口功能定位</w:t>
      </w:r>
      <w:r>
        <w:rPr>
          <w:sz w:val="28"/>
        </w:rPr>
        <w:tab/>
      </w:r>
      <w:r>
        <w:rPr>
          <w:sz w:val="28"/>
        </w:rPr>
        <w:fldChar w:fldCharType="begin"/>
      </w:r>
      <w:r>
        <w:rPr>
          <w:sz w:val="28"/>
        </w:rPr>
        <w:instrText xml:space="preserve"> PAGEREF _Toc13501 \h </w:instrText>
      </w:r>
      <w:r>
        <w:rPr>
          <w:sz w:val="28"/>
        </w:rPr>
        <w:fldChar w:fldCharType="separate"/>
      </w:r>
      <w:r>
        <w:rPr>
          <w:sz w:val="28"/>
        </w:rPr>
        <w:t>13</w:t>
      </w:r>
      <w:r>
        <w:rPr>
          <w:sz w:val="28"/>
        </w:rPr>
        <w:fldChar w:fldCharType="end"/>
      </w:r>
      <w:r>
        <w:rPr>
          <w:sz w:val="28"/>
        </w:rPr>
        <w:fldChar w:fldCharType="end"/>
      </w:r>
    </w:p>
    <w:p w14:paraId="770B2122">
      <w:pPr>
        <w:pStyle w:val="10"/>
        <w:tabs>
          <w:tab w:val="right" w:leader="dot" w:pos="8306"/>
        </w:tabs>
        <w:spacing w:line="480" w:lineRule="exact"/>
        <w:ind w:left="1280"/>
        <w:rPr>
          <w:sz w:val="28"/>
        </w:rPr>
      </w:pPr>
      <w:r>
        <w:fldChar w:fldCharType="begin"/>
      </w:r>
      <w:r>
        <w:instrText xml:space="preserve"> HYPERLINK \l "_Toc27404" </w:instrText>
      </w:r>
      <w:r>
        <w:fldChar w:fldCharType="separate"/>
      </w:r>
      <w:r>
        <w:rPr>
          <w:sz w:val="28"/>
          <w:szCs w:val="32"/>
        </w:rPr>
        <w:t>第二节  完善对外交通体系</w:t>
      </w:r>
      <w:r>
        <w:rPr>
          <w:sz w:val="28"/>
        </w:rPr>
        <w:tab/>
      </w:r>
      <w:r>
        <w:rPr>
          <w:sz w:val="28"/>
        </w:rPr>
        <w:fldChar w:fldCharType="begin"/>
      </w:r>
      <w:r>
        <w:rPr>
          <w:sz w:val="28"/>
        </w:rPr>
        <w:instrText xml:space="preserve"> PAGEREF _Toc27404 \h </w:instrText>
      </w:r>
      <w:r>
        <w:rPr>
          <w:sz w:val="28"/>
        </w:rPr>
        <w:fldChar w:fldCharType="separate"/>
      </w:r>
      <w:r>
        <w:rPr>
          <w:sz w:val="28"/>
        </w:rPr>
        <w:t>13</w:t>
      </w:r>
      <w:r>
        <w:rPr>
          <w:sz w:val="28"/>
        </w:rPr>
        <w:fldChar w:fldCharType="end"/>
      </w:r>
      <w:r>
        <w:rPr>
          <w:sz w:val="28"/>
        </w:rPr>
        <w:fldChar w:fldCharType="end"/>
      </w:r>
    </w:p>
    <w:p w14:paraId="7AFD1F38">
      <w:pPr>
        <w:pStyle w:val="10"/>
        <w:tabs>
          <w:tab w:val="right" w:leader="dot" w:pos="8306"/>
        </w:tabs>
        <w:spacing w:line="480" w:lineRule="exact"/>
        <w:ind w:left="1280"/>
        <w:rPr>
          <w:sz w:val="28"/>
        </w:rPr>
      </w:pPr>
      <w:r>
        <w:fldChar w:fldCharType="begin"/>
      </w:r>
      <w:r>
        <w:instrText xml:space="preserve"> HYPERLINK \l "_Toc6873" </w:instrText>
      </w:r>
      <w:r>
        <w:fldChar w:fldCharType="separate"/>
      </w:r>
      <w:r>
        <w:rPr>
          <w:sz w:val="28"/>
          <w:szCs w:val="32"/>
        </w:rPr>
        <w:t>第三节  促进人口双向流动</w:t>
      </w:r>
      <w:r>
        <w:rPr>
          <w:sz w:val="28"/>
        </w:rPr>
        <w:tab/>
      </w:r>
      <w:r>
        <w:rPr>
          <w:sz w:val="28"/>
        </w:rPr>
        <w:fldChar w:fldCharType="begin"/>
      </w:r>
      <w:r>
        <w:rPr>
          <w:sz w:val="28"/>
        </w:rPr>
        <w:instrText xml:space="preserve"> PAGEREF _Toc6873 \h </w:instrText>
      </w:r>
      <w:r>
        <w:rPr>
          <w:sz w:val="28"/>
        </w:rPr>
        <w:fldChar w:fldCharType="separate"/>
      </w:r>
      <w:r>
        <w:rPr>
          <w:sz w:val="28"/>
        </w:rPr>
        <w:t>14</w:t>
      </w:r>
      <w:r>
        <w:rPr>
          <w:sz w:val="28"/>
        </w:rPr>
        <w:fldChar w:fldCharType="end"/>
      </w:r>
      <w:r>
        <w:rPr>
          <w:sz w:val="28"/>
        </w:rPr>
        <w:fldChar w:fldCharType="end"/>
      </w:r>
    </w:p>
    <w:p w14:paraId="38CF6CAC">
      <w:pPr>
        <w:pStyle w:val="18"/>
        <w:tabs>
          <w:tab w:val="right" w:leader="dot" w:pos="8306"/>
        </w:tabs>
        <w:spacing w:line="480" w:lineRule="exact"/>
        <w:ind w:left="640"/>
        <w:rPr>
          <w:rFonts w:eastAsia="方正楷体_GBK"/>
          <w:sz w:val="28"/>
        </w:rPr>
      </w:pPr>
      <w:r>
        <w:fldChar w:fldCharType="begin"/>
      </w:r>
      <w:r>
        <w:instrText xml:space="preserve"> HYPERLINK \l "_Toc6778" </w:instrText>
      </w:r>
      <w:r>
        <w:fldChar w:fldCharType="separate"/>
      </w:r>
      <w:r>
        <w:rPr>
          <w:rFonts w:eastAsia="方正楷体_GBK"/>
          <w:sz w:val="28"/>
          <w:szCs w:val="36"/>
        </w:rPr>
        <w:t>第八章  建立县域城乡融合发展新格局</w:t>
      </w:r>
      <w:r>
        <w:rPr>
          <w:rFonts w:eastAsia="方正楷体_GBK"/>
          <w:sz w:val="28"/>
        </w:rPr>
        <w:tab/>
      </w:r>
      <w:r>
        <w:rPr>
          <w:rFonts w:eastAsia="方正楷体_GBK"/>
          <w:sz w:val="28"/>
        </w:rPr>
        <w:fldChar w:fldCharType="begin"/>
      </w:r>
      <w:r>
        <w:rPr>
          <w:rFonts w:eastAsia="方正楷体_GBK"/>
          <w:sz w:val="28"/>
        </w:rPr>
        <w:instrText xml:space="preserve"> PAGEREF _Toc6778 \h </w:instrText>
      </w:r>
      <w:r>
        <w:rPr>
          <w:rFonts w:eastAsia="方正楷体_GBK"/>
          <w:sz w:val="28"/>
        </w:rPr>
        <w:fldChar w:fldCharType="separate"/>
      </w:r>
      <w:r>
        <w:rPr>
          <w:rFonts w:eastAsia="方正楷体_GBK"/>
          <w:sz w:val="28"/>
        </w:rPr>
        <w:t>14</w:t>
      </w:r>
      <w:r>
        <w:rPr>
          <w:rFonts w:eastAsia="方正楷体_GBK"/>
          <w:sz w:val="28"/>
        </w:rPr>
        <w:fldChar w:fldCharType="end"/>
      </w:r>
      <w:r>
        <w:rPr>
          <w:rFonts w:eastAsia="方正楷体_GBK"/>
          <w:sz w:val="28"/>
        </w:rPr>
        <w:fldChar w:fldCharType="end"/>
      </w:r>
    </w:p>
    <w:p w14:paraId="32866F77">
      <w:pPr>
        <w:pStyle w:val="10"/>
        <w:tabs>
          <w:tab w:val="right" w:leader="dot" w:pos="8306"/>
        </w:tabs>
        <w:spacing w:line="480" w:lineRule="exact"/>
        <w:ind w:left="1280"/>
        <w:rPr>
          <w:sz w:val="28"/>
        </w:rPr>
      </w:pPr>
      <w:r>
        <w:fldChar w:fldCharType="begin"/>
      </w:r>
      <w:r>
        <w:instrText xml:space="preserve"> HYPERLINK \l "_Toc6384" </w:instrText>
      </w:r>
      <w:r>
        <w:fldChar w:fldCharType="separate"/>
      </w:r>
      <w:r>
        <w:rPr>
          <w:sz w:val="28"/>
        </w:rPr>
        <w:t>第一节  强化空间用途管制</w:t>
      </w:r>
      <w:r>
        <w:rPr>
          <w:sz w:val="28"/>
        </w:rPr>
        <w:tab/>
      </w:r>
      <w:r>
        <w:rPr>
          <w:sz w:val="28"/>
        </w:rPr>
        <w:fldChar w:fldCharType="begin"/>
      </w:r>
      <w:r>
        <w:rPr>
          <w:sz w:val="28"/>
        </w:rPr>
        <w:instrText xml:space="preserve"> PAGEREF _Toc6384 \h </w:instrText>
      </w:r>
      <w:r>
        <w:rPr>
          <w:sz w:val="28"/>
        </w:rPr>
        <w:fldChar w:fldCharType="separate"/>
      </w:r>
      <w:r>
        <w:rPr>
          <w:sz w:val="28"/>
        </w:rPr>
        <w:t>15</w:t>
      </w:r>
      <w:r>
        <w:rPr>
          <w:sz w:val="28"/>
        </w:rPr>
        <w:fldChar w:fldCharType="end"/>
      </w:r>
      <w:r>
        <w:rPr>
          <w:sz w:val="28"/>
        </w:rPr>
        <w:fldChar w:fldCharType="end"/>
      </w:r>
    </w:p>
    <w:p w14:paraId="3BB099F5">
      <w:pPr>
        <w:pStyle w:val="10"/>
        <w:tabs>
          <w:tab w:val="right" w:leader="dot" w:pos="8306"/>
        </w:tabs>
        <w:spacing w:line="480" w:lineRule="exact"/>
        <w:ind w:left="1280"/>
        <w:rPr>
          <w:sz w:val="28"/>
        </w:rPr>
      </w:pPr>
      <w:r>
        <w:fldChar w:fldCharType="begin"/>
      </w:r>
      <w:r>
        <w:instrText xml:space="preserve"> HYPERLINK \l "_Toc26164" </w:instrText>
      </w:r>
      <w:r>
        <w:fldChar w:fldCharType="separate"/>
      </w:r>
      <w:r>
        <w:rPr>
          <w:sz w:val="28"/>
        </w:rPr>
        <w:t>第二节  改善城乡空间结构</w:t>
      </w:r>
      <w:r>
        <w:rPr>
          <w:sz w:val="28"/>
        </w:rPr>
        <w:tab/>
      </w:r>
      <w:r>
        <w:rPr>
          <w:sz w:val="28"/>
        </w:rPr>
        <w:fldChar w:fldCharType="begin"/>
      </w:r>
      <w:r>
        <w:rPr>
          <w:sz w:val="28"/>
        </w:rPr>
        <w:instrText xml:space="preserve"> PAGEREF _Toc26164 \h </w:instrText>
      </w:r>
      <w:r>
        <w:rPr>
          <w:sz w:val="28"/>
        </w:rPr>
        <w:fldChar w:fldCharType="separate"/>
      </w:r>
      <w:r>
        <w:rPr>
          <w:sz w:val="28"/>
        </w:rPr>
        <w:t>15</w:t>
      </w:r>
      <w:r>
        <w:rPr>
          <w:sz w:val="28"/>
        </w:rPr>
        <w:fldChar w:fldCharType="end"/>
      </w:r>
      <w:r>
        <w:rPr>
          <w:sz w:val="28"/>
        </w:rPr>
        <w:fldChar w:fldCharType="end"/>
      </w:r>
    </w:p>
    <w:p w14:paraId="437C5463">
      <w:pPr>
        <w:pStyle w:val="10"/>
        <w:tabs>
          <w:tab w:val="right" w:leader="dot" w:pos="8306"/>
        </w:tabs>
        <w:spacing w:line="480" w:lineRule="exact"/>
        <w:ind w:left="1280"/>
        <w:rPr>
          <w:sz w:val="28"/>
        </w:rPr>
      </w:pPr>
      <w:r>
        <w:fldChar w:fldCharType="begin"/>
      </w:r>
      <w:r>
        <w:instrText xml:space="preserve"> HYPERLINK \l "_Toc8803" </w:instrText>
      </w:r>
      <w:r>
        <w:fldChar w:fldCharType="separate"/>
      </w:r>
      <w:r>
        <w:rPr>
          <w:sz w:val="28"/>
        </w:rPr>
        <w:t>第三节  推进乡村规划全覆盖</w:t>
      </w:r>
      <w:r>
        <w:rPr>
          <w:sz w:val="28"/>
        </w:rPr>
        <w:tab/>
      </w:r>
      <w:r>
        <w:rPr>
          <w:sz w:val="28"/>
        </w:rPr>
        <w:fldChar w:fldCharType="begin"/>
      </w:r>
      <w:r>
        <w:rPr>
          <w:sz w:val="28"/>
        </w:rPr>
        <w:instrText xml:space="preserve"> PAGEREF _Toc8803 \h </w:instrText>
      </w:r>
      <w:r>
        <w:rPr>
          <w:sz w:val="28"/>
        </w:rPr>
        <w:fldChar w:fldCharType="separate"/>
      </w:r>
      <w:r>
        <w:rPr>
          <w:sz w:val="28"/>
        </w:rPr>
        <w:t>16</w:t>
      </w:r>
      <w:r>
        <w:rPr>
          <w:sz w:val="28"/>
        </w:rPr>
        <w:fldChar w:fldCharType="end"/>
      </w:r>
      <w:r>
        <w:rPr>
          <w:sz w:val="28"/>
        </w:rPr>
        <w:fldChar w:fldCharType="end"/>
      </w:r>
    </w:p>
    <w:p w14:paraId="4DEC4E04">
      <w:pPr>
        <w:pStyle w:val="18"/>
        <w:tabs>
          <w:tab w:val="right" w:leader="dot" w:pos="8306"/>
        </w:tabs>
        <w:spacing w:line="480" w:lineRule="exact"/>
        <w:ind w:left="640"/>
        <w:rPr>
          <w:sz w:val="28"/>
        </w:rPr>
      </w:pPr>
      <w:r>
        <w:fldChar w:fldCharType="begin"/>
      </w:r>
      <w:r>
        <w:instrText xml:space="preserve"> HYPERLINK \l "_Toc18451" </w:instrText>
      </w:r>
      <w:r>
        <w:fldChar w:fldCharType="separate"/>
      </w:r>
      <w:r>
        <w:rPr>
          <w:rFonts w:eastAsia="方正楷体_GBK"/>
          <w:sz w:val="28"/>
          <w:szCs w:val="36"/>
        </w:rPr>
        <w:t>第九章  优化乡村发展布局</w:t>
      </w:r>
      <w:r>
        <w:rPr>
          <w:rFonts w:eastAsia="方正楷体_GBK"/>
          <w:sz w:val="28"/>
        </w:rPr>
        <w:tab/>
      </w:r>
      <w:r>
        <w:rPr>
          <w:rFonts w:eastAsia="方正楷体_GBK"/>
          <w:sz w:val="28"/>
        </w:rPr>
        <w:fldChar w:fldCharType="begin"/>
      </w:r>
      <w:r>
        <w:rPr>
          <w:rFonts w:eastAsia="方正楷体_GBK"/>
          <w:sz w:val="28"/>
        </w:rPr>
        <w:instrText xml:space="preserve"> PAGEREF _Toc18451 \h </w:instrText>
      </w:r>
      <w:r>
        <w:rPr>
          <w:rFonts w:eastAsia="方正楷体_GBK"/>
          <w:sz w:val="28"/>
        </w:rPr>
        <w:fldChar w:fldCharType="separate"/>
      </w:r>
      <w:r>
        <w:rPr>
          <w:rFonts w:eastAsia="方正楷体_GBK"/>
          <w:sz w:val="28"/>
        </w:rPr>
        <w:t>16</w:t>
      </w:r>
      <w:r>
        <w:rPr>
          <w:rFonts w:eastAsia="方正楷体_GBK"/>
          <w:sz w:val="28"/>
        </w:rPr>
        <w:fldChar w:fldCharType="end"/>
      </w:r>
      <w:r>
        <w:rPr>
          <w:rFonts w:eastAsia="方正楷体_GBK"/>
          <w:sz w:val="28"/>
        </w:rPr>
        <w:fldChar w:fldCharType="end"/>
      </w:r>
    </w:p>
    <w:p w14:paraId="53DFCB43">
      <w:pPr>
        <w:pStyle w:val="10"/>
        <w:tabs>
          <w:tab w:val="right" w:leader="dot" w:pos="8306"/>
        </w:tabs>
        <w:spacing w:line="480" w:lineRule="exact"/>
        <w:ind w:left="1280"/>
        <w:rPr>
          <w:sz w:val="28"/>
        </w:rPr>
      </w:pPr>
      <w:r>
        <w:fldChar w:fldCharType="begin"/>
      </w:r>
      <w:r>
        <w:instrText xml:space="preserve"> HYPERLINK \l "_Toc13757" </w:instrText>
      </w:r>
      <w:r>
        <w:fldChar w:fldCharType="separate"/>
      </w:r>
      <w:r>
        <w:rPr>
          <w:sz w:val="28"/>
        </w:rPr>
        <w:t>第一节  统筹利用生产空间</w:t>
      </w:r>
      <w:r>
        <w:rPr>
          <w:sz w:val="28"/>
        </w:rPr>
        <w:tab/>
      </w:r>
      <w:r>
        <w:rPr>
          <w:sz w:val="28"/>
        </w:rPr>
        <w:fldChar w:fldCharType="begin"/>
      </w:r>
      <w:r>
        <w:rPr>
          <w:sz w:val="28"/>
        </w:rPr>
        <w:instrText xml:space="preserve"> PAGEREF _Toc13757 \h </w:instrText>
      </w:r>
      <w:r>
        <w:rPr>
          <w:sz w:val="28"/>
        </w:rPr>
        <w:fldChar w:fldCharType="separate"/>
      </w:r>
      <w:r>
        <w:rPr>
          <w:sz w:val="28"/>
        </w:rPr>
        <w:t>17</w:t>
      </w:r>
      <w:r>
        <w:rPr>
          <w:sz w:val="28"/>
        </w:rPr>
        <w:fldChar w:fldCharType="end"/>
      </w:r>
      <w:r>
        <w:rPr>
          <w:sz w:val="28"/>
        </w:rPr>
        <w:fldChar w:fldCharType="end"/>
      </w:r>
    </w:p>
    <w:p w14:paraId="770C0050">
      <w:pPr>
        <w:pStyle w:val="10"/>
        <w:tabs>
          <w:tab w:val="right" w:leader="dot" w:pos="8306"/>
        </w:tabs>
        <w:spacing w:line="480" w:lineRule="exact"/>
        <w:ind w:left="1280"/>
        <w:rPr>
          <w:sz w:val="28"/>
        </w:rPr>
      </w:pPr>
      <w:r>
        <w:fldChar w:fldCharType="begin"/>
      </w:r>
      <w:r>
        <w:instrText xml:space="preserve"> HYPERLINK \l "_Toc18497" </w:instrText>
      </w:r>
      <w:r>
        <w:fldChar w:fldCharType="separate"/>
      </w:r>
      <w:r>
        <w:rPr>
          <w:sz w:val="28"/>
        </w:rPr>
        <w:t>第二节  合理布局生活空间</w:t>
      </w:r>
      <w:r>
        <w:rPr>
          <w:sz w:val="28"/>
        </w:rPr>
        <w:tab/>
      </w:r>
      <w:r>
        <w:rPr>
          <w:sz w:val="28"/>
        </w:rPr>
        <w:fldChar w:fldCharType="begin"/>
      </w:r>
      <w:r>
        <w:rPr>
          <w:sz w:val="28"/>
        </w:rPr>
        <w:instrText xml:space="preserve"> PAGEREF _Toc18497 \h </w:instrText>
      </w:r>
      <w:r>
        <w:rPr>
          <w:sz w:val="28"/>
        </w:rPr>
        <w:fldChar w:fldCharType="separate"/>
      </w:r>
      <w:r>
        <w:rPr>
          <w:sz w:val="28"/>
        </w:rPr>
        <w:t>17</w:t>
      </w:r>
      <w:r>
        <w:rPr>
          <w:sz w:val="28"/>
        </w:rPr>
        <w:fldChar w:fldCharType="end"/>
      </w:r>
      <w:r>
        <w:rPr>
          <w:sz w:val="28"/>
        </w:rPr>
        <w:fldChar w:fldCharType="end"/>
      </w:r>
    </w:p>
    <w:p w14:paraId="080A0D64">
      <w:pPr>
        <w:pStyle w:val="10"/>
        <w:tabs>
          <w:tab w:val="right" w:leader="dot" w:pos="8306"/>
        </w:tabs>
        <w:spacing w:line="480" w:lineRule="exact"/>
        <w:ind w:left="1280"/>
        <w:rPr>
          <w:sz w:val="28"/>
        </w:rPr>
      </w:pPr>
      <w:r>
        <w:fldChar w:fldCharType="begin"/>
      </w:r>
      <w:r>
        <w:instrText xml:space="preserve"> HYPERLINK \l "_Toc22303" </w:instrText>
      </w:r>
      <w:r>
        <w:fldChar w:fldCharType="separate"/>
      </w:r>
      <w:r>
        <w:rPr>
          <w:sz w:val="28"/>
        </w:rPr>
        <w:t>第三节  打造绿色生态空间</w:t>
      </w:r>
      <w:r>
        <w:rPr>
          <w:sz w:val="28"/>
        </w:rPr>
        <w:tab/>
      </w:r>
      <w:r>
        <w:rPr>
          <w:sz w:val="28"/>
        </w:rPr>
        <w:fldChar w:fldCharType="begin"/>
      </w:r>
      <w:r>
        <w:rPr>
          <w:sz w:val="28"/>
        </w:rPr>
        <w:instrText xml:space="preserve"> PAGEREF _Toc22303 \h </w:instrText>
      </w:r>
      <w:r>
        <w:rPr>
          <w:sz w:val="28"/>
        </w:rPr>
        <w:fldChar w:fldCharType="separate"/>
      </w:r>
      <w:r>
        <w:rPr>
          <w:sz w:val="28"/>
        </w:rPr>
        <w:t>18</w:t>
      </w:r>
      <w:r>
        <w:rPr>
          <w:sz w:val="28"/>
        </w:rPr>
        <w:fldChar w:fldCharType="end"/>
      </w:r>
      <w:r>
        <w:rPr>
          <w:sz w:val="28"/>
        </w:rPr>
        <w:fldChar w:fldCharType="end"/>
      </w:r>
    </w:p>
    <w:p w14:paraId="2B7196AC">
      <w:pPr>
        <w:pStyle w:val="15"/>
        <w:tabs>
          <w:tab w:val="right" w:leader="dot" w:pos="8306"/>
        </w:tabs>
        <w:spacing w:line="480" w:lineRule="exact"/>
        <w:rPr>
          <w:sz w:val="28"/>
        </w:rPr>
      </w:pPr>
      <w:r>
        <w:fldChar w:fldCharType="begin"/>
      </w:r>
      <w:r>
        <w:instrText xml:space="preserve"> HYPERLINK \l "_Toc3188" </w:instrText>
      </w:r>
      <w:r>
        <w:fldChar w:fldCharType="separate"/>
      </w:r>
      <w:r>
        <w:rPr>
          <w:rFonts w:eastAsia="方正黑体_GBK"/>
          <w:sz w:val="28"/>
          <w:szCs w:val="44"/>
        </w:rPr>
        <w:t>第四篇  构建高效山地生态经济体系</w:t>
      </w:r>
      <w:r>
        <w:rPr>
          <w:sz w:val="28"/>
        </w:rPr>
        <w:tab/>
      </w:r>
      <w:r>
        <w:rPr>
          <w:sz w:val="28"/>
        </w:rPr>
        <w:fldChar w:fldCharType="begin"/>
      </w:r>
      <w:r>
        <w:rPr>
          <w:sz w:val="28"/>
        </w:rPr>
        <w:instrText xml:space="preserve"> PAGEREF _Toc3188 \h </w:instrText>
      </w:r>
      <w:r>
        <w:rPr>
          <w:sz w:val="28"/>
        </w:rPr>
        <w:fldChar w:fldCharType="separate"/>
      </w:r>
      <w:r>
        <w:rPr>
          <w:sz w:val="28"/>
        </w:rPr>
        <w:t>19</w:t>
      </w:r>
      <w:r>
        <w:rPr>
          <w:sz w:val="28"/>
        </w:rPr>
        <w:fldChar w:fldCharType="end"/>
      </w:r>
      <w:r>
        <w:rPr>
          <w:sz w:val="28"/>
        </w:rPr>
        <w:fldChar w:fldCharType="end"/>
      </w:r>
    </w:p>
    <w:p w14:paraId="49E8B37A">
      <w:pPr>
        <w:pStyle w:val="18"/>
        <w:tabs>
          <w:tab w:val="right" w:leader="dot" w:pos="8306"/>
        </w:tabs>
        <w:spacing w:line="480" w:lineRule="exact"/>
        <w:ind w:left="640"/>
        <w:rPr>
          <w:sz w:val="28"/>
        </w:rPr>
      </w:pPr>
      <w:r>
        <w:fldChar w:fldCharType="begin"/>
      </w:r>
      <w:r>
        <w:instrText xml:space="preserve"> HYPERLINK \l "_Toc26397" </w:instrText>
      </w:r>
      <w:r>
        <w:fldChar w:fldCharType="separate"/>
      </w:r>
      <w:r>
        <w:rPr>
          <w:rFonts w:eastAsia="方正楷体_GBK"/>
          <w:sz w:val="28"/>
          <w:szCs w:val="36"/>
        </w:rPr>
        <w:t>第十章  发展山地特色高效农业</w:t>
      </w:r>
      <w:r>
        <w:rPr>
          <w:rFonts w:eastAsia="方正楷体_GBK"/>
          <w:sz w:val="28"/>
        </w:rPr>
        <w:tab/>
      </w:r>
      <w:r>
        <w:rPr>
          <w:rFonts w:eastAsia="方正楷体_GBK"/>
          <w:sz w:val="28"/>
        </w:rPr>
        <w:fldChar w:fldCharType="begin"/>
      </w:r>
      <w:r>
        <w:rPr>
          <w:rFonts w:eastAsia="方正楷体_GBK"/>
          <w:sz w:val="28"/>
        </w:rPr>
        <w:instrText xml:space="preserve"> PAGEREF _Toc26397 \h </w:instrText>
      </w:r>
      <w:r>
        <w:rPr>
          <w:rFonts w:eastAsia="方正楷体_GBK"/>
          <w:sz w:val="28"/>
        </w:rPr>
        <w:fldChar w:fldCharType="separate"/>
      </w:r>
      <w:r>
        <w:rPr>
          <w:rFonts w:eastAsia="方正楷体_GBK"/>
          <w:sz w:val="28"/>
        </w:rPr>
        <w:t>19</w:t>
      </w:r>
      <w:r>
        <w:rPr>
          <w:rFonts w:eastAsia="方正楷体_GBK"/>
          <w:sz w:val="28"/>
        </w:rPr>
        <w:fldChar w:fldCharType="end"/>
      </w:r>
      <w:r>
        <w:rPr>
          <w:rFonts w:eastAsia="方正楷体_GBK"/>
          <w:sz w:val="28"/>
        </w:rPr>
        <w:fldChar w:fldCharType="end"/>
      </w:r>
    </w:p>
    <w:p w14:paraId="5AB90E43">
      <w:pPr>
        <w:pStyle w:val="10"/>
        <w:tabs>
          <w:tab w:val="right" w:leader="dot" w:pos="8306"/>
        </w:tabs>
        <w:spacing w:line="480" w:lineRule="exact"/>
        <w:ind w:left="1280"/>
        <w:rPr>
          <w:sz w:val="28"/>
        </w:rPr>
      </w:pPr>
      <w:r>
        <w:fldChar w:fldCharType="begin"/>
      </w:r>
      <w:r>
        <w:instrText xml:space="preserve"> HYPERLINK \l "_Toc17881" </w:instrText>
      </w:r>
      <w:r>
        <w:fldChar w:fldCharType="separate"/>
      </w:r>
      <w:r>
        <w:rPr>
          <w:sz w:val="28"/>
        </w:rPr>
        <w:t>第一节  完善农业生产布局</w:t>
      </w:r>
      <w:r>
        <w:rPr>
          <w:sz w:val="28"/>
        </w:rPr>
        <w:tab/>
      </w:r>
      <w:r>
        <w:rPr>
          <w:sz w:val="28"/>
        </w:rPr>
        <w:fldChar w:fldCharType="begin"/>
      </w:r>
      <w:r>
        <w:rPr>
          <w:sz w:val="28"/>
        </w:rPr>
        <w:instrText xml:space="preserve"> PAGEREF _Toc17881 \h </w:instrText>
      </w:r>
      <w:r>
        <w:rPr>
          <w:sz w:val="28"/>
        </w:rPr>
        <w:fldChar w:fldCharType="separate"/>
      </w:r>
      <w:r>
        <w:rPr>
          <w:sz w:val="28"/>
        </w:rPr>
        <w:t>19</w:t>
      </w:r>
      <w:r>
        <w:rPr>
          <w:sz w:val="28"/>
        </w:rPr>
        <w:fldChar w:fldCharType="end"/>
      </w:r>
      <w:r>
        <w:rPr>
          <w:sz w:val="28"/>
        </w:rPr>
        <w:fldChar w:fldCharType="end"/>
      </w:r>
    </w:p>
    <w:p w14:paraId="7B6766F3">
      <w:pPr>
        <w:pStyle w:val="10"/>
        <w:tabs>
          <w:tab w:val="right" w:leader="dot" w:pos="8306"/>
        </w:tabs>
        <w:spacing w:line="480" w:lineRule="exact"/>
        <w:ind w:left="1280"/>
        <w:rPr>
          <w:sz w:val="28"/>
        </w:rPr>
      </w:pPr>
      <w:r>
        <w:fldChar w:fldCharType="begin"/>
      </w:r>
      <w:r>
        <w:instrText xml:space="preserve"> HYPERLINK \l "_Toc365" </w:instrText>
      </w:r>
      <w:r>
        <w:fldChar w:fldCharType="separate"/>
      </w:r>
      <w:r>
        <w:rPr>
          <w:sz w:val="28"/>
        </w:rPr>
        <w:t>第二节  促进农业产业生态化转型</w:t>
      </w:r>
      <w:r>
        <w:rPr>
          <w:sz w:val="28"/>
        </w:rPr>
        <w:tab/>
      </w:r>
      <w:r>
        <w:rPr>
          <w:sz w:val="28"/>
        </w:rPr>
        <w:fldChar w:fldCharType="begin"/>
      </w:r>
      <w:r>
        <w:rPr>
          <w:sz w:val="28"/>
        </w:rPr>
        <w:instrText xml:space="preserve"> PAGEREF _Toc365 \h </w:instrText>
      </w:r>
      <w:r>
        <w:rPr>
          <w:sz w:val="28"/>
        </w:rPr>
        <w:fldChar w:fldCharType="separate"/>
      </w:r>
      <w:r>
        <w:rPr>
          <w:sz w:val="28"/>
        </w:rPr>
        <w:t>20</w:t>
      </w:r>
      <w:r>
        <w:rPr>
          <w:sz w:val="28"/>
        </w:rPr>
        <w:fldChar w:fldCharType="end"/>
      </w:r>
      <w:r>
        <w:rPr>
          <w:sz w:val="28"/>
        </w:rPr>
        <w:fldChar w:fldCharType="end"/>
      </w:r>
    </w:p>
    <w:p w14:paraId="29F26A38">
      <w:pPr>
        <w:pStyle w:val="10"/>
        <w:tabs>
          <w:tab w:val="right" w:leader="dot" w:pos="8306"/>
        </w:tabs>
        <w:spacing w:line="480" w:lineRule="exact"/>
        <w:ind w:left="1280"/>
        <w:rPr>
          <w:sz w:val="28"/>
        </w:rPr>
      </w:pPr>
      <w:r>
        <w:fldChar w:fldCharType="begin"/>
      </w:r>
      <w:r>
        <w:instrText xml:space="preserve"> HYPERLINK \l "_Toc7051" </w:instrText>
      </w:r>
      <w:r>
        <w:fldChar w:fldCharType="separate"/>
      </w:r>
      <w:r>
        <w:rPr>
          <w:sz w:val="28"/>
        </w:rPr>
        <w:t>第三节  培育城口特色农产品品牌</w:t>
      </w:r>
      <w:r>
        <w:rPr>
          <w:sz w:val="28"/>
        </w:rPr>
        <w:tab/>
      </w:r>
      <w:r>
        <w:rPr>
          <w:sz w:val="28"/>
        </w:rPr>
        <w:fldChar w:fldCharType="begin"/>
      </w:r>
      <w:r>
        <w:rPr>
          <w:sz w:val="28"/>
        </w:rPr>
        <w:instrText xml:space="preserve"> PAGEREF _Toc7051 \h </w:instrText>
      </w:r>
      <w:r>
        <w:rPr>
          <w:sz w:val="28"/>
        </w:rPr>
        <w:fldChar w:fldCharType="separate"/>
      </w:r>
      <w:r>
        <w:rPr>
          <w:sz w:val="28"/>
        </w:rPr>
        <w:t>21</w:t>
      </w:r>
      <w:r>
        <w:rPr>
          <w:sz w:val="28"/>
        </w:rPr>
        <w:fldChar w:fldCharType="end"/>
      </w:r>
      <w:r>
        <w:rPr>
          <w:sz w:val="28"/>
        </w:rPr>
        <w:fldChar w:fldCharType="end"/>
      </w:r>
    </w:p>
    <w:p w14:paraId="09BF9790">
      <w:pPr>
        <w:pStyle w:val="10"/>
        <w:tabs>
          <w:tab w:val="right" w:leader="dot" w:pos="8306"/>
        </w:tabs>
        <w:spacing w:line="480" w:lineRule="exact"/>
        <w:ind w:left="1280"/>
        <w:rPr>
          <w:sz w:val="28"/>
        </w:rPr>
      </w:pPr>
      <w:r>
        <w:fldChar w:fldCharType="begin"/>
      </w:r>
      <w:r>
        <w:instrText xml:space="preserve"> HYPERLINK \l "_Toc10769" </w:instrText>
      </w:r>
      <w:r>
        <w:fldChar w:fldCharType="separate"/>
      </w:r>
      <w:r>
        <w:rPr>
          <w:sz w:val="28"/>
        </w:rPr>
        <w:t>第四节  保障提升农产品安全质量</w:t>
      </w:r>
      <w:r>
        <w:rPr>
          <w:sz w:val="28"/>
        </w:rPr>
        <w:tab/>
      </w:r>
      <w:r>
        <w:rPr>
          <w:sz w:val="28"/>
        </w:rPr>
        <w:fldChar w:fldCharType="begin"/>
      </w:r>
      <w:r>
        <w:rPr>
          <w:sz w:val="28"/>
        </w:rPr>
        <w:instrText xml:space="preserve"> PAGEREF _Toc10769 \h </w:instrText>
      </w:r>
      <w:r>
        <w:rPr>
          <w:sz w:val="28"/>
        </w:rPr>
        <w:fldChar w:fldCharType="separate"/>
      </w:r>
      <w:r>
        <w:rPr>
          <w:sz w:val="28"/>
        </w:rPr>
        <w:t>21</w:t>
      </w:r>
      <w:r>
        <w:rPr>
          <w:sz w:val="28"/>
        </w:rPr>
        <w:fldChar w:fldCharType="end"/>
      </w:r>
      <w:r>
        <w:rPr>
          <w:sz w:val="28"/>
        </w:rPr>
        <w:fldChar w:fldCharType="end"/>
      </w:r>
    </w:p>
    <w:p w14:paraId="5570CDF0">
      <w:pPr>
        <w:pStyle w:val="18"/>
        <w:tabs>
          <w:tab w:val="right" w:leader="dot" w:pos="8306"/>
        </w:tabs>
        <w:spacing w:line="480" w:lineRule="exact"/>
        <w:ind w:left="640"/>
        <w:rPr>
          <w:rFonts w:eastAsia="方正楷体_GBK"/>
          <w:sz w:val="28"/>
        </w:rPr>
      </w:pPr>
      <w:r>
        <w:fldChar w:fldCharType="begin"/>
      </w:r>
      <w:r>
        <w:instrText xml:space="preserve"> HYPERLINK \l "_Toc23946" </w:instrText>
      </w:r>
      <w:r>
        <w:fldChar w:fldCharType="separate"/>
      </w:r>
      <w:r>
        <w:rPr>
          <w:rFonts w:eastAsia="方正楷体_GBK"/>
          <w:sz w:val="28"/>
          <w:szCs w:val="36"/>
        </w:rPr>
        <w:t>第十一章  着力推动乡村多业态融合发展</w:t>
      </w:r>
      <w:r>
        <w:rPr>
          <w:rFonts w:eastAsia="方正楷体_GBK"/>
          <w:sz w:val="28"/>
        </w:rPr>
        <w:tab/>
      </w:r>
      <w:r>
        <w:rPr>
          <w:rFonts w:eastAsia="方正楷体_GBK"/>
          <w:sz w:val="28"/>
        </w:rPr>
        <w:fldChar w:fldCharType="begin"/>
      </w:r>
      <w:r>
        <w:rPr>
          <w:rFonts w:eastAsia="方正楷体_GBK"/>
          <w:sz w:val="28"/>
        </w:rPr>
        <w:instrText xml:space="preserve"> PAGEREF _Toc23946 \h </w:instrText>
      </w:r>
      <w:r>
        <w:rPr>
          <w:rFonts w:eastAsia="方正楷体_GBK"/>
          <w:sz w:val="28"/>
        </w:rPr>
        <w:fldChar w:fldCharType="separate"/>
      </w:r>
      <w:r>
        <w:rPr>
          <w:rFonts w:eastAsia="方正楷体_GBK"/>
          <w:sz w:val="28"/>
        </w:rPr>
        <w:t>22</w:t>
      </w:r>
      <w:r>
        <w:rPr>
          <w:rFonts w:eastAsia="方正楷体_GBK"/>
          <w:sz w:val="28"/>
        </w:rPr>
        <w:fldChar w:fldCharType="end"/>
      </w:r>
      <w:r>
        <w:rPr>
          <w:rFonts w:eastAsia="方正楷体_GBK"/>
          <w:sz w:val="28"/>
        </w:rPr>
        <w:fldChar w:fldCharType="end"/>
      </w:r>
    </w:p>
    <w:p w14:paraId="70511E25">
      <w:pPr>
        <w:pStyle w:val="10"/>
        <w:tabs>
          <w:tab w:val="right" w:leader="dot" w:pos="8306"/>
        </w:tabs>
        <w:spacing w:line="480" w:lineRule="exact"/>
        <w:ind w:left="1280"/>
        <w:rPr>
          <w:sz w:val="28"/>
        </w:rPr>
      </w:pPr>
      <w:r>
        <w:fldChar w:fldCharType="begin"/>
      </w:r>
      <w:r>
        <w:instrText xml:space="preserve"> HYPERLINK \l "_Toc1262" </w:instrText>
      </w:r>
      <w:r>
        <w:fldChar w:fldCharType="separate"/>
      </w:r>
      <w:r>
        <w:rPr>
          <w:sz w:val="28"/>
        </w:rPr>
        <w:t>第一节  做大做强农产品加工业</w:t>
      </w:r>
      <w:r>
        <w:rPr>
          <w:sz w:val="28"/>
        </w:rPr>
        <w:tab/>
      </w:r>
      <w:r>
        <w:rPr>
          <w:sz w:val="28"/>
        </w:rPr>
        <w:fldChar w:fldCharType="begin"/>
      </w:r>
      <w:r>
        <w:rPr>
          <w:sz w:val="28"/>
        </w:rPr>
        <w:instrText xml:space="preserve"> PAGEREF _Toc1262 \h </w:instrText>
      </w:r>
      <w:r>
        <w:rPr>
          <w:sz w:val="28"/>
        </w:rPr>
        <w:fldChar w:fldCharType="separate"/>
      </w:r>
      <w:r>
        <w:rPr>
          <w:sz w:val="28"/>
        </w:rPr>
        <w:t>24</w:t>
      </w:r>
      <w:r>
        <w:rPr>
          <w:sz w:val="28"/>
        </w:rPr>
        <w:fldChar w:fldCharType="end"/>
      </w:r>
      <w:r>
        <w:rPr>
          <w:sz w:val="28"/>
        </w:rPr>
        <w:fldChar w:fldCharType="end"/>
      </w:r>
    </w:p>
    <w:p w14:paraId="428901F3">
      <w:pPr>
        <w:pStyle w:val="10"/>
        <w:tabs>
          <w:tab w:val="right" w:leader="dot" w:pos="8306"/>
        </w:tabs>
        <w:spacing w:line="480" w:lineRule="exact"/>
        <w:ind w:left="1280"/>
        <w:rPr>
          <w:sz w:val="28"/>
        </w:rPr>
      </w:pPr>
      <w:r>
        <w:fldChar w:fldCharType="begin"/>
      </w:r>
      <w:r>
        <w:instrText xml:space="preserve"> HYPERLINK \l "_Toc27782" </w:instrText>
      </w:r>
      <w:r>
        <w:fldChar w:fldCharType="separate"/>
      </w:r>
      <w:r>
        <w:rPr>
          <w:sz w:val="28"/>
        </w:rPr>
        <w:t>第二节  健全城口农产品流通服务体系</w:t>
      </w:r>
      <w:r>
        <w:rPr>
          <w:sz w:val="28"/>
        </w:rPr>
        <w:tab/>
      </w:r>
      <w:r>
        <w:rPr>
          <w:sz w:val="28"/>
        </w:rPr>
        <w:fldChar w:fldCharType="begin"/>
      </w:r>
      <w:r>
        <w:rPr>
          <w:sz w:val="28"/>
        </w:rPr>
        <w:instrText xml:space="preserve"> PAGEREF _Toc27782 \h </w:instrText>
      </w:r>
      <w:r>
        <w:rPr>
          <w:sz w:val="28"/>
        </w:rPr>
        <w:fldChar w:fldCharType="separate"/>
      </w:r>
      <w:r>
        <w:rPr>
          <w:sz w:val="28"/>
        </w:rPr>
        <w:t>24</w:t>
      </w:r>
      <w:r>
        <w:rPr>
          <w:sz w:val="28"/>
        </w:rPr>
        <w:fldChar w:fldCharType="end"/>
      </w:r>
      <w:r>
        <w:rPr>
          <w:sz w:val="28"/>
        </w:rPr>
        <w:fldChar w:fldCharType="end"/>
      </w:r>
    </w:p>
    <w:p w14:paraId="1EB173AE">
      <w:pPr>
        <w:pStyle w:val="10"/>
        <w:tabs>
          <w:tab w:val="right" w:leader="dot" w:pos="8306"/>
        </w:tabs>
        <w:spacing w:line="480" w:lineRule="exact"/>
        <w:ind w:left="1280"/>
        <w:rPr>
          <w:sz w:val="28"/>
        </w:rPr>
      </w:pPr>
      <w:r>
        <w:fldChar w:fldCharType="begin"/>
      </w:r>
      <w:r>
        <w:instrText xml:space="preserve"> HYPERLINK \l "_Toc29412" </w:instrText>
      </w:r>
      <w:r>
        <w:fldChar w:fldCharType="separate"/>
      </w:r>
      <w:r>
        <w:rPr>
          <w:sz w:val="28"/>
        </w:rPr>
        <w:t>第三节  促进农文旅多业态融合发展</w:t>
      </w:r>
      <w:r>
        <w:rPr>
          <w:sz w:val="28"/>
        </w:rPr>
        <w:tab/>
      </w:r>
      <w:r>
        <w:rPr>
          <w:sz w:val="28"/>
        </w:rPr>
        <w:fldChar w:fldCharType="begin"/>
      </w:r>
      <w:r>
        <w:rPr>
          <w:sz w:val="28"/>
        </w:rPr>
        <w:instrText xml:space="preserve"> PAGEREF _Toc29412 \h </w:instrText>
      </w:r>
      <w:r>
        <w:rPr>
          <w:sz w:val="28"/>
        </w:rPr>
        <w:fldChar w:fldCharType="separate"/>
      </w:r>
      <w:r>
        <w:rPr>
          <w:sz w:val="28"/>
        </w:rPr>
        <w:t>25</w:t>
      </w:r>
      <w:r>
        <w:rPr>
          <w:sz w:val="28"/>
        </w:rPr>
        <w:fldChar w:fldCharType="end"/>
      </w:r>
      <w:r>
        <w:rPr>
          <w:sz w:val="28"/>
        </w:rPr>
        <w:fldChar w:fldCharType="end"/>
      </w:r>
    </w:p>
    <w:p w14:paraId="2AE6934F">
      <w:pPr>
        <w:pStyle w:val="18"/>
        <w:tabs>
          <w:tab w:val="right" w:leader="dot" w:pos="8306"/>
        </w:tabs>
        <w:spacing w:line="480" w:lineRule="exact"/>
        <w:ind w:left="640"/>
        <w:rPr>
          <w:rFonts w:eastAsia="方正楷体_GBK"/>
          <w:sz w:val="28"/>
        </w:rPr>
      </w:pPr>
      <w:r>
        <w:fldChar w:fldCharType="begin"/>
      </w:r>
      <w:r>
        <w:instrText xml:space="preserve"> HYPERLINK \l "_Toc25860" </w:instrText>
      </w:r>
      <w:r>
        <w:fldChar w:fldCharType="separate"/>
      </w:r>
      <w:r>
        <w:rPr>
          <w:rFonts w:eastAsia="方正楷体_GBK"/>
          <w:sz w:val="28"/>
          <w:szCs w:val="36"/>
        </w:rPr>
        <w:t>第十二章  推进生态产品价值实现</w:t>
      </w:r>
      <w:r>
        <w:rPr>
          <w:rFonts w:eastAsia="方正楷体_GBK"/>
          <w:sz w:val="28"/>
        </w:rPr>
        <w:tab/>
      </w:r>
      <w:r>
        <w:rPr>
          <w:rFonts w:eastAsia="方正楷体_GBK"/>
          <w:sz w:val="28"/>
        </w:rPr>
        <w:fldChar w:fldCharType="begin"/>
      </w:r>
      <w:r>
        <w:rPr>
          <w:rFonts w:eastAsia="方正楷体_GBK"/>
          <w:sz w:val="28"/>
        </w:rPr>
        <w:instrText xml:space="preserve"> PAGEREF _Toc25860 \h </w:instrText>
      </w:r>
      <w:r>
        <w:rPr>
          <w:rFonts w:eastAsia="方正楷体_GBK"/>
          <w:sz w:val="28"/>
        </w:rPr>
        <w:fldChar w:fldCharType="separate"/>
      </w:r>
      <w:r>
        <w:rPr>
          <w:rFonts w:eastAsia="方正楷体_GBK"/>
          <w:sz w:val="28"/>
        </w:rPr>
        <w:t>26</w:t>
      </w:r>
      <w:r>
        <w:rPr>
          <w:rFonts w:eastAsia="方正楷体_GBK"/>
          <w:sz w:val="28"/>
        </w:rPr>
        <w:fldChar w:fldCharType="end"/>
      </w:r>
      <w:r>
        <w:rPr>
          <w:rFonts w:eastAsia="方正楷体_GBK"/>
          <w:sz w:val="28"/>
        </w:rPr>
        <w:fldChar w:fldCharType="end"/>
      </w:r>
    </w:p>
    <w:p w14:paraId="4BF16C17">
      <w:pPr>
        <w:pStyle w:val="10"/>
        <w:tabs>
          <w:tab w:val="right" w:leader="dot" w:pos="8306"/>
        </w:tabs>
        <w:spacing w:line="480" w:lineRule="exact"/>
        <w:ind w:left="1280"/>
        <w:rPr>
          <w:sz w:val="28"/>
        </w:rPr>
      </w:pPr>
      <w:r>
        <w:fldChar w:fldCharType="begin"/>
      </w:r>
      <w:r>
        <w:instrText xml:space="preserve"> HYPERLINK \l "_Toc2281" </w:instrText>
      </w:r>
      <w:r>
        <w:fldChar w:fldCharType="separate"/>
      </w:r>
      <w:r>
        <w:rPr>
          <w:sz w:val="28"/>
        </w:rPr>
        <w:t>第一节  完善生态资源相关指标体系</w:t>
      </w:r>
      <w:r>
        <w:rPr>
          <w:sz w:val="28"/>
        </w:rPr>
        <w:tab/>
      </w:r>
      <w:r>
        <w:rPr>
          <w:sz w:val="28"/>
        </w:rPr>
        <w:fldChar w:fldCharType="begin"/>
      </w:r>
      <w:r>
        <w:rPr>
          <w:sz w:val="28"/>
        </w:rPr>
        <w:instrText xml:space="preserve"> PAGEREF _Toc2281 \h </w:instrText>
      </w:r>
      <w:r>
        <w:rPr>
          <w:sz w:val="28"/>
        </w:rPr>
        <w:fldChar w:fldCharType="separate"/>
      </w:r>
      <w:r>
        <w:rPr>
          <w:sz w:val="28"/>
        </w:rPr>
        <w:t>26</w:t>
      </w:r>
      <w:r>
        <w:rPr>
          <w:sz w:val="28"/>
        </w:rPr>
        <w:fldChar w:fldCharType="end"/>
      </w:r>
      <w:r>
        <w:rPr>
          <w:sz w:val="28"/>
        </w:rPr>
        <w:fldChar w:fldCharType="end"/>
      </w:r>
    </w:p>
    <w:p w14:paraId="182DAE95">
      <w:pPr>
        <w:pStyle w:val="10"/>
        <w:tabs>
          <w:tab w:val="right" w:leader="dot" w:pos="8306"/>
        </w:tabs>
        <w:spacing w:line="480" w:lineRule="exact"/>
        <w:ind w:left="1280"/>
        <w:rPr>
          <w:sz w:val="28"/>
        </w:rPr>
      </w:pPr>
      <w:r>
        <w:fldChar w:fldCharType="begin"/>
      </w:r>
      <w:r>
        <w:instrText xml:space="preserve"> HYPERLINK \l "_Toc20641" </w:instrText>
      </w:r>
      <w:r>
        <w:fldChar w:fldCharType="separate"/>
      </w:r>
      <w:r>
        <w:rPr>
          <w:sz w:val="28"/>
        </w:rPr>
        <w:t>第二节  建立生态指标交易市场</w:t>
      </w:r>
      <w:r>
        <w:rPr>
          <w:sz w:val="28"/>
        </w:rPr>
        <w:tab/>
      </w:r>
      <w:r>
        <w:rPr>
          <w:sz w:val="28"/>
        </w:rPr>
        <w:fldChar w:fldCharType="begin"/>
      </w:r>
      <w:r>
        <w:rPr>
          <w:sz w:val="28"/>
        </w:rPr>
        <w:instrText xml:space="preserve"> PAGEREF _Toc20641 \h </w:instrText>
      </w:r>
      <w:r>
        <w:rPr>
          <w:sz w:val="28"/>
        </w:rPr>
        <w:fldChar w:fldCharType="separate"/>
      </w:r>
      <w:r>
        <w:rPr>
          <w:sz w:val="28"/>
        </w:rPr>
        <w:t>26</w:t>
      </w:r>
      <w:r>
        <w:rPr>
          <w:sz w:val="28"/>
        </w:rPr>
        <w:fldChar w:fldCharType="end"/>
      </w:r>
      <w:r>
        <w:rPr>
          <w:sz w:val="28"/>
        </w:rPr>
        <w:fldChar w:fldCharType="end"/>
      </w:r>
    </w:p>
    <w:p w14:paraId="66C651ED">
      <w:pPr>
        <w:pStyle w:val="10"/>
        <w:tabs>
          <w:tab w:val="right" w:leader="dot" w:pos="8306"/>
        </w:tabs>
        <w:spacing w:line="480" w:lineRule="exact"/>
        <w:ind w:left="1280"/>
        <w:rPr>
          <w:sz w:val="28"/>
        </w:rPr>
      </w:pPr>
      <w:r>
        <w:fldChar w:fldCharType="begin"/>
      </w:r>
      <w:r>
        <w:instrText xml:space="preserve"> HYPERLINK \l "_Toc14513" </w:instrText>
      </w:r>
      <w:r>
        <w:fldChar w:fldCharType="separate"/>
      </w:r>
      <w:r>
        <w:rPr>
          <w:sz w:val="28"/>
        </w:rPr>
        <w:t>第三节  开展生态资源资本化试点</w:t>
      </w:r>
      <w:r>
        <w:rPr>
          <w:sz w:val="28"/>
        </w:rPr>
        <w:tab/>
      </w:r>
      <w:r>
        <w:rPr>
          <w:sz w:val="28"/>
        </w:rPr>
        <w:fldChar w:fldCharType="begin"/>
      </w:r>
      <w:r>
        <w:rPr>
          <w:sz w:val="28"/>
        </w:rPr>
        <w:instrText xml:space="preserve"> PAGEREF _Toc14513 \h </w:instrText>
      </w:r>
      <w:r>
        <w:rPr>
          <w:sz w:val="28"/>
        </w:rPr>
        <w:fldChar w:fldCharType="separate"/>
      </w:r>
      <w:r>
        <w:rPr>
          <w:sz w:val="28"/>
        </w:rPr>
        <w:t>26</w:t>
      </w:r>
      <w:r>
        <w:rPr>
          <w:sz w:val="28"/>
        </w:rPr>
        <w:fldChar w:fldCharType="end"/>
      </w:r>
      <w:r>
        <w:rPr>
          <w:sz w:val="28"/>
        </w:rPr>
        <w:fldChar w:fldCharType="end"/>
      </w:r>
    </w:p>
    <w:p w14:paraId="0A109F45">
      <w:pPr>
        <w:pStyle w:val="18"/>
        <w:tabs>
          <w:tab w:val="right" w:leader="dot" w:pos="8306"/>
        </w:tabs>
        <w:spacing w:line="480" w:lineRule="exact"/>
        <w:ind w:left="640"/>
        <w:rPr>
          <w:sz w:val="28"/>
        </w:rPr>
      </w:pPr>
      <w:r>
        <w:fldChar w:fldCharType="begin"/>
      </w:r>
      <w:r>
        <w:instrText xml:space="preserve"> HYPERLINK \l "_Toc30341" </w:instrText>
      </w:r>
      <w:r>
        <w:fldChar w:fldCharType="separate"/>
      </w:r>
      <w:r>
        <w:rPr>
          <w:rFonts w:eastAsia="方正楷体_GBK"/>
          <w:sz w:val="28"/>
          <w:szCs w:val="36"/>
        </w:rPr>
        <w:t>第十三章  建立完善现代农业经营体系</w:t>
      </w:r>
      <w:r>
        <w:rPr>
          <w:rFonts w:eastAsia="方正楷体_GBK"/>
          <w:sz w:val="28"/>
        </w:rPr>
        <w:tab/>
      </w:r>
      <w:r>
        <w:rPr>
          <w:rFonts w:eastAsia="方正楷体_GBK"/>
          <w:sz w:val="28"/>
        </w:rPr>
        <w:fldChar w:fldCharType="begin"/>
      </w:r>
      <w:r>
        <w:rPr>
          <w:rFonts w:eastAsia="方正楷体_GBK"/>
          <w:sz w:val="28"/>
        </w:rPr>
        <w:instrText xml:space="preserve"> PAGEREF _Toc30341 \h </w:instrText>
      </w:r>
      <w:r>
        <w:rPr>
          <w:rFonts w:eastAsia="方正楷体_GBK"/>
          <w:sz w:val="28"/>
        </w:rPr>
        <w:fldChar w:fldCharType="separate"/>
      </w:r>
      <w:r>
        <w:rPr>
          <w:rFonts w:eastAsia="方正楷体_GBK"/>
          <w:sz w:val="28"/>
        </w:rPr>
        <w:t>27</w:t>
      </w:r>
      <w:r>
        <w:rPr>
          <w:rFonts w:eastAsia="方正楷体_GBK"/>
          <w:sz w:val="28"/>
        </w:rPr>
        <w:fldChar w:fldCharType="end"/>
      </w:r>
      <w:r>
        <w:rPr>
          <w:rFonts w:eastAsia="方正楷体_GBK"/>
          <w:sz w:val="28"/>
        </w:rPr>
        <w:fldChar w:fldCharType="end"/>
      </w:r>
    </w:p>
    <w:p w14:paraId="54309205">
      <w:pPr>
        <w:pStyle w:val="10"/>
        <w:tabs>
          <w:tab w:val="right" w:leader="dot" w:pos="8306"/>
        </w:tabs>
        <w:spacing w:line="480" w:lineRule="exact"/>
        <w:ind w:left="1280"/>
        <w:rPr>
          <w:sz w:val="28"/>
        </w:rPr>
      </w:pPr>
      <w:r>
        <w:fldChar w:fldCharType="begin"/>
      </w:r>
      <w:r>
        <w:instrText xml:space="preserve"> HYPERLINK \l "_Toc32749" </w:instrText>
      </w:r>
      <w:r>
        <w:fldChar w:fldCharType="separate"/>
      </w:r>
      <w:r>
        <w:rPr>
          <w:sz w:val="28"/>
        </w:rPr>
        <w:t>第一节  发展壮大新型农业经营主体</w:t>
      </w:r>
      <w:r>
        <w:rPr>
          <w:sz w:val="28"/>
        </w:rPr>
        <w:tab/>
      </w:r>
      <w:r>
        <w:rPr>
          <w:sz w:val="28"/>
        </w:rPr>
        <w:fldChar w:fldCharType="begin"/>
      </w:r>
      <w:r>
        <w:rPr>
          <w:sz w:val="28"/>
        </w:rPr>
        <w:instrText xml:space="preserve"> PAGEREF _Toc32749 \h </w:instrText>
      </w:r>
      <w:r>
        <w:rPr>
          <w:sz w:val="28"/>
        </w:rPr>
        <w:fldChar w:fldCharType="separate"/>
      </w:r>
      <w:r>
        <w:rPr>
          <w:sz w:val="28"/>
        </w:rPr>
        <w:t>27</w:t>
      </w:r>
      <w:r>
        <w:rPr>
          <w:sz w:val="28"/>
        </w:rPr>
        <w:fldChar w:fldCharType="end"/>
      </w:r>
      <w:r>
        <w:rPr>
          <w:sz w:val="28"/>
        </w:rPr>
        <w:fldChar w:fldCharType="end"/>
      </w:r>
    </w:p>
    <w:p w14:paraId="5D39B266">
      <w:pPr>
        <w:pStyle w:val="10"/>
        <w:tabs>
          <w:tab w:val="right" w:leader="dot" w:pos="8306"/>
        </w:tabs>
        <w:spacing w:line="480" w:lineRule="exact"/>
        <w:ind w:left="1280"/>
        <w:rPr>
          <w:sz w:val="28"/>
        </w:rPr>
      </w:pPr>
      <w:r>
        <w:fldChar w:fldCharType="begin"/>
      </w:r>
      <w:r>
        <w:instrText xml:space="preserve"> HYPERLINK \l "_Toc27708" </w:instrText>
      </w:r>
      <w:r>
        <w:fldChar w:fldCharType="separate"/>
      </w:r>
      <w:r>
        <w:rPr>
          <w:sz w:val="28"/>
        </w:rPr>
        <w:t>第二节  发展新型农村集体经济</w:t>
      </w:r>
      <w:r>
        <w:rPr>
          <w:sz w:val="28"/>
        </w:rPr>
        <w:tab/>
      </w:r>
      <w:r>
        <w:rPr>
          <w:sz w:val="28"/>
        </w:rPr>
        <w:fldChar w:fldCharType="begin"/>
      </w:r>
      <w:r>
        <w:rPr>
          <w:sz w:val="28"/>
        </w:rPr>
        <w:instrText xml:space="preserve"> PAGEREF _Toc27708 \h </w:instrText>
      </w:r>
      <w:r>
        <w:rPr>
          <w:sz w:val="28"/>
        </w:rPr>
        <w:fldChar w:fldCharType="separate"/>
      </w:r>
      <w:r>
        <w:rPr>
          <w:sz w:val="28"/>
        </w:rPr>
        <w:t>27</w:t>
      </w:r>
      <w:r>
        <w:rPr>
          <w:sz w:val="28"/>
        </w:rPr>
        <w:fldChar w:fldCharType="end"/>
      </w:r>
      <w:r>
        <w:rPr>
          <w:sz w:val="28"/>
        </w:rPr>
        <w:fldChar w:fldCharType="end"/>
      </w:r>
    </w:p>
    <w:p w14:paraId="78636BB0">
      <w:pPr>
        <w:pStyle w:val="10"/>
        <w:tabs>
          <w:tab w:val="right" w:leader="dot" w:pos="8306"/>
        </w:tabs>
        <w:spacing w:line="480" w:lineRule="exact"/>
        <w:ind w:left="1280"/>
        <w:rPr>
          <w:sz w:val="28"/>
        </w:rPr>
      </w:pPr>
      <w:r>
        <w:fldChar w:fldCharType="begin"/>
      </w:r>
      <w:r>
        <w:instrText xml:space="preserve"> HYPERLINK \l "_Toc23078" </w:instrText>
      </w:r>
      <w:r>
        <w:fldChar w:fldCharType="separate"/>
      </w:r>
      <w:r>
        <w:rPr>
          <w:sz w:val="28"/>
        </w:rPr>
        <w:t>第三节  创新农业社会化服务</w:t>
      </w:r>
      <w:r>
        <w:rPr>
          <w:sz w:val="28"/>
        </w:rPr>
        <w:tab/>
      </w:r>
      <w:r>
        <w:rPr>
          <w:sz w:val="28"/>
        </w:rPr>
        <w:fldChar w:fldCharType="begin"/>
      </w:r>
      <w:r>
        <w:rPr>
          <w:sz w:val="28"/>
        </w:rPr>
        <w:instrText xml:space="preserve"> PAGEREF _Toc23078 \h </w:instrText>
      </w:r>
      <w:r>
        <w:rPr>
          <w:sz w:val="28"/>
        </w:rPr>
        <w:fldChar w:fldCharType="separate"/>
      </w:r>
      <w:r>
        <w:rPr>
          <w:sz w:val="28"/>
        </w:rPr>
        <w:t>28</w:t>
      </w:r>
      <w:r>
        <w:rPr>
          <w:sz w:val="28"/>
        </w:rPr>
        <w:fldChar w:fldCharType="end"/>
      </w:r>
      <w:r>
        <w:rPr>
          <w:sz w:val="28"/>
        </w:rPr>
        <w:fldChar w:fldCharType="end"/>
      </w:r>
    </w:p>
    <w:p w14:paraId="05E50D9B">
      <w:pPr>
        <w:pStyle w:val="10"/>
        <w:tabs>
          <w:tab w:val="right" w:leader="dot" w:pos="8306"/>
        </w:tabs>
        <w:spacing w:line="480" w:lineRule="exact"/>
        <w:ind w:left="1280"/>
        <w:rPr>
          <w:sz w:val="28"/>
        </w:rPr>
      </w:pPr>
      <w:r>
        <w:fldChar w:fldCharType="begin"/>
      </w:r>
      <w:r>
        <w:instrText xml:space="preserve"> HYPERLINK \l "_Toc21140" </w:instrText>
      </w:r>
      <w:r>
        <w:fldChar w:fldCharType="separate"/>
      </w:r>
      <w:r>
        <w:rPr>
          <w:sz w:val="28"/>
        </w:rPr>
        <w:t>第四节  促进小农户和现代农业有效衔接</w:t>
      </w:r>
      <w:r>
        <w:rPr>
          <w:sz w:val="28"/>
        </w:rPr>
        <w:tab/>
      </w:r>
      <w:r>
        <w:rPr>
          <w:sz w:val="28"/>
        </w:rPr>
        <w:fldChar w:fldCharType="begin"/>
      </w:r>
      <w:r>
        <w:rPr>
          <w:sz w:val="28"/>
        </w:rPr>
        <w:instrText xml:space="preserve"> PAGEREF _Toc21140 \h </w:instrText>
      </w:r>
      <w:r>
        <w:rPr>
          <w:sz w:val="28"/>
        </w:rPr>
        <w:fldChar w:fldCharType="separate"/>
      </w:r>
      <w:r>
        <w:rPr>
          <w:sz w:val="28"/>
        </w:rPr>
        <w:t>29</w:t>
      </w:r>
      <w:r>
        <w:rPr>
          <w:sz w:val="28"/>
        </w:rPr>
        <w:fldChar w:fldCharType="end"/>
      </w:r>
      <w:r>
        <w:rPr>
          <w:sz w:val="28"/>
        </w:rPr>
        <w:fldChar w:fldCharType="end"/>
      </w:r>
    </w:p>
    <w:p w14:paraId="2045B04E">
      <w:pPr>
        <w:pStyle w:val="15"/>
        <w:tabs>
          <w:tab w:val="right" w:leader="dot" w:pos="8306"/>
        </w:tabs>
        <w:spacing w:line="480" w:lineRule="exact"/>
        <w:rPr>
          <w:sz w:val="28"/>
        </w:rPr>
      </w:pPr>
      <w:r>
        <w:fldChar w:fldCharType="begin"/>
      </w:r>
      <w:r>
        <w:instrText xml:space="preserve"> HYPERLINK \l "_Toc21176" </w:instrText>
      </w:r>
      <w:r>
        <w:fldChar w:fldCharType="separate"/>
      </w:r>
      <w:r>
        <w:rPr>
          <w:rFonts w:eastAsia="方正黑体_GBK"/>
          <w:sz w:val="28"/>
        </w:rPr>
        <w:t>第五篇  培养</w:t>
      </w:r>
      <w:r>
        <w:rPr>
          <w:rFonts w:hint="eastAsia" w:eastAsia="方正黑体_GBK"/>
          <w:sz w:val="28"/>
        </w:rPr>
        <w:t>“</w:t>
      </w:r>
      <w:r>
        <w:rPr>
          <w:rFonts w:eastAsia="方正黑体_GBK"/>
          <w:sz w:val="28"/>
        </w:rPr>
        <w:t>一懂两爱</w:t>
      </w:r>
      <w:r>
        <w:rPr>
          <w:rFonts w:hint="eastAsia" w:eastAsia="方正黑体_GBK"/>
          <w:sz w:val="28"/>
        </w:rPr>
        <w:t>”</w:t>
      </w:r>
      <w:r>
        <w:rPr>
          <w:rFonts w:eastAsia="方正黑体_GBK"/>
          <w:sz w:val="28"/>
        </w:rPr>
        <w:t>乡村振兴人才</w:t>
      </w:r>
      <w:r>
        <w:rPr>
          <w:sz w:val="28"/>
        </w:rPr>
        <w:tab/>
      </w:r>
      <w:r>
        <w:rPr>
          <w:sz w:val="28"/>
        </w:rPr>
        <w:fldChar w:fldCharType="begin"/>
      </w:r>
      <w:r>
        <w:rPr>
          <w:sz w:val="28"/>
        </w:rPr>
        <w:instrText xml:space="preserve"> PAGEREF _Toc21176 \h </w:instrText>
      </w:r>
      <w:r>
        <w:rPr>
          <w:sz w:val="28"/>
        </w:rPr>
        <w:fldChar w:fldCharType="separate"/>
      </w:r>
      <w:r>
        <w:rPr>
          <w:sz w:val="28"/>
        </w:rPr>
        <w:t>30</w:t>
      </w:r>
      <w:r>
        <w:rPr>
          <w:sz w:val="28"/>
        </w:rPr>
        <w:fldChar w:fldCharType="end"/>
      </w:r>
      <w:r>
        <w:rPr>
          <w:sz w:val="28"/>
        </w:rPr>
        <w:fldChar w:fldCharType="end"/>
      </w:r>
    </w:p>
    <w:p w14:paraId="37838358">
      <w:pPr>
        <w:pStyle w:val="18"/>
        <w:tabs>
          <w:tab w:val="right" w:leader="dot" w:pos="8306"/>
        </w:tabs>
        <w:spacing w:line="480" w:lineRule="exact"/>
        <w:ind w:left="640"/>
        <w:rPr>
          <w:sz w:val="28"/>
        </w:rPr>
      </w:pPr>
      <w:r>
        <w:fldChar w:fldCharType="begin"/>
      </w:r>
      <w:r>
        <w:instrText xml:space="preserve"> HYPERLINK \l "_Toc17969" </w:instrText>
      </w:r>
      <w:r>
        <w:fldChar w:fldCharType="separate"/>
      </w:r>
      <w:r>
        <w:rPr>
          <w:rFonts w:eastAsia="方正楷体_GBK"/>
          <w:sz w:val="28"/>
          <w:szCs w:val="36"/>
        </w:rPr>
        <w:t>第十四章   强化乡村多层次人才队伍建设</w:t>
      </w:r>
      <w:r>
        <w:rPr>
          <w:rFonts w:eastAsia="方正楷体_GBK"/>
          <w:sz w:val="28"/>
        </w:rPr>
        <w:tab/>
      </w:r>
      <w:r>
        <w:rPr>
          <w:rFonts w:eastAsia="方正楷体_GBK"/>
          <w:sz w:val="28"/>
        </w:rPr>
        <w:fldChar w:fldCharType="begin"/>
      </w:r>
      <w:r>
        <w:rPr>
          <w:rFonts w:eastAsia="方正楷体_GBK"/>
          <w:sz w:val="28"/>
        </w:rPr>
        <w:instrText xml:space="preserve"> PAGEREF _Toc17969 \h </w:instrText>
      </w:r>
      <w:r>
        <w:rPr>
          <w:rFonts w:eastAsia="方正楷体_GBK"/>
          <w:sz w:val="28"/>
        </w:rPr>
        <w:fldChar w:fldCharType="separate"/>
      </w:r>
      <w:r>
        <w:rPr>
          <w:rFonts w:eastAsia="方正楷体_GBK"/>
          <w:sz w:val="28"/>
        </w:rPr>
        <w:t>30</w:t>
      </w:r>
      <w:r>
        <w:rPr>
          <w:rFonts w:eastAsia="方正楷体_GBK"/>
          <w:sz w:val="28"/>
        </w:rPr>
        <w:fldChar w:fldCharType="end"/>
      </w:r>
      <w:r>
        <w:rPr>
          <w:rFonts w:eastAsia="方正楷体_GBK"/>
          <w:sz w:val="28"/>
        </w:rPr>
        <w:fldChar w:fldCharType="end"/>
      </w:r>
    </w:p>
    <w:p w14:paraId="44451F2B">
      <w:pPr>
        <w:pStyle w:val="10"/>
        <w:tabs>
          <w:tab w:val="right" w:leader="dot" w:pos="8306"/>
        </w:tabs>
        <w:spacing w:line="480" w:lineRule="exact"/>
        <w:ind w:left="1280"/>
        <w:rPr>
          <w:sz w:val="28"/>
        </w:rPr>
      </w:pPr>
      <w:r>
        <w:fldChar w:fldCharType="begin"/>
      </w:r>
      <w:r>
        <w:instrText xml:space="preserve"> HYPERLINK \l "_Toc16263" </w:instrText>
      </w:r>
      <w:r>
        <w:fldChar w:fldCharType="separate"/>
      </w:r>
      <w:r>
        <w:rPr>
          <w:sz w:val="28"/>
        </w:rPr>
        <w:t>第一节  着力新型职业农民培育</w:t>
      </w:r>
      <w:r>
        <w:rPr>
          <w:sz w:val="28"/>
        </w:rPr>
        <w:tab/>
      </w:r>
      <w:r>
        <w:rPr>
          <w:sz w:val="28"/>
        </w:rPr>
        <w:fldChar w:fldCharType="begin"/>
      </w:r>
      <w:r>
        <w:rPr>
          <w:sz w:val="28"/>
        </w:rPr>
        <w:instrText xml:space="preserve"> PAGEREF _Toc16263 \h </w:instrText>
      </w:r>
      <w:r>
        <w:rPr>
          <w:sz w:val="28"/>
        </w:rPr>
        <w:fldChar w:fldCharType="separate"/>
      </w:r>
      <w:r>
        <w:rPr>
          <w:sz w:val="28"/>
        </w:rPr>
        <w:t>30</w:t>
      </w:r>
      <w:r>
        <w:rPr>
          <w:sz w:val="28"/>
        </w:rPr>
        <w:fldChar w:fldCharType="end"/>
      </w:r>
      <w:r>
        <w:rPr>
          <w:sz w:val="28"/>
        </w:rPr>
        <w:fldChar w:fldCharType="end"/>
      </w:r>
    </w:p>
    <w:p w14:paraId="09DD1766">
      <w:pPr>
        <w:pStyle w:val="10"/>
        <w:tabs>
          <w:tab w:val="right" w:leader="dot" w:pos="8306"/>
        </w:tabs>
        <w:spacing w:line="480" w:lineRule="exact"/>
        <w:ind w:left="1280"/>
        <w:rPr>
          <w:sz w:val="28"/>
        </w:rPr>
      </w:pPr>
      <w:r>
        <w:fldChar w:fldCharType="begin"/>
      </w:r>
      <w:r>
        <w:instrText xml:space="preserve"> HYPERLINK \l "_Toc2546" </w:instrText>
      </w:r>
      <w:r>
        <w:fldChar w:fldCharType="separate"/>
      </w:r>
      <w:r>
        <w:rPr>
          <w:sz w:val="28"/>
        </w:rPr>
        <w:t>第二节  加强农村专业人才队伍建设</w:t>
      </w:r>
      <w:r>
        <w:rPr>
          <w:sz w:val="28"/>
        </w:rPr>
        <w:tab/>
      </w:r>
      <w:r>
        <w:rPr>
          <w:sz w:val="28"/>
        </w:rPr>
        <w:fldChar w:fldCharType="begin"/>
      </w:r>
      <w:r>
        <w:rPr>
          <w:sz w:val="28"/>
        </w:rPr>
        <w:instrText xml:space="preserve"> PAGEREF _Toc2546 \h </w:instrText>
      </w:r>
      <w:r>
        <w:rPr>
          <w:sz w:val="28"/>
        </w:rPr>
        <w:fldChar w:fldCharType="separate"/>
      </w:r>
      <w:r>
        <w:rPr>
          <w:sz w:val="28"/>
        </w:rPr>
        <w:t>31</w:t>
      </w:r>
      <w:r>
        <w:rPr>
          <w:sz w:val="28"/>
        </w:rPr>
        <w:fldChar w:fldCharType="end"/>
      </w:r>
      <w:r>
        <w:rPr>
          <w:sz w:val="28"/>
        </w:rPr>
        <w:fldChar w:fldCharType="end"/>
      </w:r>
    </w:p>
    <w:p w14:paraId="5044DFB2">
      <w:pPr>
        <w:pStyle w:val="18"/>
        <w:tabs>
          <w:tab w:val="right" w:leader="dot" w:pos="8306"/>
        </w:tabs>
        <w:spacing w:line="480" w:lineRule="exact"/>
        <w:ind w:left="640"/>
        <w:rPr>
          <w:sz w:val="28"/>
        </w:rPr>
      </w:pPr>
      <w:r>
        <w:fldChar w:fldCharType="begin"/>
      </w:r>
      <w:r>
        <w:instrText xml:space="preserve"> HYPERLINK \l "_Toc12888" </w:instrText>
      </w:r>
      <w:r>
        <w:fldChar w:fldCharType="separate"/>
      </w:r>
      <w:r>
        <w:rPr>
          <w:rFonts w:eastAsia="方正楷体_GBK"/>
          <w:sz w:val="28"/>
          <w:szCs w:val="36"/>
        </w:rPr>
        <w:t>第十五章  鼓励社会各界投身城口乡村建设</w:t>
      </w:r>
      <w:r>
        <w:rPr>
          <w:rFonts w:eastAsia="方正楷体_GBK"/>
          <w:sz w:val="28"/>
        </w:rPr>
        <w:tab/>
      </w:r>
      <w:r>
        <w:rPr>
          <w:sz w:val="28"/>
        </w:rPr>
        <w:fldChar w:fldCharType="begin"/>
      </w:r>
      <w:r>
        <w:rPr>
          <w:sz w:val="28"/>
        </w:rPr>
        <w:instrText xml:space="preserve"> PAGEREF _Toc12888 \h </w:instrText>
      </w:r>
      <w:r>
        <w:rPr>
          <w:sz w:val="28"/>
        </w:rPr>
        <w:fldChar w:fldCharType="separate"/>
      </w:r>
      <w:r>
        <w:rPr>
          <w:sz w:val="28"/>
        </w:rPr>
        <w:t>31</w:t>
      </w:r>
      <w:r>
        <w:rPr>
          <w:sz w:val="28"/>
        </w:rPr>
        <w:fldChar w:fldCharType="end"/>
      </w:r>
      <w:r>
        <w:rPr>
          <w:sz w:val="28"/>
        </w:rPr>
        <w:fldChar w:fldCharType="end"/>
      </w:r>
    </w:p>
    <w:p w14:paraId="4529FEB8">
      <w:pPr>
        <w:pStyle w:val="10"/>
        <w:tabs>
          <w:tab w:val="right" w:leader="dot" w:pos="8306"/>
        </w:tabs>
        <w:spacing w:line="480" w:lineRule="exact"/>
        <w:ind w:left="1280"/>
        <w:rPr>
          <w:sz w:val="28"/>
        </w:rPr>
      </w:pPr>
      <w:r>
        <w:fldChar w:fldCharType="begin"/>
      </w:r>
      <w:r>
        <w:instrText xml:space="preserve"> HYPERLINK \l "_Toc24932" </w:instrText>
      </w:r>
      <w:r>
        <w:fldChar w:fldCharType="separate"/>
      </w:r>
      <w:r>
        <w:rPr>
          <w:sz w:val="28"/>
        </w:rPr>
        <w:t>第一节  吸引县内外优秀人才返乡</w:t>
      </w:r>
      <w:r>
        <w:rPr>
          <w:sz w:val="28"/>
        </w:rPr>
        <w:tab/>
      </w:r>
      <w:r>
        <w:rPr>
          <w:sz w:val="28"/>
        </w:rPr>
        <w:fldChar w:fldCharType="begin"/>
      </w:r>
      <w:r>
        <w:rPr>
          <w:sz w:val="28"/>
        </w:rPr>
        <w:instrText xml:space="preserve"> PAGEREF _Toc24932 \h </w:instrText>
      </w:r>
      <w:r>
        <w:rPr>
          <w:sz w:val="28"/>
        </w:rPr>
        <w:fldChar w:fldCharType="separate"/>
      </w:r>
      <w:r>
        <w:rPr>
          <w:sz w:val="28"/>
        </w:rPr>
        <w:t>31</w:t>
      </w:r>
      <w:r>
        <w:rPr>
          <w:sz w:val="28"/>
        </w:rPr>
        <w:fldChar w:fldCharType="end"/>
      </w:r>
      <w:r>
        <w:rPr>
          <w:sz w:val="28"/>
        </w:rPr>
        <w:fldChar w:fldCharType="end"/>
      </w:r>
    </w:p>
    <w:p w14:paraId="080C78BD">
      <w:pPr>
        <w:pStyle w:val="10"/>
        <w:tabs>
          <w:tab w:val="right" w:leader="dot" w:pos="8306"/>
        </w:tabs>
        <w:spacing w:line="480" w:lineRule="exact"/>
        <w:ind w:left="1280"/>
        <w:rPr>
          <w:sz w:val="28"/>
        </w:rPr>
      </w:pPr>
      <w:r>
        <w:fldChar w:fldCharType="begin"/>
      </w:r>
      <w:r>
        <w:instrText xml:space="preserve"> HYPERLINK \l "_Toc24054" </w:instrText>
      </w:r>
      <w:r>
        <w:fldChar w:fldCharType="separate"/>
      </w:r>
      <w:r>
        <w:rPr>
          <w:sz w:val="28"/>
        </w:rPr>
        <w:t>第二节  鼓励社会人才下乡支农</w:t>
      </w:r>
      <w:r>
        <w:rPr>
          <w:sz w:val="28"/>
        </w:rPr>
        <w:tab/>
      </w:r>
      <w:r>
        <w:rPr>
          <w:sz w:val="28"/>
        </w:rPr>
        <w:fldChar w:fldCharType="begin"/>
      </w:r>
      <w:r>
        <w:rPr>
          <w:sz w:val="28"/>
        </w:rPr>
        <w:instrText xml:space="preserve"> PAGEREF _Toc24054 \h </w:instrText>
      </w:r>
      <w:r>
        <w:rPr>
          <w:sz w:val="28"/>
        </w:rPr>
        <w:fldChar w:fldCharType="separate"/>
      </w:r>
      <w:r>
        <w:rPr>
          <w:sz w:val="28"/>
        </w:rPr>
        <w:t>32</w:t>
      </w:r>
      <w:r>
        <w:rPr>
          <w:sz w:val="28"/>
        </w:rPr>
        <w:fldChar w:fldCharType="end"/>
      </w:r>
      <w:r>
        <w:rPr>
          <w:sz w:val="28"/>
        </w:rPr>
        <w:fldChar w:fldCharType="end"/>
      </w:r>
    </w:p>
    <w:p w14:paraId="5E651768">
      <w:pPr>
        <w:pStyle w:val="10"/>
        <w:tabs>
          <w:tab w:val="right" w:leader="dot" w:pos="8306"/>
        </w:tabs>
        <w:spacing w:line="480" w:lineRule="exact"/>
        <w:ind w:left="1280"/>
        <w:rPr>
          <w:sz w:val="28"/>
        </w:rPr>
      </w:pPr>
      <w:r>
        <w:fldChar w:fldCharType="begin"/>
      </w:r>
      <w:r>
        <w:instrText xml:space="preserve"> HYPERLINK \l "_Toc974" </w:instrText>
      </w:r>
      <w:r>
        <w:fldChar w:fldCharType="separate"/>
      </w:r>
      <w:r>
        <w:rPr>
          <w:sz w:val="28"/>
        </w:rPr>
        <w:t>第三节  培育壮大新乡贤队伍</w:t>
      </w:r>
      <w:r>
        <w:rPr>
          <w:sz w:val="28"/>
        </w:rPr>
        <w:tab/>
      </w:r>
      <w:r>
        <w:rPr>
          <w:sz w:val="28"/>
        </w:rPr>
        <w:fldChar w:fldCharType="begin"/>
      </w:r>
      <w:r>
        <w:rPr>
          <w:sz w:val="28"/>
        </w:rPr>
        <w:instrText xml:space="preserve"> PAGEREF _Toc974 \h </w:instrText>
      </w:r>
      <w:r>
        <w:rPr>
          <w:sz w:val="28"/>
        </w:rPr>
        <w:fldChar w:fldCharType="separate"/>
      </w:r>
      <w:r>
        <w:rPr>
          <w:sz w:val="28"/>
        </w:rPr>
        <w:t>32</w:t>
      </w:r>
      <w:r>
        <w:rPr>
          <w:sz w:val="28"/>
        </w:rPr>
        <w:fldChar w:fldCharType="end"/>
      </w:r>
      <w:r>
        <w:rPr>
          <w:sz w:val="28"/>
        </w:rPr>
        <w:fldChar w:fldCharType="end"/>
      </w:r>
    </w:p>
    <w:p w14:paraId="09CBD868">
      <w:pPr>
        <w:pStyle w:val="18"/>
        <w:tabs>
          <w:tab w:val="right" w:leader="dot" w:pos="8306"/>
        </w:tabs>
        <w:spacing w:line="480" w:lineRule="exact"/>
        <w:ind w:left="640"/>
        <w:rPr>
          <w:sz w:val="28"/>
        </w:rPr>
      </w:pPr>
      <w:r>
        <w:fldChar w:fldCharType="begin"/>
      </w:r>
      <w:r>
        <w:instrText xml:space="preserve"> HYPERLINK \l "_Toc21904" </w:instrText>
      </w:r>
      <w:r>
        <w:fldChar w:fldCharType="separate"/>
      </w:r>
      <w:r>
        <w:rPr>
          <w:rFonts w:eastAsia="方正楷体_GBK"/>
          <w:sz w:val="28"/>
          <w:szCs w:val="36"/>
        </w:rPr>
        <w:t>第十六章  完善乡村振兴人才支持体制机制</w:t>
      </w:r>
      <w:r>
        <w:rPr>
          <w:sz w:val="28"/>
        </w:rPr>
        <w:tab/>
      </w:r>
      <w:r>
        <w:rPr>
          <w:sz w:val="28"/>
        </w:rPr>
        <w:fldChar w:fldCharType="begin"/>
      </w:r>
      <w:r>
        <w:rPr>
          <w:sz w:val="28"/>
        </w:rPr>
        <w:instrText xml:space="preserve"> PAGEREF _Toc21904 \h </w:instrText>
      </w:r>
      <w:r>
        <w:rPr>
          <w:sz w:val="28"/>
        </w:rPr>
        <w:fldChar w:fldCharType="separate"/>
      </w:r>
      <w:r>
        <w:rPr>
          <w:sz w:val="28"/>
        </w:rPr>
        <w:t>33</w:t>
      </w:r>
      <w:r>
        <w:rPr>
          <w:sz w:val="28"/>
        </w:rPr>
        <w:fldChar w:fldCharType="end"/>
      </w:r>
      <w:r>
        <w:rPr>
          <w:sz w:val="28"/>
        </w:rPr>
        <w:fldChar w:fldCharType="end"/>
      </w:r>
    </w:p>
    <w:p w14:paraId="2DBD98B7">
      <w:pPr>
        <w:pStyle w:val="10"/>
        <w:tabs>
          <w:tab w:val="right" w:leader="dot" w:pos="8306"/>
        </w:tabs>
        <w:spacing w:line="480" w:lineRule="exact"/>
        <w:ind w:left="1280"/>
        <w:rPr>
          <w:sz w:val="28"/>
        </w:rPr>
      </w:pPr>
      <w:r>
        <w:fldChar w:fldCharType="begin"/>
      </w:r>
      <w:r>
        <w:instrText xml:space="preserve"> HYPERLINK \l "_Toc5276" </w:instrText>
      </w:r>
      <w:r>
        <w:fldChar w:fldCharType="separate"/>
      </w:r>
      <w:r>
        <w:rPr>
          <w:sz w:val="28"/>
        </w:rPr>
        <w:t>第一节  创新培养机制</w:t>
      </w:r>
      <w:r>
        <w:rPr>
          <w:sz w:val="28"/>
        </w:rPr>
        <w:tab/>
      </w:r>
      <w:r>
        <w:rPr>
          <w:sz w:val="28"/>
        </w:rPr>
        <w:fldChar w:fldCharType="begin"/>
      </w:r>
      <w:r>
        <w:rPr>
          <w:sz w:val="28"/>
        </w:rPr>
        <w:instrText xml:space="preserve"> PAGEREF _Toc5276 \h </w:instrText>
      </w:r>
      <w:r>
        <w:rPr>
          <w:sz w:val="28"/>
        </w:rPr>
        <w:fldChar w:fldCharType="separate"/>
      </w:r>
      <w:r>
        <w:rPr>
          <w:sz w:val="28"/>
        </w:rPr>
        <w:t>33</w:t>
      </w:r>
      <w:r>
        <w:rPr>
          <w:sz w:val="28"/>
        </w:rPr>
        <w:fldChar w:fldCharType="end"/>
      </w:r>
      <w:r>
        <w:rPr>
          <w:sz w:val="28"/>
        </w:rPr>
        <w:fldChar w:fldCharType="end"/>
      </w:r>
    </w:p>
    <w:p w14:paraId="0D4D7D7F">
      <w:pPr>
        <w:pStyle w:val="10"/>
        <w:tabs>
          <w:tab w:val="right" w:leader="dot" w:pos="8306"/>
        </w:tabs>
        <w:spacing w:line="480" w:lineRule="exact"/>
        <w:ind w:left="1280"/>
        <w:rPr>
          <w:sz w:val="28"/>
        </w:rPr>
      </w:pPr>
      <w:r>
        <w:fldChar w:fldCharType="begin"/>
      </w:r>
      <w:r>
        <w:instrText xml:space="preserve"> HYPERLINK \l "_Toc32753" </w:instrText>
      </w:r>
      <w:r>
        <w:fldChar w:fldCharType="separate"/>
      </w:r>
      <w:r>
        <w:rPr>
          <w:sz w:val="28"/>
        </w:rPr>
        <w:t>第二节  完善服务体系</w:t>
      </w:r>
      <w:r>
        <w:rPr>
          <w:sz w:val="28"/>
        </w:rPr>
        <w:tab/>
      </w:r>
      <w:r>
        <w:rPr>
          <w:sz w:val="28"/>
        </w:rPr>
        <w:fldChar w:fldCharType="begin"/>
      </w:r>
      <w:r>
        <w:rPr>
          <w:sz w:val="28"/>
        </w:rPr>
        <w:instrText xml:space="preserve"> PAGEREF _Toc32753 \h </w:instrText>
      </w:r>
      <w:r>
        <w:rPr>
          <w:sz w:val="28"/>
        </w:rPr>
        <w:fldChar w:fldCharType="separate"/>
      </w:r>
      <w:r>
        <w:rPr>
          <w:sz w:val="28"/>
        </w:rPr>
        <w:t>33</w:t>
      </w:r>
      <w:r>
        <w:rPr>
          <w:sz w:val="28"/>
        </w:rPr>
        <w:fldChar w:fldCharType="end"/>
      </w:r>
      <w:r>
        <w:rPr>
          <w:sz w:val="28"/>
        </w:rPr>
        <w:fldChar w:fldCharType="end"/>
      </w:r>
    </w:p>
    <w:p w14:paraId="4F7573C0">
      <w:pPr>
        <w:pStyle w:val="10"/>
        <w:tabs>
          <w:tab w:val="right" w:leader="dot" w:pos="8306"/>
        </w:tabs>
        <w:spacing w:line="480" w:lineRule="exact"/>
        <w:ind w:left="1280"/>
        <w:rPr>
          <w:sz w:val="28"/>
        </w:rPr>
      </w:pPr>
      <w:r>
        <w:fldChar w:fldCharType="begin"/>
      </w:r>
      <w:r>
        <w:instrText xml:space="preserve"> HYPERLINK \l "_Toc13368" </w:instrText>
      </w:r>
      <w:r>
        <w:fldChar w:fldCharType="separate"/>
      </w:r>
      <w:r>
        <w:rPr>
          <w:sz w:val="28"/>
        </w:rPr>
        <w:t>第三节  建立激励机制</w:t>
      </w:r>
      <w:r>
        <w:rPr>
          <w:sz w:val="28"/>
        </w:rPr>
        <w:tab/>
      </w:r>
      <w:r>
        <w:rPr>
          <w:sz w:val="28"/>
        </w:rPr>
        <w:fldChar w:fldCharType="begin"/>
      </w:r>
      <w:r>
        <w:rPr>
          <w:sz w:val="28"/>
        </w:rPr>
        <w:instrText xml:space="preserve"> PAGEREF _Toc13368 \h </w:instrText>
      </w:r>
      <w:r>
        <w:rPr>
          <w:sz w:val="28"/>
        </w:rPr>
        <w:fldChar w:fldCharType="separate"/>
      </w:r>
      <w:r>
        <w:rPr>
          <w:sz w:val="28"/>
        </w:rPr>
        <w:t>34</w:t>
      </w:r>
      <w:r>
        <w:rPr>
          <w:sz w:val="28"/>
        </w:rPr>
        <w:fldChar w:fldCharType="end"/>
      </w:r>
      <w:r>
        <w:rPr>
          <w:sz w:val="28"/>
        </w:rPr>
        <w:fldChar w:fldCharType="end"/>
      </w:r>
    </w:p>
    <w:p w14:paraId="4DCE636E">
      <w:pPr>
        <w:pStyle w:val="15"/>
        <w:tabs>
          <w:tab w:val="right" w:leader="dot" w:pos="8306"/>
        </w:tabs>
        <w:spacing w:line="480" w:lineRule="exact"/>
        <w:rPr>
          <w:sz w:val="28"/>
        </w:rPr>
      </w:pPr>
      <w:r>
        <w:fldChar w:fldCharType="begin"/>
      </w:r>
      <w:r>
        <w:instrText xml:space="preserve"> HYPERLINK \l "_Toc9597" </w:instrText>
      </w:r>
      <w:r>
        <w:fldChar w:fldCharType="separate"/>
      </w:r>
      <w:r>
        <w:rPr>
          <w:rFonts w:eastAsia="方正黑体_GBK"/>
          <w:sz w:val="28"/>
        </w:rPr>
        <w:t>第六篇  繁荣发展乡村优秀文化</w:t>
      </w:r>
      <w:r>
        <w:rPr>
          <w:sz w:val="28"/>
        </w:rPr>
        <w:tab/>
      </w:r>
      <w:r>
        <w:rPr>
          <w:sz w:val="28"/>
        </w:rPr>
        <w:fldChar w:fldCharType="begin"/>
      </w:r>
      <w:r>
        <w:rPr>
          <w:sz w:val="28"/>
        </w:rPr>
        <w:instrText xml:space="preserve"> PAGEREF _Toc9597 \h </w:instrText>
      </w:r>
      <w:r>
        <w:rPr>
          <w:sz w:val="28"/>
        </w:rPr>
        <w:fldChar w:fldCharType="separate"/>
      </w:r>
      <w:r>
        <w:rPr>
          <w:sz w:val="28"/>
        </w:rPr>
        <w:t>36</w:t>
      </w:r>
      <w:r>
        <w:rPr>
          <w:sz w:val="28"/>
        </w:rPr>
        <w:fldChar w:fldCharType="end"/>
      </w:r>
      <w:r>
        <w:rPr>
          <w:sz w:val="28"/>
        </w:rPr>
        <w:fldChar w:fldCharType="end"/>
      </w:r>
    </w:p>
    <w:p w14:paraId="7946A330">
      <w:pPr>
        <w:pStyle w:val="18"/>
        <w:tabs>
          <w:tab w:val="right" w:leader="dot" w:pos="8306"/>
        </w:tabs>
        <w:spacing w:line="480" w:lineRule="exact"/>
        <w:ind w:left="640"/>
        <w:rPr>
          <w:rFonts w:eastAsia="方正楷体_GBK"/>
          <w:sz w:val="28"/>
        </w:rPr>
      </w:pPr>
      <w:r>
        <w:fldChar w:fldCharType="begin"/>
      </w:r>
      <w:r>
        <w:instrText xml:space="preserve"> HYPERLINK \l "_Toc5265" </w:instrText>
      </w:r>
      <w:r>
        <w:fldChar w:fldCharType="separate"/>
      </w:r>
      <w:r>
        <w:rPr>
          <w:rFonts w:eastAsia="方正楷体_GBK"/>
          <w:sz w:val="28"/>
          <w:szCs w:val="36"/>
        </w:rPr>
        <w:t>第十七章  加强农村思想道德建设</w:t>
      </w:r>
      <w:r>
        <w:rPr>
          <w:rFonts w:eastAsia="方正楷体_GBK"/>
          <w:sz w:val="28"/>
        </w:rPr>
        <w:tab/>
      </w:r>
      <w:r>
        <w:rPr>
          <w:rFonts w:eastAsia="方正楷体_GBK"/>
          <w:sz w:val="28"/>
        </w:rPr>
        <w:fldChar w:fldCharType="begin"/>
      </w:r>
      <w:r>
        <w:rPr>
          <w:rFonts w:eastAsia="方正楷体_GBK"/>
          <w:sz w:val="28"/>
        </w:rPr>
        <w:instrText xml:space="preserve"> PAGEREF _Toc5265 \h </w:instrText>
      </w:r>
      <w:r>
        <w:rPr>
          <w:rFonts w:eastAsia="方正楷体_GBK"/>
          <w:sz w:val="28"/>
        </w:rPr>
        <w:fldChar w:fldCharType="separate"/>
      </w:r>
      <w:r>
        <w:rPr>
          <w:rFonts w:eastAsia="方正楷体_GBK"/>
          <w:sz w:val="28"/>
        </w:rPr>
        <w:t>36</w:t>
      </w:r>
      <w:r>
        <w:rPr>
          <w:rFonts w:eastAsia="方正楷体_GBK"/>
          <w:sz w:val="28"/>
        </w:rPr>
        <w:fldChar w:fldCharType="end"/>
      </w:r>
      <w:r>
        <w:rPr>
          <w:rFonts w:eastAsia="方正楷体_GBK"/>
          <w:sz w:val="28"/>
        </w:rPr>
        <w:fldChar w:fldCharType="end"/>
      </w:r>
    </w:p>
    <w:p w14:paraId="74E0B365">
      <w:pPr>
        <w:pStyle w:val="10"/>
        <w:tabs>
          <w:tab w:val="right" w:leader="dot" w:pos="8306"/>
        </w:tabs>
        <w:spacing w:line="480" w:lineRule="exact"/>
        <w:ind w:left="1280"/>
        <w:rPr>
          <w:sz w:val="28"/>
        </w:rPr>
      </w:pPr>
      <w:r>
        <w:fldChar w:fldCharType="begin"/>
      </w:r>
      <w:r>
        <w:instrText xml:space="preserve"> HYPERLINK \l "_Toc30492" </w:instrText>
      </w:r>
      <w:r>
        <w:fldChar w:fldCharType="separate"/>
      </w:r>
      <w:r>
        <w:rPr>
          <w:sz w:val="28"/>
          <w:szCs w:val="28"/>
        </w:rPr>
        <w:t>第一节  践行社会主义核心价值观</w:t>
      </w:r>
      <w:r>
        <w:rPr>
          <w:sz w:val="28"/>
        </w:rPr>
        <w:tab/>
      </w:r>
      <w:r>
        <w:rPr>
          <w:sz w:val="28"/>
        </w:rPr>
        <w:fldChar w:fldCharType="begin"/>
      </w:r>
      <w:r>
        <w:rPr>
          <w:sz w:val="28"/>
        </w:rPr>
        <w:instrText xml:space="preserve"> PAGEREF _Toc30492 \h </w:instrText>
      </w:r>
      <w:r>
        <w:rPr>
          <w:sz w:val="28"/>
        </w:rPr>
        <w:fldChar w:fldCharType="separate"/>
      </w:r>
      <w:r>
        <w:rPr>
          <w:sz w:val="28"/>
        </w:rPr>
        <w:t>36</w:t>
      </w:r>
      <w:r>
        <w:rPr>
          <w:sz w:val="28"/>
        </w:rPr>
        <w:fldChar w:fldCharType="end"/>
      </w:r>
      <w:r>
        <w:rPr>
          <w:sz w:val="28"/>
        </w:rPr>
        <w:fldChar w:fldCharType="end"/>
      </w:r>
    </w:p>
    <w:p w14:paraId="77FD37CF">
      <w:pPr>
        <w:pStyle w:val="10"/>
        <w:tabs>
          <w:tab w:val="right" w:leader="dot" w:pos="8306"/>
        </w:tabs>
        <w:spacing w:line="480" w:lineRule="exact"/>
        <w:ind w:left="1280"/>
        <w:rPr>
          <w:sz w:val="28"/>
        </w:rPr>
      </w:pPr>
      <w:r>
        <w:fldChar w:fldCharType="begin"/>
      </w:r>
      <w:r>
        <w:instrText xml:space="preserve"> HYPERLINK \l "_Toc5848" </w:instrText>
      </w:r>
      <w:r>
        <w:fldChar w:fldCharType="separate"/>
      </w:r>
      <w:r>
        <w:rPr>
          <w:sz w:val="28"/>
          <w:szCs w:val="28"/>
        </w:rPr>
        <w:t>第二节  提高农村社会文明程度</w:t>
      </w:r>
      <w:r>
        <w:rPr>
          <w:sz w:val="28"/>
        </w:rPr>
        <w:tab/>
      </w:r>
      <w:r>
        <w:rPr>
          <w:sz w:val="28"/>
        </w:rPr>
        <w:fldChar w:fldCharType="begin"/>
      </w:r>
      <w:r>
        <w:rPr>
          <w:sz w:val="28"/>
        </w:rPr>
        <w:instrText xml:space="preserve"> PAGEREF _Toc5848 \h </w:instrText>
      </w:r>
      <w:r>
        <w:rPr>
          <w:sz w:val="28"/>
        </w:rPr>
        <w:fldChar w:fldCharType="separate"/>
      </w:r>
      <w:r>
        <w:rPr>
          <w:sz w:val="28"/>
        </w:rPr>
        <w:t>37</w:t>
      </w:r>
      <w:r>
        <w:rPr>
          <w:sz w:val="28"/>
        </w:rPr>
        <w:fldChar w:fldCharType="end"/>
      </w:r>
      <w:r>
        <w:rPr>
          <w:sz w:val="28"/>
        </w:rPr>
        <w:fldChar w:fldCharType="end"/>
      </w:r>
    </w:p>
    <w:p w14:paraId="5ECB96EF">
      <w:pPr>
        <w:pStyle w:val="10"/>
        <w:tabs>
          <w:tab w:val="right" w:leader="dot" w:pos="8306"/>
        </w:tabs>
        <w:spacing w:line="480" w:lineRule="exact"/>
        <w:ind w:left="1280"/>
        <w:rPr>
          <w:sz w:val="28"/>
        </w:rPr>
      </w:pPr>
      <w:r>
        <w:fldChar w:fldCharType="begin"/>
      </w:r>
      <w:r>
        <w:instrText xml:space="preserve"> HYPERLINK \l "_Toc7545" </w:instrText>
      </w:r>
      <w:r>
        <w:fldChar w:fldCharType="separate"/>
      </w:r>
      <w:r>
        <w:rPr>
          <w:sz w:val="28"/>
          <w:szCs w:val="28"/>
        </w:rPr>
        <w:t>第三节  倡导良好道德规范</w:t>
      </w:r>
      <w:r>
        <w:rPr>
          <w:sz w:val="28"/>
        </w:rPr>
        <w:tab/>
      </w:r>
      <w:r>
        <w:rPr>
          <w:sz w:val="28"/>
        </w:rPr>
        <w:fldChar w:fldCharType="begin"/>
      </w:r>
      <w:r>
        <w:rPr>
          <w:sz w:val="28"/>
        </w:rPr>
        <w:instrText xml:space="preserve"> PAGEREF _Toc7545 \h </w:instrText>
      </w:r>
      <w:r>
        <w:rPr>
          <w:sz w:val="28"/>
        </w:rPr>
        <w:fldChar w:fldCharType="separate"/>
      </w:r>
      <w:r>
        <w:rPr>
          <w:sz w:val="28"/>
        </w:rPr>
        <w:t>37</w:t>
      </w:r>
      <w:r>
        <w:rPr>
          <w:sz w:val="28"/>
        </w:rPr>
        <w:fldChar w:fldCharType="end"/>
      </w:r>
      <w:r>
        <w:rPr>
          <w:sz w:val="28"/>
        </w:rPr>
        <w:fldChar w:fldCharType="end"/>
      </w:r>
    </w:p>
    <w:p w14:paraId="1D7B88F7">
      <w:pPr>
        <w:pStyle w:val="18"/>
        <w:tabs>
          <w:tab w:val="right" w:leader="dot" w:pos="8306"/>
        </w:tabs>
        <w:spacing w:line="480" w:lineRule="exact"/>
        <w:ind w:left="640"/>
        <w:rPr>
          <w:rFonts w:eastAsia="方正楷体_GBK"/>
          <w:sz w:val="28"/>
        </w:rPr>
      </w:pPr>
      <w:r>
        <w:fldChar w:fldCharType="begin"/>
      </w:r>
      <w:r>
        <w:instrText xml:space="preserve"> HYPERLINK \l "_Toc25670" </w:instrText>
      </w:r>
      <w:r>
        <w:fldChar w:fldCharType="separate"/>
      </w:r>
      <w:r>
        <w:rPr>
          <w:rFonts w:eastAsia="方正楷体_GBK"/>
          <w:sz w:val="28"/>
          <w:szCs w:val="36"/>
        </w:rPr>
        <w:t>第十八章  保护和传承优秀传统文化</w:t>
      </w:r>
      <w:r>
        <w:rPr>
          <w:rFonts w:eastAsia="方正楷体_GBK"/>
          <w:sz w:val="28"/>
        </w:rPr>
        <w:tab/>
      </w:r>
      <w:r>
        <w:rPr>
          <w:rFonts w:eastAsia="方正楷体_GBK"/>
          <w:sz w:val="28"/>
        </w:rPr>
        <w:fldChar w:fldCharType="begin"/>
      </w:r>
      <w:r>
        <w:rPr>
          <w:rFonts w:eastAsia="方正楷体_GBK"/>
          <w:sz w:val="28"/>
        </w:rPr>
        <w:instrText xml:space="preserve"> PAGEREF _Toc25670 \h </w:instrText>
      </w:r>
      <w:r>
        <w:rPr>
          <w:rFonts w:eastAsia="方正楷体_GBK"/>
          <w:sz w:val="28"/>
        </w:rPr>
        <w:fldChar w:fldCharType="separate"/>
      </w:r>
      <w:r>
        <w:rPr>
          <w:rFonts w:eastAsia="方正楷体_GBK"/>
          <w:sz w:val="28"/>
        </w:rPr>
        <w:t>39</w:t>
      </w:r>
      <w:r>
        <w:rPr>
          <w:rFonts w:eastAsia="方正楷体_GBK"/>
          <w:sz w:val="28"/>
        </w:rPr>
        <w:fldChar w:fldCharType="end"/>
      </w:r>
      <w:r>
        <w:rPr>
          <w:rFonts w:eastAsia="方正楷体_GBK"/>
          <w:sz w:val="28"/>
        </w:rPr>
        <w:fldChar w:fldCharType="end"/>
      </w:r>
    </w:p>
    <w:p w14:paraId="57AB38FA">
      <w:pPr>
        <w:pStyle w:val="10"/>
        <w:tabs>
          <w:tab w:val="right" w:leader="dot" w:pos="8306"/>
        </w:tabs>
        <w:spacing w:line="480" w:lineRule="exact"/>
        <w:ind w:left="1280"/>
        <w:rPr>
          <w:sz w:val="28"/>
          <w:szCs w:val="28"/>
        </w:rPr>
      </w:pPr>
      <w:r>
        <w:fldChar w:fldCharType="begin"/>
      </w:r>
      <w:r>
        <w:instrText xml:space="preserve"> HYPERLINK \l "_Toc6977" </w:instrText>
      </w:r>
      <w:r>
        <w:fldChar w:fldCharType="separate"/>
      </w:r>
      <w:r>
        <w:rPr>
          <w:sz w:val="28"/>
          <w:szCs w:val="28"/>
        </w:rPr>
        <w:t>第一节  保护城口优秀传统文化</w:t>
      </w:r>
      <w:r>
        <w:rPr>
          <w:sz w:val="28"/>
          <w:szCs w:val="28"/>
        </w:rPr>
        <w:tab/>
      </w:r>
      <w:r>
        <w:rPr>
          <w:sz w:val="28"/>
          <w:szCs w:val="28"/>
        </w:rPr>
        <w:fldChar w:fldCharType="begin"/>
      </w:r>
      <w:r>
        <w:rPr>
          <w:sz w:val="28"/>
          <w:szCs w:val="28"/>
        </w:rPr>
        <w:instrText xml:space="preserve"> PAGEREF _Toc6977 \h </w:instrText>
      </w:r>
      <w:r>
        <w:rPr>
          <w:sz w:val="28"/>
          <w:szCs w:val="28"/>
        </w:rPr>
        <w:fldChar w:fldCharType="separate"/>
      </w:r>
      <w:r>
        <w:rPr>
          <w:sz w:val="28"/>
          <w:szCs w:val="28"/>
        </w:rPr>
        <w:t>39</w:t>
      </w:r>
      <w:r>
        <w:rPr>
          <w:sz w:val="28"/>
          <w:szCs w:val="28"/>
        </w:rPr>
        <w:fldChar w:fldCharType="end"/>
      </w:r>
      <w:r>
        <w:rPr>
          <w:sz w:val="28"/>
          <w:szCs w:val="28"/>
        </w:rPr>
        <w:fldChar w:fldCharType="end"/>
      </w:r>
    </w:p>
    <w:p w14:paraId="7FE6932F">
      <w:pPr>
        <w:pStyle w:val="10"/>
        <w:tabs>
          <w:tab w:val="right" w:leader="dot" w:pos="8306"/>
        </w:tabs>
        <w:spacing w:line="480" w:lineRule="exact"/>
        <w:ind w:left="1280"/>
        <w:rPr>
          <w:sz w:val="28"/>
        </w:rPr>
      </w:pPr>
      <w:r>
        <w:fldChar w:fldCharType="begin"/>
      </w:r>
      <w:r>
        <w:instrText xml:space="preserve"> HYPERLINK \l "_Toc16864" </w:instrText>
      </w:r>
      <w:r>
        <w:fldChar w:fldCharType="separate"/>
      </w:r>
      <w:r>
        <w:rPr>
          <w:sz w:val="28"/>
          <w:szCs w:val="28"/>
        </w:rPr>
        <w:t>第二节  活化历史文化资源</w:t>
      </w:r>
      <w:r>
        <w:rPr>
          <w:sz w:val="28"/>
          <w:szCs w:val="28"/>
        </w:rPr>
        <w:tab/>
      </w:r>
      <w:r>
        <w:rPr>
          <w:sz w:val="28"/>
          <w:szCs w:val="28"/>
        </w:rPr>
        <w:fldChar w:fldCharType="begin"/>
      </w:r>
      <w:r>
        <w:rPr>
          <w:sz w:val="28"/>
          <w:szCs w:val="28"/>
        </w:rPr>
        <w:instrText xml:space="preserve"> PAGEREF _Toc16864 \h </w:instrText>
      </w:r>
      <w:r>
        <w:rPr>
          <w:sz w:val="28"/>
          <w:szCs w:val="28"/>
        </w:rPr>
        <w:fldChar w:fldCharType="separate"/>
      </w:r>
      <w:r>
        <w:rPr>
          <w:sz w:val="28"/>
          <w:szCs w:val="28"/>
        </w:rPr>
        <w:t>39</w:t>
      </w:r>
      <w:r>
        <w:rPr>
          <w:sz w:val="28"/>
          <w:szCs w:val="28"/>
        </w:rPr>
        <w:fldChar w:fldCharType="end"/>
      </w:r>
      <w:r>
        <w:rPr>
          <w:sz w:val="28"/>
          <w:szCs w:val="28"/>
        </w:rPr>
        <w:fldChar w:fldCharType="end"/>
      </w:r>
    </w:p>
    <w:p w14:paraId="35013A5C">
      <w:pPr>
        <w:pStyle w:val="18"/>
        <w:tabs>
          <w:tab w:val="right" w:leader="dot" w:pos="8306"/>
        </w:tabs>
        <w:spacing w:line="480" w:lineRule="exact"/>
        <w:ind w:left="640"/>
        <w:rPr>
          <w:rFonts w:eastAsia="方正楷体_GBK"/>
          <w:sz w:val="28"/>
        </w:rPr>
      </w:pPr>
      <w:r>
        <w:fldChar w:fldCharType="begin"/>
      </w:r>
      <w:r>
        <w:instrText xml:space="preserve"> HYPERLINK \l "_Toc25152" </w:instrText>
      </w:r>
      <w:r>
        <w:fldChar w:fldCharType="separate"/>
      </w:r>
      <w:r>
        <w:rPr>
          <w:rFonts w:eastAsia="方正楷体_GBK"/>
          <w:sz w:val="28"/>
          <w:szCs w:val="36"/>
        </w:rPr>
        <w:t>第十九章  加强乡村文化公共服务</w:t>
      </w:r>
      <w:r>
        <w:rPr>
          <w:rFonts w:eastAsia="方正楷体_GBK"/>
          <w:sz w:val="28"/>
        </w:rPr>
        <w:tab/>
      </w:r>
      <w:r>
        <w:rPr>
          <w:rFonts w:eastAsia="方正楷体_GBK"/>
          <w:sz w:val="28"/>
        </w:rPr>
        <w:fldChar w:fldCharType="begin"/>
      </w:r>
      <w:r>
        <w:rPr>
          <w:rFonts w:eastAsia="方正楷体_GBK"/>
          <w:sz w:val="28"/>
        </w:rPr>
        <w:instrText xml:space="preserve"> PAGEREF _Toc25152 \h </w:instrText>
      </w:r>
      <w:r>
        <w:rPr>
          <w:rFonts w:eastAsia="方正楷体_GBK"/>
          <w:sz w:val="28"/>
        </w:rPr>
        <w:fldChar w:fldCharType="separate"/>
      </w:r>
      <w:r>
        <w:rPr>
          <w:rFonts w:eastAsia="方正楷体_GBK"/>
          <w:sz w:val="28"/>
        </w:rPr>
        <w:t>40</w:t>
      </w:r>
      <w:r>
        <w:rPr>
          <w:rFonts w:eastAsia="方正楷体_GBK"/>
          <w:sz w:val="28"/>
        </w:rPr>
        <w:fldChar w:fldCharType="end"/>
      </w:r>
      <w:r>
        <w:rPr>
          <w:rFonts w:eastAsia="方正楷体_GBK"/>
          <w:sz w:val="28"/>
        </w:rPr>
        <w:fldChar w:fldCharType="end"/>
      </w:r>
    </w:p>
    <w:p w14:paraId="05BC482E">
      <w:pPr>
        <w:pStyle w:val="10"/>
        <w:tabs>
          <w:tab w:val="right" w:leader="dot" w:pos="8306"/>
        </w:tabs>
        <w:spacing w:line="480" w:lineRule="exact"/>
        <w:ind w:left="1280"/>
        <w:rPr>
          <w:sz w:val="28"/>
          <w:szCs w:val="28"/>
        </w:rPr>
      </w:pPr>
      <w:r>
        <w:fldChar w:fldCharType="begin"/>
      </w:r>
      <w:r>
        <w:instrText xml:space="preserve"> HYPERLINK \l "_Toc8088" </w:instrText>
      </w:r>
      <w:r>
        <w:fldChar w:fldCharType="separate"/>
      </w:r>
      <w:r>
        <w:rPr>
          <w:sz w:val="28"/>
          <w:szCs w:val="28"/>
        </w:rPr>
        <w:t>第一节  健全公共文化服务体系</w:t>
      </w:r>
      <w:r>
        <w:rPr>
          <w:sz w:val="28"/>
          <w:szCs w:val="28"/>
        </w:rPr>
        <w:tab/>
      </w:r>
      <w:r>
        <w:rPr>
          <w:sz w:val="28"/>
          <w:szCs w:val="28"/>
        </w:rPr>
        <w:fldChar w:fldCharType="begin"/>
      </w:r>
      <w:r>
        <w:rPr>
          <w:sz w:val="28"/>
          <w:szCs w:val="28"/>
        </w:rPr>
        <w:instrText xml:space="preserve"> PAGEREF _Toc8088 \h </w:instrText>
      </w:r>
      <w:r>
        <w:rPr>
          <w:sz w:val="28"/>
          <w:szCs w:val="28"/>
        </w:rPr>
        <w:fldChar w:fldCharType="separate"/>
      </w:r>
      <w:r>
        <w:rPr>
          <w:sz w:val="28"/>
          <w:szCs w:val="28"/>
        </w:rPr>
        <w:t>40</w:t>
      </w:r>
      <w:r>
        <w:rPr>
          <w:sz w:val="28"/>
          <w:szCs w:val="28"/>
        </w:rPr>
        <w:fldChar w:fldCharType="end"/>
      </w:r>
      <w:r>
        <w:rPr>
          <w:sz w:val="28"/>
          <w:szCs w:val="28"/>
        </w:rPr>
        <w:fldChar w:fldCharType="end"/>
      </w:r>
    </w:p>
    <w:p w14:paraId="7D2AB041">
      <w:pPr>
        <w:pStyle w:val="10"/>
        <w:tabs>
          <w:tab w:val="right" w:leader="dot" w:pos="8306"/>
        </w:tabs>
        <w:spacing w:line="480" w:lineRule="exact"/>
        <w:ind w:left="1280"/>
        <w:rPr>
          <w:sz w:val="28"/>
          <w:szCs w:val="28"/>
        </w:rPr>
      </w:pPr>
      <w:r>
        <w:fldChar w:fldCharType="begin"/>
      </w:r>
      <w:r>
        <w:instrText xml:space="preserve"> HYPERLINK \l "_Toc14997" </w:instrText>
      </w:r>
      <w:r>
        <w:fldChar w:fldCharType="separate"/>
      </w:r>
      <w:r>
        <w:rPr>
          <w:sz w:val="28"/>
          <w:szCs w:val="28"/>
        </w:rPr>
        <w:t>第二节  增加公共文化产品和服务供给</w:t>
      </w:r>
      <w:r>
        <w:rPr>
          <w:sz w:val="28"/>
          <w:szCs w:val="28"/>
        </w:rPr>
        <w:tab/>
      </w:r>
      <w:r>
        <w:rPr>
          <w:sz w:val="28"/>
          <w:szCs w:val="28"/>
        </w:rPr>
        <w:fldChar w:fldCharType="begin"/>
      </w:r>
      <w:r>
        <w:rPr>
          <w:sz w:val="28"/>
          <w:szCs w:val="28"/>
        </w:rPr>
        <w:instrText xml:space="preserve"> PAGEREF _Toc14997 \h </w:instrText>
      </w:r>
      <w:r>
        <w:rPr>
          <w:sz w:val="28"/>
          <w:szCs w:val="28"/>
        </w:rPr>
        <w:fldChar w:fldCharType="separate"/>
      </w:r>
      <w:r>
        <w:rPr>
          <w:sz w:val="28"/>
          <w:szCs w:val="28"/>
        </w:rPr>
        <w:t>41</w:t>
      </w:r>
      <w:r>
        <w:rPr>
          <w:sz w:val="28"/>
          <w:szCs w:val="28"/>
        </w:rPr>
        <w:fldChar w:fldCharType="end"/>
      </w:r>
      <w:r>
        <w:rPr>
          <w:sz w:val="28"/>
          <w:szCs w:val="28"/>
        </w:rPr>
        <w:fldChar w:fldCharType="end"/>
      </w:r>
    </w:p>
    <w:p w14:paraId="5048CFE6">
      <w:pPr>
        <w:pStyle w:val="10"/>
        <w:tabs>
          <w:tab w:val="right" w:leader="dot" w:pos="8306"/>
        </w:tabs>
        <w:spacing w:line="480" w:lineRule="exact"/>
        <w:ind w:left="1280"/>
        <w:rPr>
          <w:sz w:val="28"/>
        </w:rPr>
      </w:pPr>
      <w:r>
        <w:fldChar w:fldCharType="begin"/>
      </w:r>
      <w:r>
        <w:instrText xml:space="preserve"> HYPERLINK \l "_Toc9535" </w:instrText>
      </w:r>
      <w:r>
        <w:fldChar w:fldCharType="separate"/>
      </w:r>
      <w:r>
        <w:rPr>
          <w:sz w:val="28"/>
          <w:szCs w:val="28"/>
        </w:rPr>
        <w:t>第三节  广泛开展群众文化活动</w:t>
      </w:r>
      <w:r>
        <w:rPr>
          <w:sz w:val="28"/>
          <w:szCs w:val="28"/>
        </w:rPr>
        <w:tab/>
      </w:r>
      <w:r>
        <w:rPr>
          <w:sz w:val="28"/>
          <w:szCs w:val="28"/>
        </w:rPr>
        <w:fldChar w:fldCharType="begin"/>
      </w:r>
      <w:r>
        <w:rPr>
          <w:sz w:val="28"/>
          <w:szCs w:val="28"/>
        </w:rPr>
        <w:instrText xml:space="preserve"> PAGEREF _Toc9535 \h </w:instrText>
      </w:r>
      <w:r>
        <w:rPr>
          <w:sz w:val="28"/>
          <w:szCs w:val="28"/>
        </w:rPr>
        <w:fldChar w:fldCharType="separate"/>
      </w:r>
      <w:r>
        <w:rPr>
          <w:sz w:val="28"/>
          <w:szCs w:val="28"/>
        </w:rPr>
        <w:t>41</w:t>
      </w:r>
      <w:r>
        <w:rPr>
          <w:sz w:val="28"/>
          <w:szCs w:val="28"/>
        </w:rPr>
        <w:fldChar w:fldCharType="end"/>
      </w:r>
      <w:r>
        <w:rPr>
          <w:sz w:val="28"/>
          <w:szCs w:val="28"/>
        </w:rPr>
        <w:fldChar w:fldCharType="end"/>
      </w:r>
    </w:p>
    <w:p w14:paraId="0279ED8B">
      <w:pPr>
        <w:pStyle w:val="15"/>
        <w:tabs>
          <w:tab w:val="right" w:leader="dot" w:pos="8306"/>
        </w:tabs>
        <w:spacing w:line="480" w:lineRule="exact"/>
        <w:rPr>
          <w:sz w:val="28"/>
        </w:rPr>
      </w:pPr>
      <w:r>
        <w:fldChar w:fldCharType="begin"/>
      </w:r>
      <w:r>
        <w:instrText xml:space="preserve"> HYPERLINK \l "_Toc21586" </w:instrText>
      </w:r>
      <w:r>
        <w:fldChar w:fldCharType="separate"/>
      </w:r>
      <w:r>
        <w:rPr>
          <w:rFonts w:eastAsia="方正黑体_GBK"/>
          <w:sz w:val="28"/>
        </w:rPr>
        <w:t>第七篇  建设山清水秀美丽城口</w:t>
      </w:r>
      <w:r>
        <w:rPr>
          <w:sz w:val="28"/>
        </w:rPr>
        <w:tab/>
      </w:r>
      <w:r>
        <w:rPr>
          <w:sz w:val="28"/>
        </w:rPr>
        <w:fldChar w:fldCharType="begin"/>
      </w:r>
      <w:r>
        <w:rPr>
          <w:sz w:val="28"/>
        </w:rPr>
        <w:instrText xml:space="preserve"> PAGEREF _Toc21586 \h </w:instrText>
      </w:r>
      <w:r>
        <w:rPr>
          <w:sz w:val="28"/>
        </w:rPr>
        <w:fldChar w:fldCharType="separate"/>
      </w:r>
      <w:r>
        <w:rPr>
          <w:sz w:val="28"/>
        </w:rPr>
        <w:t>42</w:t>
      </w:r>
      <w:r>
        <w:rPr>
          <w:sz w:val="28"/>
        </w:rPr>
        <w:fldChar w:fldCharType="end"/>
      </w:r>
      <w:r>
        <w:rPr>
          <w:sz w:val="28"/>
        </w:rPr>
        <w:fldChar w:fldCharType="end"/>
      </w:r>
    </w:p>
    <w:p w14:paraId="06752775">
      <w:pPr>
        <w:pStyle w:val="18"/>
        <w:tabs>
          <w:tab w:val="right" w:leader="dot" w:pos="8306"/>
        </w:tabs>
        <w:spacing w:line="480" w:lineRule="exact"/>
        <w:ind w:left="640"/>
        <w:rPr>
          <w:rFonts w:eastAsia="方正楷体_GBK"/>
          <w:sz w:val="28"/>
        </w:rPr>
      </w:pPr>
      <w:r>
        <w:fldChar w:fldCharType="begin"/>
      </w:r>
      <w:r>
        <w:instrText xml:space="preserve"> HYPERLINK \l "_Toc21527" </w:instrText>
      </w:r>
      <w:r>
        <w:fldChar w:fldCharType="separate"/>
      </w:r>
      <w:r>
        <w:rPr>
          <w:rFonts w:eastAsia="方正楷体_GBK"/>
          <w:sz w:val="28"/>
          <w:szCs w:val="36"/>
        </w:rPr>
        <w:t>第二十章  持续改善农村人居环境</w:t>
      </w:r>
      <w:r>
        <w:rPr>
          <w:rFonts w:eastAsia="方正楷体_GBK"/>
          <w:sz w:val="28"/>
        </w:rPr>
        <w:tab/>
      </w:r>
      <w:r>
        <w:rPr>
          <w:rFonts w:eastAsia="方正楷体_GBK"/>
          <w:sz w:val="28"/>
        </w:rPr>
        <w:fldChar w:fldCharType="begin"/>
      </w:r>
      <w:r>
        <w:rPr>
          <w:rFonts w:eastAsia="方正楷体_GBK"/>
          <w:sz w:val="28"/>
        </w:rPr>
        <w:instrText xml:space="preserve"> PAGEREF _Toc21527 \h </w:instrText>
      </w:r>
      <w:r>
        <w:rPr>
          <w:rFonts w:eastAsia="方正楷体_GBK"/>
          <w:sz w:val="28"/>
        </w:rPr>
        <w:fldChar w:fldCharType="separate"/>
      </w:r>
      <w:r>
        <w:rPr>
          <w:rFonts w:eastAsia="方正楷体_GBK"/>
          <w:sz w:val="28"/>
        </w:rPr>
        <w:t>42</w:t>
      </w:r>
      <w:r>
        <w:rPr>
          <w:rFonts w:eastAsia="方正楷体_GBK"/>
          <w:sz w:val="28"/>
        </w:rPr>
        <w:fldChar w:fldCharType="end"/>
      </w:r>
      <w:r>
        <w:rPr>
          <w:rFonts w:eastAsia="方正楷体_GBK"/>
          <w:sz w:val="28"/>
        </w:rPr>
        <w:fldChar w:fldCharType="end"/>
      </w:r>
    </w:p>
    <w:p w14:paraId="71171950">
      <w:pPr>
        <w:pStyle w:val="10"/>
        <w:tabs>
          <w:tab w:val="right" w:leader="dot" w:pos="8306"/>
        </w:tabs>
        <w:spacing w:line="480" w:lineRule="exact"/>
        <w:ind w:left="1280"/>
        <w:rPr>
          <w:sz w:val="28"/>
          <w:szCs w:val="28"/>
        </w:rPr>
      </w:pPr>
      <w:r>
        <w:fldChar w:fldCharType="begin"/>
      </w:r>
      <w:r>
        <w:instrText xml:space="preserve"> HYPERLINK \l "_Toc24381" </w:instrText>
      </w:r>
      <w:r>
        <w:fldChar w:fldCharType="separate"/>
      </w:r>
      <w:r>
        <w:rPr>
          <w:sz w:val="28"/>
          <w:szCs w:val="28"/>
        </w:rPr>
        <w:t>第一节  加快补齐人居环境短板</w:t>
      </w:r>
      <w:r>
        <w:rPr>
          <w:sz w:val="28"/>
          <w:szCs w:val="28"/>
        </w:rPr>
        <w:tab/>
      </w:r>
      <w:r>
        <w:rPr>
          <w:sz w:val="28"/>
          <w:szCs w:val="28"/>
        </w:rPr>
        <w:fldChar w:fldCharType="begin"/>
      </w:r>
      <w:r>
        <w:rPr>
          <w:sz w:val="28"/>
          <w:szCs w:val="28"/>
        </w:rPr>
        <w:instrText xml:space="preserve"> PAGEREF _Toc24381 \h </w:instrText>
      </w:r>
      <w:r>
        <w:rPr>
          <w:sz w:val="28"/>
          <w:szCs w:val="28"/>
        </w:rPr>
        <w:fldChar w:fldCharType="separate"/>
      </w:r>
      <w:r>
        <w:rPr>
          <w:sz w:val="28"/>
          <w:szCs w:val="28"/>
        </w:rPr>
        <w:t>43</w:t>
      </w:r>
      <w:r>
        <w:rPr>
          <w:sz w:val="28"/>
          <w:szCs w:val="28"/>
        </w:rPr>
        <w:fldChar w:fldCharType="end"/>
      </w:r>
      <w:r>
        <w:rPr>
          <w:sz w:val="28"/>
          <w:szCs w:val="28"/>
        </w:rPr>
        <w:fldChar w:fldCharType="end"/>
      </w:r>
    </w:p>
    <w:p w14:paraId="4DAAAC06">
      <w:pPr>
        <w:pStyle w:val="10"/>
        <w:tabs>
          <w:tab w:val="right" w:leader="dot" w:pos="8306"/>
        </w:tabs>
        <w:spacing w:line="480" w:lineRule="exact"/>
        <w:ind w:left="1280"/>
        <w:rPr>
          <w:sz w:val="28"/>
          <w:szCs w:val="28"/>
        </w:rPr>
      </w:pPr>
      <w:r>
        <w:fldChar w:fldCharType="begin"/>
      </w:r>
      <w:r>
        <w:instrText xml:space="preserve"> HYPERLINK \l "_Toc18968" </w:instrText>
      </w:r>
      <w:r>
        <w:fldChar w:fldCharType="separate"/>
      </w:r>
      <w:r>
        <w:rPr>
          <w:sz w:val="28"/>
          <w:szCs w:val="28"/>
        </w:rPr>
        <w:t>第二节  大力提升村容村貌</w:t>
      </w:r>
      <w:r>
        <w:rPr>
          <w:sz w:val="28"/>
          <w:szCs w:val="28"/>
        </w:rPr>
        <w:tab/>
      </w:r>
      <w:r>
        <w:rPr>
          <w:sz w:val="28"/>
          <w:szCs w:val="28"/>
        </w:rPr>
        <w:fldChar w:fldCharType="begin"/>
      </w:r>
      <w:r>
        <w:rPr>
          <w:sz w:val="28"/>
          <w:szCs w:val="28"/>
        </w:rPr>
        <w:instrText xml:space="preserve"> PAGEREF _Toc18968 \h </w:instrText>
      </w:r>
      <w:r>
        <w:rPr>
          <w:sz w:val="28"/>
          <w:szCs w:val="28"/>
        </w:rPr>
        <w:fldChar w:fldCharType="separate"/>
      </w:r>
      <w:r>
        <w:rPr>
          <w:sz w:val="28"/>
          <w:szCs w:val="28"/>
        </w:rPr>
        <w:t>43</w:t>
      </w:r>
      <w:r>
        <w:rPr>
          <w:sz w:val="28"/>
          <w:szCs w:val="28"/>
        </w:rPr>
        <w:fldChar w:fldCharType="end"/>
      </w:r>
      <w:r>
        <w:rPr>
          <w:sz w:val="28"/>
          <w:szCs w:val="28"/>
        </w:rPr>
        <w:fldChar w:fldCharType="end"/>
      </w:r>
    </w:p>
    <w:p w14:paraId="79FFF33A">
      <w:pPr>
        <w:pStyle w:val="10"/>
        <w:tabs>
          <w:tab w:val="right" w:leader="dot" w:pos="8306"/>
        </w:tabs>
        <w:spacing w:line="480" w:lineRule="exact"/>
        <w:ind w:left="1280"/>
        <w:rPr>
          <w:sz w:val="28"/>
        </w:rPr>
      </w:pPr>
      <w:r>
        <w:fldChar w:fldCharType="begin"/>
      </w:r>
      <w:r>
        <w:instrText xml:space="preserve"> HYPERLINK \l "_Toc8600" </w:instrText>
      </w:r>
      <w:r>
        <w:fldChar w:fldCharType="separate"/>
      </w:r>
      <w:r>
        <w:rPr>
          <w:sz w:val="28"/>
          <w:szCs w:val="28"/>
        </w:rPr>
        <w:t>第三节  建立健全整治长效机制</w:t>
      </w:r>
      <w:r>
        <w:rPr>
          <w:sz w:val="28"/>
          <w:szCs w:val="28"/>
        </w:rPr>
        <w:tab/>
      </w:r>
      <w:r>
        <w:rPr>
          <w:sz w:val="28"/>
          <w:szCs w:val="28"/>
        </w:rPr>
        <w:fldChar w:fldCharType="begin"/>
      </w:r>
      <w:r>
        <w:rPr>
          <w:sz w:val="28"/>
          <w:szCs w:val="28"/>
        </w:rPr>
        <w:instrText xml:space="preserve"> PAGEREF _Toc8600 \h </w:instrText>
      </w:r>
      <w:r>
        <w:rPr>
          <w:sz w:val="28"/>
          <w:szCs w:val="28"/>
        </w:rPr>
        <w:fldChar w:fldCharType="separate"/>
      </w:r>
      <w:r>
        <w:rPr>
          <w:sz w:val="28"/>
          <w:szCs w:val="28"/>
        </w:rPr>
        <w:t>44</w:t>
      </w:r>
      <w:r>
        <w:rPr>
          <w:sz w:val="28"/>
          <w:szCs w:val="28"/>
        </w:rPr>
        <w:fldChar w:fldCharType="end"/>
      </w:r>
      <w:r>
        <w:rPr>
          <w:sz w:val="28"/>
          <w:szCs w:val="28"/>
        </w:rPr>
        <w:fldChar w:fldCharType="end"/>
      </w:r>
    </w:p>
    <w:p w14:paraId="42B18AFD">
      <w:pPr>
        <w:pStyle w:val="18"/>
        <w:tabs>
          <w:tab w:val="right" w:leader="dot" w:pos="8306"/>
        </w:tabs>
        <w:spacing w:line="480" w:lineRule="exact"/>
        <w:ind w:left="640"/>
        <w:rPr>
          <w:rFonts w:eastAsia="方正楷体_GBK"/>
          <w:sz w:val="28"/>
        </w:rPr>
      </w:pPr>
      <w:r>
        <w:fldChar w:fldCharType="begin"/>
      </w:r>
      <w:r>
        <w:instrText xml:space="preserve"> HYPERLINK \l "_Toc23574" </w:instrText>
      </w:r>
      <w:r>
        <w:fldChar w:fldCharType="separate"/>
      </w:r>
      <w:r>
        <w:rPr>
          <w:rFonts w:eastAsia="方正楷体_GBK"/>
          <w:sz w:val="28"/>
          <w:szCs w:val="36"/>
        </w:rPr>
        <w:t>第二十一章  加大乡村生态保护与修复力度</w:t>
      </w:r>
      <w:r>
        <w:rPr>
          <w:rFonts w:eastAsia="方正楷体_GBK"/>
          <w:sz w:val="28"/>
        </w:rPr>
        <w:tab/>
      </w:r>
      <w:r>
        <w:rPr>
          <w:rFonts w:eastAsia="方正楷体_GBK"/>
          <w:sz w:val="28"/>
        </w:rPr>
        <w:fldChar w:fldCharType="begin"/>
      </w:r>
      <w:r>
        <w:rPr>
          <w:rFonts w:eastAsia="方正楷体_GBK"/>
          <w:sz w:val="28"/>
        </w:rPr>
        <w:instrText xml:space="preserve"> PAGEREF _Toc23574 \h </w:instrText>
      </w:r>
      <w:r>
        <w:rPr>
          <w:rFonts w:eastAsia="方正楷体_GBK"/>
          <w:sz w:val="28"/>
        </w:rPr>
        <w:fldChar w:fldCharType="separate"/>
      </w:r>
      <w:r>
        <w:rPr>
          <w:rFonts w:eastAsia="方正楷体_GBK"/>
          <w:sz w:val="28"/>
        </w:rPr>
        <w:t>45</w:t>
      </w:r>
      <w:r>
        <w:rPr>
          <w:rFonts w:eastAsia="方正楷体_GBK"/>
          <w:sz w:val="28"/>
        </w:rPr>
        <w:fldChar w:fldCharType="end"/>
      </w:r>
      <w:r>
        <w:rPr>
          <w:rFonts w:eastAsia="方正楷体_GBK"/>
          <w:sz w:val="28"/>
        </w:rPr>
        <w:fldChar w:fldCharType="end"/>
      </w:r>
    </w:p>
    <w:p w14:paraId="2545F397">
      <w:pPr>
        <w:pStyle w:val="10"/>
        <w:tabs>
          <w:tab w:val="right" w:leader="dot" w:pos="8306"/>
        </w:tabs>
        <w:spacing w:line="480" w:lineRule="exact"/>
        <w:ind w:left="1280"/>
        <w:rPr>
          <w:sz w:val="28"/>
          <w:szCs w:val="28"/>
        </w:rPr>
      </w:pPr>
      <w:r>
        <w:fldChar w:fldCharType="begin"/>
      </w:r>
      <w:r>
        <w:instrText xml:space="preserve"> HYPERLINK \l "_Toc3600" </w:instrText>
      </w:r>
      <w:r>
        <w:fldChar w:fldCharType="separate"/>
      </w:r>
      <w:r>
        <w:rPr>
          <w:sz w:val="28"/>
          <w:szCs w:val="28"/>
        </w:rPr>
        <w:t>第一节  建设健康稳定田园生态系统</w:t>
      </w:r>
      <w:r>
        <w:rPr>
          <w:sz w:val="28"/>
          <w:szCs w:val="28"/>
        </w:rPr>
        <w:tab/>
      </w:r>
      <w:r>
        <w:rPr>
          <w:sz w:val="28"/>
          <w:szCs w:val="28"/>
        </w:rPr>
        <w:fldChar w:fldCharType="begin"/>
      </w:r>
      <w:r>
        <w:rPr>
          <w:sz w:val="28"/>
          <w:szCs w:val="28"/>
        </w:rPr>
        <w:instrText xml:space="preserve"> PAGEREF _Toc3600 \h </w:instrText>
      </w:r>
      <w:r>
        <w:rPr>
          <w:sz w:val="28"/>
          <w:szCs w:val="28"/>
        </w:rPr>
        <w:fldChar w:fldCharType="separate"/>
      </w:r>
      <w:r>
        <w:rPr>
          <w:sz w:val="28"/>
          <w:szCs w:val="28"/>
        </w:rPr>
        <w:t>45</w:t>
      </w:r>
      <w:r>
        <w:rPr>
          <w:sz w:val="28"/>
          <w:szCs w:val="28"/>
        </w:rPr>
        <w:fldChar w:fldCharType="end"/>
      </w:r>
      <w:r>
        <w:rPr>
          <w:sz w:val="28"/>
          <w:szCs w:val="28"/>
        </w:rPr>
        <w:fldChar w:fldCharType="end"/>
      </w:r>
    </w:p>
    <w:p w14:paraId="75361C68">
      <w:pPr>
        <w:pStyle w:val="10"/>
        <w:tabs>
          <w:tab w:val="right" w:leader="dot" w:pos="8306"/>
        </w:tabs>
        <w:spacing w:line="480" w:lineRule="exact"/>
        <w:ind w:left="1280"/>
        <w:rPr>
          <w:sz w:val="28"/>
          <w:szCs w:val="28"/>
        </w:rPr>
      </w:pPr>
      <w:r>
        <w:fldChar w:fldCharType="begin"/>
      </w:r>
      <w:r>
        <w:instrText xml:space="preserve"> HYPERLINK \l "_Toc9842" </w:instrText>
      </w:r>
      <w:r>
        <w:fldChar w:fldCharType="separate"/>
      </w:r>
      <w:r>
        <w:rPr>
          <w:sz w:val="28"/>
          <w:szCs w:val="28"/>
        </w:rPr>
        <w:t>第二节  实施生态修复重大工程</w:t>
      </w:r>
      <w:r>
        <w:rPr>
          <w:sz w:val="28"/>
          <w:szCs w:val="28"/>
        </w:rPr>
        <w:tab/>
      </w:r>
      <w:r>
        <w:rPr>
          <w:sz w:val="28"/>
          <w:szCs w:val="28"/>
        </w:rPr>
        <w:fldChar w:fldCharType="begin"/>
      </w:r>
      <w:r>
        <w:rPr>
          <w:sz w:val="28"/>
          <w:szCs w:val="28"/>
        </w:rPr>
        <w:instrText xml:space="preserve"> PAGEREF _Toc9842 \h </w:instrText>
      </w:r>
      <w:r>
        <w:rPr>
          <w:sz w:val="28"/>
          <w:szCs w:val="28"/>
        </w:rPr>
        <w:fldChar w:fldCharType="separate"/>
      </w:r>
      <w:r>
        <w:rPr>
          <w:sz w:val="28"/>
          <w:szCs w:val="28"/>
        </w:rPr>
        <w:t>45</w:t>
      </w:r>
      <w:r>
        <w:rPr>
          <w:sz w:val="28"/>
          <w:szCs w:val="28"/>
        </w:rPr>
        <w:fldChar w:fldCharType="end"/>
      </w:r>
      <w:r>
        <w:rPr>
          <w:sz w:val="28"/>
          <w:szCs w:val="28"/>
        </w:rPr>
        <w:fldChar w:fldCharType="end"/>
      </w:r>
    </w:p>
    <w:p w14:paraId="6A9526B3">
      <w:pPr>
        <w:pStyle w:val="10"/>
        <w:tabs>
          <w:tab w:val="right" w:leader="dot" w:pos="8306"/>
        </w:tabs>
        <w:spacing w:line="480" w:lineRule="exact"/>
        <w:ind w:left="1280"/>
        <w:rPr>
          <w:sz w:val="28"/>
          <w:szCs w:val="28"/>
        </w:rPr>
      </w:pPr>
      <w:r>
        <w:fldChar w:fldCharType="begin"/>
      </w:r>
      <w:r>
        <w:instrText xml:space="preserve"> HYPERLINK \l "_Toc6729" </w:instrText>
      </w:r>
      <w:r>
        <w:fldChar w:fldCharType="separate"/>
      </w:r>
      <w:r>
        <w:rPr>
          <w:sz w:val="28"/>
          <w:szCs w:val="28"/>
        </w:rPr>
        <w:t>第三节  全面推行林长制</w:t>
      </w:r>
      <w:r>
        <w:rPr>
          <w:sz w:val="28"/>
          <w:szCs w:val="28"/>
        </w:rPr>
        <w:tab/>
      </w:r>
      <w:r>
        <w:rPr>
          <w:sz w:val="28"/>
          <w:szCs w:val="28"/>
        </w:rPr>
        <w:fldChar w:fldCharType="begin"/>
      </w:r>
      <w:r>
        <w:rPr>
          <w:sz w:val="28"/>
          <w:szCs w:val="28"/>
        </w:rPr>
        <w:instrText xml:space="preserve"> PAGEREF _Toc6729 \h </w:instrText>
      </w:r>
      <w:r>
        <w:rPr>
          <w:sz w:val="28"/>
          <w:szCs w:val="28"/>
        </w:rPr>
        <w:fldChar w:fldCharType="separate"/>
      </w:r>
      <w:r>
        <w:rPr>
          <w:sz w:val="28"/>
          <w:szCs w:val="28"/>
        </w:rPr>
        <w:t>46</w:t>
      </w:r>
      <w:r>
        <w:rPr>
          <w:sz w:val="28"/>
          <w:szCs w:val="28"/>
        </w:rPr>
        <w:fldChar w:fldCharType="end"/>
      </w:r>
      <w:r>
        <w:rPr>
          <w:sz w:val="28"/>
          <w:szCs w:val="28"/>
        </w:rPr>
        <w:fldChar w:fldCharType="end"/>
      </w:r>
    </w:p>
    <w:p w14:paraId="57980422">
      <w:pPr>
        <w:pStyle w:val="10"/>
        <w:tabs>
          <w:tab w:val="right" w:leader="dot" w:pos="8306"/>
        </w:tabs>
        <w:spacing w:line="480" w:lineRule="exact"/>
        <w:ind w:left="1280"/>
        <w:rPr>
          <w:sz w:val="28"/>
          <w:szCs w:val="28"/>
        </w:rPr>
      </w:pPr>
      <w:r>
        <w:fldChar w:fldCharType="begin"/>
      </w:r>
      <w:r>
        <w:instrText xml:space="preserve"> HYPERLINK \l "_Toc28670" </w:instrText>
      </w:r>
      <w:r>
        <w:fldChar w:fldCharType="separate"/>
      </w:r>
      <w:r>
        <w:rPr>
          <w:sz w:val="28"/>
          <w:szCs w:val="28"/>
        </w:rPr>
        <w:t>第四节  全面落实河长制</w:t>
      </w:r>
      <w:r>
        <w:rPr>
          <w:sz w:val="28"/>
          <w:szCs w:val="28"/>
        </w:rPr>
        <w:tab/>
      </w:r>
      <w:r>
        <w:rPr>
          <w:sz w:val="28"/>
          <w:szCs w:val="28"/>
        </w:rPr>
        <w:fldChar w:fldCharType="begin"/>
      </w:r>
      <w:r>
        <w:rPr>
          <w:sz w:val="28"/>
          <w:szCs w:val="28"/>
        </w:rPr>
        <w:instrText xml:space="preserve"> PAGEREF _Toc28670 \h </w:instrText>
      </w:r>
      <w:r>
        <w:rPr>
          <w:sz w:val="28"/>
          <w:szCs w:val="28"/>
        </w:rPr>
        <w:fldChar w:fldCharType="separate"/>
      </w:r>
      <w:r>
        <w:rPr>
          <w:sz w:val="28"/>
          <w:szCs w:val="28"/>
        </w:rPr>
        <w:t>46</w:t>
      </w:r>
      <w:r>
        <w:rPr>
          <w:sz w:val="28"/>
          <w:szCs w:val="28"/>
        </w:rPr>
        <w:fldChar w:fldCharType="end"/>
      </w:r>
      <w:r>
        <w:rPr>
          <w:sz w:val="28"/>
          <w:szCs w:val="28"/>
        </w:rPr>
        <w:fldChar w:fldCharType="end"/>
      </w:r>
    </w:p>
    <w:p w14:paraId="1D69BEC9">
      <w:pPr>
        <w:pStyle w:val="10"/>
        <w:tabs>
          <w:tab w:val="right" w:leader="dot" w:pos="8306"/>
        </w:tabs>
        <w:spacing w:line="480" w:lineRule="exact"/>
        <w:ind w:left="1280"/>
        <w:rPr>
          <w:sz w:val="28"/>
        </w:rPr>
      </w:pPr>
      <w:r>
        <w:fldChar w:fldCharType="begin"/>
      </w:r>
      <w:r>
        <w:instrText xml:space="preserve"> HYPERLINK \l "_Toc25247" </w:instrText>
      </w:r>
      <w:r>
        <w:fldChar w:fldCharType="separate"/>
      </w:r>
      <w:r>
        <w:rPr>
          <w:sz w:val="28"/>
          <w:szCs w:val="28"/>
        </w:rPr>
        <w:t>第五节  加强重要生态系统保护恢复</w:t>
      </w:r>
      <w:r>
        <w:rPr>
          <w:sz w:val="28"/>
          <w:szCs w:val="28"/>
        </w:rPr>
        <w:tab/>
      </w:r>
      <w:r>
        <w:rPr>
          <w:sz w:val="28"/>
          <w:szCs w:val="28"/>
        </w:rPr>
        <w:fldChar w:fldCharType="begin"/>
      </w:r>
      <w:r>
        <w:rPr>
          <w:sz w:val="28"/>
          <w:szCs w:val="28"/>
        </w:rPr>
        <w:instrText xml:space="preserve"> PAGEREF _Toc25247 \h </w:instrText>
      </w:r>
      <w:r>
        <w:rPr>
          <w:sz w:val="28"/>
          <w:szCs w:val="28"/>
        </w:rPr>
        <w:fldChar w:fldCharType="separate"/>
      </w:r>
      <w:r>
        <w:rPr>
          <w:sz w:val="28"/>
          <w:szCs w:val="28"/>
        </w:rPr>
        <w:t>47</w:t>
      </w:r>
      <w:r>
        <w:rPr>
          <w:sz w:val="28"/>
          <w:szCs w:val="28"/>
        </w:rPr>
        <w:fldChar w:fldCharType="end"/>
      </w:r>
      <w:r>
        <w:rPr>
          <w:sz w:val="28"/>
          <w:szCs w:val="28"/>
        </w:rPr>
        <w:fldChar w:fldCharType="end"/>
      </w:r>
    </w:p>
    <w:p w14:paraId="459DEF4A">
      <w:pPr>
        <w:pStyle w:val="18"/>
        <w:tabs>
          <w:tab w:val="right" w:leader="dot" w:pos="8306"/>
        </w:tabs>
        <w:spacing w:line="480" w:lineRule="exact"/>
        <w:ind w:left="640"/>
        <w:rPr>
          <w:rFonts w:eastAsia="方正楷体_GBK"/>
          <w:sz w:val="28"/>
        </w:rPr>
      </w:pPr>
      <w:r>
        <w:fldChar w:fldCharType="begin"/>
      </w:r>
      <w:r>
        <w:instrText xml:space="preserve"> HYPERLINK \l "_Toc22833" </w:instrText>
      </w:r>
      <w:r>
        <w:fldChar w:fldCharType="separate"/>
      </w:r>
      <w:r>
        <w:rPr>
          <w:rFonts w:eastAsia="方正楷体_GBK"/>
          <w:sz w:val="28"/>
          <w:szCs w:val="36"/>
        </w:rPr>
        <w:t>第二十二章  推进农业绿色发展</w:t>
      </w:r>
      <w:r>
        <w:rPr>
          <w:rFonts w:eastAsia="方正楷体_GBK"/>
          <w:sz w:val="28"/>
        </w:rPr>
        <w:tab/>
      </w:r>
      <w:r>
        <w:rPr>
          <w:rFonts w:eastAsia="方正楷体_GBK"/>
          <w:sz w:val="28"/>
        </w:rPr>
        <w:fldChar w:fldCharType="begin"/>
      </w:r>
      <w:r>
        <w:rPr>
          <w:rFonts w:eastAsia="方正楷体_GBK"/>
          <w:sz w:val="28"/>
        </w:rPr>
        <w:instrText xml:space="preserve"> PAGEREF _Toc22833 \h </w:instrText>
      </w:r>
      <w:r>
        <w:rPr>
          <w:rFonts w:eastAsia="方正楷体_GBK"/>
          <w:sz w:val="28"/>
        </w:rPr>
        <w:fldChar w:fldCharType="separate"/>
      </w:r>
      <w:r>
        <w:rPr>
          <w:rFonts w:eastAsia="方正楷体_GBK"/>
          <w:sz w:val="28"/>
        </w:rPr>
        <w:t>49</w:t>
      </w:r>
      <w:r>
        <w:rPr>
          <w:rFonts w:eastAsia="方正楷体_GBK"/>
          <w:sz w:val="28"/>
        </w:rPr>
        <w:fldChar w:fldCharType="end"/>
      </w:r>
      <w:r>
        <w:rPr>
          <w:rFonts w:eastAsia="方正楷体_GBK"/>
          <w:sz w:val="28"/>
        </w:rPr>
        <w:fldChar w:fldCharType="end"/>
      </w:r>
    </w:p>
    <w:p w14:paraId="4D5CFAD5">
      <w:pPr>
        <w:pStyle w:val="10"/>
        <w:tabs>
          <w:tab w:val="right" w:leader="dot" w:pos="8306"/>
        </w:tabs>
        <w:spacing w:line="480" w:lineRule="exact"/>
        <w:ind w:left="1280"/>
        <w:rPr>
          <w:sz w:val="28"/>
          <w:szCs w:val="28"/>
        </w:rPr>
      </w:pPr>
      <w:r>
        <w:fldChar w:fldCharType="begin"/>
      </w:r>
      <w:r>
        <w:instrText xml:space="preserve"> HYPERLINK \l "_Toc19727" </w:instrText>
      </w:r>
      <w:r>
        <w:fldChar w:fldCharType="separate"/>
      </w:r>
      <w:r>
        <w:rPr>
          <w:sz w:val="28"/>
          <w:szCs w:val="28"/>
        </w:rPr>
        <w:t>第一节  强化资源保护与节约利用</w:t>
      </w:r>
      <w:r>
        <w:rPr>
          <w:sz w:val="28"/>
          <w:szCs w:val="28"/>
        </w:rPr>
        <w:tab/>
      </w:r>
      <w:r>
        <w:rPr>
          <w:sz w:val="28"/>
          <w:szCs w:val="28"/>
        </w:rPr>
        <w:fldChar w:fldCharType="begin"/>
      </w:r>
      <w:r>
        <w:rPr>
          <w:sz w:val="28"/>
          <w:szCs w:val="28"/>
        </w:rPr>
        <w:instrText xml:space="preserve"> PAGEREF _Toc19727 \h </w:instrText>
      </w:r>
      <w:r>
        <w:rPr>
          <w:sz w:val="28"/>
          <w:szCs w:val="28"/>
        </w:rPr>
        <w:fldChar w:fldCharType="separate"/>
      </w:r>
      <w:r>
        <w:rPr>
          <w:sz w:val="28"/>
          <w:szCs w:val="28"/>
        </w:rPr>
        <w:t>49</w:t>
      </w:r>
      <w:r>
        <w:rPr>
          <w:sz w:val="28"/>
          <w:szCs w:val="28"/>
        </w:rPr>
        <w:fldChar w:fldCharType="end"/>
      </w:r>
      <w:r>
        <w:rPr>
          <w:sz w:val="28"/>
          <w:szCs w:val="28"/>
        </w:rPr>
        <w:fldChar w:fldCharType="end"/>
      </w:r>
    </w:p>
    <w:p w14:paraId="05455765">
      <w:pPr>
        <w:pStyle w:val="10"/>
        <w:tabs>
          <w:tab w:val="right" w:leader="dot" w:pos="8306"/>
        </w:tabs>
        <w:spacing w:line="480" w:lineRule="exact"/>
        <w:ind w:left="1280"/>
        <w:rPr>
          <w:sz w:val="28"/>
          <w:szCs w:val="28"/>
        </w:rPr>
      </w:pPr>
      <w:r>
        <w:fldChar w:fldCharType="begin"/>
      </w:r>
      <w:r>
        <w:instrText xml:space="preserve"> HYPERLINK \l "_Toc25064" </w:instrText>
      </w:r>
      <w:r>
        <w:fldChar w:fldCharType="separate"/>
      </w:r>
      <w:r>
        <w:rPr>
          <w:sz w:val="28"/>
          <w:szCs w:val="28"/>
        </w:rPr>
        <w:t>第二节  推进农业清洁生产</w:t>
      </w:r>
      <w:r>
        <w:rPr>
          <w:sz w:val="28"/>
          <w:szCs w:val="28"/>
        </w:rPr>
        <w:tab/>
      </w:r>
      <w:r>
        <w:rPr>
          <w:sz w:val="28"/>
          <w:szCs w:val="28"/>
        </w:rPr>
        <w:fldChar w:fldCharType="begin"/>
      </w:r>
      <w:r>
        <w:rPr>
          <w:sz w:val="28"/>
          <w:szCs w:val="28"/>
        </w:rPr>
        <w:instrText xml:space="preserve"> PAGEREF _Toc25064 \h </w:instrText>
      </w:r>
      <w:r>
        <w:rPr>
          <w:sz w:val="28"/>
          <w:szCs w:val="28"/>
        </w:rPr>
        <w:fldChar w:fldCharType="separate"/>
      </w:r>
      <w:r>
        <w:rPr>
          <w:sz w:val="28"/>
          <w:szCs w:val="28"/>
        </w:rPr>
        <w:t>49</w:t>
      </w:r>
      <w:r>
        <w:rPr>
          <w:sz w:val="28"/>
          <w:szCs w:val="28"/>
        </w:rPr>
        <w:fldChar w:fldCharType="end"/>
      </w:r>
      <w:r>
        <w:rPr>
          <w:sz w:val="28"/>
          <w:szCs w:val="28"/>
        </w:rPr>
        <w:fldChar w:fldCharType="end"/>
      </w:r>
    </w:p>
    <w:p w14:paraId="214D0327">
      <w:pPr>
        <w:pStyle w:val="10"/>
        <w:tabs>
          <w:tab w:val="right" w:leader="dot" w:pos="8306"/>
        </w:tabs>
        <w:spacing w:line="480" w:lineRule="exact"/>
        <w:ind w:left="1280"/>
        <w:rPr>
          <w:sz w:val="28"/>
        </w:rPr>
      </w:pPr>
      <w:r>
        <w:fldChar w:fldCharType="begin"/>
      </w:r>
      <w:r>
        <w:instrText xml:space="preserve"> HYPERLINK \l "_Toc11378" </w:instrText>
      </w:r>
      <w:r>
        <w:fldChar w:fldCharType="separate"/>
      </w:r>
      <w:r>
        <w:rPr>
          <w:sz w:val="28"/>
          <w:szCs w:val="28"/>
        </w:rPr>
        <w:t>第三节  集中治理农业环境突出问题</w:t>
      </w:r>
      <w:r>
        <w:rPr>
          <w:sz w:val="28"/>
          <w:szCs w:val="28"/>
        </w:rPr>
        <w:tab/>
      </w:r>
      <w:r>
        <w:rPr>
          <w:sz w:val="28"/>
          <w:szCs w:val="28"/>
        </w:rPr>
        <w:fldChar w:fldCharType="begin"/>
      </w:r>
      <w:r>
        <w:rPr>
          <w:sz w:val="28"/>
          <w:szCs w:val="28"/>
        </w:rPr>
        <w:instrText xml:space="preserve"> PAGEREF _Toc11378 \h </w:instrText>
      </w:r>
      <w:r>
        <w:rPr>
          <w:sz w:val="28"/>
          <w:szCs w:val="28"/>
        </w:rPr>
        <w:fldChar w:fldCharType="separate"/>
      </w:r>
      <w:r>
        <w:rPr>
          <w:sz w:val="28"/>
          <w:szCs w:val="28"/>
        </w:rPr>
        <w:t>50</w:t>
      </w:r>
      <w:r>
        <w:rPr>
          <w:sz w:val="28"/>
          <w:szCs w:val="28"/>
        </w:rPr>
        <w:fldChar w:fldCharType="end"/>
      </w:r>
      <w:r>
        <w:rPr>
          <w:sz w:val="28"/>
          <w:szCs w:val="28"/>
        </w:rPr>
        <w:fldChar w:fldCharType="end"/>
      </w:r>
    </w:p>
    <w:p w14:paraId="52C22FC1">
      <w:pPr>
        <w:pStyle w:val="18"/>
        <w:tabs>
          <w:tab w:val="right" w:leader="dot" w:pos="8306"/>
        </w:tabs>
        <w:spacing w:line="480" w:lineRule="exact"/>
        <w:ind w:left="640"/>
        <w:rPr>
          <w:rFonts w:eastAsia="方正楷体_GBK"/>
          <w:sz w:val="28"/>
        </w:rPr>
      </w:pPr>
      <w:r>
        <w:fldChar w:fldCharType="begin"/>
      </w:r>
      <w:r>
        <w:instrText xml:space="preserve"> HYPERLINK \l "_Toc25157" </w:instrText>
      </w:r>
      <w:r>
        <w:fldChar w:fldCharType="separate"/>
      </w:r>
      <w:r>
        <w:rPr>
          <w:rFonts w:eastAsia="方正楷体_GBK"/>
          <w:sz w:val="28"/>
          <w:szCs w:val="36"/>
        </w:rPr>
        <w:t>第二十三章  推动生态资源价值实现</w:t>
      </w:r>
      <w:r>
        <w:rPr>
          <w:rFonts w:eastAsia="方正楷体_GBK"/>
          <w:sz w:val="28"/>
        </w:rPr>
        <w:tab/>
      </w:r>
      <w:r>
        <w:rPr>
          <w:rFonts w:eastAsia="方正楷体_GBK"/>
          <w:sz w:val="28"/>
        </w:rPr>
        <w:fldChar w:fldCharType="begin"/>
      </w:r>
      <w:r>
        <w:rPr>
          <w:rFonts w:eastAsia="方正楷体_GBK"/>
          <w:sz w:val="28"/>
        </w:rPr>
        <w:instrText xml:space="preserve"> PAGEREF _Toc25157 \h </w:instrText>
      </w:r>
      <w:r>
        <w:rPr>
          <w:rFonts w:eastAsia="方正楷体_GBK"/>
          <w:sz w:val="28"/>
        </w:rPr>
        <w:fldChar w:fldCharType="separate"/>
      </w:r>
      <w:r>
        <w:rPr>
          <w:rFonts w:eastAsia="方正楷体_GBK"/>
          <w:sz w:val="28"/>
        </w:rPr>
        <w:t>51</w:t>
      </w:r>
      <w:r>
        <w:rPr>
          <w:rFonts w:eastAsia="方正楷体_GBK"/>
          <w:sz w:val="28"/>
        </w:rPr>
        <w:fldChar w:fldCharType="end"/>
      </w:r>
      <w:r>
        <w:rPr>
          <w:rFonts w:eastAsia="方正楷体_GBK"/>
          <w:sz w:val="28"/>
        </w:rPr>
        <w:fldChar w:fldCharType="end"/>
      </w:r>
    </w:p>
    <w:p w14:paraId="62A6BFC5">
      <w:pPr>
        <w:pStyle w:val="10"/>
        <w:tabs>
          <w:tab w:val="right" w:leader="dot" w:pos="8306"/>
        </w:tabs>
        <w:spacing w:line="480" w:lineRule="exact"/>
        <w:ind w:left="1280"/>
        <w:rPr>
          <w:sz w:val="28"/>
          <w:szCs w:val="28"/>
        </w:rPr>
      </w:pPr>
      <w:r>
        <w:fldChar w:fldCharType="begin"/>
      </w:r>
      <w:r>
        <w:instrText xml:space="preserve"> HYPERLINK \l "_Toc11878" </w:instrText>
      </w:r>
      <w:r>
        <w:fldChar w:fldCharType="separate"/>
      </w:r>
      <w:r>
        <w:rPr>
          <w:sz w:val="28"/>
          <w:szCs w:val="28"/>
        </w:rPr>
        <w:t>第一节  健全生态保护补偿机制</w:t>
      </w:r>
      <w:r>
        <w:rPr>
          <w:sz w:val="28"/>
          <w:szCs w:val="28"/>
        </w:rPr>
        <w:tab/>
      </w:r>
      <w:r>
        <w:rPr>
          <w:sz w:val="28"/>
          <w:szCs w:val="28"/>
        </w:rPr>
        <w:fldChar w:fldCharType="begin"/>
      </w:r>
      <w:r>
        <w:rPr>
          <w:sz w:val="28"/>
          <w:szCs w:val="28"/>
        </w:rPr>
        <w:instrText xml:space="preserve"> PAGEREF _Toc11878 \h </w:instrText>
      </w:r>
      <w:r>
        <w:rPr>
          <w:sz w:val="28"/>
          <w:szCs w:val="28"/>
        </w:rPr>
        <w:fldChar w:fldCharType="separate"/>
      </w:r>
      <w:r>
        <w:rPr>
          <w:sz w:val="28"/>
          <w:szCs w:val="28"/>
        </w:rPr>
        <w:t>51</w:t>
      </w:r>
      <w:r>
        <w:rPr>
          <w:sz w:val="28"/>
          <w:szCs w:val="28"/>
        </w:rPr>
        <w:fldChar w:fldCharType="end"/>
      </w:r>
      <w:r>
        <w:rPr>
          <w:sz w:val="28"/>
          <w:szCs w:val="28"/>
        </w:rPr>
        <w:fldChar w:fldCharType="end"/>
      </w:r>
    </w:p>
    <w:p w14:paraId="494DAC88">
      <w:pPr>
        <w:pStyle w:val="10"/>
        <w:tabs>
          <w:tab w:val="right" w:leader="dot" w:pos="8306"/>
        </w:tabs>
        <w:spacing w:line="480" w:lineRule="exact"/>
        <w:ind w:left="1280"/>
        <w:rPr>
          <w:sz w:val="28"/>
          <w:szCs w:val="28"/>
        </w:rPr>
      </w:pPr>
      <w:r>
        <w:fldChar w:fldCharType="begin"/>
      </w:r>
      <w:r>
        <w:instrText xml:space="preserve"> HYPERLINK \l "_Toc14186" </w:instrText>
      </w:r>
      <w:r>
        <w:fldChar w:fldCharType="separate"/>
      </w:r>
      <w:r>
        <w:rPr>
          <w:sz w:val="28"/>
          <w:szCs w:val="28"/>
        </w:rPr>
        <w:t>第二节  积极推进生态产业化</w:t>
      </w:r>
      <w:r>
        <w:rPr>
          <w:sz w:val="28"/>
          <w:szCs w:val="28"/>
        </w:rPr>
        <w:tab/>
      </w:r>
      <w:r>
        <w:rPr>
          <w:sz w:val="28"/>
          <w:szCs w:val="28"/>
        </w:rPr>
        <w:fldChar w:fldCharType="begin"/>
      </w:r>
      <w:r>
        <w:rPr>
          <w:sz w:val="28"/>
          <w:szCs w:val="28"/>
        </w:rPr>
        <w:instrText xml:space="preserve"> PAGEREF _Toc14186 \h </w:instrText>
      </w:r>
      <w:r>
        <w:rPr>
          <w:sz w:val="28"/>
          <w:szCs w:val="28"/>
        </w:rPr>
        <w:fldChar w:fldCharType="separate"/>
      </w:r>
      <w:r>
        <w:rPr>
          <w:sz w:val="28"/>
          <w:szCs w:val="28"/>
        </w:rPr>
        <w:t>51</w:t>
      </w:r>
      <w:r>
        <w:rPr>
          <w:sz w:val="28"/>
          <w:szCs w:val="28"/>
        </w:rPr>
        <w:fldChar w:fldCharType="end"/>
      </w:r>
      <w:r>
        <w:rPr>
          <w:sz w:val="28"/>
          <w:szCs w:val="28"/>
        </w:rPr>
        <w:fldChar w:fldCharType="end"/>
      </w:r>
    </w:p>
    <w:p w14:paraId="77EC86E2">
      <w:pPr>
        <w:pStyle w:val="10"/>
        <w:tabs>
          <w:tab w:val="right" w:leader="dot" w:pos="8306"/>
        </w:tabs>
        <w:spacing w:line="480" w:lineRule="exact"/>
        <w:ind w:left="1280"/>
        <w:rPr>
          <w:sz w:val="28"/>
        </w:rPr>
      </w:pPr>
      <w:r>
        <w:fldChar w:fldCharType="begin"/>
      </w:r>
      <w:r>
        <w:instrText xml:space="preserve"> HYPERLINK \l "_Toc29077" </w:instrText>
      </w:r>
      <w:r>
        <w:fldChar w:fldCharType="separate"/>
      </w:r>
      <w:r>
        <w:rPr>
          <w:sz w:val="28"/>
          <w:szCs w:val="28"/>
        </w:rPr>
        <w:t>第三节  发挥自然资源多重效益</w:t>
      </w:r>
      <w:r>
        <w:rPr>
          <w:sz w:val="28"/>
          <w:szCs w:val="28"/>
        </w:rPr>
        <w:tab/>
      </w:r>
      <w:r>
        <w:rPr>
          <w:sz w:val="28"/>
          <w:szCs w:val="28"/>
        </w:rPr>
        <w:fldChar w:fldCharType="begin"/>
      </w:r>
      <w:r>
        <w:rPr>
          <w:sz w:val="28"/>
          <w:szCs w:val="28"/>
        </w:rPr>
        <w:instrText xml:space="preserve"> PAGEREF _Toc29077 \h </w:instrText>
      </w:r>
      <w:r>
        <w:rPr>
          <w:sz w:val="28"/>
          <w:szCs w:val="28"/>
        </w:rPr>
        <w:fldChar w:fldCharType="separate"/>
      </w:r>
      <w:r>
        <w:rPr>
          <w:sz w:val="28"/>
          <w:szCs w:val="28"/>
        </w:rPr>
        <w:t>52</w:t>
      </w:r>
      <w:r>
        <w:rPr>
          <w:sz w:val="28"/>
          <w:szCs w:val="28"/>
        </w:rPr>
        <w:fldChar w:fldCharType="end"/>
      </w:r>
      <w:r>
        <w:rPr>
          <w:sz w:val="28"/>
          <w:szCs w:val="28"/>
        </w:rPr>
        <w:fldChar w:fldCharType="end"/>
      </w:r>
    </w:p>
    <w:p w14:paraId="534CD17D">
      <w:pPr>
        <w:pStyle w:val="15"/>
        <w:tabs>
          <w:tab w:val="right" w:leader="dot" w:pos="8306"/>
        </w:tabs>
        <w:spacing w:line="480" w:lineRule="exact"/>
        <w:rPr>
          <w:sz w:val="28"/>
        </w:rPr>
      </w:pPr>
      <w:r>
        <w:fldChar w:fldCharType="begin"/>
      </w:r>
      <w:r>
        <w:instrText xml:space="preserve"> HYPERLINK \l "_Toc11041" </w:instrText>
      </w:r>
      <w:r>
        <w:fldChar w:fldCharType="separate"/>
      </w:r>
      <w:r>
        <w:rPr>
          <w:rFonts w:eastAsia="方正黑体_GBK"/>
          <w:sz w:val="28"/>
        </w:rPr>
        <w:t>第八篇  构建高效乡村治理体系</w:t>
      </w:r>
      <w:r>
        <w:rPr>
          <w:sz w:val="28"/>
        </w:rPr>
        <w:tab/>
      </w:r>
      <w:r>
        <w:rPr>
          <w:sz w:val="28"/>
        </w:rPr>
        <w:fldChar w:fldCharType="begin"/>
      </w:r>
      <w:r>
        <w:rPr>
          <w:sz w:val="28"/>
        </w:rPr>
        <w:instrText xml:space="preserve"> PAGEREF _Toc11041 \h </w:instrText>
      </w:r>
      <w:r>
        <w:rPr>
          <w:sz w:val="28"/>
        </w:rPr>
        <w:fldChar w:fldCharType="separate"/>
      </w:r>
      <w:r>
        <w:rPr>
          <w:sz w:val="28"/>
        </w:rPr>
        <w:t>53</w:t>
      </w:r>
      <w:r>
        <w:rPr>
          <w:sz w:val="28"/>
        </w:rPr>
        <w:fldChar w:fldCharType="end"/>
      </w:r>
      <w:r>
        <w:rPr>
          <w:sz w:val="28"/>
        </w:rPr>
        <w:fldChar w:fldCharType="end"/>
      </w:r>
    </w:p>
    <w:p w14:paraId="2EB58176">
      <w:pPr>
        <w:pStyle w:val="18"/>
        <w:tabs>
          <w:tab w:val="right" w:leader="dot" w:pos="8306"/>
        </w:tabs>
        <w:spacing w:line="480" w:lineRule="exact"/>
        <w:ind w:left="640"/>
        <w:rPr>
          <w:rFonts w:eastAsia="方正楷体_GBK"/>
          <w:sz w:val="28"/>
        </w:rPr>
      </w:pPr>
      <w:r>
        <w:fldChar w:fldCharType="begin"/>
      </w:r>
      <w:r>
        <w:instrText xml:space="preserve"> HYPERLINK \l "_Toc20293" </w:instrText>
      </w:r>
      <w:r>
        <w:fldChar w:fldCharType="separate"/>
      </w:r>
      <w:r>
        <w:rPr>
          <w:rFonts w:eastAsia="方正楷体_GBK"/>
          <w:sz w:val="28"/>
          <w:szCs w:val="36"/>
        </w:rPr>
        <w:t>第二十四章  加强农村基层党组织建设</w:t>
      </w:r>
      <w:r>
        <w:rPr>
          <w:rFonts w:eastAsia="方正楷体_GBK"/>
          <w:sz w:val="28"/>
        </w:rPr>
        <w:tab/>
      </w:r>
      <w:r>
        <w:rPr>
          <w:rFonts w:eastAsia="方正楷体_GBK"/>
          <w:sz w:val="28"/>
        </w:rPr>
        <w:fldChar w:fldCharType="begin"/>
      </w:r>
      <w:r>
        <w:rPr>
          <w:rFonts w:eastAsia="方正楷体_GBK"/>
          <w:sz w:val="28"/>
        </w:rPr>
        <w:instrText xml:space="preserve"> PAGEREF _Toc20293 \h </w:instrText>
      </w:r>
      <w:r>
        <w:rPr>
          <w:rFonts w:eastAsia="方正楷体_GBK"/>
          <w:sz w:val="28"/>
        </w:rPr>
        <w:fldChar w:fldCharType="separate"/>
      </w:r>
      <w:r>
        <w:rPr>
          <w:rFonts w:eastAsia="方正楷体_GBK"/>
          <w:sz w:val="28"/>
        </w:rPr>
        <w:t>53</w:t>
      </w:r>
      <w:r>
        <w:rPr>
          <w:rFonts w:eastAsia="方正楷体_GBK"/>
          <w:sz w:val="28"/>
        </w:rPr>
        <w:fldChar w:fldCharType="end"/>
      </w:r>
      <w:r>
        <w:rPr>
          <w:rFonts w:eastAsia="方正楷体_GBK"/>
          <w:sz w:val="28"/>
        </w:rPr>
        <w:fldChar w:fldCharType="end"/>
      </w:r>
    </w:p>
    <w:p w14:paraId="21B91F6D">
      <w:pPr>
        <w:pStyle w:val="10"/>
        <w:tabs>
          <w:tab w:val="right" w:leader="dot" w:pos="8306"/>
        </w:tabs>
        <w:spacing w:line="480" w:lineRule="exact"/>
        <w:ind w:left="1280"/>
        <w:rPr>
          <w:sz w:val="28"/>
          <w:szCs w:val="28"/>
        </w:rPr>
      </w:pPr>
      <w:r>
        <w:fldChar w:fldCharType="begin"/>
      </w:r>
      <w:r>
        <w:instrText xml:space="preserve"> HYPERLINK \l "_Toc5552" </w:instrText>
      </w:r>
      <w:r>
        <w:fldChar w:fldCharType="separate"/>
      </w:r>
      <w:r>
        <w:rPr>
          <w:sz w:val="28"/>
          <w:szCs w:val="28"/>
        </w:rPr>
        <w:t>第一节  强化农村基层党组织领导核心作用</w:t>
      </w:r>
      <w:r>
        <w:rPr>
          <w:sz w:val="28"/>
          <w:szCs w:val="28"/>
        </w:rPr>
        <w:tab/>
      </w:r>
      <w:r>
        <w:rPr>
          <w:sz w:val="28"/>
          <w:szCs w:val="28"/>
        </w:rPr>
        <w:fldChar w:fldCharType="begin"/>
      </w:r>
      <w:r>
        <w:rPr>
          <w:sz w:val="28"/>
          <w:szCs w:val="28"/>
        </w:rPr>
        <w:instrText xml:space="preserve"> PAGEREF _Toc5552 \h </w:instrText>
      </w:r>
      <w:r>
        <w:rPr>
          <w:sz w:val="28"/>
          <w:szCs w:val="28"/>
        </w:rPr>
        <w:fldChar w:fldCharType="separate"/>
      </w:r>
      <w:r>
        <w:rPr>
          <w:sz w:val="28"/>
          <w:szCs w:val="28"/>
        </w:rPr>
        <w:t>53</w:t>
      </w:r>
      <w:r>
        <w:rPr>
          <w:sz w:val="28"/>
          <w:szCs w:val="28"/>
        </w:rPr>
        <w:fldChar w:fldCharType="end"/>
      </w:r>
      <w:r>
        <w:rPr>
          <w:sz w:val="28"/>
          <w:szCs w:val="28"/>
        </w:rPr>
        <w:fldChar w:fldCharType="end"/>
      </w:r>
    </w:p>
    <w:p w14:paraId="71DDA898">
      <w:pPr>
        <w:pStyle w:val="10"/>
        <w:tabs>
          <w:tab w:val="right" w:leader="dot" w:pos="8306"/>
        </w:tabs>
        <w:spacing w:line="480" w:lineRule="exact"/>
        <w:ind w:left="1280"/>
        <w:rPr>
          <w:sz w:val="28"/>
          <w:szCs w:val="28"/>
        </w:rPr>
      </w:pPr>
      <w:r>
        <w:fldChar w:fldCharType="begin"/>
      </w:r>
      <w:r>
        <w:instrText xml:space="preserve"> HYPERLINK \l "_Toc31316" </w:instrText>
      </w:r>
      <w:r>
        <w:fldChar w:fldCharType="separate"/>
      </w:r>
      <w:r>
        <w:rPr>
          <w:sz w:val="28"/>
          <w:szCs w:val="28"/>
        </w:rPr>
        <w:t>第二节  加强农村基层党员队伍建设</w:t>
      </w:r>
      <w:r>
        <w:rPr>
          <w:sz w:val="28"/>
          <w:szCs w:val="28"/>
        </w:rPr>
        <w:tab/>
      </w:r>
      <w:r>
        <w:rPr>
          <w:sz w:val="28"/>
          <w:szCs w:val="28"/>
        </w:rPr>
        <w:fldChar w:fldCharType="begin"/>
      </w:r>
      <w:r>
        <w:rPr>
          <w:sz w:val="28"/>
          <w:szCs w:val="28"/>
        </w:rPr>
        <w:instrText xml:space="preserve"> PAGEREF _Toc31316 \h </w:instrText>
      </w:r>
      <w:r>
        <w:rPr>
          <w:sz w:val="28"/>
          <w:szCs w:val="28"/>
        </w:rPr>
        <w:fldChar w:fldCharType="separate"/>
      </w:r>
      <w:r>
        <w:rPr>
          <w:sz w:val="28"/>
          <w:szCs w:val="28"/>
        </w:rPr>
        <w:t>54</w:t>
      </w:r>
      <w:r>
        <w:rPr>
          <w:sz w:val="28"/>
          <w:szCs w:val="28"/>
        </w:rPr>
        <w:fldChar w:fldCharType="end"/>
      </w:r>
      <w:r>
        <w:rPr>
          <w:sz w:val="28"/>
          <w:szCs w:val="28"/>
        </w:rPr>
        <w:fldChar w:fldCharType="end"/>
      </w:r>
    </w:p>
    <w:p w14:paraId="353B8EA6">
      <w:pPr>
        <w:pStyle w:val="10"/>
        <w:tabs>
          <w:tab w:val="right" w:leader="dot" w:pos="8306"/>
        </w:tabs>
        <w:spacing w:line="480" w:lineRule="exact"/>
        <w:ind w:left="1280"/>
        <w:rPr>
          <w:sz w:val="28"/>
          <w:szCs w:val="28"/>
        </w:rPr>
      </w:pPr>
      <w:r>
        <w:fldChar w:fldCharType="begin"/>
      </w:r>
      <w:r>
        <w:instrText xml:space="preserve"> HYPERLINK \l "_Toc29550" </w:instrText>
      </w:r>
      <w:r>
        <w:fldChar w:fldCharType="separate"/>
      </w:r>
      <w:r>
        <w:rPr>
          <w:sz w:val="28"/>
          <w:szCs w:val="28"/>
        </w:rPr>
        <w:t>第三节  推进农村基层党组织制度和作风建设</w:t>
      </w:r>
      <w:r>
        <w:rPr>
          <w:sz w:val="28"/>
          <w:szCs w:val="28"/>
        </w:rPr>
        <w:tab/>
      </w:r>
      <w:r>
        <w:rPr>
          <w:sz w:val="28"/>
          <w:szCs w:val="28"/>
        </w:rPr>
        <w:fldChar w:fldCharType="begin"/>
      </w:r>
      <w:r>
        <w:rPr>
          <w:sz w:val="28"/>
          <w:szCs w:val="28"/>
        </w:rPr>
        <w:instrText xml:space="preserve"> PAGEREF _Toc29550 \h </w:instrText>
      </w:r>
      <w:r>
        <w:rPr>
          <w:sz w:val="28"/>
          <w:szCs w:val="28"/>
        </w:rPr>
        <w:fldChar w:fldCharType="separate"/>
      </w:r>
      <w:r>
        <w:rPr>
          <w:sz w:val="28"/>
          <w:szCs w:val="28"/>
        </w:rPr>
        <w:t>54</w:t>
      </w:r>
      <w:r>
        <w:rPr>
          <w:sz w:val="28"/>
          <w:szCs w:val="28"/>
        </w:rPr>
        <w:fldChar w:fldCharType="end"/>
      </w:r>
      <w:r>
        <w:rPr>
          <w:sz w:val="28"/>
          <w:szCs w:val="28"/>
        </w:rPr>
        <w:fldChar w:fldCharType="end"/>
      </w:r>
    </w:p>
    <w:p w14:paraId="00B7E102">
      <w:pPr>
        <w:pStyle w:val="10"/>
        <w:tabs>
          <w:tab w:val="right" w:leader="dot" w:pos="8306"/>
        </w:tabs>
        <w:spacing w:line="480" w:lineRule="exact"/>
        <w:ind w:left="1280"/>
        <w:rPr>
          <w:sz w:val="28"/>
        </w:rPr>
      </w:pPr>
      <w:r>
        <w:fldChar w:fldCharType="begin"/>
      </w:r>
      <w:r>
        <w:instrText xml:space="preserve"> HYPERLINK \l "_Toc26369" </w:instrText>
      </w:r>
      <w:r>
        <w:fldChar w:fldCharType="separate"/>
      </w:r>
      <w:r>
        <w:rPr>
          <w:sz w:val="28"/>
          <w:szCs w:val="28"/>
        </w:rPr>
        <w:t>第四节  落实基层组织保障政策</w:t>
      </w:r>
      <w:r>
        <w:rPr>
          <w:sz w:val="28"/>
          <w:szCs w:val="28"/>
        </w:rPr>
        <w:tab/>
      </w:r>
      <w:r>
        <w:rPr>
          <w:sz w:val="28"/>
          <w:szCs w:val="28"/>
        </w:rPr>
        <w:fldChar w:fldCharType="begin"/>
      </w:r>
      <w:r>
        <w:rPr>
          <w:sz w:val="28"/>
          <w:szCs w:val="28"/>
        </w:rPr>
        <w:instrText xml:space="preserve"> PAGEREF _Toc26369 \h </w:instrText>
      </w:r>
      <w:r>
        <w:rPr>
          <w:sz w:val="28"/>
          <w:szCs w:val="28"/>
        </w:rPr>
        <w:fldChar w:fldCharType="separate"/>
      </w:r>
      <w:r>
        <w:rPr>
          <w:sz w:val="28"/>
          <w:szCs w:val="28"/>
        </w:rPr>
        <w:t>55</w:t>
      </w:r>
      <w:r>
        <w:rPr>
          <w:sz w:val="28"/>
          <w:szCs w:val="28"/>
        </w:rPr>
        <w:fldChar w:fldCharType="end"/>
      </w:r>
      <w:r>
        <w:rPr>
          <w:sz w:val="28"/>
          <w:szCs w:val="28"/>
        </w:rPr>
        <w:fldChar w:fldCharType="end"/>
      </w:r>
    </w:p>
    <w:p w14:paraId="48422B5D">
      <w:pPr>
        <w:pStyle w:val="18"/>
        <w:tabs>
          <w:tab w:val="right" w:leader="dot" w:pos="8306"/>
        </w:tabs>
        <w:spacing w:line="480" w:lineRule="exact"/>
        <w:ind w:left="640"/>
        <w:rPr>
          <w:rFonts w:eastAsia="方正楷体_GBK"/>
          <w:sz w:val="28"/>
        </w:rPr>
      </w:pPr>
      <w:r>
        <w:fldChar w:fldCharType="begin"/>
      </w:r>
      <w:r>
        <w:instrText xml:space="preserve"> HYPERLINK \l "_Toc13263" </w:instrText>
      </w:r>
      <w:r>
        <w:fldChar w:fldCharType="separate"/>
      </w:r>
      <w:r>
        <w:rPr>
          <w:rFonts w:eastAsia="方正楷体_GBK"/>
          <w:sz w:val="28"/>
          <w:szCs w:val="36"/>
        </w:rPr>
        <w:t>第二十五章  促进自治法治德治有机结合</w:t>
      </w:r>
      <w:r>
        <w:rPr>
          <w:rFonts w:eastAsia="方正楷体_GBK"/>
          <w:sz w:val="28"/>
        </w:rPr>
        <w:tab/>
      </w:r>
      <w:r>
        <w:rPr>
          <w:rFonts w:eastAsia="方正楷体_GBK"/>
          <w:sz w:val="28"/>
        </w:rPr>
        <w:fldChar w:fldCharType="begin"/>
      </w:r>
      <w:r>
        <w:rPr>
          <w:rFonts w:eastAsia="方正楷体_GBK"/>
          <w:sz w:val="28"/>
        </w:rPr>
        <w:instrText xml:space="preserve"> PAGEREF _Toc13263 \h </w:instrText>
      </w:r>
      <w:r>
        <w:rPr>
          <w:rFonts w:eastAsia="方正楷体_GBK"/>
          <w:sz w:val="28"/>
        </w:rPr>
        <w:fldChar w:fldCharType="separate"/>
      </w:r>
      <w:r>
        <w:rPr>
          <w:rFonts w:eastAsia="方正楷体_GBK"/>
          <w:sz w:val="28"/>
        </w:rPr>
        <w:t>55</w:t>
      </w:r>
      <w:r>
        <w:rPr>
          <w:rFonts w:eastAsia="方正楷体_GBK"/>
          <w:sz w:val="28"/>
        </w:rPr>
        <w:fldChar w:fldCharType="end"/>
      </w:r>
      <w:r>
        <w:rPr>
          <w:rFonts w:eastAsia="方正楷体_GBK"/>
          <w:sz w:val="28"/>
        </w:rPr>
        <w:fldChar w:fldCharType="end"/>
      </w:r>
    </w:p>
    <w:p w14:paraId="32C94F1E">
      <w:pPr>
        <w:pStyle w:val="10"/>
        <w:tabs>
          <w:tab w:val="right" w:leader="dot" w:pos="8306"/>
        </w:tabs>
        <w:spacing w:line="480" w:lineRule="exact"/>
        <w:ind w:left="1280"/>
        <w:rPr>
          <w:sz w:val="28"/>
          <w:szCs w:val="28"/>
        </w:rPr>
      </w:pPr>
      <w:r>
        <w:fldChar w:fldCharType="begin"/>
      </w:r>
      <w:r>
        <w:instrText xml:space="preserve"> HYPERLINK \l "_Toc19010" </w:instrText>
      </w:r>
      <w:r>
        <w:fldChar w:fldCharType="separate"/>
      </w:r>
      <w:r>
        <w:rPr>
          <w:sz w:val="28"/>
          <w:szCs w:val="28"/>
        </w:rPr>
        <w:t>第一节  深化村民自治实践</w:t>
      </w:r>
      <w:r>
        <w:rPr>
          <w:sz w:val="28"/>
          <w:szCs w:val="28"/>
        </w:rPr>
        <w:tab/>
      </w:r>
      <w:r>
        <w:rPr>
          <w:sz w:val="28"/>
          <w:szCs w:val="28"/>
        </w:rPr>
        <w:fldChar w:fldCharType="begin"/>
      </w:r>
      <w:r>
        <w:rPr>
          <w:sz w:val="28"/>
          <w:szCs w:val="28"/>
        </w:rPr>
        <w:instrText xml:space="preserve"> PAGEREF _Toc19010 \h </w:instrText>
      </w:r>
      <w:r>
        <w:rPr>
          <w:sz w:val="28"/>
          <w:szCs w:val="28"/>
        </w:rPr>
        <w:fldChar w:fldCharType="separate"/>
      </w:r>
      <w:r>
        <w:rPr>
          <w:sz w:val="28"/>
          <w:szCs w:val="28"/>
        </w:rPr>
        <w:t>55</w:t>
      </w:r>
      <w:r>
        <w:rPr>
          <w:sz w:val="28"/>
          <w:szCs w:val="28"/>
        </w:rPr>
        <w:fldChar w:fldCharType="end"/>
      </w:r>
      <w:r>
        <w:rPr>
          <w:sz w:val="28"/>
          <w:szCs w:val="28"/>
        </w:rPr>
        <w:fldChar w:fldCharType="end"/>
      </w:r>
    </w:p>
    <w:p w14:paraId="5CD6764C">
      <w:pPr>
        <w:pStyle w:val="10"/>
        <w:tabs>
          <w:tab w:val="right" w:leader="dot" w:pos="8306"/>
        </w:tabs>
        <w:spacing w:line="480" w:lineRule="exact"/>
        <w:ind w:left="1280"/>
        <w:rPr>
          <w:sz w:val="28"/>
          <w:szCs w:val="28"/>
        </w:rPr>
      </w:pPr>
      <w:r>
        <w:fldChar w:fldCharType="begin"/>
      </w:r>
      <w:r>
        <w:instrText xml:space="preserve"> HYPERLINK \l "_Toc30209" </w:instrText>
      </w:r>
      <w:r>
        <w:fldChar w:fldCharType="separate"/>
      </w:r>
      <w:r>
        <w:rPr>
          <w:sz w:val="28"/>
          <w:szCs w:val="28"/>
        </w:rPr>
        <w:t>第二节  推进乡村法治建设</w:t>
      </w:r>
      <w:r>
        <w:rPr>
          <w:sz w:val="28"/>
          <w:szCs w:val="28"/>
        </w:rPr>
        <w:tab/>
      </w:r>
      <w:r>
        <w:rPr>
          <w:sz w:val="28"/>
          <w:szCs w:val="28"/>
        </w:rPr>
        <w:fldChar w:fldCharType="begin"/>
      </w:r>
      <w:r>
        <w:rPr>
          <w:sz w:val="28"/>
          <w:szCs w:val="28"/>
        </w:rPr>
        <w:instrText xml:space="preserve"> PAGEREF _Toc30209 \h </w:instrText>
      </w:r>
      <w:r>
        <w:rPr>
          <w:sz w:val="28"/>
          <w:szCs w:val="28"/>
        </w:rPr>
        <w:fldChar w:fldCharType="separate"/>
      </w:r>
      <w:r>
        <w:rPr>
          <w:sz w:val="28"/>
          <w:szCs w:val="28"/>
        </w:rPr>
        <w:t>56</w:t>
      </w:r>
      <w:r>
        <w:rPr>
          <w:sz w:val="28"/>
          <w:szCs w:val="28"/>
        </w:rPr>
        <w:fldChar w:fldCharType="end"/>
      </w:r>
      <w:r>
        <w:rPr>
          <w:sz w:val="28"/>
          <w:szCs w:val="28"/>
        </w:rPr>
        <w:fldChar w:fldCharType="end"/>
      </w:r>
    </w:p>
    <w:p w14:paraId="793BC6F4">
      <w:pPr>
        <w:pStyle w:val="10"/>
        <w:tabs>
          <w:tab w:val="right" w:leader="dot" w:pos="8306"/>
        </w:tabs>
        <w:spacing w:line="480" w:lineRule="exact"/>
        <w:ind w:left="1280"/>
        <w:rPr>
          <w:sz w:val="28"/>
          <w:szCs w:val="28"/>
        </w:rPr>
      </w:pPr>
      <w:r>
        <w:fldChar w:fldCharType="begin"/>
      </w:r>
      <w:r>
        <w:instrText xml:space="preserve"> HYPERLINK \l "_Toc13422" </w:instrText>
      </w:r>
      <w:r>
        <w:fldChar w:fldCharType="separate"/>
      </w:r>
      <w:r>
        <w:rPr>
          <w:sz w:val="28"/>
          <w:szCs w:val="28"/>
        </w:rPr>
        <w:t>第三节  提升乡村德治水平</w:t>
      </w:r>
      <w:r>
        <w:rPr>
          <w:sz w:val="28"/>
          <w:szCs w:val="28"/>
        </w:rPr>
        <w:tab/>
      </w:r>
      <w:r>
        <w:rPr>
          <w:sz w:val="28"/>
          <w:szCs w:val="28"/>
        </w:rPr>
        <w:fldChar w:fldCharType="begin"/>
      </w:r>
      <w:r>
        <w:rPr>
          <w:sz w:val="28"/>
          <w:szCs w:val="28"/>
        </w:rPr>
        <w:instrText xml:space="preserve"> PAGEREF _Toc13422 \h </w:instrText>
      </w:r>
      <w:r>
        <w:rPr>
          <w:sz w:val="28"/>
          <w:szCs w:val="28"/>
        </w:rPr>
        <w:fldChar w:fldCharType="separate"/>
      </w:r>
      <w:r>
        <w:rPr>
          <w:sz w:val="28"/>
          <w:szCs w:val="28"/>
        </w:rPr>
        <w:t>57</w:t>
      </w:r>
      <w:r>
        <w:rPr>
          <w:sz w:val="28"/>
          <w:szCs w:val="28"/>
        </w:rPr>
        <w:fldChar w:fldCharType="end"/>
      </w:r>
      <w:r>
        <w:rPr>
          <w:sz w:val="28"/>
          <w:szCs w:val="28"/>
        </w:rPr>
        <w:fldChar w:fldCharType="end"/>
      </w:r>
    </w:p>
    <w:p w14:paraId="750DD081">
      <w:pPr>
        <w:pStyle w:val="10"/>
        <w:tabs>
          <w:tab w:val="right" w:leader="dot" w:pos="8306"/>
        </w:tabs>
        <w:spacing w:line="480" w:lineRule="exact"/>
        <w:ind w:left="1280"/>
        <w:rPr>
          <w:sz w:val="28"/>
          <w:szCs w:val="28"/>
        </w:rPr>
      </w:pPr>
      <w:r>
        <w:fldChar w:fldCharType="begin"/>
      </w:r>
      <w:r>
        <w:instrText xml:space="preserve"> HYPERLINK \l "_Toc18263" </w:instrText>
      </w:r>
      <w:r>
        <w:fldChar w:fldCharType="separate"/>
      </w:r>
      <w:r>
        <w:rPr>
          <w:sz w:val="28"/>
          <w:szCs w:val="28"/>
        </w:rPr>
        <w:t>第四节  引导社会组织发展</w:t>
      </w:r>
      <w:r>
        <w:rPr>
          <w:sz w:val="28"/>
          <w:szCs w:val="28"/>
        </w:rPr>
        <w:tab/>
      </w:r>
      <w:r>
        <w:rPr>
          <w:sz w:val="28"/>
          <w:szCs w:val="28"/>
        </w:rPr>
        <w:fldChar w:fldCharType="begin"/>
      </w:r>
      <w:r>
        <w:rPr>
          <w:sz w:val="28"/>
          <w:szCs w:val="28"/>
        </w:rPr>
        <w:instrText xml:space="preserve"> PAGEREF _Toc18263 \h </w:instrText>
      </w:r>
      <w:r>
        <w:rPr>
          <w:sz w:val="28"/>
          <w:szCs w:val="28"/>
        </w:rPr>
        <w:fldChar w:fldCharType="separate"/>
      </w:r>
      <w:r>
        <w:rPr>
          <w:sz w:val="28"/>
          <w:szCs w:val="28"/>
        </w:rPr>
        <w:t>57</w:t>
      </w:r>
      <w:r>
        <w:rPr>
          <w:sz w:val="28"/>
          <w:szCs w:val="28"/>
        </w:rPr>
        <w:fldChar w:fldCharType="end"/>
      </w:r>
      <w:r>
        <w:rPr>
          <w:sz w:val="28"/>
          <w:szCs w:val="28"/>
        </w:rPr>
        <w:fldChar w:fldCharType="end"/>
      </w:r>
    </w:p>
    <w:p w14:paraId="564D1987">
      <w:pPr>
        <w:pStyle w:val="10"/>
        <w:tabs>
          <w:tab w:val="right" w:leader="dot" w:pos="8306"/>
        </w:tabs>
        <w:spacing w:line="480" w:lineRule="exact"/>
        <w:ind w:left="1280"/>
        <w:rPr>
          <w:sz w:val="28"/>
        </w:rPr>
      </w:pPr>
      <w:r>
        <w:fldChar w:fldCharType="begin"/>
      </w:r>
      <w:r>
        <w:instrText xml:space="preserve"> HYPERLINK \l "_Toc10880" </w:instrText>
      </w:r>
      <w:r>
        <w:fldChar w:fldCharType="separate"/>
      </w:r>
      <w:r>
        <w:rPr>
          <w:sz w:val="28"/>
          <w:szCs w:val="28"/>
        </w:rPr>
        <w:t>第五节  建设平安乡村</w:t>
      </w:r>
      <w:r>
        <w:rPr>
          <w:sz w:val="28"/>
          <w:szCs w:val="28"/>
        </w:rPr>
        <w:tab/>
      </w:r>
      <w:r>
        <w:rPr>
          <w:sz w:val="28"/>
          <w:szCs w:val="28"/>
        </w:rPr>
        <w:fldChar w:fldCharType="begin"/>
      </w:r>
      <w:r>
        <w:rPr>
          <w:sz w:val="28"/>
          <w:szCs w:val="28"/>
        </w:rPr>
        <w:instrText xml:space="preserve"> PAGEREF _Toc10880 \h </w:instrText>
      </w:r>
      <w:r>
        <w:rPr>
          <w:sz w:val="28"/>
          <w:szCs w:val="28"/>
        </w:rPr>
        <w:fldChar w:fldCharType="separate"/>
      </w:r>
      <w:r>
        <w:rPr>
          <w:sz w:val="28"/>
          <w:szCs w:val="28"/>
        </w:rPr>
        <w:t>57</w:t>
      </w:r>
      <w:r>
        <w:rPr>
          <w:sz w:val="28"/>
          <w:szCs w:val="28"/>
        </w:rPr>
        <w:fldChar w:fldCharType="end"/>
      </w:r>
      <w:r>
        <w:rPr>
          <w:sz w:val="28"/>
          <w:szCs w:val="28"/>
        </w:rPr>
        <w:fldChar w:fldCharType="end"/>
      </w:r>
    </w:p>
    <w:p w14:paraId="7AD33617">
      <w:pPr>
        <w:pStyle w:val="18"/>
        <w:tabs>
          <w:tab w:val="right" w:leader="dot" w:pos="8306"/>
        </w:tabs>
        <w:spacing w:line="480" w:lineRule="exact"/>
        <w:ind w:left="640"/>
        <w:rPr>
          <w:rFonts w:eastAsia="方正楷体_GBK"/>
          <w:sz w:val="28"/>
        </w:rPr>
      </w:pPr>
      <w:r>
        <w:fldChar w:fldCharType="begin"/>
      </w:r>
      <w:r>
        <w:instrText xml:space="preserve"> HYPERLINK \l "_Toc23051" </w:instrText>
      </w:r>
      <w:r>
        <w:fldChar w:fldCharType="separate"/>
      </w:r>
      <w:r>
        <w:rPr>
          <w:rFonts w:eastAsia="方正楷体_GBK"/>
          <w:sz w:val="28"/>
          <w:szCs w:val="36"/>
        </w:rPr>
        <w:t>第二十六章  夯实基层政权</w:t>
      </w:r>
      <w:r>
        <w:rPr>
          <w:rFonts w:eastAsia="方正楷体_GBK"/>
          <w:sz w:val="28"/>
        </w:rPr>
        <w:tab/>
      </w:r>
      <w:r>
        <w:rPr>
          <w:rFonts w:eastAsia="方正楷体_GBK"/>
          <w:sz w:val="28"/>
        </w:rPr>
        <w:fldChar w:fldCharType="begin"/>
      </w:r>
      <w:r>
        <w:rPr>
          <w:rFonts w:eastAsia="方正楷体_GBK"/>
          <w:sz w:val="28"/>
        </w:rPr>
        <w:instrText xml:space="preserve"> PAGEREF _Toc23051 \h </w:instrText>
      </w:r>
      <w:r>
        <w:rPr>
          <w:rFonts w:eastAsia="方正楷体_GBK"/>
          <w:sz w:val="28"/>
        </w:rPr>
        <w:fldChar w:fldCharType="separate"/>
      </w:r>
      <w:r>
        <w:rPr>
          <w:rFonts w:eastAsia="方正楷体_GBK"/>
          <w:sz w:val="28"/>
        </w:rPr>
        <w:t>58</w:t>
      </w:r>
      <w:r>
        <w:rPr>
          <w:rFonts w:eastAsia="方正楷体_GBK"/>
          <w:sz w:val="28"/>
        </w:rPr>
        <w:fldChar w:fldCharType="end"/>
      </w:r>
      <w:r>
        <w:rPr>
          <w:rFonts w:eastAsia="方正楷体_GBK"/>
          <w:sz w:val="28"/>
        </w:rPr>
        <w:fldChar w:fldCharType="end"/>
      </w:r>
    </w:p>
    <w:p w14:paraId="4E9BA6F4">
      <w:pPr>
        <w:pStyle w:val="10"/>
        <w:tabs>
          <w:tab w:val="right" w:leader="dot" w:pos="8306"/>
        </w:tabs>
        <w:spacing w:line="480" w:lineRule="exact"/>
        <w:ind w:left="1280"/>
        <w:rPr>
          <w:sz w:val="28"/>
          <w:szCs w:val="28"/>
        </w:rPr>
      </w:pPr>
      <w:r>
        <w:fldChar w:fldCharType="begin"/>
      </w:r>
      <w:r>
        <w:instrText xml:space="preserve"> HYPERLINK \l "_Toc31303" </w:instrText>
      </w:r>
      <w:r>
        <w:fldChar w:fldCharType="separate"/>
      </w:r>
      <w:r>
        <w:rPr>
          <w:sz w:val="28"/>
          <w:szCs w:val="28"/>
        </w:rPr>
        <w:t>第一节  加强基层政权建设</w:t>
      </w:r>
      <w:r>
        <w:rPr>
          <w:sz w:val="28"/>
          <w:szCs w:val="28"/>
        </w:rPr>
        <w:tab/>
      </w:r>
      <w:r>
        <w:rPr>
          <w:sz w:val="28"/>
          <w:szCs w:val="28"/>
        </w:rPr>
        <w:fldChar w:fldCharType="begin"/>
      </w:r>
      <w:r>
        <w:rPr>
          <w:sz w:val="28"/>
          <w:szCs w:val="28"/>
        </w:rPr>
        <w:instrText xml:space="preserve"> PAGEREF _Toc31303 \h </w:instrText>
      </w:r>
      <w:r>
        <w:rPr>
          <w:sz w:val="28"/>
          <w:szCs w:val="28"/>
        </w:rPr>
        <w:fldChar w:fldCharType="separate"/>
      </w:r>
      <w:r>
        <w:rPr>
          <w:sz w:val="28"/>
          <w:szCs w:val="28"/>
        </w:rPr>
        <w:t>58</w:t>
      </w:r>
      <w:r>
        <w:rPr>
          <w:sz w:val="28"/>
          <w:szCs w:val="28"/>
        </w:rPr>
        <w:fldChar w:fldCharType="end"/>
      </w:r>
      <w:r>
        <w:rPr>
          <w:sz w:val="28"/>
          <w:szCs w:val="28"/>
        </w:rPr>
        <w:fldChar w:fldCharType="end"/>
      </w:r>
    </w:p>
    <w:p w14:paraId="4897270C">
      <w:pPr>
        <w:pStyle w:val="10"/>
        <w:tabs>
          <w:tab w:val="right" w:leader="dot" w:pos="8306"/>
        </w:tabs>
        <w:spacing w:line="480" w:lineRule="exact"/>
        <w:ind w:left="1280"/>
        <w:rPr>
          <w:sz w:val="28"/>
          <w:szCs w:val="28"/>
        </w:rPr>
      </w:pPr>
      <w:r>
        <w:fldChar w:fldCharType="begin"/>
      </w:r>
      <w:r>
        <w:instrText xml:space="preserve"> HYPERLINK \l "_Toc7975" </w:instrText>
      </w:r>
      <w:r>
        <w:fldChar w:fldCharType="separate"/>
      </w:r>
      <w:r>
        <w:rPr>
          <w:sz w:val="28"/>
          <w:szCs w:val="28"/>
        </w:rPr>
        <w:t>第二节  创新基层管理体制机制</w:t>
      </w:r>
      <w:r>
        <w:rPr>
          <w:sz w:val="28"/>
          <w:szCs w:val="28"/>
        </w:rPr>
        <w:tab/>
      </w:r>
      <w:r>
        <w:rPr>
          <w:sz w:val="28"/>
          <w:szCs w:val="28"/>
        </w:rPr>
        <w:fldChar w:fldCharType="begin"/>
      </w:r>
      <w:r>
        <w:rPr>
          <w:sz w:val="28"/>
          <w:szCs w:val="28"/>
        </w:rPr>
        <w:instrText xml:space="preserve"> PAGEREF _Toc7975 \h </w:instrText>
      </w:r>
      <w:r>
        <w:rPr>
          <w:sz w:val="28"/>
          <w:szCs w:val="28"/>
        </w:rPr>
        <w:fldChar w:fldCharType="separate"/>
      </w:r>
      <w:r>
        <w:rPr>
          <w:sz w:val="28"/>
          <w:szCs w:val="28"/>
        </w:rPr>
        <w:t>58</w:t>
      </w:r>
      <w:r>
        <w:rPr>
          <w:sz w:val="28"/>
          <w:szCs w:val="28"/>
        </w:rPr>
        <w:fldChar w:fldCharType="end"/>
      </w:r>
      <w:r>
        <w:rPr>
          <w:sz w:val="28"/>
          <w:szCs w:val="28"/>
        </w:rPr>
        <w:fldChar w:fldCharType="end"/>
      </w:r>
    </w:p>
    <w:p w14:paraId="5C3F9362">
      <w:pPr>
        <w:pStyle w:val="10"/>
        <w:tabs>
          <w:tab w:val="right" w:leader="dot" w:pos="8306"/>
        </w:tabs>
        <w:spacing w:line="480" w:lineRule="exact"/>
        <w:ind w:left="1280"/>
        <w:rPr>
          <w:sz w:val="28"/>
        </w:rPr>
      </w:pPr>
      <w:r>
        <w:fldChar w:fldCharType="begin"/>
      </w:r>
      <w:r>
        <w:instrText xml:space="preserve"> HYPERLINK \l "_Toc10555" </w:instrText>
      </w:r>
      <w:r>
        <w:fldChar w:fldCharType="separate"/>
      </w:r>
      <w:r>
        <w:rPr>
          <w:sz w:val="28"/>
          <w:szCs w:val="28"/>
        </w:rPr>
        <w:t>第三节  健全农村基层服务体系</w:t>
      </w:r>
      <w:r>
        <w:rPr>
          <w:sz w:val="28"/>
          <w:szCs w:val="28"/>
        </w:rPr>
        <w:tab/>
      </w:r>
      <w:r>
        <w:rPr>
          <w:sz w:val="28"/>
          <w:szCs w:val="28"/>
        </w:rPr>
        <w:fldChar w:fldCharType="begin"/>
      </w:r>
      <w:r>
        <w:rPr>
          <w:sz w:val="28"/>
          <w:szCs w:val="28"/>
        </w:rPr>
        <w:instrText xml:space="preserve"> PAGEREF _Toc10555 \h </w:instrText>
      </w:r>
      <w:r>
        <w:rPr>
          <w:sz w:val="28"/>
          <w:szCs w:val="28"/>
        </w:rPr>
        <w:fldChar w:fldCharType="separate"/>
      </w:r>
      <w:r>
        <w:rPr>
          <w:sz w:val="28"/>
          <w:szCs w:val="28"/>
        </w:rPr>
        <w:t>59</w:t>
      </w:r>
      <w:r>
        <w:rPr>
          <w:sz w:val="28"/>
          <w:szCs w:val="28"/>
        </w:rPr>
        <w:fldChar w:fldCharType="end"/>
      </w:r>
      <w:r>
        <w:rPr>
          <w:sz w:val="28"/>
          <w:szCs w:val="28"/>
        </w:rPr>
        <w:fldChar w:fldCharType="end"/>
      </w:r>
    </w:p>
    <w:p w14:paraId="476831E0">
      <w:pPr>
        <w:pStyle w:val="15"/>
        <w:tabs>
          <w:tab w:val="right" w:leader="dot" w:pos="8306"/>
        </w:tabs>
        <w:spacing w:line="480" w:lineRule="exact"/>
        <w:rPr>
          <w:sz w:val="28"/>
        </w:rPr>
      </w:pPr>
      <w:r>
        <w:fldChar w:fldCharType="begin"/>
      </w:r>
      <w:r>
        <w:instrText xml:space="preserve"> HYPERLINK \l "_Toc17552" </w:instrText>
      </w:r>
      <w:r>
        <w:fldChar w:fldCharType="separate"/>
      </w:r>
      <w:r>
        <w:rPr>
          <w:rFonts w:eastAsia="方正黑体_GBK"/>
          <w:sz w:val="28"/>
        </w:rPr>
        <w:t>第九篇  持续保障改善民生</w:t>
      </w:r>
      <w:r>
        <w:rPr>
          <w:sz w:val="28"/>
        </w:rPr>
        <w:tab/>
      </w:r>
      <w:r>
        <w:rPr>
          <w:sz w:val="28"/>
        </w:rPr>
        <w:fldChar w:fldCharType="begin"/>
      </w:r>
      <w:r>
        <w:rPr>
          <w:sz w:val="28"/>
        </w:rPr>
        <w:instrText xml:space="preserve"> PAGEREF _Toc17552 \h </w:instrText>
      </w:r>
      <w:r>
        <w:rPr>
          <w:sz w:val="28"/>
        </w:rPr>
        <w:fldChar w:fldCharType="separate"/>
      </w:r>
      <w:r>
        <w:rPr>
          <w:sz w:val="28"/>
        </w:rPr>
        <w:t>61</w:t>
      </w:r>
      <w:r>
        <w:rPr>
          <w:sz w:val="28"/>
        </w:rPr>
        <w:fldChar w:fldCharType="end"/>
      </w:r>
      <w:r>
        <w:rPr>
          <w:sz w:val="28"/>
        </w:rPr>
        <w:fldChar w:fldCharType="end"/>
      </w:r>
    </w:p>
    <w:p w14:paraId="1842E58F">
      <w:pPr>
        <w:pStyle w:val="18"/>
        <w:tabs>
          <w:tab w:val="right" w:leader="dot" w:pos="8306"/>
        </w:tabs>
        <w:spacing w:line="480" w:lineRule="exact"/>
        <w:ind w:left="640"/>
        <w:rPr>
          <w:rFonts w:eastAsia="方正楷体_GBK"/>
          <w:sz w:val="28"/>
        </w:rPr>
      </w:pPr>
      <w:r>
        <w:fldChar w:fldCharType="begin"/>
      </w:r>
      <w:r>
        <w:instrText xml:space="preserve"> HYPERLINK \l "_Toc6864" </w:instrText>
      </w:r>
      <w:r>
        <w:fldChar w:fldCharType="separate"/>
      </w:r>
      <w:r>
        <w:rPr>
          <w:rFonts w:eastAsia="方正楷体_GBK"/>
          <w:sz w:val="28"/>
          <w:szCs w:val="36"/>
        </w:rPr>
        <w:t>第二十七章  巩固拓展脱贫攻坚成果同乡村振兴有效衔接</w:t>
      </w:r>
      <w:r>
        <w:rPr>
          <w:rFonts w:eastAsia="方正楷体_GBK"/>
          <w:sz w:val="28"/>
        </w:rPr>
        <w:tab/>
      </w:r>
      <w:r>
        <w:rPr>
          <w:rFonts w:eastAsia="方正楷体_GBK"/>
          <w:sz w:val="28"/>
        </w:rPr>
        <w:fldChar w:fldCharType="begin"/>
      </w:r>
      <w:r>
        <w:rPr>
          <w:rFonts w:eastAsia="方正楷体_GBK"/>
          <w:sz w:val="28"/>
        </w:rPr>
        <w:instrText xml:space="preserve"> PAGEREF _Toc6864 \h </w:instrText>
      </w:r>
      <w:r>
        <w:rPr>
          <w:rFonts w:eastAsia="方正楷体_GBK"/>
          <w:sz w:val="28"/>
        </w:rPr>
        <w:fldChar w:fldCharType="separate"/>
      </w:r>
      <w:r>
        <w:rPr>
          <w:rFonts w:eastAsia="方正楷体_GBK"/>
          <w:sz w:val="28"/>
        </w:rPr>
        <w:t>61</w:t>
      </w:r>
      <w:r>
        <w:rPr>
          <w:rFonts w:eastAsia="方正楷体_GBK"/>
          <w:sz w:val="28"/>
        </w:rPr>
        <w:fldChar w:fldCharType="end"/>
      </w:r>
      <w:r>
        <w:rPr>
          <w:rFonts w:eastAsia="方正楷体_GBK"/>
          <w:sz w:val="28"/>
        </w:rPr>
        <w:fldChar w:fldCharType="end"/>
      </w:r>
    </w:p>
    <w:p w14:paraId="3FE16423">
      <w:pPr>
        <w:pStyle w:val="10"/>
        <w:tabs>
          <w:tab w:val="right" w:leader="dot" w:pos="8306"/>
        </w:tabs>
        <w:spacing w:line="480" w:lineRule="exact"/>
        <w:ind w:left="1280"/>
        <w:rPr>
          <w:sz w:val="28"/>
          <w:szCs w:val="28"/>
        </w:rPr>
      </w:pPr>
      <w:r>
        <w:fldChar w:fldCharType="begin"/>
      </w:r>
      <w:r>
        <w:instrText xml:space="preserve"> HYPERLINK \l "_Toc24710" </w:instrText>
      </w:r>
      <w:r>
        <w:fldChar w:fldCharType="separate"/>
      </w:r>
      <w:r>
        <w:rPr>
          <w:sz w:val="28"/>
          <w:szCs w:val="28"/>
        </w:rPr>
        <w:t>第一节  建立健全巩固脱贫攻坚成果长效机制</w:t>
      </w:r>
      <w:r>
        <w:rPr>
          <w:sz w:val="28"/>
          <w:szCs w:val="28"/>
        </w:rPr>
        <w:tab/>
      </w:r>
      <w:r>
        <w:rPr>
          <w:sz w:val="28"/>
          <w:szCs w:val="28"/>
        </w:rPr>
        <w:fldChar w:fldCharType="begin"/>
      </w:r>
      <w:r>
        <w:rPr>
          <w:sz w:val="28"/>
          <w:szCs w:val="28"/>
        </w:rPr>
        <w:instrText xml:space="preserve"> PAGEREF _Toc24710 \h </w:instrText>
      </w:r>
      <w:r>
        <w:rPr>
          <w:sz w:val="28"/>
          <w:szCs w:val="28"/>
        </w:rPr>
        <w:fldChar w:fldCharType="separate"/>
      </w:r>
      <w:r>
        <w:rPr>
          <w:sz w:val="28"/>
          <w:szCs w:val="28"/>
        </w:rPr>
        <w:t>61</w:t>
      </w:r>
      <w:r>
        <w:rPr>
          <w:sz w:val="28"/>
          <w:szCs w:val="28"/>
        </w:rPr>
        <w:fldChar w:fldCharType="end"/>
      </w:r>
      <w:r>
        <w:rPr>
          <w:sz w:val="28"/>
          <w:szCs w:val="28"/>
        </w:rPr>
        <w:fldChar w:fldCharType="end"/>
      </w:r>
    </w:p>
    <w:p w14:paraId="04F5B6F5">
      <w:pPr>
        <w:pStyle w:val="10"/>
        <w:tabs>
          <w:tab w:val="right" w:leader="dot" w:pos="8306"/>
        </w:tabs>
        <w:spacing w:line="480" w:lineRule="exact"/>
        <w:ind w:left="1280"/>
        <w:rPr>
          <w:sz w:val="28"/>
          <w:szCs w:val="28"/>
        </w:rPr>
      </w:pPr>
      <w:r>
        <w:fldChar w:fldCharType="begin"/>
      </w:r>
      <w:r>
        <w:instrText xml:space="preserve"> HYPERLINK \l "_Toc12919" </w:instrText>
      </w:r>
      <w:r>
        <w:fldChar w:fldCharType="separate"/>
      </w:r>
      <w:r>
        <w:rPr>
          <w:sz w:val="28"/>
          <w:szCs w:val="28"/>
        </w:rPr>
        <w:t>第二节  持久激发脱贫群众内生动力</w:t>
      </w:r>
      <w:r>
        <w:rPr>
          <w:sz w:val="28"/>
          <w:szCs w:val="28"/>
        </w:rPr>
        <w:tab/>
      </w:r>
      <w:r>
        <w:rPr>
          <w:sz w:val="28"/>
          <w:szCs w:val="28"/>
        </w:rPr>
        <w:fldChar w:fldCharType="begin"/>
      </w:r>
      <w:r>
        <w:rPr>
          <w:sz w:val="28"/>
          <w:szCs w:val="28"/>
        </w:rPr>
        <w:instrText xml:space="preserve"> PAGEREF _Toc12919 \h </w:instrText>
      </w:r>
      <w:r>
        <w:rPr>
          <w:sz w:val="28"/>
          <w:szCs w:val="28"/>
        </w:rPr>
        <w:fldChar w:fldCharType="separate"/>
      </w:r>
      <w:r>
        <w:rPr>
          <w:sz w:val="28"/>
          <w:szCs w:val="28"/>
        </w:rPr>
        <w:t>62</w:t>
      </w:r>
      <w:r>
        <w:rPr>
          <w:sz w:val="28"/>
          <w:szCs w:val="28"/>
        </w:rPr>
        <w:fldChar w:fldCharType="end"/>
      </w:r>
      <w:r>
        <w:rPr>
          <w:sz w:val="28"/>
          <w:szCs w:val="28"/>
        </w:rPr>
        <w:fldChar w:fldCharType="end"/>
      </w:r>
    </w:p>
    <w:p w14:paraId="1D9EA2C2">
      <w:pPr>
        <w:pStyle w:val="10"/>
        <w:tabs>
          <w:tab w:val="right" w:leader="dot" w:pos="8306"/>
        </w:tabs>
        <w:spacing w:line="480" w:lineRule="exact"/>
        <w:ind w:left="1280"/>
        <w:rPr>
          <w:sz w:val="28"/>
        </w:rPr>
      </w:pPr>
      <w:r>
        <w:fldChar w:fldCharType="begin"/>
      </w:r>
      <w:r>
        <w:instrText xml:space="preserve"> HYPERLINK \l "_Toc7707" </w:instrText>
      </w:r>
      <w:r>
        <w:fldChar w:fldCharType="separate"/>
      </w:r>
      <w:r>
        <w:rPr>
          <w:sz w:val="28"/>
          <w:szCs w:val="28"/>
        </w:rPr>
        <w:t>第三节  做好巩固拓展脱贫攻坚成果同乡村振兴有效衔接重点工作</w:t>
      </w:r>
      <w:r>
        <w:rPr>
          <w:sz w:val="28"/>
          <w:szCs w:val="28"/>
        </w:rPr>
        <w:tab/>
      </w:r>
      <w:r>
        <w:rPr>
          <w:sz w:val="28"/>
          <w:szCs w:val="28"/>
        </w:rPr>
        <w:fldChar w:fldCharType="begin"/>
      </w:r>
      <w:r>
        <w:rPr>
          <w:sz w:val="28"/>
          <w:szCs w:val="28"/>
        </w:rPr>
        <w:instrText xml:space="preserve"> PAGEREF _Toc7707 \h </w:instrText>
      </w:r>
      <w:r>
        <w:rPr>
          <w:sz w:val="28"/>
          <w:szCs w:val="28"/>
        </w:rPr>
        <w:fldChar w:fldCharType="separate"/>
      </w:r>
      <w:r>
        <w:rPr>
          <w:sz w:val="28"/>
          <w:szCs w:val="28"/>
        </w:rPr>
        <w:t>62</w:t>
      </w:r>
      <w:r>
        <w:rPr>
          <w:sz w:val="28"/>
          <w:szCs w:val="28"/>
        </w:rPr>
        <w:fldChar w:fldCharType="end"/>
      </w:r>
      <w:r>
        <w:rPr>
          <w:sz w:val="28"/>
          <w:szCs w:val="28"/>
        </w:rPr>
        <w:fldChar w:fldCharType="end"/>
      </w:r>
    </w:p>
    <w:p w14:paraId="269C0CDC">
      <w:pPr>
        <w:pStyle w:val="18"/>
        <w:tabs>
          <w:tab w:val="right" w:leader="dot" w:pos="8306"/>
        </w:tabs>
        <w:spacing w:line="480" w:lineRule="exact"/>
        <w:ind w:left="640"/>
        <w:rPr>
          <w:rFonts w:eastAsia="方正楷体_GBK"/>
          <w:sz w:val="28"/>
        </w:rPr>
      </w:pPr>
      <w:r>
        <w:fldChar w:fldCharType="begin"/>
      </w:r>
      <w:r>
        <w:instrText xml:space="preserve"> HYPERLINK \l "_Toc5817" </w:instrText>
      </w:r>
      <w:r>
        <w:fldChar w:fldCharType="separate"/>
      </w:r>
      <w:r>
        <w:rPr>
          <w:rFonts w:eastAsia="方正楷体_GBK"/>
          <w:sz w:val="28"/>
          <w:szCs w:val="36"/>
        </w:rPr>
        <w:t>第二十八章  完善乡村基础设施建设</w:t>
      </w:r>
      <w:r>
        <w:rPr>
          <w:rFonts w:eastAsia="方正楷体_GBK"/>
          <w:sz w:val="28"/>
        </w:rPr>
        <w:tab/>
      </w:r>
      <w:r>
        <w:rPr>
          <w:rFonts w:eastAsia="方正楷体_GBK"/>
          <w:sz w:val="28"/>
        </w:rPr>
        <w:fldChar w:fldCharType="begin"/>
      </w:r>
      <w:r>
        <w:rPr>
          <w:rFonts w:eastAsia="方正楷体_GBK"/>
          <w:sz w:val="28"/>
        </w:rPr>
        <w:instrText xml:space="preserve"> PAGEREF _Toc5817 \h </w:instrText>
      </w:r>
      <w:r>
        <w:rPr>
          <w:rFonts w:eastAsia="方正楷体_GBK"/>
          <w:sz w:val="28"/>
        </w:rPr>
        <w:fldChar w:fldCharType="separate"/>
      </w:r>
      <w:r>
        <w:rPr>
          <w:rFonts w:eastAsia="方正楷体_GBK"/>
          <w:sz w:val="28"/>
        </w:rPr>
        <w:t>63</w:t>
      </w:r>
      <w:r>
        <w:rPr>
          <w:rFonts w:eastAsia="方正楷体_GBK"/>
          <w:sz w:val="28"/>
        </w:rPr>
        <w:fldChar w:fldCharType="end"/>
      </w:r>
      <w:r>
        <w:rPr>
          <w:rFonts w:eastAsia="方正楷体_GBK"/>
          <w:sz w:val="28"/>
        </w:rPr>
        <w:fldChar w:fldCharType="end"/>
      </w:r>
    </w:p>
    <w:p w14:paraId="4D16C42C">
      <w:pPr>
        <w:pStyle w:val="10"/>
        <w:tabs>
          <w:tab w:val="right" w:leader="dot" w:pos="8306"/>
        </w:tabs>
        <w:spacing w:line="480" w:lineRule="exact"/>
        <w:ind w:left="1280"/>
        <w:rPr>
          <w:sz w:val="28"/>
          <w:szCs w:val="28"/>
        </w:rPr>
      </w:pPr>
      <w:r>
        <w:fldChar w:fldCharType="begin"/>
      </w:r>
      <w:r>
        <w:instrText xml:space="preserve"> HYPERLINK \l "_Toc6767" </w:instrText>
      </w:r>
      <w:r>
        <w:fldChar w:fldCharType="separate"/>
      </w:r>
      <w:r>
        <w:rPr>
          <w:sz w:val="28"/>
          <w:szCs w:val="28"/>
        </w:rPr>
        <w:t>第一节  改善农村交通基础设施和物流条件</w:t>
      </w:r>
      <w:r>
        <w:rPr>
          <w:sz w:val="28"/>
          <w:szCs w:val="28"/>
        </w:rPr>
        <w:tab/>
      </w:r>
      <w:r>
        <w:rPr>
          <w:sz w:val="28"/>
          <w:szCs w:val="28"/>
        </w:rPr>
        <w:fldChar w:fldCharType="begin"/>
      </w:r>
      <w:r>
        <w:rPr>
          <w:sz w:val="28"/>
          <w:szCs w:val="28"/>
        </w:rPr>
        <w:instrText xml:space="preserve"> PAGEREF _Toc6767 \h </w:instrText>
      </w:r>
      <w:r>
        <w:rPr>
          <w:sz w:val="28"/>
          <w:szCs w:val="28"/>
        </w:rPr>
        <w:fldChar w:fldCharType="separate"/>
      </w:r>
      <w:r>
        <w:rPr>
          <w:sz w:val="28"/>
          <w:szCs w:val="28"/>
        </w:rPr>
        <w:t>63</w:t>
      </w:r>
      <w:r>
        <w:rPr>
          <w:sz w:val="28"/>
          <w:szCs w:val="28"/>
        </w:rPr>
        <w:fldChar w:fldCharType="end"/>
      </w:r>
      <w:r>
        <w:rPr>
          <w:sz w:val="28"/>
          <w:szCs w:val="28"/>
        </w:rPr>
        <w:fldChar w:fldCharType="end"/>
      </w:r>
    </w:p>
    <w:p w14:paraId="624393FB">
      <w:pPr>
        <w:pStyle w:val="10"/>
        <w:tabs>
          <w:tab w:val="right" w:leader="dot" w:pos="8306"/>
        </w:tabs>
        <w:spacing w:line="480" w:lineRule="exact"/>
        <w:ind w:left="1280"/>
        <w:rPr>
          <w:sz w:val="28"/>
          <w:szCs w:val="28"/>
        </w:rPr>
      </w:pPr>
      <w:r>
        <w:fldChar w:fldCharType="begin"/>
      </w:r>
      <w:r>
        <w:instrText xml:space="preserve"> HYPERLINK \l "_Toc9739" </w:instrText>
      </w:r>
      <w:r>
        <w:fldChar w:fldCharType="separate"/>
      </w:r>
      <w:r>
        <w:rPr>
          <w:sz w:val="28"/>
          <w:szCs w:val="28"/>
        </w:rPr>
        <w:t>第二节  加强水利基础设施网络建设</w:t>
      </w:r>
      <w:r>
        <w:rPr>
          <w:sz w:val="28"/>
          <w:szCs w:val="28"/>
        </w:rPr>
        <w:tab/>
      </w:r>
      <w:r>
        <w:rPr>
          <w:sz w:val="28"/>
          <w:szCs w:val="28"/>
        </w:rPr>
        <w:fldChar w:fldCharType="begin"/>
      </w:r>
      <w:r>
        <w:rPr>
          <w:sz w:val="28"/>
          <w:szCs w:val="28"/>
        </w:rPr>
        <w:instrText xml:space="preserve"> PAGEREF _Toc9739 \h </w:instrText>
      </w:r>
      <w:r>
        <w:rPr>
          <w:sz w:val="28"/>
          <w:szCs w:val="28"/>
        </w:rPr>
        <w:fldChar w:fldCharType="separate"/>
      </w:r>
      <w:r>
        <w:rPr>
          <w:sz w:val="28"/>
          <w:szCs w:val="28"/>
        </w:rPr>
        <w:t>64</w:t>
      </w:r>
      <w:r>
        <w:rPr>
          <w:sz w:val="28"/>
          <w:szCs w:val="28"/>
        </w:rPr>
        <w:fldChar w:fldCharType="end"/>
      </w:r>
      <w:r>
        <w:rPr>
          <w:sz w:val="28"/>
          <w:szCs w:val="28"/>
        </w:rPr>
        <w:fldChar w:fldCharType="end"/>
      </w:r>
    </w:p>
    <w:p w14:paraId="7F0E9CAA">
      <w:pPr>
        <w:pStyle w:val="10"/>
        <w:tabs>
          <w:tab w:val="right" w:leader="dot" w:pos="8306"/>
        </w:tabs>
        <w:spacing w:line="480" w:lineRule="exact"/>
        <w:ind w:left="1280"/>
        <w:rPr>
          <w:sz w:val="28"/>
          <w:szCs w:val="28"/>
        </w:rPr>
      </w:pPr>
      <w:r>
        <w:fldChar w:fldCharType="begin"/>
      </w:r>
      <w:r>
        <w:instrText xml:space="preserve"> HYPERLINK \l "_Toc24751" </w:instrText>
      </w:r>
      <w:r>
        <w:fldChar w:fldCharType="separate"/>
      </w:r>
      <w:r>
        <w:rPr>
          <w:sz w:val="28"/>
          <w:szCs w:val="28"/>
        </w:rPr>
        <w:t>第三节  加快构建现代乡村能源体系</w:t>
      </w:r>
      <w:r>
        <w:rPr>
          <w:sz w:val="28"/>
          <w:szCs w:val="28"/>
        </w:rPr>
        <w:tab/>
      </w:r>
      <w:r>
        <w:rPr>
          <w:sz w:val="28"/>
          <w:szCs w:val="28"/>
        </w:rPr>
        <w:fldChar w:fldCharType="begin"/>
      </w:r>
      <w:r>
        <w:rPr>
          <w:sz w:val="28"/>
          <w:szCs w:val="28"/>
        </w:rPr>
        <w:instrText xml:space="preserve"> PAGEREF _Toc24751 \h </w:instrText>
      </w:r>
      <w:r>
        <w:rPr>
          <w:sz w:val="28"/>
          <w:szCs w:val="28"/>
        </w:rPr>
        <w:fldChar w:fldCharType="separate"/>
      </w:r>
      <w:r>
        <w:rPr>
          <w:sz w:val="28"/>
          <w:szCs w:val="28"/>
        </w:rPr>
        <w:t>64</w:t>
      </w:r>
      <w:r>
        <w:rPr>
          <w:sz w:val="28"/>
          <w:szCs w:val="28"/>
        </w:rPr>
        <w:fldChar w:fldCharType="end"/>
      </w:r>
      <w:r>
        <w:rPr>
          <w:sz w:val="28"/>
          <w:szCs w:val="28"/>
        </w:rPr>
        <w:fldChar w:fldCharType="end"/>
      </w:r>
    </w:p>
    <w:p w14:paraId="3524CBDE">
      <w:pPr>
        <w:pStyle w:val="10"/>
        <w:tabs>
          <w:tab w:val="right" w:leader="dot" w:pos="8306"/>
        </w:tabs>
        <w:spacing w:line="480" w:lineRule="exact"/>
        <w:ind w:left="1280"/>
        <w:rPr>
          <w:sz w:val="28"/>
        </w:rPr>
      </w:pPr>
      <w:r>
        <w:fldChar w:fldCharType="begin"/>
      </w:r>
      <w:r>
        <w:instrText xml:space="preserve"> HYPERLINK \l "_Toc29510" </w:instrText>
      </w:r>
      <w:r>
        <w:fldChar w:fldCharType="separate"/>
      </w:r>
      <w:r>
        <w:rPr>
          <w:sz w:val="28"/>
          <w:szCs w:val="28"/>
        </w:rPr>
        <w:t>第四节  强化</w:t>
      </w:r>
      <w:r>
        <w:rPr>
          <w:rFonts w:hint="eastAsia"/>
          <w:sz w:val="28"/>
          <w:szCs w:val="28"/>
        </w:rPr>
        <w:t>“</w:t>
      </w:r>
      <w:r>
        <w:rPr>
          <w:sz w:val="28"/>
          <w:szCs w:val="28"/>
        </w:rPr>
        <w:t>数字乡村</w:t>
      </w:r>
      <w:r>
        <w:rPr>
          <w:rFonts w:hint="eastAsia"/>
          <w:sz w:val="28"/>
          <w:szCs w:val="28"/>
        </w:rPr>
        <w:t>”</w:t>
      </w:r>
      <w:r>
        <w:rPr>
          <w:sz w:val="28"/>
          <w:szCs w:val="28"/>
        </w:rPr>
        <w:t>基础支撑</w:t>
      </w:r>
      <w:r>
        <w:rPr>
          <w:sz w:val="28"/>
          <w:szCs w:val="28"/>
        </w:rPr>
        <w:tab/>
      </w:r>
      <w:r>
        <w:rPr>
          <w:sz w:val="28"/>
          <w:szCs w:val="28"/>
        </w:rPr>
        <w:fldChar w:fldCharType="begin"/>
      </w:r>
      <w:r>
        <w:rPr>
          <w:sz w:val="28"/>
          <w:szCs w:val="28"/>
        </w:rPr>
        <w:instrText xml:space="preserve"> PAGEREF _Toc29510 \h </w:instrText>
      </w:r>
      <w:r>
        <w:rPr>
          <w:sz w:val="28"/>
          <w:szCs w:val="28"/>
        </w:rPr>
        <w:fldChar w:fldCharType="separate"/>
      </w:r>
      <w:r>
        <w:rPr>
          <w:sz w:val="28"/>
          <w:szCs w:val="28"/>
        </w:rPr>
        <w:t>65</w:t>
      </w:r>
      <w:r>
        <w:rPr>
          <w:sz w:val="28"/>
          <w:szCs w:val="28"/>
        </w:rPr>
        <w:fldChar w:fldCharType="end"/>
      </w:r>
      <w:r>
        <w:rPr>
          <w:sz w:val="28"/>
          <w:szCs w:val="28"/>
        </w:rPr>
        <w:fldChar w:fldCharType="end"/>
      </w:r>
    </w:p>
    <w:p w14:paraId="6C7AA882">
      <w:pPr>
        <w:pStyle w:val="18"/>
        <w:tabs>
          <w:tab w:val="right" w:leader="dot" w:pos="8306"/>
        </w:tabs>
        <w:spacing w:line="480" w:lineRule="exact"/>
        <w:ind w:left="640"/>
        <w:rPr>
          <w:rFonts w:eastAsia="方正楷体_GBK"/>
          <w:sz w:val="28"/>
        </w:rPr>
      </w:pPr>
      <w:r>
        <w:fldChar w:fldCharType="begin"/>
      </w:r>
      <w:r>
        <w:instrText xml:space="preserve"> HYPERLINK \l "_Toc9003" </w:instrText>
      </w:r>
      <w:r>
        <w:fldChar w:fldCharType="separate"/>
      </w:r>
      <w:r>
        <w:rPr>
          <w:rFonts w:eastAsia="方正楷体_GBK"/>
          <w:sz w:val="28"/>
          <w:szCs w:val="36"/>
        </w:rPr>
        <w:t>第二十九章  增加农村公共服务供给</w:t>
      </w:r>
      <w:r>
        <w:rPr>
          <w:rFonts w:eastAsia="方正楷体_GBK"/>
          <w:sz w:val="28"/>
        </w:rPr>
        <w:tab/>
      </w:r>
      <w:r>
        <w:rPr>
          <w:rFonts w:eastAsia="方正楷体_GBK"/>
          <w:sz w:val="28"/>
        </w:rPr>
        <w:fldChar w:fldCharType="begin"/>
      </w:r>
      <w:r>
        <w:rPr>
          <w:rFonts w:eastAsia="方正楷体_GBK"/>
          <w:sz w:val="28"/>
        </w:rPr>
        <w:instrText xml:space="preserve"> PAGEREF _Toc9003 \h </w:instrText>
      </w:r>
      <w:r>
        <w:rPr>
          <w:rFonts w:eastAsia="方正楷体_GBK"/>
          <w:sz w:val="28"/>
        </w:rPr>
        <w:fldChar w:fldCharType="separate"/>
      </w:r>
      <w:r>
        <w:rPr>
          <w:rFonts w:eastAsia="方正楷体_GBK"/>
          <w:sz w:val="28"/>
        </w:rPr>
        <w:t>66</w:t>
      </w:r>
      <w:r>
        <w:rPr>
          <w:rFonts w:eastAsia="方正楷体_GBK"/>
          <w:sz w:val="28"/>
        </w:rPr>
        <w:fldChar w:fldCharType="end"/>
      </w:r>
      <w:r>
        <w:rPr>
          <w:rFonts w:eastAsia="方正楷体_GBK"/>
          <w:sz w:val="28"/>
        </w:rPr>
        <w:fldChar w:fldCharType="end"/>
      </w:r>
    </w:p>
    <w:p w14:paraId="424CFA85">
      <w:pPr>
        <w:pStyle w:val="10"/>
        <w:tabs>
          <w:tab w:val="right" w:leader="dot" w:pos="8306"/>
        </w:tabs>
        <w:spacing w:line="480" w:lineRule="exact"/>
        <w:ind w:left="1280"/>
        <w:rPr>
          <w:sz w:val="28"/>
          <w:szCs w:val="28"/>
        </w:rPr>
      </w:pPr>
      <w:r>
        <w:fldChar w:fldCharType="begin"/>
      </w:r>
      <w:r>
        <w:instrText xml:space="preserve"> HYPERLINK \l "_Toc3821" </w:instrText>
      </w:r>
      <w:r>
        <w:fldChar w:fldCharType="separate"/>
      </w:r>
      <w:r>
        <w:rPr>
          <w:sz w:val="28"/>
          <w:szCs w:val="28"/>
        </w:rPr>
        <w:t>第一节  促进农村教育提质增效</w:t>
      </w:r>
      <w:r>
        <w:rPr>
          <w:sz w:val="28"/>
          <w:szCs w:val="28"/>
        </w:rPr>
        <w:tab/>
      </w:r>
      <w:r>
        <w:rPr>
          <w:sz w:val="28"/>
          <w:szCs w:val="28"/>
        </w:rPr>
        <w:fldChar w:fldCharType="begin"/>
      </w:r>
      <w:r>
        <w:rPr>
          <w:sz w:val="28"/>
          <w:szCs w:val="28"/>
        </w:rPr>
        <w:instrText xml:space="preserve"> PAGEREF _Toc3821 \h </w:instrText>
      </w:r>
      <w:r>
        <w:rPr>
          <w:sz w:val="28"/>
          <w:szCs w:val="28"/>
        </w:rPr>
        <w:fldChar w:fldCharType="separate"/>
      </w:r>
      <w:r>
        <w:rPr>
          <w:sz w:val="28"/>
          <w:szCs w:val="28"/>
        </w:rPr>
        <w:t>66</w:t>
      </w:r>
      <w:r>
        <w:rPr>
          <w:sz w:val="28"/>
          <w:szCs w:val="28"/>
        </w:rPr>
        <w:fldChar w:fldCharType="end"/>
      </w:r>
      <w:r>
        <w:rPr>
          <w:sz w:val="28"/>
          <w:szCs w:val="28"/>
        </w:rPr>
        <w:fldChar w:fldCharType="end"/>
      </w:r>
    </w:p>
    <w:p w14:paraId="3F5BCA22">
      <w:pPr>
        <w:pStyle w:val="10"/>
        <w:tabs>
          <w:tab w:val="right" w:leader="dot" w:pos="8306"/>
        </w:tabs>
        <w:spacing w:line="480" w:lineRule="exact"/>
        <w:ind w:left="1280"/>
        <w:rPr>
          <w:sz w:val="28"/>
          <w:szCs w:val="28"/>
        </w:rPr>
      </w:pPr>
      <w:r>
        <w:fldChar w:fldCharType="begin"/>
      </w:r>
      <w:r>
        <w:instrText xml:space="preserve"> HYPERLINK \l "_Toc512" </w:instrText>
      </w:r>
      <w:r>
        <w:fldChar w:fldCharType="separate"/>
      </w:r>
      <w:r>
        <w:rPr>
          <w:sz w:val="28"/>
          <w:szCs w:val="28"/>
        </w:rPr>
        <w:t>第二节  加强农村卫生健康公共服务</w:t>
      </w:r>
      <w:r>
        <w:rPr>
          <w:sz w:val="28"/>
          <w:szCs w:val="28"/>
        </w:rPr>
        <w:tab/>
      </w:r>
      <w:r>
        <w:rPr>
          <w:sz w:val="28"/>
          <w:szCs w:val="28"/>
        </w:rPr>
        <w:fldChar w:fldCharType="begin"/>
      </w:r>
      <w:r>
        <w:rPr>
          <w:sz w:val="28"/>
          <w:szCs w:val="28"/>
        </w:rPr>
        <w:instrText xml:space="preserve"> PAGEREF _Toc512 \h </w:instrText>
      </w:r>
      <w:r>
        <w:rPr>
          <w:sz w:val="28"/>
          <w:szCs w:val="28"/>
        </w:rPr>
        <w:fldChar w:fldCharType="separate"/>
      </w:r>
      <w:r>
        <w:rPr>
          <w:sz w:val="28"/>
          <w:szCs w:val="28"/>
        </w:rPr>
        <w:t>67</w:t>
      </w:r>
      <w:r>
        <w:rPr>
          <w:sz w:val="28"/>
          <w:szCs w:val="28"/>
        </w:rPr>
        <w:fldChar w:fldCharType="end"/>
      </w:r>
      <w:r>
        <w:rPr>
          <w:sz w:val="28"/>
          <w:szCs w:val="28"/>
        </w:rPr>
        <w:fldChar w:fldCharType="end"/>
      </w:r>
    </w:p>
    <w:p w14:paraId="710CF870">
      <w:pPr>
        <w:pStyle w:val="10"/>
        <w:tabs>
          <w:tab w:val="right" w:leader="dot" w:pos="8306"/>
        </w:tabs>
        <w:spacing w:line="480" w:lineRule="exact"/>
        <w:ind w:left="1280"/>
        <w:rPr>
          <w:sz w:val="28"/>
          <w:szCs w:val="28"/>
        </w:rPr>
      </w:pPr>
      <w:r>
        <w:fldChar w:fldCharType="begin"/>
      </w:r>
      <w:r>
        <w:instrText xml:space="preserve"> HYPERLINK \l "_Toc19373" </w:instrText>
      </w:r>
      <w:r>
        <w:fldChar w:fldCharType="separate"/>
      </w:r>
      <w:r>
        <w:rPr>
          <w:sz w:val="28"/>
          <w:szCs w:val="28"/>
        </w:rPr>
        <w:t>第三节  加快社会保障制度城乡统筹</w:t>
      </w:r>
      <w:r>
        <w:rPr>
          <w:sz w:val="28"/>
          <w:szCs w:val="28"/>
        </w:rPr>
        <w:tab/>
      </w:r>
      <w:r>
        <w:rPr>
          <w:sz w:val="28"/>
          <w:szCs w:val="28"/>
        </w:rPr>
        <w:fldChar w:fldCharType="begin"/>
      </w:r>
      <w:r>
        <w:rPr>
          <w:sz w:val="28"/>
          <w:szCs w:val="28"/>
        </w:rPr>
        <w:instrText xml:space="preserve"> PAGEREF _Toc19373 \h </w:instrText>
      </w:r>
      <w:r>
        <w:rPr>
          <w:sz w:val="28"/>
          <w:szCs w:val="28"/>
        </w:rPr>
        <w:fldChar w:fldCharType="separate"/>
      </w:r>
      <w:r>
        <w:rPr>
          <w:sz w:val="28"/>
          <w:szCs w:val="28"/>
        </w:rPr>
        <w:t>68</w:t>
      </w:r>
      <w:r>
        <w:rPr>
          <w:sz w:val="28"/>
          <w:szCs w:val="28"/>
        </w:rPr>
        <w:fldChar w:fldCharType="end"/>
      </w:r>
      <w:r>
        <w:rPr>
          <w:sz w:val="28"/>
          <w:szCs w:val="28"/>
        </w:rPr>
        <w:fldChar w:fldCharType="end"/>
      </w:r>
    </w:p>
    <w:p w14:paraId="738C0B61">
      <w:pPr>
        <w:pStyle w:val="10"/>
        <w:tabs>
          <w:tab w:val="right" w:leader="dot" w:pos="8306"/>
        </w:tabs>
        <w:spacing w:line="480" w:lineRule="exact"/>
        <w:ind w:left="1280"/>
        <w:rPr>
          <w:sz w:val="28"/>
          <w:szCs w:val="28"/>
        </w:rPr>
      </w:pPr>
      <w:r>
        <w:fldChar w:fldCharType="begin"/>
      </w:r>
      <w:r>
        <w:instrText xml:space="preserve"> HYPERLINK \l "_Toc29734" </w:instrText>
      </w:r>
      <w:r>
        <w:fldChar w:fldCharType="separate"/>
      </w:r>
      <w:r>
        <w:rPr>
          <w:sz w:val="28"/>
          <w:szCs w:val="28"/>
        </w:rPr>
        <w:t>第四节  发展多种形式的农村养老服务</w:t>
      </w:r>
      <w:r>
        <w:rPr>
          <w:sz w:val="28"/>
          <w:szCs w:val="28"/>
        </w:rPr>
        <w:tab/>
      </w:r>
      <w:r>
        <w:rPr>
          <w:sz w:val="28"/>
          <w:szCs w:val="28"/>
        </w:rPr>
        <w:fldChar w:fldCharType="begin"/>
      </w:r>
      <w:r>
        <w:rPr>
          <w:sz w:val="28"/>
          <w:szCs w:val="28"/>
        </w:rPr>
        <w:instrText xml:space="preserve"> PAGEREF _Toc29734 \h </w:instrText>
      </w:r>
      <w:r>
        <w:rPr>
          <w:sz w:val="28"/>
          <w:szCs w:val="28"/>
        </w:rPr>
        <w:fldChar w:fldCharType="separate"/>
      </w:r>
      <w:r>
        <w:rPr>
          <w:sz w:val="28"/>
          <w:szCs w:val="28"/>
        </w:rPr>
        <w:t>69</w:t>
      </w:r>
      <w:r>
        <w:rPr>
          <w:sz w:val="28"/>
          <w:szCs w:val="28"/>
        </w:rPr>
        <w:fldChar w:fldCharType="end"/>
      </w:r>
      <w:r>
        <w:rPr>
          <w:sz w:val="28"/>
          <w:szCs w:val="28"/>
        </w:rPr>
        <w:fldChar w:fldCharType="end"/>
      </w:r>
    </w:p>
    <w:p w14:paraId="31C9B885">
      <w:pPr>
        <w:pStyle w:val="10"/>
        <w:tabs>
          <w:tab w:val="right" w:leader="dot" w:pos="8306"/>
        </w:tabs>
        <w:spacing w:line="480" w:lineRule="exact"/>
        <w:ind w:left="1280"/>
        <w:rPr>
          <w:sz w:val="28"/>
        </w:rPr>
      </w:pPr>
      <w:r>
        <w:fldChar w:fldCharType="begin"/>
      </w:r>
      <w:r>
        <w:instrText xml:space="preserve"> HYPERLINK \l "_Toc24496" </w:instrText>
      </w:r>
      <w:r>
        <w:fldChar w:fldCharType="separate"/>
      </w:r>
      <w:r>
        <w:rPr>
          <w:sz w:val="28"/>
          <w:szCs w:val="28"/>
        </w:rPr>
        <w:t>第五节  加强农村防灾减灾救灾能力建设</w:t>
      </w:r>
      <w:r>
        <w:rPr>
          <w:sz w:val="28"/>
          <w:szCs w:val="28"/>
        </w:rPr>
        <w:tab/>
      </w:r>
      <w:r>
        <w:rPr>
          <w:sz w:val="28"/>
          <w:szCs w:val="28"/>
        </w:rPr>
        <w:fldChar w:fldCharType="begin"/>
      </w:r>
      <w:r>
        <w:rPr>
          <w:sz w:val="28"/>
          <w:szCs w:val="28"/>
        </w:rPr>
        <w:instrText xml:space="preserve"> PAGEREF _Toc24496 \h </w:instrText>
      </w:r>
      <w:r>
        <w:rPr>
          <w:sz w:val="28"/>
          <w:szCs w:val="28"/>
        </w:rPr>
        <w:fldChar w:fldCharType="separate"/>
      </w:r>
      <w:r>
        <w:rPr>
          <w:sz w:val="28"/>
          <w:szCs w:val="28"/>
        </w:rPr>
        <w:t>70</w:t>
      </w:r>
      <w:r>
        <w:rPr>
          <w:sz w:val="28"/>
          <w:szCs w:val="28"/>
        </w:rPr>
        <w:fldChar w:fldCharType="end"/>
      </w:r>
      <w:r>
        <w:rPr>
          <w:sz w:val="28"/>
          <w:szCs w:val="28"/>
        </w:rPr>
        <w:fldChar w:fldCharType="end"/>
      </w:r>
    </w:p>
    <w:p w14:paraId="51053ACD">
      <w:pPr>
        <w:pStyle w:val="18"/>
        <w:tabs>
          <w:tab w:val="right" w:leader="dot" w:pos="8306"/>
        </w:tabs>
        <w:spacing w:line="480" w:lineRule="exact"/>
        <w:ind w:left="640"/>
        <w:rPr>
          <w:rFonts w:eastAsia="方正楷体_GBK"/>
          <w:sz w:val="28"/>
        </w:rPr>
      </w:pPr>
      <w:r>
        <w:fldChar w:fldCharType="begin"/>
      </w:r>
      <w:r>
        <w:instrText xml:space="preserve"> HYPERLINK \l "_Toc19939" </w:instrText>
      </w:r>
      <w:r>
        <w:fldChar w:fldCharType="separate"/>
      </w:r>
      <w:r>
        <w:rPr>
          <w:rFonts w:eastAsia="方正楷体_GBK"/>
          <w:sz w:val="28"/>
          <w:szCs w:val="36"/>
        </w:rPr>
        <w:t>第三十章  着力促进农民增收致富</w:t>
      </w:r>
      <w:r>
        <w:rPr>
          <w:rFonts w:eastAsia="方正楷体_GBK"/>
          <w:sz w:val="28"/>
        </w:rPr>
        <w:tab/>
      </w:r>
      <w:r>
        <w:rPr>
          <w:rFonts w:eastAsia="方正楷体_GBK"/>
          <w:sz w:val="28"/>
        </w:rPr>
        <w:fldChar w:fldCharType="begin"/>
      </w:r>
      <w:r>
        <w:rPr>
          <w:rFonts w:eastAsia="方正楷体_GBK"/>
          <w:sz w:val="28"/>
        </w:rPr>
        <w:instrText xml:space="preserve"> PAGEREF _Toc19939 \h </w:instrText>
      </w:r>
      <w:r>
        <w:rPr>
          <w:rFonts w:eastAsia="方正楷体_GBK"/>
          <w:sz w:val="28"/>
        </w:rPr>
        <w:fldChar w:fldCharType="separate"/>
      </w:r>
      <w:r>
        <w:rPr>
          <w:rFonts w:eastAsia="方正楷体_GBK"/>
          <w:sz w:val="28"/>
        </w:rPr>
        <w:t>71</w:t>
      </w:r>
      <w:r>
        <w:rPr>
          <w:rFonts w:eastAsia="方正楷体_GBK"/>
          <w:sz w:val="28"/>
        </w:rPr>
        <w:fldChar w:fldCharType="end"/>
      </w:r>
      <w:r>
        <w:rPr>
          <w:rFonts w:eastAsia="方正楷体_GBK"/>
          <w:sz w:val="28"/>
        </w:rPr>
        <w:fldChar w:fldCharType="end"/>
      </w:r>
    </w:p>
    <w:p w14:paraId="76D95B7F">
      <w:pPr>
        <w:pStyle w:val="10"/>
        <w:tabs>
          <w:tab w:val="right" w:leader="dot" w:pos="8306"/>
        </w:tabs>
        <w:spacing w:line="480" w:lineRule="exact"/>
        <w:ind w:left="1280"/>
        <w:rPr>
          <w:sz w:val="28"/>
          <w:szCs w:val="28"/>
        </w:rPr>
      </w:pPr>
      <w:r>
        <w:fldChar w:fldCharType="begin"/>
      </w:r>
      <w:r>
        <w:instrText xml:space="preserve"> HYPERLINK \l "_Toc4544" </w:instrText>
      </w:r>
      <w:r>
        <w:fldChar w:fldCharType="separate"/>
      </w:r>
      <w:r>
        <w:rPr>
          <w:sz w:val="28"/>
          <w:szCs w:val="28"/>
        </w:rPr>
        <w:t>第一节  拓宽农民就业渠道</w:t>
      </w:r>
      <w:r>
        <w:rPr>
          <w:sz w:val="28"/>
          <w:szCs w:val="28"/>
        </w:rPr>
        <w:tab/>
      </w:r>
      <w:r>
        <w:rPr>
          <w:sz w:val="28"/>
          <w:szCs w:val="28"/>
        </w:rPr>
        <w:fldChar w:fldCharType="begin"/>
      </w:r>
      <w:r>
        <w:rPr>
          <w:sz w:val="28"/>
          <w:szCs w:val="28"/>
        </w:rPr>
        <w:instrText xml:space="preserve"> PAGEREF _Toc4544 \h </w:instrText>
      </w:r>
      <w:r>
        <w:rPr>
          <w:sz w:val="28"/>
          <w:szCs w:val="28"/>
        </w:rPr>
        <w:fldChar w:fldCharType="separate"/>
      </w:r>
      <w:r>
        <w:rPr>
          <w:sz w:val="28"/>
          <w:szCs w:val="28"/>
        </w:rPr>
        <w:t>71</w:t>
      </w:r>
      <w:r>
        <w:rPr>
          <w:sz w:val="28"/>
          <w:szCs w:val="28"/>
        </w:rPr>
        <w:fldChar w:fldCharType="end"/>
      </w:r>
      <w:r>
        <w:rPr>
          <w:sz w:val="28"/>
          <w:szCs w:val="28"/>
        </w:rPr>
        <w:fldChar w:fldCharType="end"/>
      </w:r>
    </w:p>
    <w:p w14:paraId="7052C1D8">
      <w:pPr>
        <w:pStyle w:val="10"/>
        <w:tabs>
          <w:tab w:val="right" w:leader="dot" w:pos="8306"/>
        </w:tabs>
        <w:spacing w:line="480" w:lineRule="exact"/>
        <w:ind w:left="1280"/>
        <w:rPr>
          <w:sz w:val="28"/>
          <w:szCs w:val="28"/>
        </w:rPr>
      </w:pPr>
      <w:r>
        <w:fldChar w:fldCharType="begin"/>
      </w:r>
      <w:r>
        <w:instrText xml:space="preserve"> HYPERLINK \l "_Toc30715" </w:instrText>
      </w:r>
      <w:r>
        <w:fldChar w:fldCharType="separate"/>
      </w:r>
      <w:r>
        <w:rPr>
          <w:sz w:val="28"/>
          <w:szCs w:val="28"/>
        </w:rPr>
        <w:t>第二节  增强乡村就业服务能力</w:t>
      </w:r>
      <w:r>
        <w:rPr>
          <w:sz w:val="28"/>
          <w:szCs w:val="28"/>
        </w:rPr>
        <w:tab/>
      </w:r>
      <w:r>
        <w:rPr>
          <w:sz w:val="28"/>
          <w:szCs w:val="28"/>
        </w:rPr>
        <w:fldChar w:fldCharType="begin"/>
      </w:r>
      <w:r>
        <w:rPr>
          <w:sz w:val="28"/>
          <w:szCs w:val="28"/>
        </w:rPr>
        <w:instrText xml:space="preserve"> PAGEREF _Toc30715 \h </w:instrText>
      </w:r>
      <w:r>
        <w:rPr>
          <w:sz w:val="28"/>
          <w:szCs w:val="28"/>
        </w:rPr>
        <w:fldChar w:fldCharType="separate"/>
      </w:r>
      <w:r>
        <w:rPr>
          <w:sz w:val="28"/>
          <w:szCs w:val="28"/>
        </w:rPr>
        <w:t>72</w:t>
      </w:r>
      <w:r>
        <w:rPr>
          <w:sz w:val="28"/>
          <w:szCs w:val="28"/>
        </w:rPr>
        <w:fldChar w:fldCharType="end"/>
      </w:r>
      <w:r>
        <w:rPr>
          <w:sz w:val="28"/>
          <w:szCs w:val="28"/>
        </w:rPr>
        <w:fldChar w:fldCharType="end"/>
      </w:r>
    </w:p>
    <w:p w14:paraId="4B58E969">
      <w:pPr>
        <w:pStyle w:val="10"/>
        <w:tabs>
          <w:tab w:val="right" w:leader="dot" w:pos="8306"/>
        </w:tabs>
        <w:spacing w:line="480" w:lineRule="exact"/>
        <w:ind w:left="1280"/>
        <w:rPr>
          <w:sz w:val="28"/>
        </w:rPr>
      </w:pPr>
      <w:r>
        <w:fldChar w:fldCharType="begin"/>
      </w:r>
      <w:r>
        <w:instrText xml:space="preserve"> HYPERLINK \l "_Toc22603" </w:instrText>
      </w:r>
      <w:r>
        <w:fldChar w:fldCharType="separate"/>
      </w:r>
      <w:r>
        <w:rPr>
          <w:sz w:val="28"/>
          <w:szCs w:val="28"/>
        </w:rPr>
        <w:t>第三节  完善就业制度保障体系</w:t>
      </w:r>
      <w:r>
        <w:rPr>
          <w:sz w:val="28"/>
          <w:szCs w:val="28"/>
        </w:rPr>
        <w:tab/>
      </w:r>
      <w:r>
        <w:rPr>
          <w:sz w:val="28"/>
          <w:szCs w:val="28"/>
        </w:rPr>
        <w:fldChar w:fldCharType="begin"/>
      </w:r>
      <w:r>
        <w:rPr>
          <w:sz w:val="28"/>
          <w:szCs w:val="28"/>
        </w:rPr>
        <w:instrText xml:space="preserve"> PAGEREF _Toc22603 \h </w:instrText>
      </w:r>
      <w:r>
        <w:rPr>
          <w:sz w:val="28"/>
          <w:szCs w:val="28"/>
        </w:rPr>
        <w:fldChar w:fldCharType="separate"/>
      </w:r>
      <w:r>
        <w:rPr>
          <w:sz w:val="28"/>
          <w:szCs w:val="28"/>
        </w:rPr>
        <w:t>72</w:t>
      </w:r>
      <w:r>
        <w:rPr>
          <w:sz w:val="28"/>
          <w:szCs w:val="28"/>
        </w:rPr>
        <w:fldChar w:fldCharType="end"/>
      </w:r>
      <w:r>
        <w:rPr>
          <w:sz w:val="28"/>
          <w:szCs w:val="28"/>
        </w:rPr>
        <w:fldChar w:fldCharType="end"/>
      </w:r>
    </w:p>
    <w:p w14:paraId="59BA4747">
      <w:pPr>
        <w:pStyle w:val="15"/>
        <w:tabs>
          <w:tab w:val="right" w:leader="dot" w:pos="8306"/>
        </w:tabs>
        <w:spacing w:line="480" w:lineRule="exact"/>
        <w:rPr>
          <w:sz w:val="28"/>
        </w:rPr>
      </w:pPr>
      <w:r>
        <w:fldChar w:fldCharType="begin"/>
      </w:r>
      <w:r>
        <w:instrText xml:space="preserve"> HYPERLINK \l "_Toc17668" </w:instrText>
      </w:r>
      <w:r>
        <w:fldChar w:fldCharType="separate"/>
      </w:r>
      <w:r>
        <w:rPr>
          <w:rFonts w:eastAsia="方正黑体_GBK"/>
          <w:sz w:val="28"/>
        </w:rPr>
        <w:t>第十篇  完善城乡融合发展体制机制</w:t>
      </w:r>
      <w:r>
        <w:rPr>
          <w:sz w:val="28"/>
        </w:rPr>
        <w:tab/>
      </w:r>
      <w:r>
        <w:rPr>
          <w:sz w:val="28"/>
        </w:rPr>
        <w:fldChar w:fldCharType="begin"/>
      </w:r>
      <w:r>
        <w:rPr>
          <w:sz w:val="28"/>
        </w:rPr>
        <w:instrText xml:space="preserve"> PAGEREF _Toc17668 \h </w:instrText>
      </w:r>
      <w:r>
        <w:rPr>
          <w:sz w:val="28"/>
        </w:rPr>
        <w:fldChar w:fldCharType="separate"/>
      </w:r>
      <w:r>
        <w:rPr>
          <w:sz w:val="28"/>
        </w:rPr>
        <w:t>73</w:t>
      </w:r>
      <w:r>
        <w:rPr>
          <w:sz w:val="28"/>
        </w:rPr>
        <w:fldChar w:fldCharType="end"/>
      </w:r>
      <w:r>
        <w:rPr>
          <w:sz w:val="28"/>
        </w:rPr>
        <w:fldChar w:fldCharType="end"/>
      </w:r>
    </w:p>
    <w:p w14:paraId="5E52AB1A">
      <w:pPr>
        <w:pStyle w:val="18"/>
        <w:tabs>
          <w:tab w:val="right" w:leader="dot" w:pos="8306"/>
        </w:tabs>
        <w:spacing w:line="480" w:lineRule="exact"/>
        <w:ind w:left="640"/>
        <w:rPr>
          <w:rFonts w:eastAsia="方正楷体_GBK"/>
          <w:sz w:val="28"/>
        </w:rPr>
      </w:pPr>
      <w:r>
        <w:fldChar w:fldCharType="begin"/>
      </w:r>
      <w:r>
        <w:instrText xml:space="preserve"> HYPERLINK \l "_Toc16843" </w:instrText>
      </w:r>
      <w:r>
        <w:fldChar w:fldCharType="separate"/>
      </w:r>
      <w:r>
        <w:rPr>
          <w:rFonts w:eastAsia="方正楷体_GBK"/>
          <w:sz w:val="28"/>
          <w:szCs w:val="36"/>
        </w:rPr>
        <w:t>第三十一章  推动农村人口有序市民化</w:t>
      </w:r>
      <w:r>
        <w:rPr>
          <w:rFonts w:eastAsia="方正楷体_GBK"/>
          <w:sz w:val="28"/>
        </w:rPr>
        <w:tab/>
      </w:r>
      <w:r>
        <w:rPr>
          <w:rFonts w:eastAsia="方正楷体_GBK"/>
          <w:sz w:val="28"/>
        </w:rPr>
        <w:fldChar w:fldCharType="begin"/>
      </w:r>
      <w:r>
        <w:rPr>
          <w:rFonts w:eastAsia="方正楷体_GBK"/>
          <w:sz w:val="28"/>
        </w:rPr>
        <w:instrText xml:space="preserve"> PAGEREF _Toc16843 \h </w:instrText>
      </w:r>
      <w:r>
        <w:rPr>
          <w:rFonts w:eastAsia="方正楷体_GBK"/>
          <w:sz w:val="28"/>
        </w:rPr>
        <w:fldChar w:fldCharType="separate"/>
      </w:r>
      <w:r>
        <w:rPr>
          <w:rFonts w:eastAsia="方正楷体_GBK"/>
          <w:sz w:val="28"/>
        </w:rPr>
        <w:t>73</w:t>
      </w:r>
      <w:r>
        <w:rPr>
          <w:rFonts w:eastAsia="方正楷体_GBK"/>
          <w:sz w:val="28"/>
        </w:rPr>
        <w:fldChar w:fldCharType="end"/>
      </w:r>
      <w:r>
        <w:rPr>
          <w:rFonts w:eastAsia="方正楷体_GBK"/>
          <w:sz w:val="28"/>
        </w:rPr>
        <w:fldChar w:fldCharType="end"/>
      </w:r>
    </w:p>
    <w:p w14:paraId="4BBF871E">
      <w:pPr>
        <w:pStyle w:val="10"/>
        <w:tabs>
          <w:tab w:val="right" w:leader="dot" w:pos="8306"/>
        </w:tabs>
        <w:spacing w:line="480" w:lineRule="exact"/>
        <w:ind w:left="1280"/>
        <w:rPr>
          <w:sz w:val="28"/>
          <w:szCs w:val="28"/>
        </w:rPr>
      </w:pPr>
      <w:r>
        <w:fldChar w:fldCharType="begin"/>
      </w:r>
      <w:r>
        <w:instrText xml:space="preserve"> HYPERLINK \l "_Toc32465" </w:instrText>
      </w:r>
      <w:r>
        <w:fldChar w:fldCharType="separate"/>
      </w:r>
      <w:r>
        <w:rPr>
          <w:sz w:val="28"/>
          <w:szCs w:val="28"/>
        </w:rPr>
        <w:t>第一节  推动户籍制度改革</w:t>
      </w:r>
      <w:r>
        <w:rPr>
          <w:sz w:val="28"/>
          <w:szCs w:val="28"/>
        </w:rPr>
        <w:tab/>
      </w:r>
      <w:r>
        <w:rPr>
          <w:sz w:val="28"/>
          <w:szCs w:val="28"/>
        </w:rPr>
        <w:fldChar w:fldCharType="begin"/>
      </w:r>
      <w:r>
        <w:rPr>
          <w:sz w:val="28"/>
          <w:szCs w:val="28"/>
        </w:rPr>
        <w:instrText xml:space="preserve"> PAGEREF _Toc32465 \h </w:instrText>
      </w:r>
      <w:r>
        <w:rPr>
          <w:sz w:val="28"/>
          <w:szCs w:val="28"/>
        </w:rPr>
        <w:fldChar w:fldCharType="separate"/>
      </w:r>
      <w:r>
        <w:rPr>
          <w:sz w:val="28"/>
          <w:szCs w:val="28"/>
        </w:rPr>
        <w:t>73</w:t>
      </w:r>
      <w:r>
        <w:rPr>
          <w:sz w:val="28"/>
          <w:szCs w:val="28"/>
        </w:rPr>
        <w:fldChar w:fldCharType="end"/>
      </w:r>
      <w:r>
        <w:rPr>
          <w:sz w:val="28"/>
          <w:szCs w:val="28"/>
        </w:rPr>
        <w:fldChar w:fldCharType="end"/>
      </w:r>
    </w:p>
    <w:p w14:paraId="053B2E89">
      <w:pPr>
        <w:pStyle w:val="10"/>
        <w:tabs>
          <w:tab w:val="right" w:leader="dot" w:pos="8306"/>
        </w:tabs>
        <w:spacing w:line="480" w:lineRule="exact"/>
        <w:ind w:left="1280"/>
        <w:rPr>
          <w:sz w:val="28"/>
          <w:szCs w:val="28"/>
        </w:rPr>
      </w:pPr>
      <w:r>
        <w:fldChar w:fldCharType="begin"/>
      </w:r>
      <w:r>
        <w:instrText xml:space="preserve"> HYPERLINK \l "_Toc31004" </w:instrText>
      </w:r>
      <w:r>
        <w:fldChar w:fldCharType="separate"/>
      </w:r>
      <w:r>
        <w:rPr>
          <w:sz w:val="28"/>
          <w:szCs w:val="28"/>
        </w:rPr>
        <w:t>第二节  保障享有平等权益</w:t>
      </w:r>
      <w:r>
        <w:rPr>
          <w:sz w:val="28"/>
          <w:szCs w:val="28"/>
        </w:rPr>
        <w:tab/>
      </w:r>
      <w:r>
        <w:rPr>
          <w:sz w:val="28"/>
          <w:szCs w:val="28"/>
        </w:rPr>
        <w:fldChar w:fldCharType="begin"/>
      </w:r>
      <w:r>
        <w:rPr>
          <w:sz w:val="28"/>
          <w:szCs w:val="28"/>
        </w:rPr>
        <w:instrText xml:space="preserve"> PAGEREF _Toc31004 \h </w:instrText>
      </w:r>
      <w:r>
        <w:rPr>
          <w:sz w:val="28"/>
          <w:szCs w:val="28"/>
        </w:rPr>
        <w:fldChar w:fldCharType="separate"/>
      </w:r>
      <w:r>
        <w:rPr>
          <w:sz w:val="28"/>
          <w:szCs w:val="28"/>
        </w:rPr>
        <w:t>74</w:t>
      </w:r>
      <w:r>
        <w:rPr>
          <w:sz w:val="28"/>
          <w:szCs w:val="28"/>
        </w:rPr>
        <w:fldChar w:fldCharType="end"/>
      </w:r>
      <w:r>
        <w:rPr>
          <w:sz w:val="28"/>
          <w:szCs w:val="28"/>
        </w:rPr>
        <w:fldChar w:fldCharType="end"/>
      </w:r>
    </w:p>
    <w:p w14:paraId="3E82D2CC">
      <w:pPr>
        <w:pStyle w:val="10"/>
        <w:tabs>
          <w:tab w:val="right" w:leader="dot" w:pos="8306"/>
        </w:tabs>
        <w:spacing w:line="480" w:lineRule="exact"/>
        <w:ind w:left="1280"/>
        <w:rPr>
          <w:sz w:val="28"/>
        </w:rPr>
      </w:pPr>
      <w:r>
        <w:fldChar w:fldCharType="begin"/>
      </w:r>
      <w:r>
        <w:instrText xml:space="preserve"> HYPERLINK \l "_Toc21463" </w:instrText>
      </w:r>
      <w:r>
        <w:fldChar w:fldCharType="separate"/>
      </w:r>
      <w:r>
        <w:rPr>
          <w:sz w:val="28"/>
          <w:szCs w:val="28"/>
        </w:rPr>
        <w:t>第三节  建立健全激励机制</w:t>
      </w:r>
      <w:r>
        <w:rPr>
          <w:sz w:val="28"/>
          <w:szCs w:val="28"/>
        </w:rPr>
        <w:tab/>
      </w:r>
      <w:r>
        <w:rPr>
          <w:sz w:val="28"/>
          <w:szCs w:val="28"/>
        </w:rPr>
        <w:fldChar w:fldCharType="begin"/>
      </w:r>
      <w:r>
        <w:rPr>
          <w:sz w:val="28"/>
          <w:szCs w:val="28"/>
        </w:rPr>
        <w:instrText xml:space="preserve"> PAGEREF _Toc21463 \h </w:instrText>
      </w:r>
      <w:r>
        <w:rPr>
          <w:sz w:val="28"/>
          <w:szCs w:val="28"/>
        </w:rPr>
        <w:fldChar w:fldCharType="separate"/>
      </w:r>
      <w:r>
        <w:rPr>
          <w:sz w:val="28"/>
          <w:szCs w:val="28"/>
        </w:rPr>
        <w:t>74</w:t>
      </w:r>
      <w:r>
        <w:rPr>
          <w:sz w:val="28"/>
          <w:szCs w:val="28"/>
        </w:rPr>
        <w:fldChar w:fldCharType="end"/>
      </w:r>
      <w:r>
        <w:rPr>
          <w:sz w:val="28"/>
          <w:szCs w:val="28"/>
        </w:rPr>
        <w:fldChar w:fldCharType="end"/>
      </w:r>
    </w:p>
    <w:p w14:paraId="5DF61FED">
      <w:pPr>
        <w:pStyle w:val="18"/>
        <w:tabs>
          <w:tab w:val="right" w:leader="dot" w:pos="8306"/>
        </w:tabs>
        <w:spacing w:line="480" w:lineRule="exact"/>
        <w:ind w:left="640"/>
        <w:rPr>
          <w:rFonts w:eastAsia="方正楷体_GBK"/>
          <w:sz w:val="28"/>
        </w:rPr>
      </w:pPr>
      <w:r>
        <w:fldChar w:fldCharType="begin"/>
      </w:r>
      <w:r>
        <w:instrText xml:space="preserve"> HYPERLINK \l "_Toc3520" </w:instrText>
      </w:r>
      <w:r>
        <w:fldChar w:fldCharType="separate"/>
      </w:r>
      <w:r>
        <w:rPr>
          <w:rFonts w:eastAsia="方正楷体_GBK"/>
          <w:sz w:val="28"/>
          <w:szCs w:val="36"/>
        </w:rPr>
        <w:t>第三十二章  增强农村制度创新供给</w:t>
      </w:r>
      <w:r>
        <w:rPr>
          <w:rFonts w:eastAsia="方正楷体_GBK"/>
          <w:sz w:val="28"/>
        </w:rPr>
        <w:tab/>
      </w:r>
      <w:r>
        <w:rPr>
          <w:rFonts w:eastAsia="方正楷体_GBK"/>
          <w:sz w:val="28"/>
        </w:rPr>
        <w:fldChar w:fldCharType="begin"/>
      </w:r>
      <w:r>
        <w:rPr>
          <w:rFonts w:eastAsia="方正楷体_GBK"/>
          <w:sz w:val="28"/>
        </w:rPr>
        <w:instrText xml:space="preserve"> PAGEREF _Toc3520 \h </w:instrText>
      </w:r>
      <w:r>
        <w:rPr>
          <w:rFonts w:eastAsia="方正楷体_GBK"/>
          <w:sz w:val="28"/>
        </w:rPr>
        <w:fldChar w:fldCharType="separate"/>
      </w:r>
      <w:r>
        <w:rPr>
          <w:rFonts w:eastAsia="方正楷体_GBK"/>
          <w:sz w:val="28"/>
        </w:rPr>
        <w:t>75</w:t>
      </w:r>
      <w:r>
        <w:rPr>
          <w:rFonts w:eastAsia="方正楷体_GBK"/>
          <w:sz w:val="28"/>
        </w:rPr>
        <w:fldChar w:fldCharType="end"/>
      </w:r>
      <w:r>
        <w:rPr>
          <w:rFonts w:eastAsia="方正楷体_GBK"/>
          <w:sz w:val="28"/>
        </w:rPr>
        <w:fldChar w:fldCharType="end"/>
      </w:r>
    </w:p>
    <w:p w14:paraId="3F21FC1E">
      <w:pPr>
        <w:pStyle w:val="10"/>
        <w:tabs>
          <w:tab w:val="right" w:leader="dot" w:pos="8306"/>
        </w:tabs>
        <w:spacing w:line="480" w:lineRule="exact"/>
        <w:ind w:left="1280"/>
        <w:rPr>
          <w:sz w:val="28"/>
          <w:szCs w:val="28"/>
        </w:rPr>
      </w:pPr>
      <w:r>
        <w:fldChar w:fldCharType="begin"/>
      </w:r>
      <w:r>
        <w:instrText xml:space="preserve"> HYPERLINK \l "_Toc19690" </w:instrText>
      </w:r>
      <w:r>
        <w:fldChar w:fldCharType="separate"/>
      </w:r>
      <w:r>
        <w:rPr>
          <w:sz w:val="28"/>
          <w:szCs w:val="28"/>
        </w:rPr>
        <w:t>第一节  巩固和完善农村基本经营制度</w:t>
      </w:r>
      <w:r>
        <w:rPr>
          <w:sz w:val="28"/>
          <w:szCs w:val="28"/>
        </w:rPr>
        <w:tab/>
      </w:r>
      <w:r>
        <w:rPr>
          <w:sz w:val="28"/>
          <w:szCs w:val="28"/>
        </w:rPr>
        <w:fldChar w:fldCharType="begin"/>
      </w:r>
      <w:r>
        <w:rPr>
          <w:sz w:val="28"/>
          <w:szCs w:val="28"/>
        </w:rPr>
        <w:instrText xml:space="preserve"> PAGEREF _Toc19690 \h </w:instrText>
      </w:r>
      <w:r>
        <w:rPr>
          <w:sz w:val="28"/>
          <w:szCs w:val="28"/>
        </w:rPr>
        <w:fldChar w:fldCharType="separate"/>
      </w:r>
      <w:r>
        <w:rPr>
          <w:sz w:val="28"/>
          <w:szCs w:val="28"/>
        </w:rPr>
        <w:t>75</w:t>
      </w:r>
      <w:r>
        <w:rPr>
          <w:sz w:val="28"/>
          <w:szCs w:val="28"/>
        </w:rPr>
        <w:fldChar w:fldCharType="end"/>
      </w:r>
      <w:r>
        <w:rPr>
          <w:sz w:val="28"/>
          <w:szCs w:val="28"/>
        </w:rPr>
        <w:fldChar w:fldCharType="end"/>
      </w:r>
    </w:p>
    <w:p w14:paraId="2C67CDE2">
      <w:pPr>
        <w:pStyle w:val="10"/>
        <w:tabs>
          <w:tab w:val="right" w:leader="dot" w:pos="8306"/>
        </w:tabs>
        <w:spacing w:line="480" w:lineRule="exact"/>
        <w:ind w:left="1280"/>
        <w:rPr>
          <w:sz w:val="28"/>
          <w:szCs w:val="28"/>
        </w:rPr>
      </w:pPr>
      <w:r>
        <w:fldChar w:fldCharType="begin"/>
      </w:r>
      <w:r>
        <w:instrText xml:space="preserve"> HYPERLINK \l "_Toc10029" </w:instrText>
      </w:r>
      <w:r>
        <w:fldChar w:fldCharType="separate"/>
      </w:r>
      <w:r>
        <w:rPr>
          <w:sz w:val="28"/>
          <w:szCs w:val="28"/>
        </w:rPr>
        <w:t>第二节  深化农村土地制度改革</w:t>
      </w:r>
      <w:r>
        <w:rPr>
          <w:sz w:val="28"/>
          <w:szCs w:val="28"/>
        </w:rPr>
        <w:tab/>
      </w:r>
      <w:r>
        <w:rPr>
          <w:sz w:val="28"/>
          <w:szCs w:val="28"/>
        </w:rPr>
        <w:fldChar w:fldCharType="begin"/>
      </w:r>
      <w:r>
        <w:rPr>
          <w:sz w:val="28"/>
          <w:szCs w:val="28"/>
        </w:rPr>
        <w:instrText xml:space="preserve"> PAGEREF _Toc10029 \h </w:instrText>
      </w:r>
      <w:r>
        <w:rPr>
          <w:sz w:val="28"/>
          <w:szCs w:val="28"/>
        </w:rPr>
        <w:fldChar w:fldCharType="separate"/>
      </w:r>
      <w:r>
        <w:rPr>
          <w:sz w:val="28"/>
          <w:szCs w:val="28"/>
        </w:rPr>
        <w:t>75</w:t>
      </w:r>
      <w:r>
        <w:rPr>
          <w:sz w:val="28"/>
          <w:szCs w:val="28"/>
        </w:rPr>
        <w:fldChar w:fldCharType="end"/>
      </w:r>
      <w:r>
        <w:rPr>
          <w:sz w:val="28"/>
          <w:szCs w:val="28"/>
        </w:rPr>
        <w:fldChar w:fldCharType="end"/>
      </w:r>
    </w:p>
    <w:p w14:paraId="4E3B21F2">
      <w:pPr>
        <w:pStyle w:val="10"/>
        <w:tabs>
          <w:tab w:val="right" w:leader="dot" w:pos="8306"/>
        </w:tabs>
        <w:spacing w:line="480" w:lineRule="exact"/>
        <w:ind w:left="1280"/>
        <w:rPr>
          <w:sz w:val="28"/>
          <w:szCs w:val="28"/>
        </w:rPr>
      </w:pPr>
      <w:r>
        <w:fldChar w:fldCharType="begin"/>
      </w:r>
      <w:r>
        <w:instrText xml:space="preserve"> HYPERLINK \l "_Toc30161" </w:instrText>
      </w:r>
      <w:r>
        <w:fldChar w:fldCharType="separate"/>
      </w:r>
      <w:r>
        <w:rPr>
          <w:sz w:val="28"/>
          <w:szCs w:val="28"/>
        </w:rPr>
        <w:t>第三节  完善农村用地保障机制</w:t>
      </w:r>
      <w:r>
        <w:rPr>
          <w:sz w:val="28"/>
          <w:szCs w:val="28"/>
        </w:rPr>
        <w:tab/>
      </w:r>
      <w:r>
        <w:rPr>
          <w:sz w:val="28"/>
          <w:szCs w:val="28"/>
        </w:rPr>
        <w:fldChar w:fldCharType="begin"/>
      </w:r>
      <w:r>
        <w:rPr>
          <w:sz w:val="28"/>
          <w:szCs w:val="28"/>
        </w:rPr>
        <w:instrText xml:space="preserve"> PAGEREF _Toc30161 \h </w:instrText>
      </w:r>
      <w:r>
        <w:rPr>
          <w:sz w:val="28"/>
          <w:szCs w:val="28"/>
        </w:rPr>
        <w:fldChar w:fldCharType="separate"/>
      </w:r>
      <w:r>
        <w:rPr>
          <w:sz w:val="28"/>
          <w:szCs w:val="28"/>
        </w:rPr>
        <w:t>76</w:t>
      </w:r>
      <w:r>
        <w:rPr>
          <w:sz w:val="28"/>
          <w:szCs w:val="28"/>
        </w:rPr>
        <w:fldChar w:fldCharType="end"/>
      </w:r>
      <w:r>
        <w:rPr>
          <w:sz w:val="28"/>
          <w:szCs w:val="28"/>
        </w:rPr>
        <w:fldChar w:fldCharType="end"/>
      </w:r>
    </w:p>
    <w:p w14:paraId="20DDAC73">
      <w:pPr>
        <w:pStyle w:val="10"/>
        <w:tabs>
          <w:tab w:val="right" w:leader="dot" w:pos="8306"/>
        </w:tabs>
        <w:spacing w:line="480" w:lineRule="exact"/>
        <w:ind w:left="1280"/>
        <w:rPr>
          <w:sz w:val="28"/>
          <w:szCs w:val="28"/>
        </w:rPr>
      </w:pPr>
      <w:r>
        <w:fldChar w:fldCharType="begin"/>
      </w:r>
      <w:r>
        <w:instrText xml:space="preserve"> HYPERLINK \l "_Toc17297" </w:instrText>
      </w:r>
      <w:r>
        <w:fldChar w:fldCharType="separate"/>
      </w:r>
      <w:r>
        <w:rPr>
          <w:sz w:val="28"/>
          <w:szCs w:val="28"/>
        </w:rPr>
        <w:t>第四节  构建紧密型利益联结机制</w:t>
      </w:r>
      <w:r>
        <w:rPr>
          <w:sz w:val="28"/>
          <w:szCs w:val="28"/>
        </w:rPr>
        <w:tab/>
      </w:r>
      <w:r>
        <w:rPr>
          <w:sz w:val="28"/>
          <w:szCs w:val="28"/>
        </w:rPr>
        <w:fldChar w:fldCharType="begin"/>
      </w:r>
      <w:r>
        <w:rPr>
          <w:sz w:val="28"/>
          <w:szCs w:val="28"/>
        </w:rPr>
        <w:instrText xml:space="preserve"> PAGEREF _Toc17297 \h </w:instrText>
      </w:r>
      <w:r>
        <w:rPr>
          <w:sz w:val="28"/>
          <w:szCs w:val="28"/>
        </w:rPr>
        <w:fldChar w:fldCharType="separate"/>
      </w:r>
      <w:r>
        <w:rPr>
          <w:sz w:val="28"/>
          <w:szCs w:val="28"/>
        </w:rPr>
        <w:t>76</w:t>
      </w:r>
      <w:r>
        <w:rPr>
          <w:sz w:val="28"/>
          <w:szCs w:val="28"/>
        </w:rPr>
        <w:fldChar w:fldCharType="end"/>
      </w:r>
      <w:r>
        <w:rPr>
          <w:sz w:val="28"/>
          <w:szCs w:val="28"/>
        </w:rPr>
        <w:fldChar w:fldCharType="end"/>
      </w:r>
    </w:p>
    <w:p w14:paraId="3F72439B">
      <w:pPr>
        <w:pStyle w:val="10"/>
        <w:tabs>
          <w:tab w:val="right" w:leader="dot" w:pos="8306"/>
        </w:tabs>
        <w:spacing w:line="480" w:lineRule="exact"/>
        <w:ind w:left="1280"/>
        <w:rPr>
          <w:sz w:val="28"/>
        </w:rPr>
      </w:pPr>
      <w:r>
        <w:fldChar w:fldCharType="begin"/>
      </w:r>
      <w:r>
        <w:instrText xml:space="preserve"> HYPERLINK \l "_Toc30585" </w:instrText>
      </w:r>
      <w:r>
        <w:fldChar w:fldCharType="separate"/>
      </w:r>
      <w:r>
        <w:rPr>
          <w:sz w:val="28"/>
          <w:szCs w:val="28"/>
        </w:rPr>
        <w:t>第五节  推进涉农综合改革</w:t>
      </w:r>
      <w:r>
        <w:rPr>
          <w:sz w:val="28"/>
          <w:szCs w:val="28"/>
        </w:rPr>
        <w:tab/>
      </w:r>
      <w:r>
        <w:rPr>
          <w:sz w:val="28"/>
          <w:szCs w:val="28"/>
        </w:rPr>
        <w:fldChar w:fldCharType="begin"/>
      </w:r>
      <w:r>
        <w:rPr>
          <w:sz w:val="28"/>
          <w:szCs w:val="28"/>
        </w:rPr>
        <w:instrText xml:space="preserve"> PAGEREF _Toc30585 \h </w:instrText>
      </w:r>
      <w:r>
        <w:rPr>
          <w:sz w:val="28"/>
          <w:szCs w:val="28"/>
        </w:rPr>
        <w:fldChar w:fldCharType="separate"/>
      </w:r>
      <w:r>
        <w:rPr>
          <w:sz w:val="28"/>
          <w:szCs w:val="28"/>
        </w:rPr>
        <w:t>77</w:t>
      </w:r>
      <w:r>
        <w:rPr>
          <w:sz w:val="28"/>
          <w:szCs w:val="28"/>
        </w:rPr>
        <w:fldChar w:fldCharType="end"/>
      </w:r>
      <w:r>
        <w:rPr>
          <w:sz w:val="28"/>
          <w:szCs w:val="28"/>
        </w:rPr>
        <w:fldChar w:fldCharType="end"/>
      </w:r>
    </w:p>
    <w:p w14:paraId="659D16FC">
      <w:pPr>
        <w:pStyle w:val="18"/>
        <w:tabs>
          <w:tab w:val="right" w:leader="dot" w:pos="8306"/>
        </w:tabs>
        <w:spacing w:line="480" w:lineRule="exact"/>
        <w:ind w:left="640"/>
        <w:rPr>
          <w:rFonts w:eastAsia="方正楷体_GBK"/>
          <w:sz w:val="28"/>
        </w:rPr>
      </w:pPr>
      <w:r>
        <w:fldChar w:fldCharType="begin"/>
      </w:r>
      <w:r>
        <w:instrText xml:space="preserve"> HYPERLINK \l "_Toc26037" </w:instrText>
      </w:r>
      <w:r>
        <w:fldChar w:fldCharType="separate"/>
      </w:r>
      <w:r>
        <w:rPr>
          <w:rFonts w:eastAsia="方正楷体_GBK"/>
          <w:sz w:val="28"/>
          <w:szCs w:val="36"/>
        </w:rPr>
        <w:t>第三十三章  健全多元投入保障机制</w:t>
      </w:r>
      <w:r>
        <w:rPr>
          <w:rFonts w:eastAsia="方正楷体_GBK"/>
          <w:sz w:val="28"/>
        </w:rPr>
        <w:tab/>
      </w:r>
      <w:r>
        <w:rPr>
          <w:rFonts w:eastAsia="方正楷体_GBK"/>
          <w:sz w:val="28"/>
        </w:rPr>
        <w:fldChar w:fldCharType="begin"/>
      </w:r>
      <w:r>
        <w:rPr>
          <w:rFonts w:eastAsia="方正楷体_GBK"/>
          <w:sz w:val="28"/>
        </w:rPr>
        <w:instrText xml:space="preserve"> PAGEREF _Toc26037 \h </w:instrText>
      </w:r>
      <w:r>
        <w:rPr>
          <w:rFonts w:eastAsia="方正楷体_GBK"/>
          <w:sz w:val="28"/>
        </w:rPr>
        <w:fldChar w:fldCharType="separate"/>
      </w:r>
      <w:r>
        <w:rPr>
          <w:rFonts w:eastAsia="方正楷体_GBK"/>
          <w:sz w:val="28"/>
        </w:rPr>
        <w:t>78</w:t>
      </w:r>
      <w:r>
        <w:rPr>
          <w:rFonts w:eastAsia="方正楷体_GBK"/>
          <w:sz w:val="28"/>
        </w:rPr>
        <w:fldChar w:fldCharType="end"/>
      </w:r>
      <w:r>
        <w:rPr>
          <w:rFonts w:eastAsia="方正楷体_GBK"/>
          <w:sz w:val="28"/>
        </w:rPr>
        <w:fldChar w:fldCharType="end"/>
      </w:r>
    </w:p>
    <w:p w14:paraId="1637BB56">
      <w:pPr>
        <w:pStyle w:val="10"/>
        <w:tabs>
          <w:tab w:val="right" w:leader="dot" w:pos="8306"/>
        </w:tabs>
        <w:spacing w:line="480" w:lineRule="exact"/>
        <w:ind w:left="1280"/>
        <w:rPr>
          <w:sz w:val="28"/>
          <w:szCs w:val="28"/>
        </w:rPr>
      </w:pPr>
      <w:r>
        <w:fldChar w:fldCharType="begin"/>
      </w:r>
      <w:r>
        <w:instrText xml:space="preserve"> HYPERLINK \l "_Toc6359" </w:instrText>
      </w:r>
      <w:r>
        <w:fldChar w:fldCharType="separate"/>
      </w:r>
      <w:r>
        <w:rPr>
          <w:sz w:val="28"/>
          <w:szCs w:val="28"/>
        </w:rPr>
        <w:t>第一节  持续加大财政投入</w:t>
      </w:r>
      <w:r>
        <w:rPr>
          <w:sz w:val="28"/>
          <w:szCs w:val="28"/>
        </w:rPr>
        <w:tab/>
      </w:r>
      <w:r>
        <w:rPr>
          <w:sz w:val="28"/>
          <w:szCs w:val="28"/>
        </w:rPr>
        <w:fldChar w:fldCharType="begin"/>
      </w:r>
      <w:r>
        <w:rPr>
          <w:sz w:val="28"/>
          <w:szCs w:val="28"/>
        </w:rPr>
        <w:instrText xml:space="preserve"> PAGEREF _Toc6359 \h </w:instrText>
      </w:r>
      <w:r>
        <w:rPr>
          <w:sz w:val="28"/>
          <w:szCs w:val="28"/>
        </w:rPr>
        <w:fldChar w:fldCharType="separate"/>
      </w:r>
      <w:r>
        <w:rPr>
          <w:sz w:val="28"/>
          <w:szCs w:val="28"/>
        </w:rPr>
        <w:t>78</w:t>
      </w:r>
      <w:r>
        <w:rPr>
          <w:sz w:val="28"/>
          <w:szCs w:val="28"/>
        </w:rPr>
        <w:fldChar w:fldCharType="end"/>
      </w:r>
      <w:r>
        <w:rPr>
          <w:sz w:val="28"/>
          <w:szCs w:val="28"/>
        </w:rPr>
        <w:fldChar w:fldCharType="end"/>
      </w:r>
    </w:p>
    <w:p w14:paraId="7B7869D6">
      <w:pPr>
        <w:pStyle w:val="10"/>
        <w:tabs>
          <w:tab w:val="right" w:leader="dot" w:pos="8306"/>
        </w:tabs>
        <w:spacing w:line="480" w:lineRule="exact"/>
        <w:ind w:left="1280"/>
        <w:rPr>
          <w:sz w:val="28"/>
          <w:szCs w:val="28"/>
        </w:rPr>
      </w:pPr>
      <w:r>
        <w:fldChar w:fldCharType="begin"/>
      </w:r>
      <w:r>
        <w:instrText xml:space="preserve"> HYPERLINK \l "_Toc29406" </w:instrText>
      </w:r>
      <w:r>
        <w:fldChar w:fldCharType="separate"/>
      </w:r>
      <w:r>
        <w:rPr>
          <w:sz w:val="28"/>
          <w:szCs w:val="28"/>
        </w:rPr>
        <w:t>第二节  引导和撬动社会资本投入</w:t>
      </w:r>
      <w:r>
        <w:rPr>
          <w:sz w:val="28"/>
          <w:szCs w:val="28"/>
        </w:rPr>
        <w:tab/>
      </w:r>
      <w:r>
        <w:rPr>
          <w:sz w:val="28"/>
          <w:szCs w:val="28"/>
        </w:rPr>
        <w:fldChar w:fldCharType="begin"/>
      </w:r>
      <w:r>
        <w:rPr>
          <w:sz w:val="28"/>
          <w:szCs w:val="28"/>
        </w:rPr>
        <w:instrText xml:space="preserve"> PAGEREF _Toc29406 \h </w:instrText>
      </w:r>
      <w:r>
        <w:rPr>
          <w:sz w:val="28"/>
          <w:szCs w:val="28"/>
        </w:rPr>
        <w:fldChar w:fldCharType="separate"/>
      </w:r>
      <w:r>
        <w:rPr>
          <w:sz w:val="28"/>
          <w:szCs w:val="28"/>
        </w:rPr>
        <w:t>79</w:t>
      </w:r>
      <w:r>
        <w:rPr>
          <w:sz w:val="28"/>
          <w:szCs w:val="28"/>
        </w:rPr>
        <w:fldChar w:fldCharType="end"/>
      </w:r>
      <w:r>
        <w:rPr>
          <w:sz w:val="28"/>
          <w:szCs w:val="28"/>
        </w:rPr>
        <w:fldChar w:fldCharType="end"/>
      </w:r>
    </w:p>
    <w:p w14:paraId="7E5072D5">
      <w:pPr>
        <w:pStyle w:val="10"/>
        <w:tabs>
          <w:tab w:val="right" w:leader="dot" w:pos="8306"/>
        </w:tabs>
        <w:spacing w:line="480" w:lineRule="exact"/>
        <w:ind w:left="1280"/>
        <w:rPr>
          <w:sz w:val="28"/>
        </w:rPr>
      </w:pPr>
      <w:r>
        <w:fldChar w:fldCharType="begin"/>
      </w:r>
      <w:r>
        <w:instrText xml:space="preserve"> HYPERLINK \l "_Toc948" </w:instrText>
      </w:r>
      <w:r>
        <w:fldChar w:fldCharType="separate"/>
      </w:r>
      <w:r>
        <w:rPr>
          <w:sz w:val="28"/>
          <w:szCs w:val="28"/>
        </w:rPr>
        <w:t>第三节  加大金融支农力度</w:t>
      </w:r>
      <w:r>
        <w:rPr>
          <w:sz w:val="28"/>
          <w:szCs w:val="28"/>
        </w:rPr>
        <w:tab/>
      </w:r>
      <w:r>
        <w:rPr>
          <w:sz w:val="28"/>
          <w:szCs w:val="28"/>
        </w:rPr>
        <w:fldChar w:fldCharType="begin"/>
      </w:r>
      <w:r>
        <w:rPr>
          <w:sz w:val="28"/>
          <w:szCs w:val="28"/>
        </w:rPr>
        <w:instrText xml:space="preserve"> PAGEREF _Toc948 \h </w:instrText>
      </w:r>
      <w:r>
        <w:rPr>
          <w:sz w:val="28"/>
          <w:szCs w:val="28"/>
        </w:rPr>
        <w:fldChar w:fldCharType="separate"/>
      </w:r>
      <w:r>
        <w:rPr>
          <w:sz w:val="28"/>
          <w:szCs w:val="28"/>
        </w:rPr>
        <w:t>79</w:t>
      </w:r>
      <w:r>
        <w:rPr>
          <w:sz w:val="28"/>
          <w:szCs w:val="28"/>
        </w:rPr>
        <w:fldChar w:fldCharType="end"/>
      </w:r>
      <w:r>
        <w:rPr>
          <w:sz w:val="28"/>
          <w:szCs w:val="28"/>
        </w:rPr>
        <w:fldChar w:fldCharType="end"/>
      </w:r>
    </w:p>
    <w:p w14:paraId="6AED3187">
      <w:pPr>
        <w:pStyle w:val="15"/>
        <w:tabs>
          <w:tab w:val="right" w:leader="dot" w:pos="8306"/>
        </w:tabs>
        <w:spacing w:line="480" w:lineRule="exact"/>
        <w:rPr>
          <w:sz w:val="28"/>
        </w:rPr>
      </w:pPr>
      <w:r>
        <w:fldChar w:fldCharType="begin"/>
      </w:r>
      <w:r>
        <w:instrText xml:space="preserve"> HYPERLINK \l "_Toc18658" </w:instrText>
      </w:r>
      <w:r>
        <w:fldChar w:fldCharType="separate"/>
      </w:r>
      <w:r>
        <w:rPr>
          <w:rFonts w:eastAsia="方正黑体_GBK"/>
          <w:sz w:val="28"/>
        </w:rPr>
        <w:t>第十一篇  有序推进规划实施</w:t>
      </w:r>
      <w:r>
        <w:rPr>
          <w:sz w:val="28"/>
        </w:rPr>
        <w:tab/>
      </w:r>
      <w:r>
        <w:rPr>
          <w:sz w:val="28"/>
        </w:rPr>
        <w:fldChar w:fldCharType="begin"/>
      </w:r>
      <w:r>
        <w:rPr>
          <w:sz w:val="28"/>
        </w:rPr>
        <w:instrText xml:space="preserve"> PAGEREF _Toc18658 \h </w:instrText>
      </w:r>
      <w:r>
        <w:rPr>
          <w:sz w:val="28"/>
        </w:rPr>
        <w:fldChar w:fldCharType="separate"/>
      </w:r>
      <w:r>
        <w:rPr>
          <w:sz w:val="28"/>
        </w:rPr>
        <w:t>81</w:t>
      </w:r>
      <w:r>
        <w:rPr>
          <w:sz w:val="28"/>
        </w:rPr>
        <w:fldChar w:fldCharType="end"/>
      </w:r>
      <w:r>
        <w:rPr>
          <w:sz w:val="28"/>
        </w:rPr>
        <w:fldChar w:fldCharType="end"/>
      </w:r>
    </w:p>
    <w:p w14:paraId="49B07C94">
      <w:pPr>
        <w:pStyle w:val="18"/>
        <w:tabs>
          <w:tab w:val="right" w:leader="dot" w:pos="8306"/>
        </w:tabs>
        <w:spacing w:line="480" w:lineRule="exact"/>
        <w:ind w:left="640"/>
        <w:rPr>
          <w:rFonts w:eastAsia="方正楷体_GBK"/>
          <w:sz w:val="28"/>
        </w:rPr>
      </w:pPr>
      <w:r>
        <w:fldChar w:fldCharType="begin"/>
      </w:r>
      <w:r>
        <w:instrText xml:space="preserve"> HYPERLINK \l "_Toc21751" </w:instrText>
      </w:r>
      <w:r>
        <w:fldChar w:fldCharType="separate"/>
      </w:r>
      <w:r>
        <w:rPr>
          <w:rFonts w:eastAsia="方正楷体_GBK"/>
          <w:sz w:val="28"/>
          <w:szCs w:val="36"/>
        </w:rPr>
        <w:t>第三十四章  强化组织保障</w:t>
      </w:r>
      <w:r>
        <w:rPr>
          <w:rFonts w:eastAsia="方正楷体_GBK"/>
          <w:sz w:val="28"/>
        </w:rPr>
        <w:tab/>
      </w:r>
      <w:r>
        <w:rPr>
          <w:rFonts w:eastAsia="方正楷体_GBK"/>
          <w:sz w:val="28"/>
        </w:rPr>
        <w:fldChar w:fldCharType="begin"/>
      </w:r>
      <w:r>
        <w:rPr>
          <w:rFonts w:eastAsia="方正楷体_GBK"/>
          <w:sz w:val="28"/>
        </w:rPr>
        <w:instrText xml:space="preserve"> PAGEREF _Toc21751 \h </w:instrText>
      </w:r>
      <w:r>
        <w:rPr>
          <w:rFonts w:eastAsia="方正楷体_GBK"/>
          <w:sz w:val="28"/>
        </w:rPr>
        <w:fldChar w:fldCharType="separate"/>
      </w:r>
      <w:r>
        <w:rPr>
          <w:rFonts w:eastAsia="方正楷体_GBK"/>
          <w:sz w:val="28"/>
        </w:rPr>
        <w:t>81</w:t>
      </w:r>
      <w:r>
        <w:rPr>
          <w:rFonts w:eastAsia="方正楷体_GBK"/>
          <w:sz w:val="28"/>
        </w:rPr>
        <w:fldChar w:fldCharType="end"/>
      </w:r>
      <w:r>
        <w:rPr>
          <w:rFonts w:eastAsia="方正楷体_GBK"/>
          <w:sz w:val="28"/>
        </w:rPr>
        <w:fldChar w:fldCharType="end"/>
      </w:r>
    </w:p>
    <w:p w14:paraId="6D99A7A1">
      <w:pPr>
        <w:pStyle w:val="10"/>
        <w:tabs>
          <w:tab w:val="right" w:leader="dot" w:pos="8306"/>
        </w:tabs>
        <w:spacing w:line="480" w:lineRule="exact"/>
        <w:ind w:left="1280"/>
        <w:rPr>
          <w:sz w:val="28"/>
        </w:rPr>
      </w:pPr>
      <w:r>
        <w:fldChar w:fldCharType="begin"/>
      </w:r>
      <w:r>
        <w:instrText xml:space="preserve"> HYPERLINK \l "_Toc5584" </w:instrText>
      </w:r>
      <w:r>
        <w:fldChar w:fldCharType="separate"/>
      </w:r>
      <w:r>
        <w:rPr>
          <w:sz w:val="28"/>
          <w:szCs w:val="28"/>
        </w:rPr>
        <w:t>第一节  加强党的领导</w:t>
      </w:r>
      <w:r>
        <w:rPr>
          <w:sz w:val="28"/>
        </w:rPr>
        <w:tab/>
      </w:r>
      <w:r>
        <w:rPr>
          <w:sz w:val="28"/>
        </w:rPr>
        <w:fldChar w:fldCharType="begin"/>
      </w:r>
      <w:r>
        <w:rPr>
          <w:sz w:val="28"/>
        </w:rPr>
        <w:instrText xml:space="preserve"> PAGEREF _Toc5584 \h </w:instrText>
      </w:r>
      <w:r>
        <w:rPr>
          <w:sz w:val="28"/>
        </w:rPr>
        <w:fldChar w:fldCharType="separate"/>
      </w:r>
      <w:r>
        <w:rPr>
          <w:sz w:val="28"/>
        </w:rPr>
        <w:t>81</w:t>
      </w:r>
      <w:r>
        <w:rPr>
          <w:sz w:val="28"/>
        </w:rPr>
        <w:fldChar w:fldCharType="end"/>
      </w:r>
      <w:r>
        <w:rPr>
          <w:sz w:val="28"/>
        </w:rPr>
        <w:fldChar w:fldCharType="end"/>
      </w:r>
    </w:p>
    <w:p w14:paraId="7A496D61">
      <w:pPr>
        <w:pStyle w:val="10"/>
        <w:tabs>
          <w:tab w:val="right" w:leader="dot" w:pos="8306"/>
        </w:tabs>
        <w:spacing w:line="480" w:lineRule="exact"/>
        <w:ind w:left="1280"/>
        <w:rPr>
          <w:sz w:val="28"/>
        </w:rPr>
      </w:pPr>
      <w:r>
        <w:fldChar w:fldCharType="begin"/>
      </w:r>
      <w:r>
        <w:instrText xml:space="preserve"> HYPERLINK \l "_Toc31787" </w:instrText>
      </w:r>
      <w:r>
        <w:fldChar w:fldCharType="separate"/>
      </w:r>
      <w:r>
        <w:rPr>
          <w:sz w:val="28"/>
          <w:szCs w:val="28"/>
        </w:rPr>
        <w:t>第二节  强化法治保障</w:t>
      </w:r>
      <w:r>
        <w:rPr>
          <w:sz w:val="28"/>
        </w:rPr>
        <w:tab/>
      </w:r>
      <w:r>
        <w:rPr>
          <w:sz w:val="28"/>
        </w:rPr>
        <w:fldChar w:fldCharType="begin"/>
      </w:r>
      <w:r>
        <w:rPr>
          <w:sz w:val="28"/>
        </w:rPr>
        <w:instrText xml:space="preserve"> PAGEREF _Toc31787 \h </w:instrText>
      </w:r>
      <w:r>
        <w:rPr>
          <w:sz w:val="28"/>
        </w:rPr>
        <w:fldChar w:fldCharType="separate"/>
      </w:r>
      <w:r>
        <w:rPr>
          <w:sz w:val="28"/>
        </w:rPr>
        <w:t>82</w:t>
      </w:r>
      <w:r>
        <w:rPr>
          <w:sz w:val="28"/>
        </w:rPr>
        <w:fldChar w:fldCharType="end"/>
      </w:r>
      <w:r>
        <w:rPr>
          <w:sz w:val="28"/>
        </w:rPr>
        <w:fldChar w:fldCharType="end"/>
      </w:r>
    </w:p>
    <w:p w14:paraId="5B95D126">
      <w:pPr>
        <w:pStyle w:val="10"/>
        <w:tabs>
          <w:tab w:val="right" w:leader="dot" w:pos="8306"/>
        </w:tabs>
        <w:spacing w:line="480" w:lineRule="exact"/>
        <w:ind w:left="1280"/>
        <w:rPr>
          <w:sz w:val="28"/>
        </w:rPr>
      </w:pPr>
      <w:r>
        <w:fldChar w:fldCharType="begin"/>
      </w:r>
      <w:r>
        <w:instrText xml:space="preserve"> HYPERLINK \l "_Toc1493" </w:instrText>
      </w:r>
      <w:r>
        <w:fldChar w:fldCharType="separate"/>
      </w:r>
      <w:r>
        <w:rPr>
          <w:sz w:val="28"/>
          <w:szCs w:val="28"/>
        </w:rPr>
        <w:t>第三节  发挥农民主体作用</w:t>
      </w:r>
      <w:r>
        <w:rPr>
          <w:sz w:val="28"/>
        </w:rPr>
        <w:tab/>
      </w:r>
      <w:r>
        <w:rPr>
          <w:sz w:val="28"/>
        </w:rPr>
        <w:fldChar w:fldCharType="begin"/>
      </w:r>
      <w:r>
        <w:rPr>
          <w:sz w:val="28"/>
        </w:rPr>
        <w:instrText xml:space="preserve"> PAGEREF _Toc1493 \h </w:instrText>
      </w:r>
      <w:r>
        <w:rPr>
          <w:sz w:val="28"/>
        </w:rPr>
        <w:fldChar w:fldCharType="separate"/>
      </w:r>
      <w:r>
        <w:rPr>
          <w:sz w:val="28"/>
        </w:rPr>
        <w:t>82</w:t>
      </w:r>
      <w:r>
        <w:rPr>
          <w:sz w:val="28"/>
        </w:rPr>
        <w:fldChar w:fldCharType="end"/>
      </w:r>
      <w:r>
        <w:rPr>
          <w:sz w:val="28"/>
        </w:rPr>
        <w:fldChar w:fldCharType="end"/>
      </w:r>
    </w:p>
    <w:p w14:paraId="36A70AFF">
      <w:pPr>
        <w:pStyle w:val="10"/>
        <w:tabs>
          <w:tab w:val="right" w:leader="dot" w:pos="8306"/>
        </w:tabs>
        <w:spacing w:line="480" w:lineRule="exact"/>
        <w:ind w:left="1280"/>
        <w:rPr>
          <w:sz w:val="28"/>
        </w:rPr>
      </w:pPr>
      <w:r>
        <w:fldChar w:fldCharType="begin"/>
      </w:r>
      <w:r>
        <w:instrText xml:space="preserve"> HYPERLINK \l "_Toc19542" </w:instrText>
      </w:r>
      <w:r>
        <w:fldChar w:fldCharType="separate"/>
      </w:r>
      <w:r>
        <w:rPr>
          <w:sz w:val="28"/>
          <w:szCs w:val="28"/>
        </w:rPr>
        <w:t>第四节  动员社会参与</w:t>
      </w:r>
      <w:r>
        <w:rPr>
          <w:sz w:val="28"/>
        </w:rPr>
        <w:tab/>
      </w:r>
      <w:r>
        <w:rPr>
          <w:sz w:val="28"/>
        </w:rPr>
        <w:fldChar w:fldCharType="begin"/>
      </w:r>
      <w:r>
        <w:rPr>
          <w:sz w:val="28"/>
        </w:rPr>
        <w:instrText xml:space="preserve"> PAGEREF _Toc19542 \h </w:instrText>
      </w:r>
      <w:r>
        <w:rPr>
          <w:sz w:val="28"/>
        </w:rPr>
        <w:fldChar w:fldCharType="separate"/>
      </w:r>
      <w:r>
        <w:rPr>
          <w:sz w:val="28"/>
        </w:rPr>
        <w:t>82</w:t>
      </w:r>
      <w:r>
        <w:rPr>
          <w:sz w:val="28"/>
        </w:rPr>
        <w:fldChar w:fldCharType="end"/>
      </w:r>
      <w:r>
        <w:rPr>
          <w:sz w:val="28"/>
        </w:rPr>
        <w:fldChar w:fldCharType="end"/>
      </w:r>
    </w:p>
    <w:p w14:paraId="28A59FDD">
      <w:pPr>
        <w:pStyle w:val="18"/>
        <w:tabs>
          <w:tab w:val="right" w:leader="dot" w:pos="8306"/>
        </w:tabs>
        <w:spacing w:line="480" w:lineRule="exact"/>
        <w:ind w:left="640"/>
        <w:rPr>
          <w:rFonts w:eastAsia="方正楷体_GBK"/>
          <w:sz w:val="28"/>
        </w:rPr>
      </w:pPr>
      <w:r>
        <w:fldChar w:fldCharType="begin"/>
      </w:r>
      <w:r>
        <w:instrText xml:space="preserve"> HYPERLINK \l "_Toc16709" </w:instrText>
      </w:r>
      <w:r>
        <w:fldChar w:fldCharType="separate"/>
      </w:r>
      <w:r>
        <w:rPr>
          <w:rFonts w:eastAsia="方正楷体_GBK"/>
          <w:sz w:val="28"/>
          <w:szCs w:val="36"/>
        </w:rPr>
        <w:t>第三十五章  坚持规划先行</w:t>
      </w:r>
      <w:r>
        <w:rPr>
          <w:rFonts w:eastAsia="方正楷体_GBK"/>
          <w:sz w:val="28"/>
        </w:rPr>
        <w:tab/>
      </w:r>
      <w:r>
        <w:rPr>
          <w:rFonts w:eastAsia="方正楷体_GBK"/>
          <w:sz w:val="28"/>
        </w:rPr>
        <w:fldChar w:fldCharType="begin"/>
      </w:r>
      <w:r>
        <w:rPr>
          <w:rFonts w:eastAsia="方正楷体_GBK"/>
          <w:sz w:val="28"/>
        </w:rPr>
        <w:instrText xml:space="preserve"> PAGEREF _Toc16709 \h </w:instrText>
      </w:r>
      <w:r>
        <w:rPr>
          <w:rFonts w:eastAsia="方正楷体_GBK"/>
          <w:sz w:val="28"/>
        </w:rPr>
        <w:fldChar w:fldCharType="separate"/>
      </w:r>
      <w:r>
        <w:rPr>
          <w:rFonts w:eastAsia="方正楷体_GBK"/>
          <w:sz w:val="28"/>
        </w:rPr>
        <w:t>83</w:t>
      </w:r>
      <w:r>
        <w:rPr>
          <w:rFonts w:eastAsia="方正楷体_GBK"/>
          <w:sz w:val="28"/>
        </w:rPr>
        <w:fldChar w:fldCharType="end"/>
      </w:r>
      <w:r>
        <w:rPr>
          <w:rFonts w:eastAsia="方正楷体_GBK"/>
          <w:sz w:val="28"/>
        </w:rPr>
        <w:fldChar w:fldCharType="end"/>
      </w:r>
    </w:p>
    <w:p w14:paraId="46C5D400">
      <w:pPr>
        <w:pStyle w:val="10"/>
        <w:tabs>
          <w:tab w:val="right" w:leader="dot" w:pos="8306"/>
        </w:tabs>
        <w:spacing w:line="480" w:lineRule="exact"/>
        <w:ind w:left="1280"/>
        <w:rPr>
          <w:sz w:val="28"/>
        </w:rPr>
      </w:pPr>
      <w:r>
        <w:fldChar w:fldCharType="begin"/>
      </w:r>
      <w:r>
        <w:instrText xml:space="preserve"> HYPERLINK \l "_Toc28760" </w:instrText>
      </w:r>
      <w:r>
        <w:fldChar w:fldCharType="separate"/>
      </w:r>
      <w:r>
        <w:rPr>
          <w:sz w:val="28"/>
          <w:szCs w:val="28"/>
        </w:rPr>
        <w:t>第一节  突出规划引领</w:t>
      </w:r>
      <w:r>
        <w:rPr>
          <w:sz w:val="28"/>
        </w:rPr>
        <w:tab/>
      </w:r>
      <w:r>
        <w:rPr>
          <w:sz w:val="28"/>
        </w:rPr>
        <w:fldChar w:fldCharType="begin"/>
      </w:r>
      <w:r>
        <w:rPr>
          <w:sz w:val="28"/>
        </w:rPr>
        <w:instrText xml:space="preserve"> PAGEREF _Toc28760 \h </w:instrText>
      </w:r>
      <w:r>
        <w:rPr>
          <w:sz w:val="28"/>
        </w:rPr>
        <w:fldChar w:fldCharType="separate"/>
      </w:r>
      <w:r>
        <w:rPr>
          <w:sz w:val="28"/>
        </w:rPr>
        <w:t>83</w:t>
      </w:r>
      <w:r>
        <w:rPr>
          <w:sz w:val="28"/>
        </w:rPr>
        <w:fldChar w:fldCharType="end"/>
      </w:r>
      <w:r>
        <w:rPr>
          <w:sz w:val="28"/>
        </w:rPr>
        <w:fldChar w:fldCharType="end"/>
      </w:r>
    </w:p>
    <w:p w14:paraId="3546D7A8">
      <w:pPr>
        <w:pStyle w:val="10"/>
        <w:tabs>
          <w:tab w:val="right" w:leader="dot" w:pos="8306"/>
        </w:tabs>
        <w:spacing w:line="480" w:lineRule="exact"/>
        <w:ind w:left="1280"/>
        <w:rPr>
          <w:sz w:val="28"/>
        </w:rPr>
      </w:pPr>
      <w:r>
        <w:fldChar w:fldCharType="begin"/>
      </w:r>
      <w:r>
        <w:instrText xml:space="preserve"> HYPERLINK \l "_Toc17391" </w:instrText>
      </w:r>
      <w:r>
        <w:fldChar w:fldCharType="separate"/>
      </w:r>
      <w:r>
        <w:rPr>
          <w:sz w:val="28"/>
          <w:szCs w:val="28"/>
        </w:rPr>
        <w:t>第二节  注重典型带动</w:t>
      </w:r>
      <w:r>
        <w:rPr>
          <w:sz w:val="28"/>
        </w:rPr>
        <w:tab/>
      </w:r>
      <w:r>
        <w:rPr>
          <w:sz w:val="28"/>
        </w:rPr>
        <w:fldChar w:fldCharType="begin"/>
      </w:r>
      <w:r>
        <w:rPr>
          <w:sz w:val="28"/>
        </w:rPr>
        <w:instrText xml:space="preserve"> PAGEREF _Toc17391 \h </w:instrText>
      </w:r>
      <w:r>
        <w:rPr>
          <w:sz w:val="28"/>
        </w:rPr>
        <w:fldChar w:fldCharType="separate"/>
      </w:r>
      <w:r>
        <w:rPr>
          <w:sz w:val="28"/>
        </w:rPr>
        <w:t>83</w:t>
      </w:r>
      <w:r>
        <w:rPr>
          <w:sz w:val="28"/>
        </w:rPr>
        <w:fldChar w:fldCharType="end"/>
      </w:r>
      <w:r>
        <w:rPr>
          <w:sz w:val="28"/>
        </w:rPr>
        <w:fldChar w:fldCharType="end"/>
      </w:r>
    </w:p>
    <w:p w14:paraId="32B088F3">
      <w:pPr>
        <w:pStyle w:val="10"/>
        <w:tabs>
          <w:tab w:val="right" w:leader="dot" w:pos="8306"/>
        </w:tabs>
        <w:spacing w:line="480" w:lineRule="exact"/>
        <w:ind w:left="1280"/>
        <w:rPr>
          <w:sz w:val="28"/>
        </w:rPr>
      </w:pPr>
      <w:r>
        <w:fldChar w:fldCharType="begin"/>
      </w:r>
      <w:r>
        <w:instrText xml:space="preserve"> HYPERLINK \l "_Toc18281" </w:instrText>
      </w:r>
      <w:r>
        <w:fldChar w:fldCharType="separate"/>
      </w:r>
      <w:r>
        <w:rPr>
          <w:sz w:val="28"/>
          <w:szCs w:val="28"/>
        </w:rPr>
        <w:t>第三节  抓好评估考核</w:t>
      </w:r>
      <w:r>
        <w:rPr>
          <w:sz w:val="28"/>
        </w:rPr>
        <w:tab/>
      </w:r>
      <w:r>
        <w:rPr>
          <w:sz w:val="28"/>
        </w:rPr>
        <w:fldChar w:fldCharType="begin"/>
      </w:r>
      <w:r>
        <w:rPr>
          <w:sz w:val="28"/>
        </w:rPr>
        <w:instrText xml:space="preserve"> PAGEREF _Toc18281 \h </w:instrText>
      </w:r>
      <w:r>
        <w:rPr>
          <w:sz w:val="28"/>
        </w:rPr>
        <w:fldChar w:fldCharType="separate"/>
      </w:r>
      <w:r>
        <w:rPr>
          <w:sz w:val="28"/>
        </w:rPr>
        <w:t>84</w:t>
      </w:r>
      <w:r>
        <w:rPr>
          <w:sz w:val="28"/>
        </w:rPr>
        <w:fldChar w:fldCharType="end"/>
      </w:r>
      <w:r>
        <w:rPr>
          <w:sz w:val="28"/>
        </w:rPr>
        <w:fldChar w:fldCharType="end"/>
      </w:r>
    </w:p>
    <w:p w14:paraId="304C0AC8">
      <w:pPr>
        <w:pStyle w:val="18"/>
        <w:tabs>
          <w:tab w:val="right" w:leader="dot" w:pos="8306"/>
        </w:tabs>
        <w:spacing w:line="480" w:lineRule="exact"/>
        <w:ind w:left="640"/>
        <w:rPr>
          <w:rFonts w:eastAsia="方正楷体_GBK"/>
          <w:sz w:val="28"/>
        </w:rPr>
      </w:pPr>
      <w:r>
        <w:fldChar w:fldCharType="begin"/>
      </w:r>
      <w:r>
        <w:instrText xml:space="preserve"> HYPERLINK \l "_Toc8237" </w:instrText>
      </w:r>
      <w:r>
        <w:fldChar w:fldCharType="separate"/>
      </w:r>
      <w:r>
        <w:rPr>
          <w:rFonts w:eastAsia="方正楷体_GBK"/>
          <w:sz w:val="28"/>
          <w:szCs w:val="36"/>
        </w:rPr>
        <w:t>第三十六章  有序推进乡村振兴</w:t>
      </w:r>
      <w:r>
        <w:rPr>
          <w:rFonts w:eastAsia="方正楷体_GBK"/>
          <w:sz w:val="28"/>
        </w:rPr>
        <w:tab/>
      </w:r>
      <w:r>
        <w:rPr>
          <w:rFonts w:eastAsia="方正楷体_GBK"/>
          <w:sz w:val="28"/>
        </w:rPr>
        <w:fldChar w:fldCharType="begin"/>
      </w:r>
      <w:r>
        <w:rPr>
          <w:rFonts w:eastAsia="方正楷体_GBK"/>
          <w:sz w:val="28"/>
        </w:rPr>
        <w:instrText xml:space="preserve"> PAGEREF _Toc8237 \h </w:instrText>
      </w:r>
      <w:r>
        <w:rPr>
          <w:rFonts w:eastAsia="方正楷体_GBK"/>
          <w:sz w:val="28"/>
        </w:rPr>
        <w:fldChar w:fldCharType="separate"/>
      </w:r>
      <w:r>
        <w:rPr>
          <w:rFonts w:eastAsia="方正楷体_GBK"/>
          <w:sz w:val="28"/>
        </w:rPr>
        <w:t>84</w:t>
      </w:r>
      <w:r>
        <w:rPr>
          <w:rFonts w:eastAsia="方正楷体_GBK"/>
          <w:sz w:val="28"/>
        </w:rPr>
        <w:fldChar w:fldCharType="end"/>
      </w:r>
      <w:r>
        <w:rPr>
          <w:rFonts w:eastAsia="方正楷体_GBK"/>
          <w:sz w:val="28"/>
        </w:rPr>
        <w:fldChar w:fldCharType="end"/>
      </w:r>
    </w:p>
    <w:p w14:paraId="41A92DC2">
      <w:pPr>
        <w:pStyle w:val="10"/>
        <w:tabs>
          <w:tab w:val="right" w:leader="dot" w:pos="8306"/>
        </w:tabs>
        <w:spacing w:line="480" w:lineRule="exact"/>
        <w:ind w:left="1280"/>
        <w:rPr>
          <w:sz w:val="28"/>
        </w:rPr>
      </w:pPr>
      <w:r>
        <w:fldChar w:fldCharType="begin"/>
      </w:r>
      <w:r>
        <w:instrText xml:space="preserve"> HYPERLINK \l "_Toc4727" </w:instrText>
      </w:r>
      <w:r>
        <w:fldChar w:fldCharType="separate"/>
      </w:r>
      <w:r>
        <w:rPr>
          <w:sz w:val="28"/>
          <w:szCs w:val="28"/>
        </w:rPr>
        <w:t>第一节  准确聚焦阶段任务</w:t>
      </w:r>
      <w:r>
        <w:rPr>
          <w:sz w:val="28"/>
        </w:rPr>
        <w:tab/>
      </w:r>
      <w:r>
        <w:rPr>
          <w:sz w:val="28"/>
        </w:rPr>
        <w:fldChar w:fldCharType="begin"/>
      </w:r>
      <w:r>
        <w:rPr>
          <w:sz w:val="28"/>
        </w:rPr>
        <w:instrText xml:space="preserve"> PAGEREF _Toc4727 \h </w:instrText>
      </w:r>
      <w:r>
        <w:rPr>
          <w:sz w:val="28"/>
        </w:rPr>
        <w:fldChar w:fldCharType="separate"/>
      </w:r>
      <w:r>
        <w:rPr>
          <w:sz w:val="28"/>
        </w:rPr>
        <w:t>84</w:t>
      </w:r>
      <w:r>
        <w:rPr>
          <w:sz w:val="28"/>
        </w:rPr>
        <w:fldChar w:fldCharType="end"/>
      </w:r>
      <w:r>
        <w:rPr>
          <w:sz w:val="28"/>
        </w:rPr>
        <w:fldChar w:fldCharType="end"/>
      </w:r>
    </w:p>
    <w:p w14:paraId="1ED79890">
      <w:pPr>
        <w:pStyle w:val="10"/>
        <w:tabs>
          <w:tab w:val="right" w:leader="dot" w:pos="8306"/>
        </w:tabs>
        <w:spacing w:line="480" w:lineRule="exact"/>
        <w:ind w:left="1280"/>
        <w:rPr>
          <w:sz w:val="28"/>
        </w:rPr>
      </w:pPr>
      <w:r>
        <w:fldChar w:fldCharType="begin"/>
      </w:r>
      <w:r>
        <w:instrText xml:space="preserve"> HYPERLINK \l "_Toc4939" </w:instrText>
      </w:r>
      <w:r>
        <w:fldChar w:fldCharType="separate"/>
      </w:r>
      <w:r>
        <w:rPr>
          <w:sz w:val="28"/>
          <w:szCs w:val="28"/>
        </w:rPr>
        <w:t>第二节  科学把握节奏力度</w:t>
      </w:r>
      <w:r>
        <w:rPr>
          <w:sz w:val="28"/>
        </w:rPr>
        <w:tab/>
      </w:r>
      <w:r>
        <w:rPr>
          <w:sz w:val="28"/>
        </w:rPr>
        <w:fldChar w:fldCharType="begin"/>
      </w:r>
      <w:r>
        <w:rPr>
          <w:sz w:val="28"/>
        </w:rPr>
        <w:instrText xml:space="preserve"> PAGEREF _Toc4939 \h </w:instrText>
      </w:r>
      <w:r>
        <w:rPr>
          <w:sz w:val="28"/>
        </w:rPr>
        <w:fldChar w:fldCharType="separate"/>
      </w:r>
      <w:r>
        <w:rPr>
          <w:sz w:val="28"/>
        </w:rPr>
        <w:t>84</w:t>
      </w:r>
      <w:r>
        <w:rPr>
          <w:sz w:val="28"/>
        </w:rPr>
        <w:fldChar w:fldCharType="end"/>
      </w:r>
      <w:r>
        <w:rPr>
          <w:sz w:val="28"/>
        </w:rPr>
        <w:fldChar w:fldCharType="end"/>
      </w:r>
    </w:p>
    <w:p w14:paraId="38A735C0">
      <w:pPr>
        <w:pStyle w:val="10"/>
        <w:tabs>
          <w:tab w:val="right" w:leader="dot" w:pos="8306"/>
        </w:tabs>
        <w:spacing w:line="480" w:lineRule="exact"/>
        <w:ind w:left="1280"/>
        <w:rPr>
          <w:sz w:val="28"/>
        </w:rPr>
      </w:pPr>
      <w:r>
        <w:fldChar w:fldCharType="begin"/>
      </w:r>
      <w:r>
        <w:instrText xml:space="preserve"> HYPERLINK \l "_Toc24936" </w:instrText>
      </w:r>
      <w:r>
        <w:fldChar w:fldCharType="separate"/>
      </w:r>
      <w:r>
        <w:rPr>
          <w:sz w:val="28"/>
          <w:szCs w:val="28"/>
        </w:rPr>
        <w:t>第三节  梯次推进乡村振兴</w:t>
      </w:r>
      <w:r>
        <w:rPr>
          <w:sz w:val="28"/>
        </w:rPr>
        <w:tab/>
      </w:r>
      <w:r>
        <w:rPr>
          <w:sz w:val="28"/>
        </w:rPr>
        <w:fldChar w:fldCharType="begin"/>
      </w:r>
      <w:r>
        <w:rPr>
          <w:sz w:val="28"/>
        </w:rPr>
        <w:instrText xml:space="preserve"> PAGEREF _Toc24936 \h </w:instrText>
      </w:r>
      <w:r>
        <w:rPr>
          <w:sz w:val="28"/>
        </w:rPr>
        <w:fldChar w:fldCharType="separate"/>
      </w:r>
      <w:r>
        <w:rPr>
          <w:sz w:val="28"/>
        </w:rPr>
        <w:t>85</w:t>
      </w:r>
      <w:r>
        <w:rPr>
          <w:sz w:val="28"/>
        </w:rPr>
        <w:fldChar w:fldCharType="end"/>
      </w:r>
      <w:r>
        <w:rPr>
          <w:sz w:val="28"/>
        </w:rPr>
        <w:fldChar w:fldCharType="end"/>
      </w:r>
    </w:p>
    <w:p w14:paraId="6DAB4222">
      <w:pPr>
        <w:spacing w:line="480" w:lineRule="exact"/>
        <w:sectPr>
          <w:footerReference r:id="rId6" w:type="default"/>
          <w:pgSz w:w="11906" w:h="16838"/>
          <w:pgMar w:top="1440" w:right="1800" w:bottom="1440" w:left="1800" w:header="851" w:footer="992" w:gutter="0"/>
          <w:pgNumType w:fmt="upperRoman" w:start="1"/>
          <w:cols w:space="720" w:num="1"/>
          <w:docGrid w:type="lines" w:linePitch="312" w:charSpace="0"/>
        </w:sectPr>
      </w:pPr>
      <w:r>
        <w:rPr>
          <w:sz w:val="28"/>
        </w:rPr>
        <w:fldChar w:fldCharType="end"/>
      </w:r>
    </w:p>
    <w:p w14:paraId="33C72582">
      <w:pPr>
        <w:widowControl/>
        <w:spacing w:line="480" w:lineRule="exact"/>
        <w:jc w:val="center"/>
        <w:outlineLvl w:val="0"/>
        <w:rPr>
          <w:rFonts w:eastAsia="黑体"/>
          <w:sz w:val="36"/>
          <w:szCs w:val="36"/>
        </w:rPr>
      </w:pPr>
      <w:bookmarkStart w:id="4" w:name="_Toc2801"/>
      <w:r>
        <w:rPr>
          <w:rFonts w:eastAsia="黑体"/>
          <w:sz w:val="36"/>
          <w:szCs w:val="36"/>
        </w:rPr>
        <w:t>前  言</w:t>
      </w:r>
      <w:bookmarkEnd w:id="4"/>
    </w:p>
    <w:p w14:paraId="5B659125">
      <w:pPr>
        <w:spacing w:line="480" w:lineRule="exact"/>
      </w:pPr>
    </w:p>
    <w:p w14:paraId="39A73F03">
      <w:pPr>
        <w:spacing w:line="480" w:lineRule="exact"/>
        <w:ind w:firstLine="560" w:firstLineChars="200"/>
        <w:rPr>
          <w:kern w:val="0"/>
          <w:sz w:val="28"/>
          <w:szCs w:val="28"/>
        </w:rPr>
      </w:pPr>
      <w:r>
        <w:rPr>
          <w:kern w:val="0"/>
          <w:sz w:val="28"/>
          <w:szCs w:val="28"/>
        </w:rPr>
        <w:t>实施乡村振兴战略是以习近平同志为核心的党中央作出的重大决策部署，是新时代做好</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工作的总抓手，要走中国特色社会主义乡村振兴道路。</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时期是我国开启全面建设社会主义现代化国家新征程、向第二个百年奋斗目标进军的第一个五年。全面推进社会主义现代化建设，最艰巨最繁重的任务在农村，最广泛最深厚的基础也在农村。要充分认识实施乡村振兴战略的重大意义，把实施乡村振兴战略摆在优先位置，坚持五级书记抓乡村振兴，让乡村振兴成为全党全社会的共同行动。重庆市按照习近平总书记对重庆提出的系列重要指示要求，做</w:t>
      </w:r>
      <w:r>
        <w:rPr>
          <w:rFonts w:hint="eastAsia"/>
          <w:kern w:val="0"/>
          <w:sz w:val="28"/>
          <w:szCs w:val="28"/>
        </w:rPr>
        <w:t>出了</w:t>
      </w:r>
      <w:r>
        <w:rPr>
          <w:kern w:val="0"/>
          <w:sz w:val="28"/>
          <w:szCs w:val="28"/>
        </w:rPr>
        <w:t>未来五年围绕乡村振兴战略走好</w:t>
      </w:r>
      <w:r>
        <w:rPr>
          <w:rFonts w:hint="eastAsia"/>
          <w:kern w:val="0"/>
          <w:sz w:val="28"/>
          <w:szCs w:val="28"/>
        </w:rPr>
        <w:t>“</w:t>
      </w:r>
      <w:r>
        <w:rPr>
          <w:kern w:val="0"/>
          <w:sz w:val="28"/>
          <w:szCs w:val="28"/>
        </w:rPr>
        <w:t>六条路</w:t>
      </w:r>
      <w:r>
        <w:rPr>
          <w:rFonts w:hint="eastAsia"/>
          <w:kern w:val="0"/>
          <w:sz w:val="28"/>
          <w:szCs w:val="28"/>
        </w:rPr>
        <w:t>”</w:t>
      </w:r>
      <w:r>
        <w:rPr>
          <w:kern w:val="0"/>
          <w:sz w:val="28"/>
          <w:szCs w:val="28"/>
        </w:rPr>
        <w:t>的行动计划。</w:t>
      </w:r>
    </w:p>
    <w:p w14:paraId="6CDBCCDA">
      <w:pPr>
        <w:widowControl/>
        <w:spacing w:line="480" w:lineRule="exact"/>
        <w:ind w:firstLine="560" w:firstLineChars="200"/>
        <w:rPr>
          <w:kern w:val="0"/>
          <w:sz w:val="28"/>
          <w:szCs w:val="28"/>
        </w:rPr>
      </w:pPr>
      <w:r>
        <w:rPr>
          <w:kern w:val="0"/>
          <w:sz w:val="28"/>
          <w:szCs w:val="28"/>
        </w:rPr>
        <w:t>遵循中央指导思想和市级战略部署，结合城口客观实际，根据《中共中央、国务院关于实施乡村振兴战略的意见》《乡村振兴战略规划（2018-2022年）》《中华人民共和国国民经济和社会发展第十四个五年规划》《重庆市乡村振兴战略规划（2018-2022年）》《重庆市国民经济和社会发展第十四个五年规划和二〇三五远景目标纲要》《城口县国民经济和社会发展第十四个五年规划和二〇三五远景目标纲要》，特编制《城口县乡村振兴战略规划（2021-2025年）暨城口县农业农村</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规划》。</w:t>
      </w:r>
    </w:p>
    <w:p w14:paraId="3692DABC">
      <w:pPr>
        <w:spacing w:line="480" w:lineRule="exact"/>
        <w:ind w:firstLine="560" w:firstLineChars="200"/>
        <w:rPr>
          <w:kern w:val="0"/>
          <w:sz w:val="28"/>
          <w:szCs w:val="28"/>
        </w:rPr>
      </w:pPr>
      <w:r>
        <w:rPr>
          <w:kern w:val="0"/>
          <w:sz w:val="28"/>
          <w:szCs w:val="28"/>
        </w:rPr>
        <w:t>本规划全面贯彻乡村振兴战略的总体要求，结合城口发展基础、资源禀赋、区位条件等进行编制。落实好中央、重庆市对城口功能定位和基本要求，根据城口自身实际和干部群众期待，完成好规定动作，创新自选动作。按照产业兴旺、生态宜居、乡风文明、治理有效、生活富裕的总要求，建立健全城乡融合发展体制机制和政策体系，对城口县实施乡村振兴战略作出总体战略部署、阶段谋划、实施路径、制度创新、保障体系等方面安排，细化实化工作重点和推进机制，确保城口县乡村振兴战略扎实推进，作为编制各部门、乡镇规划和专项规划的遵循，为中长期实施乡村振兴战略提供科学依据。</w:t>
      </w:r>
      <w:bookmarkStart w:id="5" w:name="_Toc519079681"/>
      <w:bookmarkStart w:id="6" w:name="_Toc521864996"/>
      <w:bookmarkStart w:id="7" w:name="_Toc521853480"/>
      <w:bookmarkStart w:id="8" w:name="_Toc521352209"/>
      <w:bookmarkStart w:id="9" w:name="_Toc522042941"/>
    </w:p>
    <w:p w14:paraId="26B11A86">
      <w:pPr>
        <w:spacing w:line="480" w:lineRule="exact"/>
      </w:pPr>
    </w:p>
    <w:p w14:paraId="0D1DD9F6">
      <w:pPr>
        <w:adjustRightInd w:val="0"/>
        <w:snapToGrid w:val="0"/>
        <w:spacing w:line="480" w:lineRule="exact"/>
        <w:jc w:val="center"/>
        <w:outlineLvl w:val="0"/>
        <w:rPr>
          <w:rFonts w:eastAsia="方正黑体_GBK"/>
          <w:kern w:val="0"/>
          <w:sz w:val="44"/>
          <w:szCs w:val="44"/>
        </w:rPr>
      </w:pPr>
      <w:bookmarkStart w:id="10" w:name="_Toc9029"/>
      <w:r>
        <w:rPr>
          <w:rFonts w:eastAsia="方正黑体_GBK"/>
          <w:sz w:val="44"/>
          <w:szCs w:val="44"/>
        </w:rPr>
        <w:t>第一篇  规划背景</w:t>
      </w:r>
      <w:bookmarkEnd w:id="5"/>
      <w:bookmarkEnd w:id="6"/>
      <w:bookmarkEnd w:id="7"/>
      <w:bookmarkEnd w:id="8"/>
      <w:bookmarkEnd w:id="9"/>
      <w:bookmarkEnd w:id="10"/>
    </w:p>
    <w:p w14:paraId="1A3AC325">
      <w:pPr>
        <w:spacing w:line="480" w:lineRule="exact"/>
        <w:ind w:firstLine="560" w:firstLineChars="200"/>
        <w:rPr>
          <w:rFonts w:eastAsia="宋体"/>
          <w:kern w:val="0"/>
          <w:sz w:val="28"/>
          <w:szCs w:val="28"/>
        </w:rPr>
      </w:pPr>
    </w:p>
    <w:p w14:paraId="02EFE1BF">
      <w:pPr>
        <w:spacing w:line="480" w:lineRule="exact"/>
        <w:ind w:firstLine="560" w:firstLineChars="200"/>
        <w:rPr>
          <w:kern w:val="0"/>
          <w:sz w:val="28"/>
          <w:szCs w:val="28"/>
        </w:rPr>
      </w:pPr>
      <w:r>
        <w:rPr>
          <w:kern w:val="0"/>
          <w:sz w:val="28"/>
          <w:szCs w:val="28"/>
        </w:rPr>
        <w:t>乡村振兴是党的十九大提出的重要战略任务，是新时代党的</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工作总抓手。</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时期是我国开启全面建设社会主义现代化国家新征程、向第二个百年奋斗目标进军的第一个五年。城口作为典型的山区县，发展的最高境界和最终目标就是实现乡村振兴。必须深入贯彻习近平新时代中国特色社会主义思想，真正把实施乡村振兴战略摆在优先位置，切实增强责任感、使命感、紧迫感，大力推进城乡融合发展和农业农村现代化，努力实现农业农村高质量发展，创造高品质生活。</w:t>
      </w:r>
    </w:p>
    <w:p w14:paraId="3D02CCC0">
      <w:pPr>
        <w:spacing w:line="480" w:lineRule="exact"/>
        <w:ind w:firstLine="560" w:firstLineChars="200"/>
        <w:rPr>
          <w:rFonts w:eastAsia="儷宋 Pro"/>
          <w:sz w:val="28"/>
          <w:szCs w:val="28"/>
        </w:rPr>
      </w:pPr>
    </w:p>
    <w:p w14:paraId="573A3D9E">
      <w:pPr>
        <w:adjustRightInd w:val="0"/>
        <w:snapToGrid w:val="0"/>
        <w:spacing w:line="480" w:lineRule="exact"/>
        <w:jc w:val="center"/>
        <w:outlineLvl w:val="1"/>
        <w:rPr>
          <w:rFonts w:eastAsia="方正黑体_GBK"/>
          <w:sz w:val="36"/>
          <w:szCs w:val="36"/>
        </w:rPr>
      </w:pPr>
      <w:bookmarkStart w:id="11" w:name="_Toc519079682"/>
      <w:bookmarkStart w:id="12" w:name="_Toc521864997"/>
      <w:bookmarkStart w:id="13" w:name="_Toc21276"/>
      <w:bookmarkStart w:id="14" w:name="_Toc522042942"/>
      <w:bookmarkStart w:id="15" w:name="_Toc521352210"/>
      <w:bookmarkStart w:id="16" w:name="_Toc521853481"/>
      <w:r>
        <w:rPr>
          <w:rFonts w:eastAsia="方正黑体_GBK"/>
          <w:sz w:val="36"/>
          <w:szCs w:val="36"/>
        </w:rPr>
        <w:t>第一章  重大意义</w:t>
      </w:r>
      <w:bookmarkEnd w:id="11"/>
      <w:bookmarkEnd w:id="12"/>
      <w:bookmarkEnd w:id="13"/>
      <w:bookmarkEnd w:id="14"/>
      <w:bookmarkEnd w:id="15"/>
      <w:bookmarkEnd w:id="16"/>
    </w:p>
    <w:p w14:paraId="59EB23B0">
      <w:pPr>
        <w:spacing w:line="480" w:lineRule="exact"/>
      </w:pPr>
    </w:p>
    <w:p w14:paraId="63806E28">
      <w:pPr>
        <w:spacing w:line="480" w:lineRule="exact"/>
        <w:ind w:firstLine="560" w:firstLineChars="200"/>
        <w:rPr>
          <w:kern w:val="0"/>
          <w:sz w:val="28"/>
          <w:szCs w:val="28"/>
        </w:rPr>
      </w:pPr>
      <w:r>
        <w:rPr>
          <w:kern w:val="0"/>
          <w:sz w:val="28"/>
          <w:szCs w:val="28"/>
        </w:rPr>
        <w:t>习近平总书记对重庆提出营造良好政治生态，坚持</w:t>
      </w:r>
      <w:r>
        <w:rPr>
          <w:rFonts w:hint="eastAsia"/>
          <w:kern w:val="0"/>
          <w:sz w:val="28"/>
          <w:szCs w:val="28"/>
        </w:rPr>
        <w:t>“</w:t>
      </w:r>
      <w:r>
        <w:rPr>
          <w:kern w:val="0"/>
          <w:sz w:val="28"/>
          <w:szCs w:val="28"/>
        </w:rPr>
        <w:t>两点</w:t>
      </w:r>
      <w:r>
        <w:rPr>
          <w:rFonts w:hint="eastAsia"/>
          <w:kern w:val="0"/>
          <w:sz w:val="28"/>
          <w:szCs w:val="28"/>
        </w:rPr>
        <w:t>”</w:t>
      </w:r>
      <w:r>
        <w:rPr>
          <w:kern w:val="0"/>
          <w:sz w:val="28"/>
          <w:szCs w:val="28"/>
        </w:rPr>
        <w:t>定位、</w:t>
      </w:r>
      <w:r>
        <w:rPr>
          <w:rFonts w:hint="eastAsia"/>
          <w:kern w:val="0"/>
          <w:sz w:val="28"/>
          <w:szCs w:val="28"/>
        </w:rPr>
        <w:t>“</w:t>
      </w:r>
      <w:r>
        <w:rPr>
          <w:kern w:val="0"/>
          <w:sz w:val="28"/>
          <w:szCs w:val="28"/>
        </w:rPr>
        <w:t>两地</w:t>
      </w:r>
      <w:r>
        <w:rPr>
          <w:rFonts w:hint="eastAsia"/>
          <w:kern w:val="0"/>
          <w:sz w:val="28"/>
          <w:szCs w:val="28"/>
        </w:rPr>
        <w:t>”“</w:t>
      </w:r>
      <w:r>
        <w:rPr>
          <w:kern w:val="0"/>
          <w:sz w:val="28"/>
          <w:szCs w:val="28"/>
        </w:rPr>
        <w:t>两高</w:t>
      </w:r>
      <w:r>
        <w:rPr>
          <w:rFonts w:hint="eastAsia"/>
          <w:kern w:val="0"/>
          <w:sz w:val="28"/>
          <w:szCs w:val="28"/>
        </w:rPr>
        <w:t>”</w:t>
      </w:r>
      <w:r>
        <w:rPr>
          <w:kern w:val="0"/>
          <w:sz w:val="28"/>
          <w:szCs w:val="28"/>
        </w:rPr>
        <w:t>目标，发挥</w:t>
      </w:r>
      <w:r>
        <w:rPr>
          <w:rFonts w:hint="eastAsia"/>
          <w:kern w:val="0"/>
          <w:sz w:val="28"/>
          <w:szCs w:val="28"/>
        </w:rPr>
        <w:t>“</w:t>
      </w:r>
      <w:r>
        <w:rPr>
          <w:kern w:val="0"/>
          <w:sz w:val="28"/>
          <w:szCs w:val="28"/>
        </w:rPr>
        <w:t>三个作用</w:t>
      </w:r>
      <w:r>
        <w:rPr>
          <w:rFonts w:hint="eastAsia"/>
          <w:kern w:val="0"/>
          <w:sz w:val="28"/>
          <w:szCs w:val="28"/>
        </w:rPr>
        <w:t>”</w:t>
      </w:r>
      <w:r>
        <w:rPr>
          <w:kern w:val="0"/>
          <w:sz w:val="28"/>
          <w:szCs w:val="28"/>
        </w:rPr>
        <w:t>和推动成渝地区双城经济圈建设等重要指示要求。城口作为重庆的重要一域，是典型的大农村大山区，也是深度贫困地区，城乡和区域发展差距仍然较大，发展不平衡不充分问题较为突出。城口是全市建设</w:t>
      </w:r>
      <w:r>
        <w:rPr>
          <w:rFonts w:hint="eastAsia"/>
          <w:kern w:val="0"/>
          <w:sz w:val="28"/>
          <w:szCs w:val="28"/>
        </w:rPr>
        <w:t>“</w:t>
      </w:r>
      <w:r>
        <w:rPr>
          <w:kern w:val="0"/>
          <w:sz w:val="28"/>
          <w:szCs w:val="28"/>
        </w:rPr>
        <w:t>两点</w:t>
      </w:r>
      <w:r>
        <w:rPr>
          <w:rFonts w:hint="eastAsia"/>
          <w:kern w:val="0"/>
          <w:sz w:val="28"/>
          <w:szCs w:val="28"/>
        </w:rPr>
        <w:t>”</w:t>
      </w:r>
      <w:r>
        <w:rPr>
          <w:kern w:val="0"/>
          <w:sz w:val="28"/>
          <w:szCs w:val="28"/>
        </w:rPr>
        <w:t>的重要范围、是建设</w:t>
      </w:r>
      <w:r>
        <w:rPr>
          <w:rFonts w:hint="eastAsia"/>
          <w:kern w:val="0"/>
          <w:sz w:val="28"/>
          <w:szCs w:val="28"/>
        </w:rPr>
        <w:t>“</w:t>
      </w:r>
      <w:r>
        <w:rPr>
          <w:kern w:val="0"/>
          <w:sz w:val="28"/>
          <w:szCs w:val="28"/>
        </w:rPr>
        <w:t>两地</w:t>
      </w:r>
      <w:r>
        <w:rPr>
          <w:rFonts w:hint="eastAsia"/>
          <w:kern w:val="0"/>
          <w:sz w:val="28"/>
          <w:szCs w:val="28"/>
        </w:rPr>
        <w:t>”</w:t>
      </w:r>
      <w:r>
        <w:rPr>
          <w:kern w:val="0"/>
          <w:sz w:val="28"/>
          <w:szCs w:val="28"/>
        </w:rPr>
        <w:t>的重点区域、是实现</w:t>
      </w:r>
      <w:r>
        <w:rPr>
          <w:rFonts w:hint="eastAsia"/>
          <w:kern w:val="0"/>
          <w:sz w:val="28"/>
          <w:szCs w:val="28"/>
        </w:rPr>
        <w:t>“</w:t>
      </w:r>
      <w:r>
        <w:rPr>
          <w:kern w:val="0"/>
          <w:sz w:val="28"/>
          <w:szCs w:val="28"/>
        </w:rPr>
        <w:t>两高</w:t>
      </w:r>
      <w:r>
        <w:rPr>
          <w:rFonts w:hint="eastAsia"/>
          <w:kern w:val="0"/>
          <w:sz w:val="28"/>
          <w:szCs w:val="28"/>
        </w:rPr>
        <w:t>”</w:t>
      </w:r>
      <w:r>
        <w:rPr>
          <w:kern w:val="0"/>
          <w:sz w:val="28"/>
          <w:szCs w:val="28"/>
        </w:rPr>
        <w:t>的重大短板。实施乡村振兴战略，加快农业农村现代化，实现农业全面升级、农村全面进步、农民全面发展，是全面建设社会主义现代化国家的内在要求，更是</w:t>
      </w:r>
      <w:r>
        <w:rPr>
          <w:rFonts w:hint="eastAsia"/>
          <w:kern w:val="0"/>
          <w:sz w:val="28"/>
          <w:szCs w:val="28"/>
          <w:lang w:eastAsia="zh-CN"/>
        </w:rPr>
        <w:t>落实习近平总书记</w:t>
      </w:r>
      <w:r>
        <w:rPr>
          <w:kern w:val="0"/>
          <w:sz w:val="28"/>
          <w:szCs w:val="28"/>
        </w:rPr>
        <w:t>对重庆殷殷嘱托的政治使命。</w:t>
      </w:r>
    </w:p>
    <w:p w14:paraId="3EDDAD62">
      <w:pPr>
        <w:spacing w:line="480" w:lineRule="exact"/>
        <w:ind w:firstLine="562" w:firstLineChars="200"/>
        <w:rPr>
          <w:kern w:val="0"/>
          <w:sz w:val="28"/>
          <w:szCs w:val="28"/>
        </w:rPr>
      </w:pPr>
      <w:r>
        <w:rPr>
          <w:b/>
          <w:bCs/>
          <w:kern w:val="0"/>
          <w:sz w:val="28"/>
          <w:szCs w:val="28"/>
        </w:rPr>
        <w:t>实施乡村振兴战略是实现城口高质量发展的重要基础。</w:t>
      </w:r>
      <w:r>
        <w:rPr>
          <w:kern w:val="0"/>
          <w:sz w:val="28"/>
          <w:szCs w:val="28"/>
        </w:rPr>
        <w:t>乡村振兴，产业兴旺是重点。实施乡村振兴战略，深化农业供给侧结构性改革，构建现代农业产业体系、生产体系、经营体系，推进一二三产业深度融合发展，重点推进农文旅融合发展和生态资源价值实现，真正实现农业高效和农村百业兴旺，为构建大巴山特色现代生态经济体系奠定坚实基础。</w:t>
      </w:r>
    </w:p>
    <w:p w14:paraId="27334EB7">
      <w:pPr>
        <w:spacing w:line="480" w:lineRule="exact"/>
        <w:ind w:firstLine="562" w:firstLineChars="200"/>
        <w:rPr>
          <w:kern w:val="0"/>
          <w:sz w:val="28"/>
          <w:szCs w:val="28"/>
        </w:rPr>
      </w:pPr>
      <w:r>
        <w:rPr>
          <w:b/>
          <w:bCs/>
          <w:kern w:val="0"/>
          <w:sz w:val="28"/>
          <w:szCs w:val="28"/>
        </w:rPr>
        <w:t>实施乡村振兴战略是城口建设山清水秀美丽之地的关键举措。</w:t>
      </w:r>
      <w:r>
        <w:rPr>
          <w:kern w:val="0"/>
          <w:sz w:val="28"/>
          <w:szCs w:val="28"/>
        </w:rPr>
        <w:t>农业是生态产品的重要供给者，乡村是生态涵养的主体区，生态是城口最大的发展优势。城口是大山区、大农村，农村和农民占据城口面积和人口的绝大多数，没有美丽乡村就没有山清水秀美丽之地。乡村振兴，生态宜居是关键。实施乡村建设行动，加强农村人居环境整治，统筹山水林田湖草系统治理，加快推行乡村绿色发展方式，有利于构建人与自然和谐共生的乡村发展新格局，加快城口山清水秀美丽之地建设，实现产业强、百姓富、生态美的统一。</w:t>
      </w:r>
    </w:p>
    <w:p w14:paraId="1C4D2502">
      <w:pPr>
        <w:spacing w:line="480" w:lineRule="exact"/>
        <w:ind w:firstLine="562" w:firstLineChars="200"/>
        <w:rPr>
          <w:kern w:val="0"/>
          <w:sz w:val="28"/>
          <w:szCs w:val="28"/>
        </w:rPr>
      </w:pPr>
      <w:r>
        <w:rPr>
          <w:b/>
          <w:bCs/>
          <w:kern w:val="0"/>
          <w:sz w:val="28"/>
          <w:szCs w:val="28"/>
        </w:rPr>
        <w:t>实施乡村振兴战略是传承发扬城口优秀文化的有效途径。</w:t>
      </w:r>
      <w:r>
        <w:rPr>
          <w:kern w:val="0"/>
          <w:sz w:val="28"/>
          <w:szCs w:val="28"/>
        </w:rPr>
        <w:t>城口以农耕文化为底色的大巴山传统文化源远流长，乡村是传统文化的基本载体。乡村振兴，乡风文明是保障。实施乡村振兴战略，深入挖掘城口传统文化蕴含的优秀思想观念、人文精神、道德规范，结合时代要求在保护传承的基础上创造性转化、创新性发展，有利于在新时代焕发出乡风文明的新气象。</w:t>
      </w:r>
    </w:p>
    <w:p w14:paraId="1F62E2D0">
      <w:pPr>
        <w:spacing w:line="480" w:lineRule="exact"/>
        <w:ind w:firstLine="562" w:firstLineChars="200"/>
        <w:rPr>
          <w:kern w:val="0"/>
          <w:sz w:val="28"/>
          <w:szCs w:val="28"/>
        </w:rPr>
      </w:pPr>
      <w:r>
        <w:rPr>
          <w:b/>
          <w:bCs/>
          <w:kern w:val="0"/>
          <w:sz w:val="28"/>
          <w:szCs w:val="28"/>
        </w:rPr>
        <w:t>实施乡村振兴战略是健全基层社会治理格局的固本之策。</w:t>
      </w:r>
      <w:r>
        <w:rPr>
          <w:kern w:val="0"/>
          <w:sz w:val="28"/>
          <w:szCs w:val="28"/>
        </w:rPr>
        <w:t>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14:paraId="076D1401">
      <w:pPr>
        <w:spacing w:line="480" w:lineRule="exact"/>
        <w:ind w:firstLine="562" w:firstLineChars="200"/>
        <w:rPr>
          <w:kern w:val="0"/>
          <w:sz w:val="28"/>
          <w:szCs w:val="28"/>
        </w:rPr>
      </w:pPr>
      <w:r>
        <w:rPr>
          <w:b/>
          <w:bCs/>
          <w:kern w:val="0"/>
          <w:sz w:val="28"/>
          <w:szCs w:val="28"/>
        </w:rPr>
        <w:t>实施乡村振兴战略是努力创造高品质生活的必然选择。</w:t>
      </w:r>
      <w:r>
        <w:rPr>
          <w:kern w:val="0"/>
          <w:sz w:val="28"/>
          <w:szCs w:val="28"/>
        </w:rPr>
        <w:t>农业强不强、农村美不美、农民富不富，关乎全体农民的获得感、幸福感、安全感，关乎全面建设社会主义现代化国家新阶段和实现</w:t>
      </w:r>
      <w:r>
        <w:rPr>
          <w:rFonts w:hint="eastAsia"/>
          <w:kern w:val="0"/>
          <w:sz w:val="28"/>
          <w:szCs w:val="28"/>
          <w:lang w:eastAsia="zh-CN"/>
        </w:rPr>
        <w:t>第二个百年奋斗目标</w:t>
      </w:r>
      <w:r>
        <w:rPr>
          <w:kern w:val="0"/>
          <w:sz w:val="28"/>
          <w:szCs w:val="28"/>
        </w:rPr>
        <w:t>开局。乡村振兴，生活富裕是根本。实施乡村振兴战略，持续巩固脱贫攻坚成果，不断拓宽农民增收渠道，全面改善农村生产生活条件，促进社会公平正义，有利于增进农民福祉，创造农民高品质生活，让全体农民共享改革发展成果。</w:t>
      </w:r>
    </w:p>
    <w:p w14:paraId="27C910B1">
      <w:pPr>
        <w:pStyle w:val="4"/>
        <w:rPr>
          <w:bCs w:val="0"/>
        </w:rPr>
      </w:pPr>
    </w:p>
    <w:p w14:paraId="2D037B55">
      <w:pPr>
        <w:spacing w:line="480" w:lineRule="exact"/>
      </w:pPr>
      <w:bookmarkStart w:id="17" w:name="_Toc521352211"/>
      <w:bookmarkStart w:id="18" w:name="_Toc519079683"/>
      <w:bookmarkStart w:id="19" w:name="_Toc521853482"/>
      <w:bookmarkStart w:id="20" w:name="_Toc521864998"/>
      <w:bookmarkStart w:id="21" w:name="_Toc522042943"/>
    </w:p>
    <w:p w14:paraId="0F5B4363">
      <w:pPr>
        <w:adjustRightInd w:val="0"/>
        <w:snapToGrid w:val="0"/>
        <w:spacing w:line="480" w:lineRule="exact"/>
        <w:jc w:val="center"/>
        <w:outlineLvl w:val="1"/>
        <w:rPr>
          <w:rFonts w:eastAsia="方正黑体_GBK"/>
          <w:sz w:val="36"/>
          <w:szCs w:val="36"/>
        </w:rPr>
      </w:pPr>
      <w:bookmarkStart w:id="22" w:name="_Toc23186"/>
      <w:r>
        <w:rPr>
          <w:rFonts w:eastAsia="方正黑体_GBK"/>
          <w:sz w:val="36"/>
          <w:szCs w:val="36"/>
        </w:rPr>
        <w:t>第二章  实施环境</w:t>
      </w:r>
      <w:bookmarkEnd w:id="17"/>
      <w:bookmarkEnd w:id="18"/>
      <w:bookmarkEnd w:id="19"/>
      <w:bookmarkEnd w:id="20"/>
      <w:bookmarkEnd w:id="21"/>
      <w:bookmarkEnd w:id="22"/>
    </w:p>
    <w:p w14:paraId="230DF310">
      <w:pPr>
        <w:spacing w:line="480" w:lineRule="exact"/>
      </w:pPr>
    </w:p>
    <w:p w14:paraId="48B0E606">
      <w:pPr>
        <w:spacing w:line="480" w:lineRule="exact"/>
        <w:ind w:firstLine="560" w:firstLineChars="200"/>
        <w:rPr>
          <w:kern w:val="0"/>
          <w:sz w:val="28"/>
          <w:szCs w:val="28"/>
        </w:rPr>
      </w:pPr>
      <w:r>
        <w:rPr>
          <w:kern w:val="0"/>
          <w:sz w:val="28"/>
          <w:szCs w:val="28"/>
        </w:rPr>
        <w:t>2020年，城口按照中央和重庆市的要求，在全体干部群众的不懈努力和艰苦奋斗下，顺利退出国家级贫困县序列。2021年，城口将开启持续巩固脱贫成果、全面推进乡村振兴的新征程，这是城口发展的重要历史方位和机遇。</w:t>
      </w:r>
    </w:p>
    <w:p w14:paraId="3F3FFD21">
      <w:pPr>
        <w:widowControl/>
        <w:spacing w:line="480" w:lineRule="exact"/>
        <w:ind w:firstLine="560" w:firstLineChars="200"/>
        <w:jc w:val="left"/>
        <w:rPr>
          <w:kern w:val="0"/>
          <w:sz w:val="28"/>
          <w:szCs w:val="28"/>
        </w:rPr>
      </w:pPr>
      <w:r>
        <w:rPr>
          <w:rFonts w:hint="eastAsia"/>
          <w:kern w:val="0"/>
          <w:sz w:val="28"/>
          <w:szCs w:val="28"/>
        </w:rPr>
        <w:t>“</w:t>
      </w:r>
      <w:r>
        <w:rPr>
          <w:kern w:val="0"/>
          <w:sz w:val="28"/>
          <w:szCs w:val="28"/>
        </w:rPr>
        <w:t>十三五</w:t>
      </w:r>
      <w:r>
        <w:rPr>
          <w:rFonts w:hint="eastAsia"/>
          <w:kern w:val="0"/>
          <w:sz w:val="28"/>
          <w:szCs w:val="28"/>
        </w:rPr>
        <w:t>”</w:t>
      </w:r>
      <w:r>
        <w:rPr>
          <w:kern w:val="0"/>
          <w:sz w:val="28"/>
          <w:szCs w:val="28"/>
        </w:rPr>
        <w:t>时期，城口城乡面貌发生显著变化，人民生活水平大幅提高，人民的自信心、自豪感空前激发，生态优先、绿色发展的动能不断积蓄。脱贫攻坚取得历史性成就，90个贫困村脱贫销号，11596户44719人全部脱贫，以攻坚之初贫困程度全市最深、决胜之时群众满意度全市最高的成效，实现高质量整体脱贫</w:t>
      </w:r>
      <w:r>
        <w:rPr>
          <w:rFonts w:hint="eastAsia"/>
          <w:kern w:val="0"/>
          <w:sz w:val="28"/>
          <w:szCs w:val="28"/>
        </w:rPr>
        <w:t>“</w:t>
      </w:r>
      <w:r>
        <w:rPr>
          <w:kern w:val="0"/>
          <w:sz w:val="28"/>
          <w:szCs w:val="28"/>
        </w:rPr>
        <w:t>摘帽</w:t>
      </w:r>
      <w:r>
        <w:rPr>
          <w:rFonts w:hint="eastAsia"/>
          <w:kern w:val="0"/>
          <w:sz w:val="28"/>
          <w:szCs w:val="28"/>
        </w:rPr>
        <w:t>”</w:t>
      </w:r>
      <w:r>
        <w:rPr>
          <w:kern w:val="0"/>
          <w:sz w:val="28"/>
          <w:szCs w:val="28"/>
        </w:rPr>
        <w:t>。</w:t>
      </w:r>
    </w:p>
    <w:p w14:paraId="60FAD2B7">
      <w:pPr>
        <w:spacing w:line="480" w:lineRule="exact"/>
        <w:ind w:firstLine="560" w:firstLineChars="200"/>
        <w:rPr>
          <w:kern w:val="0"/>
          <w:sz w:val="28"/>
          <w:szCs w:val="28"/>
        </w:rPr>
      </w:pPr>
      <w:r>
        <w:rPr>
          <w:kern w:val="0"/>
          <w:sz w:val="28"/>
          <w:szCs w:val="28"/>
        </w:rPr>
        <w:t>当前，农业农村发展仍是城口实现社会主义现代化的短板，农业仍是</w:t>
      </w:r>
      <w:r>
        <w:rPr>
          <w:rFonts w:hint="eastAsia"/>
          <w:kern w:val="0"/>
          <w:sz w:val="28"/>
          <w:szCs w:val="28"/>
        </w:rPr>
        <w:t>“</w:t>
      </w:r>
      <w:r>
        <w:rPr>
          <w:kern w:val="0"/>
          <w:sz w:val="28"/>
          <w:szCs w:val="28"/>
        </w:rPr>
        <w:t>四化同步</w:t>
      </w:r>
      <w:r>
        <w:rPr>
          <w:rFonts w:hint="eastAsia"/>
          <w:kern w:val="0"/>
          <w:sz w:val="28"/>
          <w:szCs w:val="28"/>
        </w:rPr>
        <w:t>”</w:t>
      </w:r>
      <w:r>
        <w:rPr>
          <w:kern w:val="0"/>
          <w:sz w:val="28"/>
          <w:szCs w:val="28"/>
        </w:rPr>
        <w:t>的短腿，实施乡村振兴战略、推进城乡融合发展仍然面临不少突出问题。开启社会主义现代化建设新征程、实现</w:t>
      </w:r>
      <w:r>
        <w:rPr>
          <w:rFonts w:hint="eastAsia"/>
          <w:kern w:val="0"/>
          <w:sz w:val="28"/>
          <w:szCs w:val="28"/>
        </w:rPr>
        <w:t>“</w:t>
      </w:r>
      <w:r>
        <w:rPr>
          <w:kern w:val="0"/>
          <w:sz w:val="28"/>
          <w:szCs w:val="28"/>
        </w:rPr>
        <w:t>十四五</w:t>
      </w:r>
      <w:r>
        <w:rPr>
          <w:rFonts w:hint="eastAsia"/>
          <w:kern w:val="0"/>
          <w:sz w:val="28"/>
          <w:szCs w:val="28"/>
        </w:rPr>
        <w:t>”</w:t>
      </w:r>
      <w:r>
        <w:rPr>
          <w:kern w:val="0"/>
          <w:sz w:val="28"/>
          <w:szCs w:val="28"/>
        </w:rPr>
        <w:t>良好开局，必须加快补齐</w:t>
      </w:r>
      <w:r>
        <w:rPr>
          <w:rFonts w:hint="eastAsia"/>
          <w:kern w:val="0"/>
          <w:sz w:val="28"/>
          <w:szCs w:val="28"/>
        </w:rPr>
        <w:t>“</w:t>
      </w:r>
      <w:r>
        <w:rPr>
          <w:kern w:val="0"/>
          <w:sz w:val="28"/>
          <w:szCs w:val="28"/>
        </w:rPr>
        <w:t>三农</w:t>
      </w:r>
      <w:r>
        <w:rPr>
          <w:rFonts w:hint="eastAsia"/>
          <w:kern w:val="0"/>
          <w:sz w:val="28"/>
          <w:szCs w:val="28"/>
        </w:rPr>
        <w:t>”</w:t>
      </w:r>
      <w:r>
        <w:rPr>
          <w:kern w:val="0"/>
          <w:sz w:val="28"/>
          <w:szCs w:val="28"/>
        </w:rPr>
        <w:t>这块全县发展的突出短板，促进城乡融合发展，奋力书写城口</w:t>
      </w:r>
      <w:r>
        <w:rPr>
          <w:rFonts w:hint="eastAsia"/>
          <w:kern w:val="0"/>
          <w:sz w:val="28"/>
          <w:szCs w:val="28"/>
        </w:rPr>
        <w:t>“</w:t>
      </w:r>
      <w:r>
        <w:rPr>
          <w:kern w:val="0"/>
          <w:sz w:val="28"/>
          <w:szCs w:val="28"/>
        </w:rPr>
        <w:t>三农</w:t>
      </w:r>
      <w:r>
        <w:rPr>
          <w:rFonts w:hint="eastAsia"/>
          <w:kern w:val="0"/>
          <w:sz w:val="28"/>
          <w:szCs w:val="28"/>
        </w:rPr>
        <w:t>”</w:t>
      </w:r>
      <w:r>
        <w:rPr>
          <w:kern w:val="0"/>
          <w:sz w:val="28"/>
          <w:szCs w:val="28"/>
        </w:rPr>
        <w:t>发展新篇章。</w:t>
      </w:r>
      <w:r>
        <w:rPr>
          <w:sz w:val="30"/>
          <w:szCs w:val="30"/>
        </w:rPr>
        <w:br w:type="page"/>
      </w:r>
    </w:p>
    <w:p w14:paraId="4DCCC122">
      <w:pPr>
        <w:adjustRightInd w:val="0"/>
        <w:snapToGrid w:val="0"/>
        <w:spacing w:line="480" w:lineRule="exact"/>
        <w:jc w:val="center"/>
        <w:outlineLvl w:val="0"/>
        <w:rPr>
          <w:rFonts w:eastAsia="方正黑体_GBK"/>
          <w:sz w:val="44"/>
          <w:szCs w:val="44"/>
        </w:rPr>
      </w:pPr>
      <w:bookmarkStart w:id="23" w:name="_Toc15088"/>
      <w:r>
        <w:rPr>
          <w:rFonts w:eastAsia="方正黑体_GBK"/>
          <w:sz w:val="44"/>
          <w:szCs w:val="44"/>
        </w:rPr>
        <w:t>第二篇 总体要求</w:t>
      </w:r>
      <w:bookmarkEnd w:id="23"/>
    </w:p>
    <w:p w14:paraId="43BA54D0">
      <w:pPr>
        <w:spacing w:line="480" w:lineRule="exact"/>
      </w:pPr>
    </w:p>
    <w:p w14:paraId="65B4B0A1">
      <w:pPr>
        <w:pBdr>
          <w:top w:val="single" w:color="FFFFFF" w:sz="4" w:space="0"/>
          <w:left w:val="single" w:color="FFFFFF" w:sz="4" w:space="27"/>
          <w:bottom w:val="single" w:color="FFFFFF" w:sz="4" w:space="31"/>
          <w:right w:val="single" w:color="FFFFFF" w:sz="4" w:space="10"/>
        </w:pBdr>
        <w:spacing w:line="480" w:lineRule="exact"/>
        <w:ind w:firstLine="560" w:firstLineChars="200"/>
        <w:rPr>
          <w:kern w:val="0"/>
          <w:sz w:val="28"/>
          <w:szCs w:val="28"/>
        </w:rPr>
      </w:pPr>
      <w:r>
        <w:rPr>
          <w:kern w:val="0"/>
          <w:sz w:val="28"/>
          <w:szCs w:val="28"/>
        </w:rPr>
        <w:t>全面落实党的十九大精神和中央农村工作会议精神，认真贯彻中央、重庆市实施乡村振兴战略决策部署，调动全县广泛力量以落实乡村振兴战略为契机，全面做好新时期</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工作，把握新发展阶段、贯彻新发展理念、构建新发展格局，推动乡村全面振兴。</w:t>
      </w:r>
    </w:p>
    <w:p w14:paraId="170941A1">
      <w:pPr>
        <w:adjustRightInd w:val="0"/>
        <w:snapToGrid w:val="0"/>
        <w:spacing w:line="480" w:lineRule="exact"/>
        <w:jc w:val="center"/>
        <w:outlineLvl w:val="1"/>
        <w:rPr>
          <w:rFonts w:eastAsia="方正黑体_GBK"/>
          <w:sz w:val="36"/>
          <w:szCs w:val="36"/>
        </w:rPr>
      </w:pPr>
      <w:bookmarkStart w:id="24" w:name="_Toc17033"/>
      <w:r>
        <w:rPr>
          <w:rFonts w:eastAsia="方正黑体_GBK"/>
          <w:sz w:val="36"/>
          <w:szCs w:val="36"/>
        </w:rPr>
        <w:t>第三章  指导思想</w:t>
      </w:r>
      <w:bookmarkEnd w:id="24"/>
    </w:p>
    <w:p w14:paraId="2BB8F567">
      <w:pPr>
        <w:spacing w:line="480" w:lineRule="exact"/>
      </w:pPr>
    </w:p>
    <w:p w14:paraId="435017B8">
      <w:pPr>
        <w:spacing w:line="480" w:lineRule="exact"/>
        <w:ind w:firstLine="560" w:firstLineChars="200"/>
        <w:rPr>
          <w:kern w:val="0"/>
          <w:sz w:val="28"/>
          <w:szCs w:val="28"/>
        </w:rPr>
      </w:pPr>
      <w:r>
        <w:rPr>
          <w:kern w:val="0"/>
          <w:sz w:val="28"/>
          <w:szCs w:val="28"/>
        </w:rPr>
        <w:t>坚持以习近平新时代中国特色社会主义思想为指导，全面贯彻党的十九大和十九届五中全会精神和中央农村工作会议精神，抓住</w:t>
      </w:r>
      <w:r>
        <w:rPr>
          <w:rFonts w:hint="eastAsia"/>
          <w:kern w:val="0"/>
          <w:sz w:val="28"/>
          <w:szCs w:val="28"/>
        </w:rPr>
        <w:t>“</w:t>
      </w:r>
      <w:r>
        <w:rPr>
          <w:kern w:val="0"/>
          <w:sz w:val="28"/>
          <w:szCs w:val="28"/>
        </w:rPr>
        <w:t>一带一路</w:t>
      </w:r>
      <w:r>
        <w:rPr>
          <w:rFonts w:hint="eastAsia"/>
          <w:kern w:val="0"/>
          <w:sz w:val="28"/>
          <w:szCs w:val="28"/>
        </w:rPr>
        <w:t>”</w:t>
      </w:r>
      <w:r>
        <w:rPr>
          <w:kern w:val="0"/>
          <w:sz w:val="28"/>
          <w:szCs w:val="28"/>
        </w:rPr>
        <w:t>、长江经济带、成渝地区双城经济圈建设历史机遇，以城（口）宣（汉）万（源）革命老区振兴发展示范区为重要平台，落实重庆</w:t>
      </w:r>
      <w:r>
        <w:rPr>
          <w:rFonts w:hint="eastAsia"/>
          <w:kern w:val="0"/>
          <w:sz w:val="28"/>
          <w:szCs w:val="28"/>
        </w:rPr>
        <w:t>“</w:t>
      </w:r>
      <w:r>
        <w:rPr>
          <w:kern w:val="0"/>
          <w:sz w:val="28"/>
          <w:szCs w:val="28"/>
        </w:rPr>
        <w:t>一区两群</w:t>
      </w:r>
      <w:r>
        <w:rPr>
          <w:rFonts w:hint="eastAsia"/>
          <w:kern w:val="0"/>
          <w:sz w:val="28"/>
          <w:szCs w:val="28"/>
        </w:rPr>
        <w:t>”</w:t>
      </w:r>
      <w:r>
        <w:rPr>
          <w:kern w:val="0"/>
          <w:sz w:val="28"/>
          <w:szCs w:val="28"/>
        </w:rPr>
        <w:t>协调发展机制，积极融入渝东北三峡库区城镇群建设和渝东北川东北一体化发展，在三峡新区建设中发挥独特作用。</w:t>
      </w:r>
    </w:p>
    <w:p w14:paraId="029E4B41">
      <w:pPr>
        <w:spacing w:line="480" w:lineRule="exact"/>
        <w:ind w:firstLine="560" w:firstLineChars="200"/>
        <w:rPr>
          <w:rFonts w:eastAsia="宋体"/>
          <w:kern w:val="0"/>
          <w:sz w:val="28"/>
          <w:szCs w:val="28"/>
        </w:rPr>
      </w:pPr>
      <w:r>
        <w:rPr>
          <w:kern w:val="0"/>
          <w:sz w:val="28"/>
          <w:szCs w:val="28"/>
        </w:rPr>
        <w:t>加强对</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工作的领导，牢固树立</w:t>
      </w:r>
      <w:r>
        <w:rPr>
          <w:rFonts w:hint="eastAsia"/>
          <w:kern w:val="0"/>
          <w:sz w:val="28"/>
          <w:szCs w:val="28"/>
        </w:rPr>
        <w:t>“</w:t>
      </w:r>
      <w:r>
        <w:rPr>
          <w:kern w:val="0"/>
          <w:sz w:val="28"/>
          <w:szCs w:val="28"/>
        </w:rPr>
        <w:t>绿水青山就是金山银山</w:t>
      </w:r>
      <w:r>
        <w:rPr>
          <w:rFonts w:hint="eastAsia"/>
          <w:kern w:val="0"/>
          <w:sz w:val="28"/>
          <w:szCs w:val="28"/>
        </w:rPr>
        <w:t>”</w:t>
      </w:r>
      <w:r>
        <w:rPr>
          <w:kern w:val="0"/>
          <w:sz w:val="28"/>
          <w:szCs w:val="28"/>
        </w:rPr>
        <w:t>的发展理念，落实高质量发展要求。坚持农业农村优先发展，遵循产业兴旺、生态宜居、乡风文明、治理有效、生活富裕的总要求，抓好产业振兴、生态振兴、组织振兴、人才振兴、文化振兴的全面建设工作。以推进农村产权制度改革为先导，创新城乡融合发展机制和政策，活化乡村资源要素，激活以生态为内涵的多元业态，推进生态产业化和产业生态化，构建生态经济体系。重点推进脱贫攻坚成果巩固、农业结构调整、人居环境改造、农村基础设施和公共服务建设等任务。紧扣自治、法治和德治主题，创新乡村治理模式，推进乡村治理体系和治理能力现代化，构建乡村治理新体系，科学化、体系化、具体化推进乡村振兴。实施乡村建设行动，努力实现乡村全面振兴，建成国家生态文明示范县、宜居宜业宜游的大巴山特色生态城、</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先行示范区、生态优先绿色发展示范区和城（口）宣（汉）万（源）革命老区振兴发展示范区，打造</w:t>
      </w:r>
      <w:r>
        <w:rPr>
          <w:rFonts w:hint="eastAsia"/>
          <w:kern w:val="0"/>
          <w:sz w:val="28"/>
          <w:szCs w:val="28"/>
        </w:rPr>
        <w:t>“</w:t>
      </w:r>
      <w:r>
        <w:rPr>
          <w:kern w:val="0"/>
          <w:sz w:val="28"/>
          <w:szCs w:val="28"/>
        </w:rPr>
        <w:t>巴山原乡，生态城口</w:t>
      </w:r>
      <w:r>
        <w:rPr>
          <w:rFonts w:hint="eastAsia"/>
          <w:kern w:val="0"/>
          <w:sz w:val="28"/>
          <w:szCs w:val="28"/>
        </w:rPr>
        <w:t>”</w:t>
      </w:r>
      <w:r>
        <w:rPr>
          <w:kern w:val="0"/>
          <w:sz w:val="28"/>
          <w:szCs w:val="28"/>
        </w:rPr>
        <w:t>。</w:t>
      </w:r>
    </w:p>
    <w:p w14:paraId="69E670C1">
      <w:pPr>
        <w:spacing w:line="480" w:lineRule="exact"/>
      </w:pPr>
    </w:p>
    <w:p w14:paraId="54E90846">
      <w:pPr>
        <w:adjustRightInd w:val="0"/>
        <w:snapToGrid w:val="0"/>
        <w:spacing w:line="480" w:lineRule="exact"/>
        <w:jc w:val="center"/>
        <w:outlineLvl w:val="1"/>
        <w:rPr>
          <w:rFonts w:eastAsia="方正黑体_GBK"/>
          <w:sz w:val="36"/>
          <w:szCs w:val="36"/>
        </w:rPr>
      </w:pPr>
      <w:bookmarkStart w:id="25" w:name="_Toc19153"/>
      <w:r>
        <w:rPr>
          <w:rFonts w:eastAsia="方正黑体_GBK"/>
          <w:sz w:val="36"/>
          <w:szCs w:val="36"/>
        </w:rPr>
        <w:t>第四章  基本原则</w:t>
      </w:r>
      <w:bookmarkEnd w:id="25"/>
    </w:p>
    <w:p w14:paraId="0C946E7C">
      <w:pPr>
        <w:spacing w:line="480" w:lineRule="exact"/>
      </w:pPr>
    </w:p>
    <w:p w14:paraId="5124C4AF">
      <w:pPr>
        <w:spacing w:line="480" w:lineRule="exact"/>
        <w:ind w:firstLine="643"/>
        <w:rPr>
          <w:kern w:val="0"/>
          <w:sz w:val="28"/>
          <w:szCs w:val="28"/>
        </w:rPr>
      </w:pPr>
      <w:r>
        <w:rPr>
          <w:b/>
          <w:bCs/>
          <w:kern w:val="0"/>
          <w:sz w:val="28"/>
          <w:szCs w:val="28"/>
        </w:rPr>
        <w:t>坚持党管农村工作。</w:t>
      </w:r>
      <w:r>
        <w:rPr>
          <w:kern w:val="0"/>
          <w:sz w:val="28"/>
          <w:szCs w:val="28"/>
        </w:rPr>
        <w:t>毫不动摇地坚持和加强党对农村工作的领导，健全党管农村工作领导体制机制和党内法规，严格落实《中国共产党农村工作条例》，确保党在农村工作中始终总揽全局、协调各方，为乡村振兴提供坚强有力的政治保障。</w:t>
      </w:r>
    </w:p>
    <w:p w14:paraId="48185411">
      <w:pPr>
        <w:spacing w:line="480" w:lineRule="exact"/>
        <w:ind w:firstLine="643"/>
        <w:rPr>
          <w:kern w:val="0"/>
          <w:sz w:val="28"/>
          <w:szCs w:val="28"/>
        </w:rPr>
      </w:pPr>
      <w:r>
        <w:rPr>
          <w:b/>
          <w:bCs/>
          <w:kern w:val="0"/>
          <w:sz w:val="28"/>
          <w:szCs w:val="28"/>
        </w:rPr>
        <w:t>坚持乡村全面发展。</w:t>
      </w:r>
      <w:r>
        <w:rPr>
          <w:kern w:val="0"/>
          <w:sz w:val="28"/>
          <w:szCs w:val="28"/>
        </w:rPr>
        <w:t>重视挖掘乡村多重价值与农业多功能性，促进城乡互动与融合发展，按照统筹推进</w:t>
      </w:r>
      <w:r>
        <w:rPr>
          <w:rFonts w:hint="eastAsia"/>
          <w:kern w:val="0"/>
          <w:sz w:val="28"/>
          <w:szCs w:val="28"/>
        </w:rPr>
        <w:t>“</w:t>
      </w:r>
      <w:r>
        <w:rPr>
          <w:kern w:val="0"/>
          <w:sz w:val="28"/>
          <w:szCs w:val="28"/>
        </w:rPr>
        <w:t>五位一体</w:t>
      </w:r>
      <w:r>
        <w:rPr>
          <w:rFonts w:hint="eastAsia"/>
          <w:kern w:val="0"/>
          <w:sz w:val="28"/>
          <w:szCs w:val="28"/>
        </w:rPr>
        <w:t>”</w:t>
      </w:r>
      <w:r>
        <w:rPr>
          <w:kern w:val="0"/>
          <w:sz w:val="28"/>
          <w:szCs w:val="28"/>
        </w:rPr>
        <w:t>总体布局和协调推进</w:t>
      </w:r>
      <w:r>
        <w:rPr>
          <w:rFonts w:hint="eastAsia"/>
          <w:kern w:val="0"/>
          <w:sz w:val="28"/>
          <w:szCs w:val="28"/>
        </w:rPr>
        <w:t>“</w:t>
      </w:r>
      <w:r>
        <w:rPr>
          <w:kern w:val="0"/>
          <w:sz w:val="28"/>
          <w:szCs w:val="28"/>
        </w:rPr>
        <w:t>四个全面</w:t>
      </w:r>
      <w:r>
        <w:rPr>
          <w:rFonts w:hint="eastAsia"/>
          <w:kern w:val="0"/>
          <w:sz w:val="28"/>
          <w:szCs w:val="28"/>
        </w:rPr>
        <w:t>”</w:t>
      </w:r>
      <w:r>
        <w:rPr>
          <w:kern w:val="0"/>
          <w:sz w:val="28"/>
          <w:szCs w:val="28"/>
        </w:rPr>
        <w:t>战略布局的要求，全面推动乡村产业振兴、人才振兴、文化振兴、生态振兴、组织振兴。</w:t>
      </w:r>
    </w:p>
    <w:p w14:paraId="625A4E3C">
      <w:pPr>
        <w:spacing w:line="480" w:lineRule="exact"/>
        <w:ind w:firstLine="643"/>
        <w:rPr>
          <w:kern w:val="0"/>
          <w:sz w:val="28"/>
          <w:szCs w:val="28"/>
        </w:rPr>
      </w:pPr>
      <w:r>
        <w:rPr>
          <w:b/>
          <w:bCs/>
          <w:kern w:val="0"/>
          <w:sz w:val="28"/>
          <w:szCs w:val="28"/>
        </w:rPr>
        <w:t>坚持乡村高质量发展。</w:t>
      </w:r>
      <w:r>
        <w:rPr>
          <w:kern w:val="0"/>
          <w:sz w:val="28"/>
          <w:szCs w:val="28"/>
        </w:rPr>
        <w:t>切实发挥农民在乡村振兴中的主体作用，妥善处理农业从数量型转向质量型发展过程中的生态恢复与效益增收问题。推动乡村发展质量变革、效率变革、动力变革，高质量发展乡村经济、建设美丽宜居乡村、打造品质乡村生活。</w:t>
      </w:r>
    </w:p>
    <w:p w14:paraId="48345DA9">
      <w:pPr>
        <w:spacing w:line="480" w:lineRule="exact"/>
        <w:ind w:firstLine="562" w:firstLineChars="200"/>
        <w:rPr>
          <w:kern w:val="0"/>
          <w:sz w:val="28"/>
          <w:szCs w:val="28"/>
        </w:rPr>
      </w:pPr>
      <w:r>
        <w:rPr>
          <w:b/>
          <w:bCs/>
          <w:kern w:val="0"/>
          <w:sz w:val="28"/>
          <w:szCs w:val="28"/>
        </w:rPr>
        <w:t>坚持乡村因地制宜发展。</w:t>
      </w:r>
      <w:r>
        <w:rPr>
          <w:kern w:val="0"/>
          <w:sz w:val="28"/>
          <w:szCs w:val="28"/>
        </w:rPr>
        <w:t>科学把握乡村差异性，针对不同区域、不同村情，分层分类施策、规划先行、协调推进、交流互鉴，重视试点示范作用。不搞一刀切，不搞统一模式，不搞形象工程。</w:t>
      </w:r>
    </w:p>
    <w:p w14:paraId="235FF657">
      <w:pPr>
        <w:spacing w:line="480" w:lineRule="exact"/>
        <w:ind w:firstLine="643"/>
        <w:rPr>
          <w:kern w:val="0"/>
          <w:sz w:val="28"/>
          <w:szCs w:val="28"/>
        </w:rPr>
      </w:pPr>
      <w:r>
        <w:rPr>
          <w:b/>
          <w:bCs/>
          <w:kern w:val="0"/>
          <w:sz w:val="28"/>
          <w:szCs w:val="28"/>
        </w:rPr>
        <w:t>坚持深化改革和创新发展。</w:t>
      </w:r>
      <w:r>
        <w:rPr>
          <w:kern w:val="0"/>
          <w:sz w:val="28"/>
          <w:szCs w:val="28"/>
        </w:rPr>
        <w:t>推进农村集体产权改革，创新生态资源价值实现路径方法，激活各类要素，提升农村资源配置效率。广泛调动城乡主体参与乡村振兴，创新农村产业业态，强化科技与人才支撑，增强农业农村发展动力。</w:t>
      </w:r>
    </w:p>
    <w:p w14:paraId="6FAD17B0">
      <w:pPr>
        <w:spacing w:line="480" w:lineRule="exact"/>
        <w:ind w:firstLine="1960" w:firstLineChars="700"/>
        <w:rPr>
          <w:rFonts w:eastAsia="宋体"/>
          <w:kern w:val="0"/>
          <w:sz w:val="28"/>
          <w:szCs w:val="28"/>
        </w:rPr>
      </w:pPr>
    </w:p>
    <w:p w14:paraId="1E611B74">
      <w:pPr>
        <w:adjustRightInd w:val="0"/>
        <w:snapToGrid w:val="0"/>
        <w:spacing w:line="480" w:lineRule="exact"/>
        <w:jc w:val="center"/>
        <w:outlineLvl w:val="1"/>
        <w:rPr>
          <w:rFonts w:eastAsia="方正黑体_GBK"/>
          <w:sz w:val="36"/>
          <w:szCs w:val="36"/>
        </w:rPr>
      </w:pPr>
      <w:bookmarkStart w:id="26" w:name="_Toc18736"/>
      <w:r>
        <w:rPr>
          <w:rFonts w:eastAsia="方正黑体_GBK"/>
          <w:sz w:val="36"/>
          <w:szCs w:val="36"/>
        </w:rPr>
        <w:t>第五章  战略定位与主要路径</w:t>
      </w:r>
      <w:bookmarkEnd w:id="26"/>
    </w:p>
    <w:p w14:paraId="469D06D2">
      <w:pPr>
        <w:spacing w:line="480" w:lineRule="exact"/>
      </w:pPr>
    </w:p>
    <w:p w14:paraId="441975C3">
      <w:pPr>
        <w:spacing w:line="480" w:lineRule="exact"/>
        <w:ind w:firstLine="560" w:firstLineChars="200"/>
        <w:rPr>
          <w:kern w:val="0"/>
          <w:sz w:val="28"/>
          <w:szCs w:val="28"/>
        </w:rPr>
      </w:pPr>
      <w:r>
        <w:rPr>
          <w:kern w:val="0"/>
          <w:sz w:val="28"/>
          <w:szCs w:val="28"/>
        </w:rPr>
        <w:t>以建设国家生态文明示范县、宜居宜业宜游的大巴山特色生态城、</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先行示范区、生态优先绿色发展示范区、城（口）宣（汉）万（源）革命老区</w:t>
      </w:r>
      <w:r>
        <w:rPr>
          <w:rFonts w:hint="eastAsia"/>
          <w:kern w:val="0"/>
          <w:sz w:val="28"/>
          <w:szCs w:val="28"/>
        </w:rPr>
        <w:t>振兴发展</w:t>
      </w:r>
      <w:r>
        <w:rPr>
          <w:kern w:val="0"/>
          <w:sz w:val="28"/>
          <w:szCs w:val="28"/>
        </w:rPr>
        <w:t>示范区为目标，以促进发展方式的社会化和生态化转型为基本方向，以城乡关系变革、经济体制改革和社会治理体制改革提供持久动力，培育生态、社会、文化、组织四大系统。</w:t>
      </w:r>
    </w:p>
    <w:p w14:paraId="330DA8B1">
      <w:pPr>
        <w:spacing w:line="480" w:lineRule="exact"/>
        <w:ind w:firstLine="562" w:firstLineChars="200"/>
        <w:rPr>
          <w:kern w:val="0"/>
          <w:sz w:val="28"/>
          <w:szCs w:val="28"/>
        </w:rPr>
      </w:pPr>
      <w:r>
        <w:rPr>
          <w:b/>
          <w:bCs/>
          <w:kern w:val="0"/>
          <w:sz w:val="28"/>
          <w:szCs w:val="28"/>
        </w:rPr>
        <w:t>一个核心目标：</w:t>
      </w:r>
      <w:r>
        <w:rPr>
          <w:kern w:val="0"/>
          <w:sz w:val="28"/>
          <w:szCs w:val="28"/>
        </w:rPr>
        <w:t>充分认识城口的资源禀赋和区位条件，准确把握重要战略机遇，将生态文明建设和乡村振兴战略有机结合，突出时代特点和城口优势，建设国家生态文明示范县、</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先行示范区，打造</w:t>
      </w:r>
      <w:r>
        <w:rPr>
          <w:rFonts w:hint="eastAsia"/>
          <w:kern w:val="0"/>
          <w:sz w:val="28"/>
          <w:szCs w:val="28"/>
        </w:rPr>
        <w:t>“</w:t>
      </w:r>
      <w:r>
        <w:rPr>
          <w:kern w:val="0"/>
          <w:sz w:val="28"/>
          <w:szCs w:val="28"/>
        </w:rPr>
        <w:t>生态优先、绿色发展</w:t>
      </w:r>
      <w:r>
        <w:rPr>
          <w:rFonts w:hint="eastAsia"/>
          <w:kern w:val="0"/>
          <w:sz w:val="28"/>
          <w:szCs w:val="28"/>
        </w:rPr>
        <w:t>”</w:t>
      </w:r>
      <w:r>
        <w:rPr>
          <w:kern w:val="0"/>
          <w:sz w:val="28"/>
          <w:szCs w:val="28"/>
        </w:rPr>
        <w:t>渝东北样板。</w:t>
      </w:r>
    </w:p>
    <w:p w14:paraId="42D86B04">
      <w:pPr>
        <w:spacing w:line="480" w:lineRule="exact"/>
        <w:ind w:firstLine="562" w:firstLineChars="200"/>
        <w:rPr>
          <w:kern w:val="0"/>
          <w:sz w:val="28"/>
          <w:szCs w:val="28"/>
        </w:rPr>
      </w:pPr>
      <w:r>
        <w:rPr>
          <w:b/>
          <w:bCs/>
          <w:kern w:val="0"/>
          <w:sz w:val="28"/>
          <w:szCs w:val="28"/>
        </w:rPr>
        <w:t>两化转型：</w:t>
      </w:r>
      <w:r>
        <w:rPr>
          <w:kern w:val="0"/>
          <w:sz w:val="28"/>
          <w:szCs w:val="28"/>
        </w:rPr>
        <w:t>以城乡融合为基本方向，促进</w:t>
      </w:r>
      <w:r>
        <w:rPr>
          <w:rFonts w:hint="eastAsia"/>
          <w:kern w:val="0"/>
          <w:sz w:val="28"/>
          <w:szCs w:val="28"/>
        </w:rPr>
        <w:t>“</w:t>
      </w:r>
      <w:r>
        <w:rPr>
          <w:kern w:val="0"/>
          <w:sz w:val="28"/>
          <w:szCs w:val="28"/>
        </w:rPr>
        <w:t>市民下乡</w:t>
      </w:r>
      <w:r>
        <w:rPr>
          <w:rFonts w:hint="eastAsia"/>
          <w:kern w:val="0"/>
          <w:sz w:val="28"/>
          <w:szCs w:val="28"/>
        </w:rPr>
        <w:t>”</w:t>
      </w:r>
      <w:r>
        <w:rPr>
          <w:kern w:val="0"/>
          <w:sz w:val="28"/>
          <w:szCs w:val="28"/>
        </w:rPr>
        <w:t>和</w:t>
      </w:r>
      <w:r>
        <w:rPr>
          <w:rFonts w:hint="eastAsia"/>
          <w:kern w:val="0"/>
          <w:sz w:val="28"/>
          <w:szCs w:val="28"/>
        </w:rPr>
        <w:t>“</w:t>
      </w:r>
      <w:r>
        <w:rPr>
          <w:kern w:val="0"/>
          <w:sz w:val="28"/>
          <w:szCs w:val="28"/>
        </w:rPr>
        <w:t>生态进城</w:t>
      </w:r>
      <w:r>
        <w:rPr>
          <w:rFonts w:hint="eastAsia"/>
          <w:kern w:val="0"/>
          <w:sz w:val="28"/>
          <w:szCs w:val="28"/>
        </w:rPr>
        <w:t>”</w:t>
      </w:r>
      <w:r>
        <w:rPr>
          <w:kern w:val="0"/>
          <w:sz w:val="28"/>
          <w:szCs w:val="28"/>
        </w:rPr>
        <w:t>，调动多元主体参与乡村振兴，形成互助、平等、和谐的社会主体关系，完善利益联结机制，促进多元主体共赢发展；推动生产、生活的生态化转型，挖掘农业农村多功能性，促进长期沉淀的生态文化资源价值实现，为农户等市场主体提供长久可持续的经营性收入和财产性收益。</w:t>
      </w:r>
    </w:p>
    <w:p w14:paraId="42D7B961">
      <w:pPr>
        <w:spacing w:line="480" w:lineRule="exact"/>
        <w:ind w:firstLine="562" w:firstLineChars="200"/>
        <w:rPr>
          <w:kern w:val="0"/>
          <w:sz w:val="28"/>
          <w:szCs w:val="28"/>
        </w:rPr>
      </w:pPr>
      <w:r>
        <w:rPr>
          <w:b/>
          <w:bCs/>
          <w:kern w:val="0"/>
          <w:sz w:val="28"/>
          <w:szCs w:val="28"/>
        </w:rPr>
        <w:t>三项改革：</w:t>
      </w:r>
      <w:r>
        <w:rPr>
          <w:kern w:val="0"/>
          <w:sz w:val="28"/>
          <w:szCs w:val="28"/>
        </w:rPr>
        <w:t>改变长期存在的城乡二元结构和对立关系，建立健全城乡互动融合体制机制，从基础设施</w:t>
      </w:r>
      <w:r>
        <w:rPr>
          <w:rFonts w:hint="eastAsia"/>
          <w:kern w:val="0"/>
          <w:sz w:val="28"/>
          <w:szCs w:val="28"/>
        </w:rPr>
        <w:t>联</w:t>
      </w:r>
      <w:r>
        <w:rPr>
          <w:kern w:val="0"/>
          <w:sz w:val="28"/>
          <w:szCs w:val="28"/>
        </w:rPr>
        <w:t>通、城乡居民沟通和城乡要素互通三个方面深化城乡关系变革。促进经济体制改革，发挥市场在资源配置中的决定性作用，优化营商环境，丰富市场主体，盘活沉淀资源；更好发挥政府作用，完善基础设施和公共服务，发挥政府县域</w:t>
      </w:r>
      <w:r>
        <w:rPr>
          <w:rFonts w:hint="eastAsia"/>
          <w:kern w:val="0"/>
          <w:sz w:val="28"/>
          <w:szCs w:val="28"/>
        </w:rPr>
        <w:t>“</w:t>
      </w:r>
      <w:r>
        <w:rPr>
          <w:kern w:val="0"/>
          <w:sz w:val="28"/>
          <w:szCs w:val="28"/>
        </w:rPr>
        <w:t>做市商</w:t>
      </w:r>
      <w:r>
        <w:rPr>
          <w:rFonts w:hint="eastAsia"/>
          <w:kern w:val="0"/>
          <w:sz w:val="28"/>
          <w:szCs w:val="28"/>
        </w:rPr>
        <w:t>”</w:t>
      </w:r>
      <w:r>
        <w:rPr>
          <w:kern w:val="0"/>
          <w:sz w:val="28"/>
          <w:szCs w:val="28"/>
        </w:rPr>
        <w:t>职能，推动城口全域人气、财气和商气提升。推进社会治理体制改革，完善以党组织为引领的村庄多元化治理结构，以法治为基础，重视自治与德治作用，减轻基层政府治理负担；推进政府体制改革，围绕乡村振兴综合目标建立跨部门跨区域联动组织和协调机制，促进人、财、物优化使用，实现低成本的简约有效治理。</w:t>
      </w:r>
    </w:p>
    <w:p w14:paraId="1385BCB7">
      <w:pPr>
        <w:spacing w:line="480" w:lineRule="exact"/>
        <w:ind w:firstLine="562" w:firstLineChars="200"/>
        <w:rPr>
          <w:kern w:val="0"/>
          <w:sz w:val="28"/>
          <w:szCs w:val="28"/>
        </w:rPr>
      </w:pPr>
      <w:r>
        <w:rPr>
          <w:b/>
          <w:bCs/>
          <w:kern w:val="0"/>
          <w:sz w:val="28"/>
          <w:szCs w:val="28"/>
        </w:rPr>
        <w:t>四大系统：</w:t>
      </w:r>
      <w:r>
        <w:rPr>
          <w:kern w:val="0"/>
          <w:sz w:val="28"/>
          <w:szCs w:val="28"/>
        </w:rPr>
        <w:t>保护和培育生态系统，实现综合协调绿色发展；加强城乡互动互助系统培育，鼓励市民下乡与农民结合实现共建共创共享；培育和谐公平正义的社会系统，促进社会治理体系与治理能力现代化；培育和繁荣文化系统，为乡村振兴提供强大精神资源和动力。</w:t>
      </w:r>
    </w:p>
    <w:p w14:paraId="18764FCD">
      <w:pPr>
        <w:spacing w:line="480" w:lineRule="exact"/>
      </w:pPr>
    </w:p>
    <w:p w14:paraId="4F3A0E99">
      <w:pPr>
        <w:spacing w:line="480" w:lineRule="exact"/>
        <w:rPr>
          <w:rFonts w:eastAsia="黑体"/>
          <w:sz w:val="28"/>
          <w:szCs w:val="28"/>
        </w:rPr>
      </w:pPr>
    </w:p>
    <w:p w14:paraId="28FC02B2">
      <w:pPr>
        <w:pStyle w:val="4"/>
        <w:spacing w:line="480" w:lineRule="exact"/>
        <w:ind w:firstLine="0"/>
        <w:rPr>
          <w:bCs w:val="0"/>
          <w:sz w:val="36"/>
          <w:szCs w:val="36"/>
        </w:rPr>
      </w:pPr>
      <w:bookmarkStart w:id="27" w:name="_Toc27417"/>
      <w:r>
        <w:rPr>
          <w:bCs w:val="0"/>
          <w:sz w:val="36"/>
          <w:szCs w:val="36"/>
        </w:rPr>
        <w:t>第六章  发展目标</w:t>
      </w:r>
      <w:bookmarkEnd w:id="27"/>
    </w:p>
    <w:p w14:paraId="7FDE72C8">
      <w:pPr>
        <w:spacing w:line="480" w:lineRule="exact"/>
        <w:ind w:firstLine="641"/>
        <w:rPr>
          <w:rFonts w:eastAsia="黑体"/>
          <w:sz w:val="36"/>
          <w:szCs w:val="36"/>
        </w:rPr>
      </w:pPr>
    </w:p>
    <w:p w14:paraId="1ACB19C8">
      <w:pPr>
        <w:spacing w:line="480" w:lineRule="exact"/>
        <w:ind w:firstLine="560" w:firstLineChars="200"/>
        <w:rPr>
          <w:kern w:val="0"/>
          <w:sz w:val="28"/>
          <w:szCs w:val="28"/>
        </w:rPr>
      </w:pPr>
      <w:r>
        <w:rPr>
          <w:kern w:val="0"/>
          <w:sz w:val="28"/>
          <w:szCs w:val="28"/>
        </w:rPr>
        <w:t>从现在起到2025年，乡村多样化特色产业体系初步建立，乡村振兴相关体制机制逐步理顺，经济、文化、社会、治理、生态等方面工作取得初步成绩，脱贫攻坚成果得到全面巩固，脱贫攻坚与乡村振兴实现有效衔接，乡村建设行动取得阶段性成果，乡村振兴效果初步显现。</w:t>
      </w:r>
    </w:p>
    <w:p w14:paraId="5B79A721">
      <w:pPr>
        <w:spacing w:line="480" w:lineRule="exact"/>
        <w:ind w:firstLine="562" w:firstLineChars="200"/>
        <w:rPr>
          <w:kern w:val="0"/>
          <w:sz w:val="28"/>
          <w:szCs w:val="28"/>
        </w:rPr>
      </w:pPr>
      <w:r>
        <w:rPr>
          <w:b/>
          <w:bCs/>
          <w:kern w:val="0"/>
          <w:sz w:val="28"/>
          <w:szCs w:val="28"/>
        </w:rPr>
        <w:t>产业兴旺：</w:t>
      </w:r>
      <w:r>
        <w:rPr>
          <w:kern w:val="0"/>
          <w:sz w:val="28"/>
          <w:szCs w:val="28"/>
        </w:rPr>
        <w:t>现代山地特色农业实现提质增效，主要特色产业基本实现生态化，新产业新业态发展迅猛；现代农业产业体系、生产体系、经营体系更加合理，农产品供给体系质量明显提高。生态资源沉淀价值初步挖掘，符合乡村振兴要求的资本市场及配套制度体系初步建立。</w:t>
      </w:r>
    </w:p>
    <w:p w14:paraId="06514A62">
      <w:pPr>
        <w:spacing w:line="480" w:lineRule="exact"/>
        <w:ind w:firstLine="562" w:firstLineChars="200"/>
        <w:rPr>
          <w:kern w:val="0"/>
          <w:sz w:val="28"/>
          <w:szCs w:val="28"/>
        </w:rPr>
      </w:pPr>
      <w:r>
        <w:rPr>
          <w:b/>
          <w:bCs/>
          <w:kern w:val="0"/>
          <w:sz w:val="28"/>
          <w:szCs w:val="28"/>
        </w:rPr>
        <w:t>生态宜居：</w:t>
      </w:r>
      <w:r>
        <w:rPr>
          <w:kern w:val="0"/>
          <w:sz w:val="28"/>
          <w:szCs w:val="28"/>
        </w:rPr>
        <w:t>乡村建设行动取得初步成效，农村生产、生活和生态空间布局更趋合理，农村基础设施、农田水利设施、公共服务设施得到显著改善，农民生产生活宜居度大幅提升。</w:t>
      </w:r>
    </w:p>
    <w:p w14:paraId="54C46E0C">
      <w:pPr>
        <w:spacing w:line="480" w:lineRule="exact"/>
        <w:ind w:firstLine="562" w:firstLineChars="200"/>
        <w:rPr>
          <w:kern w:val="0"/>
          <w:sz w:val="28"/>
          <w:szCs w:val="28"/>
        </w:rPr>
      </w:pPr>
      <w:r>
        <w:rPr>
          <w:b/>
          <w:bCs/>
          <w:kern w:val="0"/>
          <w:sz w:val="28"/>
          <w:szCs w:val="28"/>
        </w:rPr>
        <w:t>乡风文明：</w:t>
      </w:r>
      <w:r>
        <w:rPr>
          <w:kern w:val="0"/>
          <w:sz w:val="28"/>
          <w:szCs w:val="28"/>
        </w:rPr>
        <w:t>乡风文明建设行动扎实推进，农村文化繁荣发展，以社会主义核心价值观为引领，巴渝文化和大巴山传统农耕文化为主体，形成文明健康的乡风民风。</w:t>
      </w:r>
    </w:p>
    <w:p w14:paraId="75DAA4B0">
      <w:pPr>
        <w:spacing w:line="480" w:lineRule="exact"/>
        <w:ind w:firstLine="562" w:firstLineChars="200"/>
        <w:rPr>
          <w:kern w:val="0"/>
          <w:sz w:val="28"/>
          <w:szCs w:val="28"/>
        </w:rPr>
      </w:pPr>
      <w:r>
        <w:rPr>
          <w:b/>
          <w:bCs/>
          <w:kern w:val="0"/>
          <w:sz w:val="28"/>
          <w:szCs w:val="28"/>
        </w:rPr>
        <w:t>治理有效：</w:t>
      </w:r>
      <w:r>
        <w:rPr>
          <w:kern w:val="0"/>
          <w:sz w:val="28"/>
          <w:szCs w:val="28"/>
        </w:rPr>
        <w:t>初步形成自治、法治、德治相结合的现代乡村社会治理体制，形成较高水平的城乡共建共治共享社会治理格局，村集体经营性收入增加，简约的低成本有效治理体系初步建立，农民的幸福感、获得感和安全感明显增强。</w:t>
      </w:r>
    </w:p>
    <w:p w14:paraId="17F065DA">
      <w:pPr>
        <w:spacing w:line="480" w:lineRule="exact"/>
        <w:ind w:firstLine="562" w:firstLineChars="200"/>
        <w:rPr>
          <w:kern w:val="0"/>
          <w:sz w:val="28"/>
          <w:szCs w:val="28"/>
        </w:rPr>
      </w:pPr>
      <w:r>
        <w:rPr>
          <w:b/>
          <w:bCs/>
          <w:kern w:val="0"/>
          <w:sz w:val="28"/>
          <w:szCs w:val="28"/>
        </w:rPr>
        <w:t>生活富裕：</w:t>
      </w:r>
      <w:r>
        <w:rPr>
          <w:kern w:val="0"/>
          <w:sz w:val="28"/>
          <w:szCs w:val="28"/>
        </w:rPr>
        <w:t>农村区域间、群体间差距不断减小，城乡居民收入比进一步缩小，脱贫攻坚成果持续巩固；农民收入水平不断提高，收入结构不断优化，财产性收入占比上升；城乡基本公共服务体系不断完善，农村民生持续改善，农民生活水平和质量明显提高。</w:t>
      </w:r>
    </w:p>
    <w:p w14:paraId="1E60043B">
      <w:pPr>
        <w:spacing w:line="480" w:lineRule="exact"/>
        <w:ind w:firstLine="560" w:firstLineChars="200"/>
        <w:rPr>
          <w:kern w:val="0"/>
          <w:sz w:val="28"/>
          <w:szCs w:val="28"/>
        </w:rPr>
      </w:pPr>
      <w:r>
        <w:rPr>
          <w:kern w:val="0"/>
          <w:sz w:val="28"/>
          <w:szCs w:val="28"/>
        </w:rPr>
        <w:t>到2035年，城口乡村振兴取得决定性成果，基本实现农业农村现代化。农村产业结构得到根本性改善，山地特色生态经济体系全面建立，农民就业质量显著提高，相对贫困进一步缓解；乡村基础设施建设水平得到全面提升，城乡基本公共服务实现均等化，城乡发展差距和居民收入差距进一步缩小；传统文化实现继承、涵养和创新，乡风文明达到新高度；乡村治理体系和治理能力现代化基本实现；乡村生态环境根本好转，全面建成</w:t>
      </w:r>
      <w:r>
        <w:rPr>
          <w:rFonts w:hint="eastAsia"/>
          <w:kern w:val="0"/>
          <w:sz w:val="28"/>
          <w:szCs w:val="28"/>
        </w:rPr>
        <w:t>“</w:t>
      </w:r>
      <w:r>
        <w:rPr>
          <w:kern w:val="0"/>
          <w:sz w:val="28"/>
          <w:szCs w:val="28"/>
        </w:rPr>
        <w:t>两山</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先行示范区，打造</w:t>
      </w:r>
      <w:r>
        <w:rPr>
          <w:rFonts w:hint="eastAsia"/>
          <w:kern w:val="0"/>
          <w:sz w:val="28"/>
          <w:szCs w:val="28"/>
        </w:rPr>
        <w:t>“</w:t>
      </w:r>
      <w:r>
        <w:rPr>
          <w:kern w:val="0"/>
          <w:sz w:val="28"/>
          <w:szCs w:val="28"/>
        </w:rPr>
        <w:t>生态优先、绿色发展</w:t>
      </w:r>
      <w:r>
        <w:rPr>
          <w:rFonts w:hint="eastAsia"/>
          <w:kern w:val="0"/>
          <w:sz w:val="28"/>
          <w:szCs w:val="28"/>
        </w:rPr>
        <w:t>”</w:t>
      </w:r>
      <w:r>
        <w:rPr>
          <w:kern w:val="0"/>
          <w:sz w:val="28"/>
          <w:szCs w:val="28"/>
        </w:rPr>
        <w:t>渝东北样板；农民生活更加美好，共同富裕取得实质性进展，农民、农村和农业实现全面发展，初步实现城口特色乡村振兴。</w:t>
      </w:r>
    </w:p>
    <w:p w14:paraId="08370DCB">
      <w:pPr>
        <w:spacing w:line="480" w:lineRule="exact"/>
        <w:ind w:firstLine="560" w:firstLineChars="200"/>
        <w:rPr>
          <w:rFonts w:eastAsia="宋体"/>
          <w:kern w:val="0"/>
          <w:sz w:val="28"/>
          <w:szCs w:val="28"/>
        </w:rPr>
      </w:pPr>
      <w:r>
        <w:rPr>
          <w:kern w:val="0"/>
          <w:sz w:val="28"/>
          <w:szCs w:val="28"/>
        </w:rPr>
        <w:t>到2050年，乡村全面振兴，农业强、农村美、农民富的社会主义现代化乡村全面建成。</w:t>
      </w:r>
    </w:p>
    <w:p w14:paraId="424F2686">
      <w:pPr>
        <w:spacing w:line="480" w:lineRule="exact"/>
        <w:rPr>
          <w:rFonts w:eastAsia="宋体"/>
          <w:kern w:val="0"/>
          <w:sz w:val="28"/>
          <w:szCs w:val="28"/>
        </w:rPr>
      </w:pPr>
    </w:p>
    <w:tbl>
      <w:tblPr>
        <w:tblStyle w:val="23"/>
        <w:tblW w:w="8515"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57" w:type="dxa"/>
          <w:bottom w:w="0" w:type="dxa"/>
          <w:right w:w="57" w:type="dxa"/>
        </w:tblCellMar>
      </w:tblPr>
      <w:tblGrid>
        <w:gridCol w:w="500"/>
        <w:gridCol w:w="354"/>
        <w:gridCol w:w="2068"/>
        <w:gridCol w:w="718"/>
        <w:gridCol w:w="828"/>
        <w:gridCol w:w="743"/>
        <w:gridCol w:w="754"/>
        <w:gridCol w:w="1094"/>
        <w:gridCol w:w="728"/>
        <w:gridCol w:w="728"/>
      </w:tblGrid>
      <w:tr w14:paraId="1D0C4A1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tblHeader/>
          <w:jc w:val="center"/>
        </w:trPr>
        <w:tc>
          <w:tcPr>
            <w:tcW w:w="8515" w:type="dxa"/>
            <w:gridSpan w:val="10"/>
            <w:noWrap/>
            <w:vAlign w:val="center"/>
          </w:tcPr>
          <w:p w14:paraId="38095051">
            <w:pPr>
              <w:pStyle w:val="6"/>
              <w:snapToGrid w:val="0"/>
              <w:spacing w:line="48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表1. 乡村振兴战略规划主要指标</w:t>
            </w:r>
          </w:p>
        </w:tc>
      </w:tr>
      <w:tr w14:paraId="7675E96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tblHeader/>
          <w:jc w:val="center"/>
        </w:trPr>
        <w:tc>
          <w:tcPr>
            <w:tcW w:w="500" w:type="dxa"/>
            <w:noWrap/>
            <w:vAlign w:val="center"/>
          </w:tcPr>
          <w:p w14:paraId="74230E62">
            <w:pPr>
              <w:snapToGrid w:val="0"/>
              <w:spacing w:line="480" w:lineRule="exact"/>
              <w:jc w:val="center"/>
              <w:rPr>
                <w:rFonts w:eastAsia="方正黑体_GBK"/>
                <w:sz w:val="21"/>
                <w:szCs w:val="21"/>
              </w:rPr>
            </w:pPr>
            <w:r>
              <w:rPr>
                <w:rFonts w:eastAsia="方正黑体_GBK"/>
                <w:sz w:val="21"/>
                <w:szCs w:val="21"/>
              </w:rPr>
              <w:t>分类</w:t>
            </w:r>
          </w:p>
        </w:tc>
        <w:tc>
          <w:tcPr>
            <w:tcW w:w="354" w:type="dxa"/>
            <w:noWrap/>
            <w:vAlign w:val="center"/>
          </w:tcPr>
          <w:p w14:paraId="59F82A4A">
            <w:pPr>
              <w:snapToGrid w:val="0"/>
              <w:spacing w:line="480" w:lineRule="exact"/>
              <w:jc w:val="center"/>
              <w:rPr>
                <w:rFonts w:eastAsia="方正黑体_GBK"/>
                <w:sz w:val="21"/>
                <w:szCs w:val="21"/>
              </w:rPr>
            </w:pPr>
            <w:r>
              <w:rPr>
                <w:rFonts w:eastAsia="方正黑体_GBK"/>
                <w:sz w:val="21"/>
                <w:szCs w:val="21"/>
              </w:rPr>
              <w:t>序号</w:t>
            </w:r>
          </w:p>
        </w:tc>
        <w:tc>
          <w:tcPr>
            <w:tcW w:w="2068" w:type="dxa"/>
            <w:noWrap/>
            <w:vAlign w:val="center"/>
          </w:tcPr>
          <w:p w14:paraId="03C401C8">
            <w:pPr>
              <w:snapToGrid w:val="0"/>
              <w:spacing w:line="480" w:lineRule="exact"/>
              <w:jc w:val="center"/>
              <w:rPr>
                <w:rFonts w:eastAsia="方正黑体_GBK"/>
                <w:sz w:val="21"/>
                <w:szCs w:val="21"/>
              </w:rPr>
            </w:pPr>
            <w:r>
              <w:rPr>
                <w:rFonts w:eastAsia="方正黑体_GBK"/>
                <w:sz w:val="21"/>
                <w:szCs w:val="21"/>
              </w:rPr>
              <w:t>主要指标</w:t>
            </w:r>
          </w:p>
        </w:tc>
        <w:tc>
          <w:tcPr>
            <w:tcW w:w="718" w:type="dxa"/>
            <w:noWrap/>
            <w:vAlign w:val="center"/>
          </w:tcPr>
          <w:p w14:paraId="4852E316">
            <w:pPr>
              <w:snapToGrid w:val="0"/>
              <w:spacing w:line="480" w:lineRule="exact"/>
              <w:jc w:val="center"/>
              <w:rPr>
                <w:rFonts w:eastAsia="方正黑体_GBK"/>
                <w:sz w:val="21"/>
                <w:szCs w:val="21"/>
              </w:rPr>
            </w:pPr>
            <w:r>
              <w:rPr>
                <w:rFonts w:eastAsia="方正黑体_GBK"/>
                <w:sz w:val="21"/>
                <w:szCs w:val="21"/>
              </w:rPr>
              <w:t>单位</w:t>
            </w:r>
          </w:p>
        </w:tc>
        <w:tc>
          <w:tcPr>
            <w:tcW w:w="828" w:type="dxa"/>
            <w:noWrap/>
            <w:vAlign w:val="center"/>
          </w:tcPr>
          <w:p w14:paraId="650F2DD1">
            <w:pPr>
              <w:snapToGrid w:val="0"/>
              <w:spacing w:line="480" w:lineRule="exact"/>
              <w:jc w:val="center"/>
              <w:rPr>
                <w:rFonts w:eastAsia="方正黑体_GBK"/>
                <w:sz w:val="21"/>
                <w:szCs w:val="21"/>
              </w:rPr>
            </w:pPr>
            <w:r>
              <w:rPr>
                <w:rFonts w:eastAsia="方正黑体_GBK"/>
                <w:sz w:val="21"/>
                <w:szCs w:val="21"/>
              </w:rPr>
              <w:t>2017年</w:t>
            </w:r>
          </w:p>
          <w:p w14:paraId="0AB2A253">
            <w:pPr>
              <w:snapToGrid w:val="0"/>
              <w:spacing w:line="480" w:lineRule="exact"/>
              <w:jc w:val="center"/>
              <w:rPr>
                <w:rFonts w:eastAsia="方正黑体_GBK"/>
                <w:sz w:val="21"/>
                <w:szCs w:val="21"/>
              </w:rPr>
            </w:pPr>
            <w:r>
              <w:rPr>
                <w:rFonts w:eastAsia="方正黑体_GBK"/>
                <w:sz w:val="21"/>
                <w:szCs w:val="21"/>
              </w:rPr>
              <w:t>〔累计〕</w:t>
            </w:r>
          </w:p>
        </w:tc>
        <w:tc>
          <w:tcPr>
            <w:tcW w:w="743" w:type="dxa"/>
            <w:noWrap/>
            <w:vAlign w:val="center"/>
          </w:tcPr>
          <w:p w14:paraId="487F5192">
            <w:pPr>
              <w:snapToGrid w:val="0"/>
              <w:spacing w:line="480" w:lineRule="exact"/>
              <w:jc w:val="center"/>
              <w:rPr>
                <w:rFonts w:eastAsia="方正黑体_GBK"/>
                <w:sz w:val="21"/>
                <w:szCs w:val="21"/>
              </w:rPr>
            </w:pPr>
            <w:r>
              <w:rPr>
                <w:rFonts w:eastAsia="方正黑体_GBK"/>
                <w:sz w:val="21"/>
                <w:szCs w:val="21"/>
              </w:rPr>
              <w:t>2020年</w:t>
            </w:r>
          </w:p>
          <w:p w14:paraId="00CEDE32">
            <w:pPr>
              <w:snapToGrid w:val="0"/>
              <w:spacing w:line="480" w:lineRule="exact"/>
              <w:jc w:val="center"/>
              <w:rPr>
                <w:rFonts w:eastAsia="方正黑体_GBK"/>
                <w:sz w:val="21"/>
                <w:szCs w:val="21"/>
              </w:rPr>
            </w:pPr>
            <w:r>
              <w:rPr>
                <w:rFonts w:eastAsia="方正黑体_GBK"/>
                <w:sz w:val="21"/>
                <w:szCs w:val="21"/>
              </w:rPr>
              <w:t>目标值</w:t>
            </w:r>
          </w:p>
        </w:tc>
        <w:tc>
          <w:tcPr>
            <w:tcW w:w="754" w:type="dxa"/>
            <w:noWrap/>
            <w:vAlign w:val="center"/>
          </w:tcPr>
          <w:p w14:paraId="473481F2">
            <w:pPr>
              <w:snapToGrid w:val="0"/>
              <w:spacing w:line="480" w:lineRule="exact"/>
              <w:jc w:val="center"/>
              <w:rPr>
                <w:rFonts w:eastAsia="方正黑体_GBK"/>
                <w:sz w:val="21"/>
                <w:szCs w:val="21"/>
              </w:rPr>
            </w:pPr>
            <w:r>
              <w:rPr>
                <w:rFonts w:eastAsia="方正黑体_GBK"/>
                <w:sz w:val="21"/>
                <w:szCs w:val="21"/>
              </w:rPr>
              <w:t>2022年</w:t>
            </w:r>
          </w:p>
          <w:p w14:paraId="70C42BA5">
            <w:pPr>
              <w:snapToGrid w:val="0"/>
              <w:spacing w:line="480" w:lineRule="exact"/>
              <w:jc w:val="center"/>
              <w:rPr>
                <w:rFonts w:eastAsia="方正黑体_GBK"/>
                <w:sz w:val="21"/>
                <w:szCs w:val="21"/>
              </w:rPr>
            </w:pPr>
            <w:r>
              <w:rPr>
                <w:rFonts w:eastAsia="方正黑体_GBK"/>
                <w:sz w:val="21"/>
                <w:szCs w:val="21"/>
              </w:rPr>
              <w:t>目标值</w:t>
            </w:r>
          </w:p>
        </w:tc>
        <w:tc>
          <w:tcPr>
            <w:tcW w:w="1094" w:type="dxa"/>
            <w:noWrap/>
            <w:vAlign w:val="center"/>
          </w:tcPr>
          <w:p w14:paraId="56CC02AA">
            <w:pPr>
              <w:snapToGrid w:val="0"/>
              <w:spacing w:line="480" w:lineRule="exact"/>
              <w:jc w:val="center"/>
              <w:rPr>
                <w:rFonts w:eastAsia="方正黑体_GBK"/>
                <w:sz w:val="21"/>
                <w:szCs w:val="21"/>
              </w:rPr>
            </w:pPr>
            <w:r>
              <w:rPr>
                <w:rFonts w:eastAsia="方正黑体_GBK"/>
                <w:sz w:val="21"/>
                <w:szCs w:val="21"/>
              </w:rPr>
              <w:t>2022年比2017年增加〔累计提高百分点〕</w:t>
            </w:r>
          </w:p>
        </w:tc>
        <w:tc>
          <w:tcPr>
            <w:tcW w:w="728" w:type="dxa"/>
            <w:noWrap/>
            <w:vAlign w:val="center"/>
          </w:tcPr>
          <w:p w14:paraId="42A57151">
            <w:pPr>
              <w:snapToGrid w:val="0"/>
              <w:spacing w:line="480" w:lineRule="exact"/>
              <w:jc w:val="center"/>
              <w:rPr>
                <w:rFonts w:eastAsia="方正黑体_GBK"/>
                <w:sz w:val="21"/>
                <w:szCs w:val="21"/>
              </w:rPr>
            </w:pPr>
            <w:r>
              <w:rPr>
                <w:rFonts w:eastAsia="方正黑体_GBK"/>
                <w:sz w:val="21"/>
                <w:szCs w:val="21"/>
              </w:rPr>
              <w:t>2025年目标值</w:t>
            </w:r>
          </w:p>
        </w:tc>
        <w:tc>
          <w:tcPr>
            <w:tcW w:w="728" w:type="dxa"/>
            <w:noWrap/>
            <w:vAlign w:val="center"/>
          </w:tcPr>
          <w:p w14:paraId="31149279">
            <w:pPr>
              <w:snapToGrid w:val="0"/>
              <w:spacing w:line="480" w:lineRule="exact"/>
              <w:jc w:val="center"/>
              <w:rPr>
                <w:rFonts w:eastAsia="方正黑体_GBK"/>
                <w:sz w:val="21"/>
                <w:szCs w:val="21"/>
              </w:rPr>
            </w:pPr>
            <w:r>
              <w:rPr>
                <w:rFonts w:eastAsia="方正黑体_GBK"/>
                <w:sz w:val="21"/>
                <w:szCs w:val="21"/>
              </w:rPr>
              <w:t>目标</w:t>
            </w:r>
          </w:p>
          <w:p w14:paraId="27C687DD">
            <w:pPr>
              <w:snapToGrid w:val="0"/>
              <w:spacing w:line="480" w:lineRule="exact"/>
              <w:jc w:val="center"/>
              <w:rPr>
                <w:rFonts w:eastAsia="方正黑体_GBK"/>
                <w:sz w:val="21"/>
                <w:szCs w:val="21"/>
              </w:rPr>
            </w:pPr>
            <w:r>
              <w:rPr>
                <w:rFonts w:eastAsia="方正黑体_GBK"/>
                <w:sz w:val="21"/>
                <w:szCs w:val="21"/>
              </w:rPr>
              <w:t>属性</w:t>
            </w:r>
          </w:p>
        </w:tc>
      </w:tr>
      <w:tr w14:paraId="4EDC98E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14:paraId="02156EF2">
            <w:pPr>
              <w:snapToGrid w:val="0"/>
              <w:spacing w:line="480" w:lineRule="exact"/>
              <w:jc w:val="center"/>
              <w:rPr>
                <w:sz w:val="21"/>
                <w:szCs w:val="21"/>
              </w:rPr>
            </w:pPr>
            <w:r>
              <w:rPr>
                <w:sz w:val="21"/>
                <w:szCs w:val="21"/>
              </w:rPr>
              <w:t>产业</w:t>
            </w:r>
          </w:p>
          <w:p w14:paraId="26571086">
            <w:pPr>
              <w:snapToGrid w:val="0"/>
              <w:spacing w:line="480" w:lineRule="exact"/>
              <w:jc w:val="center"/>
              <w:rPr>
                <w:sz w:val="21"/>
                <w:szCs w:val="21"/>
              </w:rPr>
            </w:pPr>
            <w:r>
              <w:rPr>
                <w:sz w:val="21"/>
                <w:szCs w:val="21"/>
              </w:rPr>
              <w:t>兴旺</w:t>
            </w:r>
          </w:p>
        </w:tc>
        <w:tc>
          <w:tcPr>
            <w:tcW w:w="354" w:type="dxa"/>
            <w:noWrap/>
            <w:vAlign w:val="center"/>
          </w:tcPr>
          <w:p w14:paraId="57C81BC4">
            <w:pPr>
              <w:snapToGrid w:val="0"/>
              <w:spacing w:line="480" w:lineRule="exact"/>
              <w:jc w:val="center"/>
              <w:rPr>
                <w:sz w:val="21"/>
                <w:szCs w:val="21"/>
              </w:rPr>
            </w:pPr>
            <w:r>
              <w:rPr>
                <w:sz w:val="21"/>
                <w:szCs w:val="21"/>
              </w:rPr>
              <w:t>1</w:t>
            </w:r>
          </w:p>
        </w:tc>
        <w:tc>
          <w:tcPr>
            <w:tcW w:w="2068" w:type="dxa"/>
            <w:noWrap/>
            <w:vAlign w:val="center"/>
          </w:tcPr>
          <w:p w14:paraId="1CE1A8C0">
            <w:pPr>
              <w:snapToGrid w:val="0"/>
              <w:spacing w:line="480" w:lineRule="exact"/>
              <w:rPr>
                <w:sz w:val="21"/>
                <w:szCs w:val="21"/>
              </w:rPr>
            </w:pPr>
            <w:r>
              <w:rPr>
                <w:sz w:val="21"/>
                <w:szCs w:val="21"/>
              </w:rPr>
              <w:t>粮食综合生产能力</w:t>
            </w:r>
          </w:p>
        </w:tc>
        <w:tc>
          <w:tcPr>
            <w:tcW w:w="718" w:type="dxa"/>
            <w:noWrap/>
            <w:vAlign w:val="center"/>
          </w:tcPr>
          <w:p w14:paraId="5342782A">
            <w:pPr>
              <w:snapToGrid w:val="0"/>
              <w:spacing w:line="480" w:lineRule="exact"/>
              <w:jc w:val="center"/>
              <w:rPr>
                <w:sz w:val="21"/>
                <w:szCs w:val="21"/>
              </w:rPr>
            </w:pPr>
            <w:r>
              <w:rPr>
                <w:sz w:val="21"/>
                <w:szCs w:val="21"/>
              </w:rPr>
              <w:t>万吨</w:t>
            </w:r>
          </w:p>
        </w:tc>
        <w:tc>
          <w:tcPr>
            <w:tcW w:w="828" w:type="dxa"/>
            <w:noWrap/>
            <w:vAlign w:val="center"/>
          </w:tcPr>
          <w:p w14:paraId="45FB5A35">
            <w:pPr>
              <w:snapToGrid w:val="0"/>
              <w:spacing w:line="480" w:lineRule="exact"/>
              <w:jc w:val="center"/>
              <w:rPr>
                <w:kern w:val="0"/>
                <w:sz w:val="21"/>
                <w:szCs w:val="21"/>
              </w:rPr>
            </w:pPr>
            <w:r>
              <w:rPr>
                <w:kern w:val="0"/>
                <w:sz w:val="21"/>
                <w:szCs w:val="21"/>
              </w:rPr>
              <w:t>8.8</w:t>
            </w:r>
          </w:p>
        </w:tc>
        <w:tc>
          <w:tcPr>
            <w:tcW w:w="743" w:type="dxa"/>
            <w:noWrap/>
            <w:vAlign w:val="center"/>
          </w:tcPr>
          <w:p w14:paraId="0239DC2A">
            <w:pPr>
              <w:snapToGrid w:val="0"/>
              <w:spacing w:line="480" w:lineRule="exact"/>
              <w:jc w:val="center"/>
              <w:rPr>
                <w:kern w:val="0"/>
                <w:sz w:val="21"/>
                <w:szCs w:val="21"/>
              </w:rPr>
            </w:pPr>
            <w:r>
              <w:rPr>
                <w:kern w:val="0"/>
                <w:sz w:val="21"/>
                <w:szCs w:val="21"/>
              </w:rPr>
              <w:t>8.6</w:t>
            </w:r>
          </w:p>
        </w:tc>
        <w:tc>
          <w:tcPr>
            <w:tcW w:w="754" w:type="dxa"/>
            <w:noWrap/>
            <w:vAlign w:val="center"/>
          </w:tcPr>
          <w:p w14:paraId="2DC3AD14">
            <w:pPr>
              <w:snapToGrid w:val="0"/>
              <w:spacing w:line="480" w:lineRule="exact"/>
              <w:jc w:val="center"/>
              <w:rPr>
                <w:kern w:val="0"/>
                <w:sz w:val="21"/>
                <w:szCs w:val="21"/>
              </w:rPr>
            </w:pPr>
            <w:r>
              <w:rPr>
                <w:kern w:val="0"/>
                <w:sz w:val="21"/>
                <w:szCs w:val="21"/>
              </w:rPr>
              <w:t>8.7</w:t>
            </w:r>
          </w:p>
        </w:tc>
        <w:tc>
          <w:tcPr>
            <w:tcW w:w="1094" w:type="dxa"/>
            <w:noWrap/>
            <w:vAlign w:val="center"/>
          </w:tcPr>
          <w:p w14:paraId="38AA7D70">
            <w:pPr>
              <w:snapToGrid w:val="0"/>
              <w:spacing w:line="480" w:lineRule="exact"/>
              <w:jc w:val="center"/>
              <w:rPr>
                <w:kern w:val="0"/>
                <w:sz w:val="21"/>
                <w:szCs w:val="21"/>
              </w:rPr>
            </w:pPr>
            <w:r>
              <w:rPr>
                <w:kern w:val="0"/>
                <w:sz w:val="21"/>
                <w:szCs w:val="21"/>
              </w:rPr>
              <w:t>—</w:t>
            </w:r>
          </w:p>
        </w:tc>
        <w:tc>
          <w:tcPr>
            <w:tcW w:w="728" w:type="dxa"/>
            <w:noWrap/>
            <w:vAlign w:val="center"/>
          </w:tcPr>
          <w:p w14:paraId="1CB051E8">
            <w:pPr>
              <w:widowControl/>
              <w:snapToGrid w:val="0"/>
              <w:spacing w:line="480" w:lineRule="exact"/>
              <w:jc w:val="center"/>
              <w:rPr>
                <w:sz w:val="21"/>
                <w:szCs w:val="21"/>
              </w:rPr>
            </w:pPr>
            <w:r>
              <w:rPr>
                <w:sz w:val="21"/>
                <w:szCs w:val="21"/>
              </w:rPr>
              <w:t>8</w:t>
            </w:r>
          </w:p>
        </w:tc>
        <w:tc>
          <w:tcPr>
            <w:tcW w:w="728" w:type="dxa"/>
            <w:noWrap/>
            <w:vAlign w:val="center"/>
          </w:tcPr>
          <w:p w14:paraId="00765C15">
            <w:pPr>
              <w:widowControl/>
              <w:snapToGrid w:val="0"/>
              <w:spacing w:line="480" w:lineRule="exact"/>
              <w:jc w:val="center"/>
              <w:rPr>
                <w:sz w:val="21"/>
                <w:szCs w:val="21"/>
              </w:rPr>
            </w:pPr>
            <w:r>
              <w:rPr>
                <w:sz w:val="21"/>
                <w:szCs w:val="21"/>
              </w:rPr>
              <w:t>约束性</w:t>
            </w:r>
          </w:p>
        </w:tc>
      </w:tr>
      <w:tr w14:paraId="5875CEF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2E9C37F7">
            <w:pPr>
              <w:snapToGrid w:val="0"/>
              <w:spacing w:line="480" w:lineRule="exact"/>
              <w:jc w:val="center"/>
              <w:rPr>
                <w:sz w:val="21"/>
                <w:szCs w:val="21"/>
              </w:rPr>
            </w:pPr>
          </w:p>
        </w:tc>
        <w:tc>
          <w:tcPr>
            <w:tcW w:w="354" w:type="dxa"/>
            <w:noWrap/>
            <w:vAlign w:val="center"/>
          </w:tcPr>
          <w:p w14:paraId="28DB2462">
            <w:pPr>
              <w:snapToGrid w:val="0"/>
              <w:spacing w:line="480" w:lineRule="exact"/>
              <w:jc w:val="center"/>
              <w:rPr>
                <w:sz w:val="21"/>
                <w:szCs w:val="21"/>
              </w:rPr>
            </w:pPr>
            <w:r>
              <w:rPr>
                <w:sz w:val="21"/>
                <w:szCs w:val="21"/>
              </w:rPr>
              <w:t>2</w:t>
            </w:r>
          </w:p>
        </w:tc>
        <w:tc>
          <w:tcPr>
            <w:tcW w:w="2068" w:type="dxa"/>
            <w:noWrap/>
            <w:vAlign w:val="center"/>
          </w:tcPr>
          <w:p w14:paraId="1B51D96C">
            <w:pPr>
              <w:snapToGrid w:val="0"/>
              <w:spacing w:line="480" w:lineRule="exact"/>
              <w:rPr>
                <w:sz w:val="21"/>
                <w:szCs w:val="21"/>
              </w:rPr>
            </w:pPr>
            <w:r>
              <w:rPr>
                <w:sz w:val="21"/>
                <w:szCs w:val="21"/>
              </w:rPr>
              <w:t>*现代山地特色高效农业增加值</w:t>
            </w:r>
          </w:p>
        </w:tc>
        <w:tc>
          <w:tcPr>
            <w:tcW w:w="718" w:type="dxa"/>
            <w:noWrap/>
            <w:vAlign w:val="center"/>
          </w:tcPr>
          <w:p w14:paraId="5F15982C">
            <w:pPr>
              <w:snapToGrid w:val="0"/>
              <w:spacing w:line="480" w:lineRule="exact"/>
              <w:jc w:val="center"/>
              <w:rPr>
                <w:sz w:val="21"/>
                <w:szCs w:val="21"/>
              </w:rPr>
            </w:pPr>
            <w:r>
              <w:rPr>
                <w:sz w:val="21"/>
                <w:szCs w:val="21"/>
              </w:rPr>
              <w:t>亿元</w:t>
            </w:r>
          </w:p>
        </w:tc>
        <w:tc>
          <w:tcPr>
            <w:tcW w:w="828" w:type="dxa"/>
            <w:noWrap/>
            <w:vAlign w:val="center"/>
          </w:tcPr>
          <w:p w14:paraId="200EE347">
            <w:pPr>
              <w:snapToGrid w:val="0"/>
              <w:spacing w:line="480" w:lineRule="exact"/>
              <w:jc w:val="center"/>
              <w:rPr>
                <w:sz w:val="21"/>
                <w:szCs w:val="21"/>
              </w:rPr>
            </w:pPr>
            <w:r>
              <w:rPr>
                <w:sz w:val="21"/>
                <w:szCs w:val="21"/>
              </w:rPr>
              <w:t>8.62</w:t>
            </w:r>
          </w:p>
        </w:tc>
        <w:tc>
          <w:tcPr>
            <w:tcW w:w="743" w:type="dxa"/>
            <w:noWrap/>
            <w:vAlign w:val="center"/>
          </w:tcPr>
          <w:p w14:paraId="6EFE5649">
            <w:pPr>
              <w:snapToGrid w:val="0"/>
              <w:spacing w:line="480" w:lineRule="exact"/>
              <w:jc w:val="center"/>
              <w:rPr>
                <w:sz w:val="21"/>
                <w:szCs w:val="21"/>
              </w:rPr>
            </w:pPr>
            <w:r>
              <w:rPr>
                <w:sz w:val="21"/>
                <w:szCs w:val="21"/>
              </w:rPr>
              <w:t>12.27</w:t>
            </w:r>
          </w:p>
        </w:tc>
        <w:tc>
          <w:tcPr>
            <w:tcW w:w="754" w:type="dxa"/>
            <w:noWrap/>
            <w:vAlign w:val="center"/>
          </w:tcPr>
          <w:p w14:paraId="23CBABD8">
            <w:pPr>
              <w:snapToGrid w:val="0"/>
              <w:spacing w:line="480" w:lineRule="exact"/>
              <w:jc w:val="center"/>
              <w:rPr>
                <w:sz w:val="21"/>
                <w:szCs w:val="21"/>
              </w:rPr>
            </w:pPr>
            <w:r>
              <w:rPr>
                <w:sz w:val="21"/>
                <w:szCs w:val="21"/>
              </w:rPr>
              <w:t>13.4</w:t>
            </w:r>
          </w:p>
        </w:tc>
        <w:tc>
          <w:tcPr>
            <w:tcW w:w="1094" w:type="dxa"/>
            <w:noWrap/>
            <w:vAlign w:val="center"/>
          </w:tcPr>
          <w:p w14:paraId="2758D510">
            <w:pPr>
              <w:snapToGrid w:val="0"/>
              <w:spacing w:line="480" w:lineRule="exact"/>
              <w:jc w:val="center"/>
              <w:rPr>
                <w:sz w:val="21"/>
                <w:szCs w:val="21"/>
              </w:rPr>
            </w:pPr>
            <w:r>
              <w:rPr>
                <w:sz w:val="21"/>
                <w:szCs w:val="21"/>
              </w:rPr>
              <w:t>4.78</w:t>
            </w:r>
          </w:p>
        </w:tc>
        <w:tc>
          <w:tcPr>
            <w:tcW w:w="728" w:type="dxa"/>
            <w:noWrap/>
            <w:vAlign w:val="center"/>
          </w:tcPr>
          <w:p w14:paraId="36DF25D4">
            <w:pPr>
              <w:widowControl/>
              <w:snapToGrid w:val="0"/>
              <w:spacing w:line="480" w:lineRule="exact"/>
              <w:jc w:val="center"/>
              <w:rPr>
                <w:sz w:val="21"/>
                <w:szCs w:val="21"/>
              </w:rPr>
            </w:pPr>
            <w:r>
              <w:rPr>
                <w:sz w:val="21"/>
                <w:szCs w:val="21"/>
              </w:rPr>
              <w:t>15.3</w:t>
            </w:r>
          </w:p>
        </w:tc>
        <w:tc>
          <w:tcPr>
            <w:tcW w:w="728" w:type="dxa"/>
            <w:noWrap/>
            <w:vAlign w:val="center"/>
          </w:tcPr>
          <w:p w14:paraId="243B99A7">
            <w:pPr>
              <w:widowControl/>
              <w:snapToGrid w:val="0"/>
              <w:spacing w:line="480" w:lineRule="exact"/>
              <w:jc w:val="center"/>
              <w:rPr>
                <w:sz w:val="21"/>
                <w:szCs w:val="21"/>
              </w:rPr>
            </w:pPr>
            <w:r>
              <w:rPr>
                <w:sz w:val="21"/>
                <w:szCs w:val="21"/>
              </w:rPr>
              <w:t>预期性</w:t>
            </w:r>
          </w:p>
        </w:tc>
      </w:tr>
      <w:tr w14:paraId="3B42892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1CE913D">
            <w:pPr>
              <w:snapToGrid w:val="0"/>
              <w:spacing w:line="480" w:lineRule="exact"/>
              <w:jc w:val="center"/>
              <w:rPr>
                <w:sz w:val="21"/>
                <w:szCs w:val="21"/>
              </w:rPr>
            </w:pPr>
          </w:p>
        </w:tc>
        <w:tc>
          <w:tcPr>
            <w:tcW w:w="354" w:type="dxa"/>
            <w:noWrap/>
            <w:vAlign w:val="center"/>
          </w:tcPr>
          <w:p w14:paraId="141A7F4E">
            <w:pPr>
              <w:snapToGrid w:val="0"/>
              <w:spacing w:line="480" w:lineRule="exact"/>
              <w:jc w:val="center"/>
              <w:rPr>
                <w:sz w:val="21"/>
                <w:szCs w:val="21"/>
              </w:rPr>
            </w:pPr>
            <w:r>
              <w:rPr>
                <w:sz w:val="21"/>
                <w:szCs w:val="21"/>
              </w:rPr>
              <w:t>3</w:t>
            </w:r>
          </w:p>
        </w:tc>
        <w:tc>
          <w:tcPr>
            <w:tcW w:w="2068" w:type="dxa"/>
            <w:noWrap/>
            <w:vAlign w:val="center"/>
          </w:tcPr>
          <w:p w14:paraId="0680FD45">
            <w:pPr>
              <w:snapToGrid w:val="0"/>
              <w:spacing w:line="480" w:lineRule="exact"/>
              <w:rPr>
                <w:sz w:val="21"/>
                <w:szCs w:val="21"/>
                <w:lang w:val="zh-TW"/>
              </w:rPr>
            </w:pPr>
            <w:r>
              <w:rPr>
                <w:sz w:val="21"/>
                <w:szCs w:val="21"/>
                <w:lang w:val="zh-TW"/>
              </w:rPr>
              <w:t>休闲农业和乡村旅游接待人次</w:t>
            </w:r>
          </w:p>
        </w:tc>
        <w:tc>
          <w:tcPr>
            <w:tcW w:w="718" w:type="dxa"/>
            <w:noWrap/>
            <w:vAlign w:val="center"/>
          </w:tcPr>
          <w:p w14:paraId="41E4DCEE">
            <w:pPr>
              <w:snapToGrid w:val="0"/>
              <w:spacing w:line="480" w:lineRule="exact"/>
              <w:jc w:val="center"/>
              <w:rPr>
                <w:sz w:val="21"/>
                <w:szCs w:val="21"/>
                <w:lang w:val="zh-TW"/>
              </w:rPr>
            </w:pPr>
            <w:r>
              <w:rPr>
                <w:sz w:val="21"/>
                <w:szCs w:val="21"/>
                <w:lang w:val="zh-TW"/>
              </w:rPr>
              <w:t>亿人次</w:t>
            </w:r>
          </w:p>
        </w:tc>
        <w:tc>
          <w:tcPr>
            <w:tcW w:w="828" w:type="dxa"/>
            <w:noWrap/>
            <w:vAlign w:val="center"/>
          </w:tcPr>
          <w:p w14:paraId="689D35A7">
            <w:pPr>
              <w:snapToGrid w:val="0"/>
              <w:spacing w:line="480" w:lineRule="exact"/>
              <w:jc w:val="center"/>
              <w:rPr>
                <w:sz w:val="21"/>
                <w:szCs w:val="21"/>
              </w:rPr>
            </w:pPr>
            <w:r>
              <w:rPr>
                <w:sz w:val="21"/>
                <w:szCs w:val="21"/>
              </w:rPr>
              <w:t>0.0314</w:t>
            </w:r>
          </w:p>
        </w:tc>
        <w:tc>
          <w:tcPr>
            <w:tcW w:w="743" w:type="dxa"/>
            <w:noWrap/>
            <w:vAlign w:val="center"/>
          </w:tcPr>
          <w:p w14:paraId="0BAEBA3D">
            <w:pPr>
              <w:snapToGrid w:val="0"/>
              <w:spacing w:line="480" w:lineRule="exact"/>
              <w:jc w:val="center"/>
              <w:rPr>
                <w:sz w:val="21"/>
                <w:szCs w:val="21"/>
              </w:rPr>
            </w:pPr>
            <w:r>
              <w:rPr>
                <w:sz w:val="21"/>
                <w:szCs w:val="21"/>
              </w:rPr>
              <w:t>0.045</w:t>
            </w:r>
          </w:p>
        </w:tc>
        <w:tc>
          <w:tcPr>
            <w:tcW w:w="754" w:type="dxa"/>
            <w:noWrap/>
            <w:vAlign w:val="center"/>
          </w:tcPr>
          <w:p w14:paraId="606B44DF">
            <w:pPr>
              <w:snapToGrid w:val="0"/>
              <w:spacing w:line="480" w:lineRule="exact"/>
              <w:jc w:val="center"/>
              <w:rPr>
                <w:sz w:val="21"/>
                <w:szCs w:val="21"/>
              </w:rPr>
            </w:pPr>
            <w:r>
              <w:rPr>
                <w:sz w:val="21"/>
                <w:szCs w:val="21"/>
              </w:rPr>
              <w:t>0.065</w:t>
            </w:r>
          </w:p>
        </w:tc>
        <w:tc>
          <w:tcPr>
            <w:tcW w:w="1094" w:type="dxa"/>
            <w:noWrap/>
            <w:vAlign w:val="center"/>
          </w:tcPr>
          <w:p w14:paraId="218B85CE">
            <w:pPr>
              <w:snapToGrid w:val="0"/>
              <w:spacing w:line="480" w:lineRule="exact"/>
              <w:jc w:val="center"/>
              <w:rPr>
                <w:sz w:val="21"/>
                <w:szCs w:val="21"/>
              </w:rPr>
            </w:pPr>
            <w:r>
              <w:rPr>
                <w:sz w:val="21"/>
                <w:szCs w:val="21"/>
              </w:rPr>
              <w:t>0.0336</w:t>
            </w:r>
          </w:p>
        </w:tc>
        <w:tc>
          <w:tcPr>
            <w:tcW w:w="728" w:type="dxa"/>
            <w:noWrap/>
            <w:vAlign w:val="center"/>
          </w:tcPr>
          <w:p w14:paraId="49B6DE5D">
            <w:pPr>
              <w:widowControl/>
              <w:snapToGrid w:val="0"/>
              <w:spacing w:line="480" w:lineRule="exact"/>
              <w:jc w:val="center"/>
              <w:rPr>
                <w:sz w:val="21"/>
                <w:szCs w:val="21"/>
              </w:rPr>
            </w:pPr>
            <w:r>
              <w:rPr>
                <w:sz w:val="21"/>
                <w:szCs w:val="21"/>
              </w:rPr>
              <w:t>0.12</w:t>
            </w:r>
          </w:p>
        </w:tc>
        <w:tc>
          <w:tcPr>
            <w:tcW w:w="728" w:type="dxa"/>
            <w:noWrap/>
            <w:vAlign w:val="center"/>
          </w:tcPr>
          <w:p w14:paraId="17473F80">
            <w:pPr>
              <w:widowControl/>
              <w:snapToGrid w:val="0"/>
              <w:spacing w:line="480" w:lineRule="exact"/>
              <w:jc w:val="center"/>
              <w:rPr>
                <w:sz w:val="21"/>
                <w:szCs w:val="21"/>
              </w:rPr>
            </w:pPr>
            <w:r>
              <w:rPr>
                <w:sz w:val="21"/>
                <w:szCs w:val="21"/>
              </w:rPr>
              <w:t>预期性</w:t>
            </w:r>
          </w:p>
        </w:tc>
      </w:tr>
      <w:tr w14:paraId="5697B9D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3E71F61">
            <w:pPr>
              <w:snapToGrid w:val="0"/>
              <w:spacing w:line="480" w:lineRule="exact"/>
              <w:jc w:val="center"/>
              <w:rPr>
                <w:sz w:val="21"/>
                <w:szCs w:val="21"/>
              </w:rPr>
            </w:pPr>
          </w:p>
        </w:tc>
        <w:tc>
          <w:tcPr>
            <w:tcW w:w="354" w:type="dxa"/>
            <w:noWrap/>
            <w:vAlign w:val="center"/>
          </w:tcPr>
          <w:p w14:paraId="6D00D9AA">
            <w:pPr>
              <w:snapToGrid w:val="0"/>
              <w:spacing w:line="480" w:lineRule="exact"/>
              <w:jc w:val="center"/>
              <w:rPr>
                <w:sz w:val="21"/>
                <w:szCs w:val="21"/>
              </w:rPr>
            </w:pPr>
            <w:r>
              <w:rPr>
                <w:sz w:val="21"/>
                <w:szCs w:val="21"/>
              </w:rPr>
              <w:t>4</w:t>
            </w:r>
          </w:p>
        </w:tc>
        <w:tc>
          <w:tcPr>
            <w:tcW w:w="2068" w:type="dxa"/>
            <w:noWrap/>
            <w:vAlign w:val="center"/>
          </w:tcPr>
          <w:p w14:paraId="038341B7">
            <w:pPr>
              <w:snapToGrid w:val="0"/>
              <w:spacing w:line="480" w:lineRule="exact"/>
              <w:rPr>
                <w:sz w:val="21"/>
                <w:szCs w:val="21"/>
                <w:lang w:val="zh-TW"/>
              </w:rPr>
            </w:pPr>
            <w:r>
              <w:rPr>
                <w:sz w:val="21"/>
                <w:szCs w:val="21"/>
              </w:rPr>
              <w:t>农产品加工产值与农业总产值比</w:t>
            </w:r>
          </w:p>
        </w:tc>
        <w:tc>
          <w:tcPr>
            <w:tcW w:w="718" w:type="dxa"/>
            <w:noWrap/>
            <w:vAlign w:val="center"/>
          </w:tcPr>
          <w:p w14:paraId="0CACFB94">
            <w:pPr>
              <w:snapToGrid w:val="0"/>
              <w:spacing w:line="480" w:lineRule="exact"/>
              <w:jc w:val="center"/>
              <w:rPr>
                <w:sz w:val="21"/>
                <w:szCs w:val="21"/>
                <w:lang w:val="zh-TW"/>
              </w:rPr>
            </w:pPr>
            <w:r>
              <w:rPr>
                <w:sz w:val="21"/>
                <w:szCs w:val="21"/>
                <w:lang w:val="zh-TW"/>
              </w:rPr>
              <w:t>—</w:t>
            </w:r>
          </w:p>
        </w:tc>
        <w:tc>
          <w:tcPr>
            <w:tcW w:w="828" w:type="dxa"/>
            <w:noWrap/>
            <w:vAlign w:val="center"/>
          </w:tcPr>
          <w:p w14:paraId="646BCDE0">
            <w:pPr>
              <w:snapToGrid w:val="0"/>
              <w:spacing w:line="480" w:lineRule="exact"/>
              <w:jc w:val="center"/>
              <w:rPr>
                <w:sz w:val="21"/>
                <w:szCs w:val="21"/>
              </w:rPr>
            </w:pPr>
            <w:r>
              <w:rPr>
                <w:sz w:val="21"/>
                <w:szCs w:val="21"/>
              </w:rPr>
              <w:t>1.6</w:t>
            </w:r>
          </w:p>
        </w:tc>
        <w:tc>
          <w:tcPr>
            <w:tcW w:w="743" w:type="dxa"/>
            <w:noWrap/>
            <w:vAlign w:val="center"/>
          </w:tcPr>
          <w:p w14:paraId="29A8DE77">
            <w:pPr>
              <w:snapToGrid w:val="0"/>
              <w:spacing w:line="480" w:lineRule="exact"/>
              <w:jc w:val="center"/>
              <w:rPr>
                <w:sz w:val="21"/>
                <w:szCs w:val="21"/>
              </w:rPr>
            </w:pPr>
            <w:r>
              <w:rPr>
                <w:sz w:val="21"/>
                <w:szCs w:val="21"/>
              </w:rPr>
              <w:t>2.0</w:t>
            </w:r>
          </w:p>
        </w:tc>
        <w:tc>
          <w:tcPr>
            <w:tcW w:w="754" w:type="dxa"/>
            <w:noWrap/>
            <w:vAlign w:val="center"/>
          </w:tcPr>
          <w:p w14:paraId="6542D4F1">
            <w:pPr>
              <w:snapToGrid w:val="0"/>
              <w:spacing w:line="480" w:lineRule="exact"/>
              <w:jc w:val="center"/>
              <w:rPr>
                <w:sz w:val="21"/>
                <w:szCs w:val="21"/>
              </w:rPr>
            </w:pPr>
            <w:r>
              <w:rPr>
                <w:sz w:val="21"/>
                <w:szCs w:val="21"/>
              </w:rPr>
              <w:t>2.3</w:t>
            </w:r>
          </w:p>
        </w:tc>
        <w:tc>
          <w:tcPr>
            <w:tcW w:w="1094" w:type="dxa"/>
            <w:noWrap/>
            <w:vAlign w:val="center"/>
          </w:tcPr>
          <w:p w14:paraId="2895392B">
            <w:pPr>
              <w:snapToGrid w:val="0"/>
              <w:spacing w:line="480" w:lineRule="exact"/>
              <w:jc w:val="center"/>
              <w:rPr>
                <w:sz w:val="21"/>
                <w:szCs w:val="21"/>
              </w:rPr>
            </w:pPr>
            <w:r>
              <w:rPr>
                <w:sz w:val="21"/>
                <w:szCs w:val="21"/>
              </w:rPr>
              <w:t>0.7</w:t>
            </w:r>
          </w:p>
        </w:tc>
        <w:tc>
          <w:tcPr>
            <w:tcW w:w="728" w:type="dxa"/>
            <w:noWrap/>
            <w:vAlign w:val="center"/>
          </w:tcPr>
          <w:p w14:paraId="43F48783">
            <w:pPr>
              <w:widowControl/>
              <w:snapToGrid w:val="0"/>
              <w:spacing w:line="480" w:lineRule="exact"/>
              <w:jc w:val="center"/>
              <w:rPr>
                <w:sz w:val="21"/>
                <w:szCs w:val="21"/>
              </w:rPr>
            </w:pPr>
            <w:r>
              <w:rPr>
                <w:sz w:val="21"/>
                <w:szCs w:val="21"/>
              </w:rPr>
              <w:t>2.6</w:t>
            </w:r>
          </w:p>
        </w:tc>
        <w:tc>
          <w:tcPr>
            <w:tcW w:w="728" w:type="dxa"/>
            <w:noWrap/>
            <w:vAlign w:val="center"/>
          </w:tcPr>
          <w:p w14:paraId="1601FAF5">
            <w:pPr>
              <w:widowControl/>
              <w:snapToGrid w:val="0"/>
              <w:spacing w:line="480" w:lineRule="exact"/>
              <w:jc w:val="center"/>
              <w:rPr>
                <w:sz w:val="21"/>
                <w:szCs w:val="21"/>
              </w:rPr>
            </w:pPr>
            <w:r>
              <w:rPr>
                <w:sz w:val="21"/>
                <w:szCs w:val="21"/>
              </w:rPr>
              <w:t>预期性</w:t>
            </w:r>
          </w:p>
        </w:tc>
      </w:tr>
      <w:tr w14:paraId="146321A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55CF275A">
            <w:pPr>
              <w:snapToGrid w:val="0"/>
              <w:spacing w:line="480" w:lineRule="exact"/>
              <w:jc w:val="center"/>
              <w:rPr>
                <w:sz w:val="21"/>
                <w:szCs w:val="21"/>
              </w:rPr>
            </w:pPr>
          </w:p>
        </w:tc>
        <w:tc>
          <w:tcPr>
            <w:tcW w:w="354" w:type="dxa"/>
            <w:noWrap/>
            <w:vAlign w:val="center"/>
          </w:tcPr>
          <w:p w14:paraId="2A64EE98">
            <w:pPr>
              <w:snapToGrid w:val="0"/>
              <w:spacing w:line="480" w:lineRule="exact"/>
              <w:jc w:val="center"/>
              <w:rPr>
                <w:sz w:val="21"/>
                <w:szCs w:val="21"/>
              </w:rPr>
            </w:pPr>
            <w:r>
              <w:rPr>
                <w:sz w:val="21"/>
                <w:szCs w:val="21"/>
              </w:rPr>
              <w:t>5</w:t>
            </w:r>
          </w:p>
        </w:tc>
        <w:tc>
          <w:tcPr>
            <w:tcW w:w="2068" w:type="dxa"/>
            <w:noWrap/>
            <w:vAlign w:val="center"/>
          </w:tcPr>
          <w:p w14:paraId="21F5E4BF">
            <w:pPr>
              <w:snapToGrid w:val="0"/>
              <w:spacing w:line="480" w:lineRule="exact"/>
              <w:rPr>
                <w:sz w:val="21"/>
                <w:szCs w:val="21"/>
              </w:rPr>
            </w:pPr>
            <w:r>
              <w:rPr>
                <w:sz w:val="21"/>
                <w:szCs w:val="21"/>
              </w:rPr>
              <w:t>农业科技进步贡献率</w:t>
            </w:r>
          </w:p>
        </w:tc>
        <w:tc>
          <w:tcPr>
            <w:tcW w:w="718" w:type="dxa"/>
            <w:noWrap/>
            <w:vAlign w:val="center"/>
          </w:tcPr>
          <w:p w14:paraId="36E9B4A5">
            <w:pPr>
              <w:snapToGrid w:val="0"/>
              <w:spacing w:line="480" w:lineRule="exact"/>
              <w:jc w:val="center"/>
              <w:rPr>
                <w:sz w:val="21"/>
                <w:szCs w:val="21"/>
                <w:lang w:val="zh-TW"/>
              </w:rPr>
            </w:pPr>
            <w:r>
              <w:rPr>
                <w:sz w:val="21"/>
                <w:szCs w:val="21"/>
              </w:rPr>
              <w:t>%</w:t>
            </w:r>
          </w:p>
        </w:tc>
        <w:tc>
          <w:tcPr>
            <w:tcW w:w="828" w:type="dxa"/>
            <w:noWrap/>
            <w:vAlign w:val="center"/>
          </w:tcPr>
          <w:p w14:paraId="4B60B0CD">
            <w:pPr>
              <w:widowControl/>
              <w:snapToGrid w:val="0"/>
              <w:spacing w:line="480" w:lineRule="exact"/>
              <w:jc w:val="center"/>
              <w:rPr>
                <w:kern w:val="0"/>
                <w:sz w:val="21"/>
                <w:szCs w:val="21"/>
              </w:rPr>
            </w:pPr>
            <w:r>
              <w:rPr>
                <w:kern w:val="0"/>
                <w:sz w:val="21"/>
                <w:szCs w:val="21"/>
              </w:rPr>
              <w:t>54.5</w:t>
            </w:r>
          </w:p>
        </w:tc>
        <w:tc>
          <w:tcPr>
            <w:tcW w:w="743" w:type="dxa"/>
            <w:noWrap/>
            <w:vAlign w:val="center"/>
          </w:tcPr>
          <w:p w14:paraId="3E254F0F">
            <w:pPr>
              <w:widowControl/>
              <w:snapToGrid w:val="0"/>
              <w:spacing w:line="480" w:lineRule="exact"/>
              <w:jc w:val="center"/>
              <w:rPr>
                <w:kern w:val="0"/>
                <w:sz w:val="21"/>
                <w:szCs w:val="21"/>
              </w:rPr>
            </w:pPr>
            <w:r>
              <w:rPr>
                <w:kern w:val="0"/>
                <w:sz w:val="21"/>
                <w:szCs w:val="21"/>
              </w:rPr>
              <w:t xml:space="preserve"> 57</w:t>
            </w:r>
          </w:p>
        </w:tc>
        <w:tc>
          <w:tcPr>
            <w:tcW w:w="754" w:type="dxa"/>
            <w:noWrap/>
            <w:vAlign w:val="center"/>
          </w:tcPr>
          <w:p w14:paraId="3BF5AD95">
            <w:pPr>
              <w:widowControl/>
              <w:snapToGrid w:val="0"/>
              <w:spacing w:line="480" w:lineRule="exact"/>
              <w:jc w:val="center"/>
              <w:rPr>
                <w:kern w:val="0"/>
                <w:sz w:val="21"/>
                <w:szCs w:val="21"/>
              </w:rPr>
            </w:pPr>
            <w:r>
              <w:rPr>
                <w:kern w:val="0"/>
                <w:sz w:val="21"/>
                <w:szCs w:val="21"/>
              </w:rPr>
              <w:t>58.5</w:t>
            </w:r>
          </w:p>
        </w:tc>
        <w:tc>
          <w:tcPr>
            <w:tcW w:w="1094" w:type="dxa"/>
            <w:noWrap/>
            <w:vAlign w:val="center"/>
          </w:tcPr>
          <w:p w14:paraId="56ECE4B3">
            <w:pPr>
              <w:snapToGrid w:val="0"/>
              <w:spacing w:line="480" w:lineRule="exact"/>
              <w:jc w:val="center"/>
              <w:rPr>
                <w:kern w:val="0"/>
                <w:sz w:val="21"/>
                <w:szCs w:val="21"/>
              </w:rPr>
            </w:pPr>
            <w:r>
              <w:rPr>
                <w:kern w:val="0"/>
                <w:sz w:val="21"/>
                <w:szCs w:val="21"/>
              </w:rPr>
              <w:t>〔4〕</w:t>
            </w:r>
          </w:p>
        </w:tc>
        <w:tc>
          <w:tcPr>
            <w:tcW w:w="728" w:type="dxa"/>
            <w:noWrap/>
            <w:vAlign w:val="center"/>
          </w:tcPr>
          <w:p w14:paraId="7DE088AF">
            <w:pPr>
              <w:widowControl/>
              <w:snapToGrid w:val="0"/>
              <w:spacing w:line="480" w:lineRule="exact"/>
              <w:jc w:val="center"/>
              <w:rPr>
                <w:kern w:val="0"/>
                <w:sz w:val="21"/>
                <w:szCs w:val="21"/>
              </w:rPr>
            </w:pPr>
            <w:r>
              <w:rPr>
                <w:kern w:val="0"/>
                <w:sz w:val="21"/>
                <w:szCs w:val="21"/>
              </w:rPr>
              <w:t>60.5</w:t>
            </w:r>
          </w:p>
        </w:tc>
        <w:tc>
          <w:tcPr>
            <w:tcW w:w="728" w:type="dxa"/>
            <w:noWrap/>
            <w:vAlign w:val="center"/>
          </w:tcPr>
          <w:p w14:paraId="1C60FD9D">
            <w:pPr>
              <w:widowControl/>
              <w:snapToGrid w:val="0"/>
              <w:spacing w:line="480" w:lineRule="exact"/>
              <w:jc w:val="center"/>
              <w:rPr>
                <w:kern w:val="0"/>
                <w:sz w:val="21"/>
                <w:szCs w:val="21"/>
              </w:rPr>
            </w:pPr>
            <w:r>
              <w:rPr>
                <w:kern w:val="0"/>
                <w:sz w:val="21"/>
                <w:szCs w:val="21"/>
              </w:rPr>
              <w:t>预期性</w:t>
            </w:r>
          </w:p>
        </w:tc>
      </w:tr>
      <w:tr w14:paraId="0A212A1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57375C7">
            <w:pPr>
              <w:snapToGrid w:val="0"/>
              <w:spacing w:line="480" w:lineRule="exact"/>
              <w:jc w:val="center"/>
              <w:rPr>
                <w:sz w:val="21"/>
                <w:szCs w:val="21"/>
              </w:rPr>
            </w:pPr>
          </w:p>
        </w:tc>
        <w:tc>
          <w:tcPr>
            <w:tcW w:w="354" w:type="dxa"/>
            <w:noWrap/>
            <w:vAlign w:val="center"/>
          </w:tcPr>
          <w:p w14:paraId="760C7B78">
            <w:pPr>
              <w:snapToGrid w:val="0"/>
              <w:spacing w:line="480" w:lineRule="exact"/>
              <w:jc w:val="center"/>
              <w:rPr>
                <w:sz w:val="21"/>
                <w:szCs w:val="21"/>
              </w:rPr>
            </w:pPr>
            <w:r>
              <w:rPr>
                <w:sz w:val="21"/>
                <w:szCs w:val="21"/>
              </w:rPr>
              <w:t>6</w:t>
            </w:r>
          </w:p>
        </w:tc>
        <w:tc>
          <w:tcPr>
            <w:tcW w:w="2068" w:type="dxa"/>
            <w:noWrap/>
            <w:vAlign w:val="center"/>
          </w:tcPr>
          <w:p w14:paraId="097D1ED6">
            <w:pPr>
              <w:snapToGrid w:val="0"/>
              <w:spacing w:line="480" w:lineRule="exact"/>
              <w:rPr>
                <w:sz w:val="21"/>
                <w:szCs w:val="21"/>
              </w:rPr>
            </w:pPr>
            <w:r>
              <w:rPr>
                <w:sz w:val="21"/>
                <w:szCs w:val="21"/>
              </w:rPr>
              <w:t>*耕种收综合机械化水平</w:t>
            </w:r>
          </w:p>
        </w:tc>
        <w:tc>
          <w:tcPr>
            <w:tcW w:w="718" w:type="dxa"/>
            <w:noWrap/>
            <w:vAlign w:val="center"/>
          </w:tcPr>
          <w:p w14:paraId="3192739A">
            <w:pPr>
              <w:snapToGrid w:val="0"/>
              <w:spacing w:line="480" w:lineRule="exact"/>
              <w:jc w:val="center"/>
              <w:rPr>
                <w:sz w:val="21"/>
                <w:szCs w:val="21"/>
              </w:rPr>
            </w:pPr>
            <w:r>
              <w:rPr>
                <w:sz w:val="21"/>
                <w:szCs w:val="21"/>
              </w:rPr>
              <w:t>%</w:t>
            </w:r>
          </w:p>
        </w:tc>
        <w:tc>
          <w:tcPr>
            <w:tcW w:w="828" w:type="dxa"/>
            <w:noWrap/>
            <w:vAlign w:val="center"/>
          </w:tcPr>
          <w:p w14:paraId="610266A0">
            <w:pPr>
              <w:snapToGrid w:val="0"/>
              <w:spacing w:line="480" w:lineRule="exact"/>
              <w:jc w:val="center"/>
              <w:rPr>
                <w:kern w:val="0"/>
                <w:sz w:val="21"/>
                <w:szCs w:val="21"/>
              </w:rPr>
            </w:pPr>
            <w:r>
              <w:rPr>
                <w:kern w:val="0"/>
                <w:sz w:val="21"/>
                <w:szCs w:val="21"/>
              </w:rPr>
              <w:t>37.89</w:t>
            </w:r>
          </w:p>
        </w:tc>
        <w:tc>
          <w:tcPr>
            <w:tcW w:w="743" w:type="dxa"/>
            <w:noWrap/>
            <w:vAlign w:val="center"/>
          </w:tcPr>
          <w:p w14:paraId="73C139BD">
            <w:pPr>
              <w:snapToGrid w:val="0"/>
              <w:spacing w:line="480" w:lineRule="exact"/>
              <w:jc w:val="center"/>
              <w:rPr>
                <w:kern w:val="0"/>
                <w:sz w:val="21"/>
                <w:szCs w:val="21"/>
              </w:rPr>
            </w:pPr>
            <w:r>
              <w:rPr>
                <w:kern w:val="0"/>
                <w:sz w:val="21"/>
                <w:szCs w:val="21"/>
              </w:rPr>
              <w:t>37.63</w:t>
            </w:r>
          </w:p>
        </w:tc>
        <w:tc>
          <w:tcPr>
            <w:tcW w:w="754" w:type="dxa"/>
            <w:noWrap/>
            <w:vAlign w:val="center"/>
          </w:tcPr>
          <w:p w14:paraId="141A23D0">
            <w:pPr>
              <w:snapToGrid w:val="0"/>
              <w:spacing w:line="480" w:lineRule="exact"/>
              <w:jc w:val="center"/>
              <w:rPr>
                <w:kern w:val="0"/>
                <w:sz w:val="21"/>
                <w:szCs w:val="21"/>
              </w:rPr>
            </w:pPr>
            <w:r>
              <w:rPr>
                <w:kern w:val="0"/>
                <w:sz w:val="21"/>
                <w:szCs w:val="21"/>
              </w:rPr>
              <w:t>38</w:t>
            </w:r>
          </w:p>
        </w:tc>
        <w:tc>
          <w:tcPr>
            <w:tcW w:w="1094" w:type="dxa"/>
            <w:noWrap/>
            <w:vAlign w:val="center"/>
          </w:tcPr>
          <w:p w14:paraId="43CCBA3C">
            <w:pPr>
              <w:snapToGrid w:val="0"/>
              <w:spacing w:line="480" w:lineRule="exact"/>
              <w:jc w:val="center"/>
              <w:rPr>
                <w:kern w:val="0"/>
                <w:sz w:val="21"/>
                <w:szCs w:val="21"/>
              </w:rPr>
            </w:pPr>
            <w:r>
              <w:rPr>
                <w:kern w:val="0"/>
                <w:sz w:val="21"/>
                <w:szCs w:val="21"/>
              </w:rPr>
              <w:t>〔0.2〕</w:t>
            </w:r>
          </w:p>
        </w:tc>
        <w:tc>
          <w:tcPr>
            <w:tcW w:w="728" w:type="dxa"/>
            <w:noWrap/>
            <w:vAlign w:val="center"/>
          </w:tcPr>
          <w:p w14:paraId="769477EC">
            <w:pPr>
              <w:snapToGrid w:val="0"/>
              <w:spacing w:line="480" w:lineRule="exact"/>
              <w:jc w:val="center"/>
              <w:rPr>
                <w:kern w:val="0"/>
                <w:sz w:val="21"/>
                <w:szCs w:val="21"/>
              </w:rPr>
            </w:pPr>
            <w:r>
              <w:rPr>
                <w:kern w:val="0"/>
                <w:sz w:val="21"/>
                <w:szCs w:val="21"/>
              </w:rPr>
              <w:t>38.5</w:t>
            </w:r>
          </w:p>
        </w:tc>
        <w:tc>
          <w:tcPr>
            <w:tcW w:w="728" w:type="dxa"/>
            <w:noWrap/>
            <w:vAlign w:val="center"/>
          </w:tcPr>
          <w:p w14:paraId="14E2402F">
            <w:pPr>
              <w:snapToGrid w:val="0"/>
              <w:spacing w:line="480" w:lineRule="exact"/>
              <w:jc w:val="center"/>
              <w:rPr>
                <w:kern w:val="0"/>
                <w:sz w:val="21"/>
                <w:szCs w:val="21"/>
              </w:rPr>
            </w:pPr>
            <w:r>
              <w:rPr>
                <w:kern w:val="0"/>
                <w:sz w:val="21"/>
                <w:szCs w:val="21"/>
              </w:rPr>
              <w:t>预期性</w:t>
            </w:r>
          </w:p>
        </w:tc>
      </w:tr>
      <w:tr w14:paraId="5161DC1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194D26E7">
            <w:pPr>
              <w:snapToGrid w:val="0"/>
              <w:spacing w:line="480" w:lineRule="exact"/>
              <w:jc w:val="center"/>
              <w:rPr>
                <w:sz w:val="21"/>
                <w:szCs w:val="21"/>
              </w:rPr>
            </w:pPr>
          </w:p>
        </w:tc>
        <w:tc>
          <w:tcPr>
            <w:tcW w:w="354" w:type="dxa"/>
            <w:noWrap/>
            <w:vAlign w:val="center"/>
          </w:tcPr>
          <w:p w14:paraId="16CFF34A">
            <w:pPr>
              <w:snapToGrid w:val="0"/>
              <w:spacing w:line="480" w:lineRule="exact"/>
              <w:jc w:val="center"/>
              <w:rPr>
                <w:sz w:val="21"/>
                <w:szCs w:val="21"/>
              </w:rPr>
            </w:pPr>
            <w:r>
              <w:rPr>
                <w:sz w:val="21"/>
                <w:szCs w:val="21"/>
              </w:rPr>
              <w:t>7</w:t>
            </w:r>
          </w:p>
        </w:tc>
        <w:tc>
          <w:tcPr>
            <w:tcW w:w="2068" w:type="dxa"/>
            <w:noWrap/>
            <w:vAlign w:val="center"/>
          </w:tcPr>
          <w:p w14:paraId="26DCBD43">
            <w:pPr>
              <w:snapToGrid w:val="0"/>
              <w:spacing w:line="480" w:lineRule="exact"/>
              <w:rPr>
                <w:sz w:val="21"/>
                <w:szCs w:val="21"/>
              </w:rPr>
            </w:pPr>
            <w:r>
              <w:rPr>
                <w:sz w:val="21"/>
                <w:szCs w:val="21"/>
              </w:rPr>
              <w:t>农业劳动生产率</w:t>
            </w:r>
          </w:p>
        </w:tc>
        <w:tc>
          <w:tcPr>
            <w:tcW w:w="718" w:type="dxa"/>
            <w:noWrap/>
            <w:vAlign w:val="center"/>
          </w:tcPr>
          <w:p w14:paraId="01B1321A">
            <w:pPr>
              <w:snapToGrid w:val="0"/>
              <w:spacing w:line="480" w:lineRule="exact"/>
              <w:jc w:val="center"/>
              <w:rPr>
                <w:sz w:val="21"/>
                <w:szCs w:val="21"/>
              </w:rPr>
            </w:pPr>
            <w:r>
              <w:rPr>
                <w:sz w:val="21"/>
                <w:szCs w:val="21"/>
              </w:rPr>
              <w:t>万元/人</w:t>
            </w:r>
          </w:p>
        </w:tc>
        <w:tc>
          <w:tcPr>
            <w:tcW w:w="828" w:type="dxa"/>
            <w:noWrap/>
            <w:vAlign w:val="center"/>
          </w:tcPr>
          <w:p w14:paraId="0F3FDEA8">
            <w:pPr>
              <w:snapToGrid w:val="0"/>
              <w:spacing w:line="480" w:lineRule="exact"/>
              <w:jc w:val="center"/>
              <w:rPr>
                <w:sz w:val="21"/>
                <w:szCs w:val="21"/>
              </w:rPr>
            </w:pPr>
            <w:r>
              <w:rPr>
                <w:sz w:val="21"/>
                <w:szCs w:val="21"/>
              </w:rPr>
              <w:t>2.7</w:t>
            </w:r>
          </w:p>
        </w:tc>
        <w:tc>
          <w:tcPr>
            <w:tcW w:w="743" w:type="dxa"/>
            <w:noWrap/>
            <w:vAlign w:val="center"/>
          </w:tcPr>
          <w:p w14:paraId="6E7B2EDE">
            <w:pPr>
              <w:snapToGrid w:val="0"/>
              <w:spacing w:line="480" w:lineRule="exact"/>
              <w:jc w:val="center"/>
              <w:rPr>
                <w:sz w:val="21"/>
                <w:szCs w:val="21"/>
              </w:rPr>
            </w:pPr>
            <w:r>
              <w:rPr>
                <w:sz w:val="21"/>
                <w:szCs w:val="21"/>
              </w:rPr>
              <w:t>4.3</w:t>
            </w:r>
          </w:p>
        </w:tc>
        <w:tc>
          <w:tcPr>
            <w:tcW w:w="754" w:type="dxa"/>
            <w:noWrap/>
            <w:vAlign w:val="center"/>
          </w:tcPr>
          <w:p w14:paraId="04F76CD0">
            <w:pPr>
              <w:snapToGrid w:val="0"/>
              <w:spacing w:line="480" w:lineRule="exact"/>
              <w:jc w:val="center"/>
              <w:rPr>
                <w:sz w:val="21"/>
                <w:szCs w:val="21"/>
              </w:rPr>
            </w:pPr>
            <w:r>
              <w:rPr>
                <w:sz w:val="21"/>
                <w:szCs w:val="21"/>
              </w:rPr>
              <w:t>5</w:t>
            </w:r>
          </w:p>
        </w:tc>
        <w:tc>
          <w:tcPr>
            <w:tcW w:w="1094" w:type="dxa"/>
            <w:noWrap/>
            <w:vAlign w:val="center"/>
          </w:tcPr>
          <w:p w14:paraId="31E04AE1">
            <w:pPr>
              <w:snapToGrid w:val="0"/>
              <w:spacing w:line="480" w:lineRule="exact"/>
              <w:jc w:val="center"/>
              <w:rPr>
                <w:sz w:val="21"/>
                <w:szCs w:val="21"/>
              </w:rPr>
            </w:pPr>
            <w:r>
              <w:rPr>
                <w:sz w:val="21"/>
                <w:szCs w:val="21"/>
              </w:rPr>
              <w:t>2.3</w:t>
            </w:r>
          </w:p>
        </w:tc>
        <w:tc>
          <w:tcPr>
            <w:tcW w:w="728" w:type="dxa"/>
            <w:noWrap/>
            <w:vAlign w:val="center"/>
          </w:tcPr>
          <w:p w14:paraId="5AADC9E3">
            <w:pPr>
              <w:snapToGrid w:val="0"/>
              <w:spacing w:line="480" w:lineRule="exact"/>
              <w:jc w:val="center"/>
              <w:rPr>
                <w:sz w:val="21"/>
                <w:szCs w:val="21"/>
              </w:rPr>
            </w:pPr>
            <w:r>
              <w:rPr>
                <w:sz w:val="21"/>
                <w:szCs w:val="21"/>
              </w:rPr>
              <w:t>6</w:t>
            </w:r>
          </w:p>
        </w:tc>
        <w:tc>
          <w:tcPr>
            <w:tcW w:w="728" w:type="dxa"/>
            <w:noWrap/>
            <w:vAlign w:val="center"/>
          </w:tcPr>
          <w:p w14:paraId="7C10E582">
            <w:pPr>
              <w:widowControl/>
              <w:snapToGrid w:val="0"/>
              <w:spacing w:line="480" w:lineRule="exact"/>
              <w:jc w:val="center"/>
              <w:rPr>
                <w:sz w:val="21"/>
                <w:szCs w:val="21"/>
              </w:rPr>
            </w:pPr>
            <w:r>
              <w:rPr>
                <w:sz w:val="21"/>
                <w:szCs w:val="21"/>
              </w:rPr>
              <w:t>预期性</w:t>
            </w:r>
          </w:p>
        </w:tc>
      </w:tr>
      <w:tr w14:paraId="533C2CC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2088AFEC">
            <w:pPr>
              <w:snapToGrid w:val="0"/>
              <w:spacing w:line="480" w:lineRule="exact"/>
              <w:jc w:val="center"/>
              <w:rPr>
                <w:sz w:val="21"/>
                <w:szCs w:val="21"/>
              </w:rPr>
            </w:pPr>
          </w:p>
        </w:tc>
        <w:tc>
          <w:tcPr>
            <w:tcW w:w="354" w:type="dxa"/>
            <w:noWrap/>
            <w:vAlign w:val="center"/>
          </w:tcPr>
          <w:p w14:paraId="039F5BDD">
            <w:pPr>
              <w:snapToGrid w:val="0"/>
              <w:spacing w:line="480" w:lineRule="exact"/>
              <w:jc w:val="center"/>
              <w:rPr>
                <w:sz w:val="21"/>
                <w:szCs w:val="21"/>
              </w:rPr>
            </w:pPr>
            <w:r>
              <w:rPr>
                <w:sz w:val="21"/>
                <w:szCs w:val="21"/>
              </w:rPr>
              <w:t>8</w:t>
            </w:r>
          </w:p>
        </w:tc>
        <w:tc>
          <w:tcPr>
            <w:tcW w:w="2068" w:type="dxa"/>
            <w:noWrap/>
            <w:vAlign w:val="center"/>
          </w:tcPr>
          <w:p w14:paraId="2936377A">
            <w:pPr>
              <w:snapToGrid w:val="0"/>
              <w:spacing w:line="480" w:lineRule="exact"/>
              <w:rPr>
                <w:sz w:val="21"/>
                <w:szCs w:val="21"/>
                <w:lang w:val="zh-TW"/>
              </w:rPr>
            </w:pPr>
            <w:r>
              <w:rPr>
                <w:sz w:val="21"/>
                <w:szCs w:val="21"/>
              </w:rPr>
              <w:t>*</w:t>
            </w:r>
            <w:r>
              <w:rPr>
                <w:sz w:val="21"/>
                <w:szCs w:val="21"/>
                <w:lang w:val="zh-TW"/>
              </w:rPr>
              <w:t>农产品</w:t>
            </w:r>
            <w:r>
              <w:rPr>
                <w:rFonts w:hint="eastAsia"/>
                <w:sz w:val="21"/>
                <w:szCs w:val="21"/>
                <w:lang w:val="zh-TW"/>
              </w:rPr>
              <w:t>“</w:t>
            </w:r>
            <w:r>
              <w:rPr>
                <w:sz w:val="21"/>
                <w:szCs w:val="21"/>
              </w:rPr>
              <w:t>两品</w:t>
            </w:r>
            <w:r>
              <w:rPr>
                <w:sz w:val="21"/>
                <w:szCs w:val="21"/>
                <w:lang w:val="zh-TW"/>
              </w:rPr>
              <w:t>一标</w:t>
            </w:r>
            <w:r>
              <w:rPr>
                <w:rFonts w:hint="eastAsia"/>
                <w:sz w:val="21"/>
                <w:szCs w:val="21"/>
                <w:lang w:val="zh-TW"/>
              </w:rPr>
              <w:t>”</w:t>
            </w:r>
            <w:r>
              <w:rPr>
                <w:sz w:val="21"/>
                <w:szCs w:val="21"/>
                <w:lang w:val="zh-TW"/>
              </w:rPr>
              <w:t>总数</w:t>
            </w:r>
          </w:p>
        </w:tc>
        <w:tc>
          <w:tcPr>
            <w:tcW w:w="718" w:type="dxa"/>
            <w:noWrap/>
            <w:vAlign w:val="center"/>
          </w:tcPr>
          <w:p w14:paraId="132ACC33">
            <w:pPr>
              <w:snapToGrid w:val="0"/>
              <w:spacing w:line="480" w:lineRule="exact"/>
              <w:jc w:val="center"/>
              <w:rPr>
                <w:sz w:val="21"/>
                <w:szCs w:val="21"/>
                <w:lang w:val="zh-TW"/>
              </w:rPr>
            </w:pPr>
            <w:r>
              <w:rPr>
                <w:sz w:val="21"/>
                <w:szCs w:val="21"/>
                <w:lang w:val="zh-TW"/>
              </w:rPr>
              <w:t>个</w:t>
            </w:r>
          </w:p>
        </w:tc>
        <w:tc>
          <w:tcPr>
            <w:tcW w:w="828" w:type="dxa"/>
            <w:noWrap/>
            <w:vAlign w:val="center"/>
          </w:tcPr>
          <w:p w14:paraId="73F8CCAC">
            <w:pPr>
              <w:snapToGrid w:val="0"/>
              <w:spacing w:line="480" w:lineRule="exact"/>
              <w:jc w:val="center"/>
              <w:rPr>
                <w:kern w:val="0"/>
                <w:sz w:val="21"/>
                <w:szCs w:val="21"/>
              </w:rPr>
            </w:pPr>
            <w:r>
              <w:rPr>
                <w:kern w:val="0"/>
                <w:sz w:val="21"/>
                <w:szCs w:val="21"/>
              </w:rPr>
              <w:t>78</w:t>
            </w:r>
          </w:p>
        </w:tc>
        <w:tc>
          <w:tcPr>
            <w:tcW w:w="743" w:type="dxa"/>
            <w:noWrap/>
            <w:vAlign w:val="center"/>
          </w:tcPr>
          <w:p w14:paraId="650CD4A6">
            <w:pPr>
              <w:snapToGrid w:val="0"/>
              <w:spacing w:line="480" w:lineRule="exact"/>
              <w:jc w:val="center"/>
              <w:rPr>
                <w:kern w:val="0"/>
                <w:sz w:val="21"/>
                <w:szCs w:val="21"/>
              </w:rPr>
            </w:pPr>
            <w:r>
              <w:rPr>
                <w:kern w:val="0"/>
                <w:sz w:val="21"/>
                <w:szCs w:val="21"/>
              </w:rPr>
              <w:t>82</w:t>
            </w:r>
          </w:p>
        </w:tc>
        <w:tc>
          <w:tcPr>
            <w:tcW w:w="754" w:type="dxa"/>
            <w:noWrap/>
            <w:vAlign w:val="center"/>
          </w:tcPr>
          <w:p w14:paraId="2CDE0948">
            <w:pPr>
              <w:snapToGrid w:val="0"/>
              <w:spacing w:line="480" w:lineRule="exact"/>
              <w:jc w:val="center"/>
              <w:rPr>
                <w:kern w:val="0"/>
                <w:sz w:val="21"/>
                <w:szCs w:val="21"/>
              </w:rPr>
            </w:pPr>
            <w:r>
              <w:rPr>
                <w:kern w:val="0"/>
                <w:sz w:val="21"/>
                <w:szCs w:val="21"/>
              </w:rPr>
              <w:t>90</w:t>
            </w:r>
          </w:p>
        </w:tc>
        <w:tc>
          <w:tcPr>
            <w:tcW w:w="1094" w:type="dxa"/>
            <w:noWrap/>
            <w:vAlign w:val="center"/>
          </w:tcPr>
          <w:p w14:paraId="0A5B6480">
            <w:pPr>
              <w:snapToGrid w:val="0"/>
              <w:spacing w:line="480" w:lineRule="exact"/>
              <w:jc w:val="center"/>
              <w:rPr>
                <w:kern w:val="0"/>
                <w:sz w:val="21"/>
                <w:szCs w:val="21"/>
              </w:rPr>
            </w:pPr>
            <w:r>
              <w:rPr>
                <w:kern w:val="0"/>
                <w:sz w:val="21"/>
                <w:szCs w:val="21"/>
              </w:rPr>
              <w:t>8</w:t>
            </w:r>
          </w:p>
        </w:tc>
        <w:tc>
          <w:tcPr>
            <w:tcW w:w="728" w:type="dxa"/>
            <w:noWrap/>
            <w:vAlign w:val="center"/>
          </w:tcPr>
          <w:p w14:paraId="35AB46EF">
            <w:pPr>
              <w:widowControl/>
              <w:snapToGrid w:val="0"/>
              <w:spacing w:line="480" w:lineRule="exact"/>
              <w:jc w:val="center"/>
              <w:rPr>
                <w:sz w:val="21"/>
                <w:szCs w:val="21"/>
              </w:rPr>
            </w:pPr>
            <w:r>
              <w:rPr>
                <w:sz w:val="21"/>
                <w:szCs w:val="21"/>
              </w:rPr>
              <w:t>95</w:t>
            </w:r>
          </w:p>
        </w:tc>
        <w:tc>
          <w:tcPr>
            <w:tcW w:w="728" w:type="dxa"/>
            <w:noWrap/>
            <w:vAlign w:val="center"/>
          </w:tcPr>
          <w:p w14:paraId="08B2CB3D">
            <w:pPr>
              <w:widowControl/>
              <w:snapToGrid w:val="0"/>
              <w:spacing w:line="480" w:lineRule="exact"/>
              <w:jc w:val="center"/>
              <w:rPr>
                <w:sz w:val="21"/>
                <w:szCs w:val="21"/>
              </w:rPr>
            </w:pPr>
            <w:r>
              <w:rPr>
                <w:sz w:val="21"/>
                <w:szCs w:val="21"/>
              </w:rPr>
              <w:t>预期性</w:t>
            </w:r>
          </w:p>
        </w:tc>
      </w:tr>
      <w:tr w14:paraId="39806C6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14:paraId="51728407">
            <w:pPr>
              <w:snapToGrid w:val="0"/>
              <w:spacing w:line="480" w:lineRule="exact"/>
              <w:jc w:val="center"/>
              <w:rPr>
                <w:sz w:val="21"/>
                <w:szCs w:val="21"/>
              </w:rPr>
            </w:pPr>
            <w:r>
              <w:rPr>
                <w:sz w:val="21"/>
                <w:szCs w:val="21"/>
              </w:rPr>
              <w:t>生态</w:t>
            </w:r>
          </w:p>
          <w:p w14:paraId="407CEC7D">
            <w:pPr>
              <w:snapToGrid w:val="0"/>
              <w:spacing w:line="480" w:lineRule="exact"/>
              <w:jc w:val="center"/>
              <w:rPr>
                <w:sz w:val="21"/>
                <w:szCs w:val="21"/>
              </w:rPr>
            </w:pPr>
            <w:r>
              <w:rPr>
                <w:sz w:val="21"/>
                <w:szCs w:val="21"/>
              </w:rPr>
              <w:t>宜居</w:t>
            </w:r>
          </w:p>
        </w:tc>
        <w:tc>
          <w:tcPr>
            <w:tcW w:w="354" w:type="dxa"/>
            <w:noWrap/>
            <w:vAlign w:val="center"/>
          </w:tcPr>
          <w:p w14:paraId="0E214477">
            <w:pPr>
              <w:snapToGrid w:val="0"/>
              <w:spacing w:line="480" w:lineRule="exact"/>
              <w:jc w:val="center"/>
              <w:rPr>
                <w:sz w:val="21"/>
                <w:szCs w:val="21"/>
              </w:rPr>
            </w:pPr>
            <w:r>
              <w:rPr>
                <w:sz w:val="21"/>
                <w:szCs w:val="21"/>
              </w:rPr>
              <w:t>9</w:t>
            </w:r>
          </w:p>
        </w:tc>
        <w:tc>
          <w:tcPr>
            <w:tcW w:w="2068" w:type="dxa"/>
            <w:noWrap/>
            <w:vAlign w:val="center"/>
          </w:tcPr>
          <w:p w14:paraId="12917ABF">
            <w:pPr>
              <w:snapToGrid w:val="0"/>
              <w:spacing w:line="480" w:lineRule="exact"/>
              <w:rPr>
                <w:sz w:val="21"/>
                <w:szCs w:val="21"/>
              </w:rPr>
            </w:pPr>
            <w:r>
              <w:rPr>
                <w:sz w:val="21"/>
                <w:szCs w:val="21"/>
              </w:rPr>
              <w:t>畜禽粪污综合利用率</w:t>
            </w:r>
          </w:p>
        </w:tc>
        <w:tc>
          <w:tcPr>
            <w:tcW w:w="718" w:type="dxa"/>
            <w:noWrap/>
            <w:vAlign w:val="center"/>
          </w:tcPr>
          <w:p w14:paraId="1D2D4E49">
            <w:pPr>
              <w:snapToGrid w:val="0"/>
              <w:spacing w:line="480" w:lineRule="exact"/>
              <w:jc w:val="center"/>
              <w:rPr>
                <w:sz w:val="21"/>
                <w:szCs w:val="21"/>
              </w:rPr>
            </w:pPr>
            <w:r>
              <w:rPr>
                <w:sz w:val="21"/>
                <w:szCs w:val="21"/>
              </w:rPr>
              <w:t>%</w:t>
            </w:r>
          </w:p>
        </w:tc>
        <w:tc>
          <w:tcPr>
            <w:tcW w:w="828" w:type="dxa"/>
            <w:noWrap/>
            <w:vAlign w:val="center"/>
          </w:tcPr>
          <w:p w14:paraId="47E7B8C7">
            <w:pPr>
              <w:snapToGrid w:val="0"/>
              <w:spacing w:line="480" w:lineRule="exact"/>
              <w:jc w:val="center"/>
              <w:rPr>
                <w:kern w:val="0"/>
                <w:sz w:val="21"/>
                <w:szCs w:val="21"/>
              </w:rPr>
            </w:pPr>
            <w:r>
              <w:rPr>
                <w:kern w:val="0"/>
                <w:sz w:val="21"/>
                <w:szCs w:val="21"/>
              </w:rPr>
              <w:t>65</w:t>
            </w:r>
          </w:p>
        </w:tc>
        <w:tc>
          <w:tcPr>
            <w:tcW w:w="743" w:type="dxa"/>
            <w:noWrap/>
            <w:vAlign w:val="center"/>
          </w:tcPr>
          <w:p w14:paraId="6FAD2B51">
            <w:pPr>
              <w:snapToGrid w:val="0"/>
              <w:spacing w:line="480" w:lineRule="exact"/>
              <w:jc w:val="center"/>
              <w:rPr>
                <w:kern w:val="0"/>
                <w:sz w:val="21"/>
                <w:szCs w:val="21"/>
              </w:rPr>
            </w:pPr>
            <w:r>
              <w:rPr>
                <w:kern w:val="0"/>
                <w:sz w:val="21"/>
                <w:szCs w:val="21"/>
              </w:rPr>
              <w:t>75</w:t>
            </w:r>
          </w:p>
        </w:tc>
        <w:tc>
          <w:tcPr>
            <w:tcW w:w="754" w:type="dxa"/>
            <w:noWrap/>
            <w:vAlign w:val="center"/>
          </w:tcPr>
          <w:p w14:paraId="05D8EE08">
            <w:pPr>
              <w:snapToGrid w:val="0"/>
              <w:spacing w:line="480" w:lineRule="exact"/>
              <w:jc w:val="center"/>
              <w:rPr>
                <w:kern w:val="0"/>
                <w:sz w:val="21"/>
                <w:szCs w:val="21"/>
              </w:rPr>
            </w:pPr>
            <w:r>
              <w:rPr>
                <w:kern w:val="0"/>
                <w:sz w:val="21"/>
                <w:szCs w:val="21"/>
              </w:rPr>
              <w:t>75</w:t>
            </w:r>
          </w:p>
        </w:tc>
        <w:tc>
          <w:tcPr>
            <w:tcW w:w="1094" w:type="dxa"/>
            <w:noWrap/>
            <w:vAlign w:val="center"/>
          </w:tcPr>
          <w:p w14:paraId="4F6E0B2E">
            <w:pPr>
              <w:snapToGrid w:val="0"/>
              <w:spacing w:line="480" w:lineRule="exact"/>
              <w:jc w:val="center"/>
              <w:rPr>
                <w:kern w:val="0"/>
                <w:sz w:val="21"/>
                <w:szCs w:val="21"/>
              </w:rPr>
            </w:pPr>
            <w:r>
              <w:rPr>
                <w:kern w:val="0"/>
                <w:sz w:val="21"/>
                <w:szCs w:val="21"/>
              </w:rPr>
              <w:t>0</w:t>
            </w:r>
          </w:p>
        </w:tc>
        <w:tc>
          <w:tcPr>
            <w:tcW w:w="728" w:type="dxa"/>
            <w:noWrap/>
            <w:vAlign w:val="center"/>
          </w:tcPr>
          <w:p w14:paraId="6CD6B1B1">
            <w:pPr>
              <w:widowControl/>
              <w:snapToGrid w:val="0"/>
              <w:spacing w:line="480" w:lineRule="exact"/>
              <w:jc w:val="center"/>
              <w:rPr>
                <w:sz w:val="21"/>
                <w:szCs w:val="21"/>
              </w:rPr>
            </w:pPr>
            <w:r>
              <w:rPr>
                <w:sz w:val="21"/>
                <w:szCs w:val="21"/>
              </w:rPr>
              <w:t>75</w:t>
            </w:r>
          </w:p>
        </w:tc>
        <w:tc>
          <w:tcPr>
            <w:tcW w:w="728" w:type="dxa"/>
            <w:noWrap/>
            <w:vAlign w:val="center"/>
          </w:tcPr>
          <w:p w14:paraId="20EA12FF">
            <w:pPr>
              <w:widowControl/>
              <w:snapToGrid w:val="0"/>
              <w:spacing w:line="480" w:lineRule="exact"/>
              <w:jc w:val="center"/>
              <w:rPr>
                <w:sz w:val="21"/>
                <w:szCs w:val="21"/>
              </w:rPr>
            </w:pPr>
            <w:r>
              <w:rPr>
                <w:sz w:val="21"/>
                <w:szCs w:val="21"/>
              </w:rPr>
              <w:t>约束性</w:t>
            </w:r>
          </w:p>
        </w:tc>
      </w:tr>
      <w:tr w14:paraId="7D5AA40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11A1BF8B">
            <w:pPr>
              <w:snapToGrid w:val="0"/>
              <w:spacing w:line="480" w:lineRule="exact"/>
              <w:jc w:val="center"/>
              <w:rPr>
                <w:sz w:val="21"/>
                <w:szCs w:val="21"/>
              </w:rPr>
            </w:pPr>
          </w:p>
        </w:tc>
        <w:tc>
          <w:tcPr>
            <w:tcW w:w="354" w:type="dxa"/>
            <w:noWrap/>
            <w:vAlign w:val="center"/>
          </w:tcPr>
          <w:p w14:paraId="70AE0420">
            <w:pPr>
              <w:snapToGrid w:val="0"/>
              <w:spacing w:line="480" w:lineRule="exact"/>
              <w:jc w:val="center"/>
              <w:rPr>
                <w:sz w:val="21"/>
                <w:szCs w:val="21"/>
              </w:rPr>
            </w:pPr>
            <w:r>
              <w:rPr>
                <w:sz w:val="21"/>
                <w:szCs w:val="21"/>
              </w:rPr>
              <w:t>10</w:t>
            </w:r>
          </w:p>
        </w:tc>
        <w:tc>
          <w:tcPr>
            <w:tcW w:w="2068" w:type="dxa"/>
            <w:noWrap/>
            <w:vAlign w:val="center"/>
          </w:tcPr>
          <w:p w14:paraId="07029B21">
            <w:pPr>
              <w:snapToGrid w:val="0"/>
              <w:spacing w:line="480" w:lineRule="exact"/>
              <w:rPr>
                <w:sz w:val="21"/>
                <w:szCs w:val="21"/>
              </w:rPr>
            </w:pPr>
            <w:r>
              <w:rPr>
                <w:sz w:val="21"/>
                <w:szCs w:val="21"/>
              </w:rPr>
              <w:t>村落绿化覆盖率</w:t>
            </w:r>
          </w:p>
        </w:tc>
        <w:tc>
          <w:tcPr>
            <w:tcW w:w="718" w:type="dxa"/>
            <w:noWrap/>
            <w:vAlign w:val="center"/>
          </w:tcPr>
          <w:p w14:paraId="421C84B7">
            <w:pPr>
              <w:snapToGrid w:val="0"/>
              <w:spacing w:line="480" w:lineRule="exact"/>
              <w:jc w:val="center"/>
              <w:rPr>
                <w:sz w:val="21"/>
                <w:szCs w:val="21"/>
              </w:rPr>
            </w:pPr>
            <w:r>
              <w:rPr>
                <w:sz w:val="21"/>
                <w:szCs w:val="21"/>
              </w:rPr>
              <w:t>%</w:t>
            </w:r>
          </w:p>
        </w:tc>
        <w:tc>
          <w:tcPr>
            <w:tcW w:w="828" w:type="dxa"/>
            <w:noWrap/>
            <w:vAlign w:val="center"/>
          </w:tcPr>
          <w:p w14:paraId="2773D51F">
            <w:pPr>
              <w:snapToGrid w:val="0"/>
              <w:spacing w:line="480" w:lineRule="exact"/>
              <w:jc w:val="center"/>
              <w:rPr>
                <w:kern w:val="0"/>
                <w:sz w:val="21"/>
                <w:szCs w:val="21"/>
              </w:rPr>
            </w:pPr>
            <w:r>
              <w:rPr>
                <w:kern w:val="0"/>
                <w:sz w:val="21"/>
                <w:szCs w:val="21"/>
              </w:rPr>
              <w:t>40</w:t>
            </w:r>
          </w:p>
        </w:tc>
        <w:tc>
          <w:tcPr>
            <w:tcW w:w="743" w:type="dxa"/>
            <w:noWrap/>
            <w:vAlign w:val="center"/>
          </w:tcPr>
          <w:p w14:paraId="0EF4F933">
            <w:pPr>
              <w:snapToGrid w:val="0"/>
              <w:spacing w:line="480" w:lineRule="exact"/>
              <w:jc w:val="center"/>
              <w:rPr>
                <w:kern w:val="0"/>
                <w:sz w:val="21"/>
                <w:szCs w:val="21"/>
              </w:rPr>
            </w:pPr>
            <w:r>
              <w:rPr>
                <w:kern w:val="0"/>
                <w:sz w:val="21"/>
                <w:szCs w:val="21"/>
              </w:rPr>
              <w:t>43</w:t>
            </w:r>
          </w:p>
        </w:tc>
        <w:tc>
          <w:tcPr>
            <w:tcW w:w="754" w:type="dxa"/>
            <w:noWrap/>
            <w:vAlign w:val="center"/>
          </w:tcPr>
          <w:p w14:paraId="6E66A1FE">
            <w:pPr>
              <w:snapToGrid w:val="0"/>
              <w:spacing w:line="480" w:lineRule="exact"/>
              <w:jc w:val="center"/>
              <w:rPr>
                <w:kern w:val="0"/>
                <w:sz w:val="21"/>
                <w:szCs w:val="21"/>
              </w:rPr>
            </w:pPr>
            <w:r>
              <w:rPr>
                <w:kern w:val="0"/>
                <w:sz w:val="21"/>
                <w:szCs w:val="21"/>
              </w:rPr>
              <w:t>45</w:t>
            </w:r>
          </w:p>
        </w:tc>
        <w:tc>
          <w:tcPr>
            <w:tcW w:w="1094" w:type="dxa"/>
            <w:noWrap/>
            <w:vAlign w:val="center"/>
          </w:tcPr>
          <w:p w14:paraId="48223CF4">
            <w:pPr>
              <w:snapToGrid w:val="0"/>
              <w:spacing w:line="480" w:lineRule="exact"/>
              <w:jc w:val="center"/>
              <w:rPr>
                <w:kern w:val="0"/>
                <w:sz w:val="21"/>
                <w:szCs w:val="21"/>
              </w:rPr>
            </w:pPr>
            <w:r>
              <w:rPr>
                <w:kern w:val="0"/>
                <w:sz w:val="21"/>
                <w:szCs w:val="21"/>
              </w:rPr>
              <w:t>〔3〕</w:t>
            </w:r>
          </w:p>
        </w:tc>
        <w:tc>
          <w:tcPr>
            <w:tcW w:w="728" w:type="dxa"/>
            <w:noWrap/>
            <w:vAlign w:val="center"/>
          </w:tcPr>
          <w:p w14:paraId="61854C68">
            <w:pPr>
              <w:widowControl/>
              <w:snapToGrid w:val="0"/>
              <w:spacing w:line="480" w:lineRule="exact"/>
              <w:jc w:val="center"/>
              <w:rPr>
                <w:sz w:val="21"/>
                <w:szCs w:val="21"/>
              </w:rPr>
            </w:pPr>
            <w:r>
              <w:rPr>
                <w:sz w:val="21"/>
                <w:szCs w:val="21"/>
              </w:rPr>
              <w:t>50</w:t>
            </w:r>
          </w:p>
        </w:tc>
        <w:tc>
          <w:tcPr>
            <w:tcW w:w="728" w:type="dxa"/>
            <w:noWrap/>
            <w:vAlign w:val="center"/>
          </w:tcPr>
          <w:p w14:paraId="43192BDE">
            <w:pPr>
              <w:widowControl/>
              <w:snapToGrid w:val="0"/>
              <w:spacing w:line="480" w:lineRule="exact"/>
              <w:jc w:val="center"/>
              <w:rPr>
                <w:sz w:val="21"/>
                <w:szCs w:val="21"/>
              </w:rPr>
            </w:pPr>
            <w:r>
              <w:rPr>
                <w:sz w:val="21"/>
                <w:szCs w:val="21"/>
              </w:rPr>
              <w:t>预期性</w:t>
            </w:r>
          </w:p>
        </w:tc>
      </w:tr>
      <w:tr w14:paraId="73767CE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AF84BCB">
            <w:pPr>
              <w:snapToGrid w:val="0"/>
              <w:spacing w:line="480" w:lineRule="exact"/>
              <w:jc w:val="center"/>
              <w:rPr>
                <w:sz w:val="21"/>
                <w:szCs w:val="21"/>
              </w:rPr>
            </w:pPr>
          </w:p>
        </w:tc>
        <w:tc>
          <w:tcPr>
            <w:tcW w:w="354" w:type="dxa"/>
            <w:noWrap/>
            <w:vAlign w:val="center"/>
          </w:tcPr>
          <w:p w14:paraId="2C022D0F">
            <w:pPr>
              <w:snapToGrid w:val="0"/>
              <w:spacing w:line="480" w:lineRule="exact"/>
              <w:jc w:val="center"/>
              <w:rPr>
                <w:sz w:val="21"/>
                <w:szCs w:val="21"/>
              </w:rPr>
            </w:pPr>
            <w:r>
              <w:rPr>
                <w:sz w:val="21"/>
                <w:szCs w:val="21"/>
              </w:rPr>
              <w:t>11</w:t>
            </w:r>
          </w:p>
        </w:tc>
        <w:tc>
          <w:tcPr>
            <w:tcW w:w="2068" w:type="dxa"/>
            <w:noWrap/>
            <w:vAlign w:val="center"/>
          </w:tcPr>
          <w:p w14:paraId="0EB0D233">
            <w:pPr>
              <w:snapToGrid w:val="0"/>
              <w:spacing w:line="480" w:lineRule="exact"/>
              <w:rPr>
                <w:sz w:val="21"/>
                <w:szCs w:val="21"/>
              </w:rPr>
            </w:pPr>
            <w:r>
              <w:rPr>
                <w:sz w:val="21"/>
                <w:szCs w:val="21"/>
              </w:rPr>
              <w:t>对生活垃圾进行处理的村占比</w:t>
            </w:r>
          </w:p>
        </w:tc>
        <w:tc>
          <w:tcPr>
            <w:tcW w:w="718" w:type="dxa"/>
            <w:noWrap/>
            <w:vAlign w:val="center"/>
          </w:tcPr>
          <w:p w14:paraId="6851F6AC">
            <w:pPr>
              <w:snapToGrid w:val="0"/>
              <w:spacing w:line="480" w:lineRule="exact"/>
              <w:jc w:val="center"/>
              <w:rPr>
                <w:sz w:val="21"/>
                <w:szCs w:val="21"/>
              </w:rPr>
            </w:pPr>
            <w:r>
              <w:rPr>
                <w:sz w:val="21"/>
                <w:szCs w:val="21"/>
              </w:rPr>
              <w:t>%</w:t>
            </w:r>
          </w:p>
        </w:tc>
        <w:tc>
          <w:tcPr>
            <w:tcW w:w="828" w:type="dxa"/>
            <w:noWrap/>
            <w:vAlign w:val="center"/>
          </w:tcPr>
          <w:p w14:paraId="48C64BD7">
            <w:pPr>
              <w:snapToGrid w:val="0"/>
              <w:spacing w:line="480" w:lineRule="exact"/>
              <w:jc w:val="center"/>
              <w:rPr>
                <w:kern w:val="0"/>
                <w:sz w:val="21"/>
                <w:szCs w:val="21"/>
              </w:rPr>
            </w:pPr>
            <w:r>
              <w:rPr>
                <w:kern w:val="0"/>
                <w:sz w:val="21"/>
                <w:szCs w:val="21"/>
              </w:rPr>
              <w:t>86</w:t>
            </w:r>
          </w:p>
        </w:tc>
        <w:tc>
          <w:tcPr>
            <w:tcW w:w="743" w:type="dxa"/>
            <w:noWrap/>
            <w:vAlign w:val="center"/>
          </w:tcPr>
          <w:p w14:paraId="45F84481">
            <w:pPr>
              <w:snapToGrid w:val="0"/>
              <w:spacing w:line="480" w:lineRule="exact"/>
              <w:jc w:val="center"/>
              <w:rPr>
                <w:kern w:val="0"/>
                <w:sz w:val="21"/>
                <w:szCs w:val="21"/>
              </w:rPr>
            </w:pPr>
            <w:r>
              <w:rPr>
                <w:kern w:val="0"/>
                <w:sz w:val="21"/>
                <w:szCs w:val="21"/>
              </w:rPr>
              <w:t>93</w:t>
            </w:r>
          </w:p>
        </w:tc>
        <w:tc>
          <w:tcPr>
            <w:tcW w:w="754" w:type="dxa"/>
            <w:noWrap/>
            <w:vAlign w:val="center"/>
          </w:tcPr>
          <w:p w14:paraId="157F8433">
            <w:pPr>
              <w:snapToGrid w:val="0"/>
              <w:spacing w:line="480" w:lineRule="exact"/>
              <w:jc w:val="center"/>
              <w:rPr>
                <w:kern w:val="0"/>
                <w:sz w:val="21"/>
                <w:szCs w:val="21"/>
              </w:rPr>
            </w:pPr>
            <w:r>
              <w:rPr>
                <w:kern w:val="0"/>
                <w:sz w:val="21"/>
                <w:szCs w:val="21"/>
              </w:rPr>
              <w:t>95</w:t>
            </w:r>
          </w:p>
        </w:tc>
        <w:tc>
          <w:tcPr>
            <w:tcW w:w="1094" w:type="dxa"/>
            <w:noWrap/>
            <w:vAlign w:val="center"/>
          </w:tcPr>
          <w:p w14:paraId="67A2AF36">
            <w:pPr>
              <w:snapToGrid w:val="0"/>
              <w:spacing w:line="480" w:lineRule="exact"/>
              <w:jc w:val="center"/>
              <w:rPr>
                <w:kern w:val="0"/>
                <w:sz w:val="21"/>
                <w:szCs w:val="21"/>
              </w:rPr>
            </w:pPr>
            <w:r>
              <w:rPr>
                <w:kern w:val="0"/>
                <w:sz w:val="21"/>
                <w:szCs w:val="21"/>
              </w:rPr>
              <w:t>〔9〕</w:t>
            </w:r>
          </w:p>
        </w:tc>
        <w:tc>
          <w:tcPr>
            <w:tcW w:w="728" w:type="dxa"/>
            <w:noWrap/>
            <w:vAlign w:val="center"/>
          </w:tcPr>
          <w:p w14:paraId="667C1099">
            <w:pPr>
              <w:snapToGrid w:val="0"/>
              <w:spacing w:line="480" w:lineRule="exact"/>
              <w:jc w:val="center"/>
              <w:rPr>
                <w:sz w:val="21"/>
                <w:szCs w:val="21"/>
              </w:rPr>
            </w:pPr>
            <w:r>
              <w:rPr>
                <w:sz w:val="21"/>
                <w:szCs w:val="21"/>
              </w:rPr>
              <w:t>97</w:t>
            </w:r>
          </w:p>
        </w:tc>
        <w:tc>
          <w:tcPr>
            <w:tcW w:w="728" w:type="dxa"/>
            <w:noWrap/>
            <w:vAlign w:val="center"/>
          </w:tcPr>
          <w:p w14:paraId="28114359">
            <w:pPr>
              <w:snapToGrid w:val="0"/>
              <w:spacing w:line="480" w:lineRule="exact"/>
              <w:jc w:val="center"/>
              <w:rPr>
                <w:sz w:val="21"/>
                <w:szCs w:val="21"/>
              </w:rPr>
            </w:pPr>
            <w:r>
              <w:rPr>
                <w:sz w:val="21"/>
                <w:szCs w:val="21"/>
              </w:rPr>
              <w:t>预期性</w:t>
            </w:r>
          </w:p>
        </w:tc>
      </w:tr>
      <w:tr w14:paraId="19D3AE1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107C8C49">
            <w:pPr>
              <w:snapToGrid w:val="0"/>
              <w:spacing w:line="480" w:lineRule="exact"/>
              <w:jc w:val="center"/>
              <w:rPr>
                <w:sz w:val="21"/>
                <w:szCs w:val="21"/>
              </w:rPr>
            </w:pPr>
          </w:p>
        </w:tc>
        <w:tc>
          <w:tcPr>
            <w:tcW w:w="354" w:type="dxa"/>
            <w:noWrap/>
            <w:vAlign w:val="center"/>
          </w:tcPr>
          <w:p w14:paraId="0F06AF38">
            <w:pPr>
              <w:snapToGrid w:val="0"/>
              <w:spacing w:line="480" w:lineRule="exact"/>
              <w:jc w:val="center"/>
              <w:rPr>
                <w:sz w:val="21"/>
                <w:szCs w:val="21"/>
              </w:rPr>
            </w:pPr>
            <w:r>
              <w:rPr>
                <w:sz w:val="21"/>
                <w:szCs w:val="21"/>
              </w:rPr>
              <w:t>12</w:t>
            </w:r>
          </w:p>
        </w:tc>
        <w:tc>
          <w:tcPr>
            <w:tcW w:w="2068" w:type="dxa"/>
            <w:noWrap/>
            <w:vAlign w:val="center"/>
          </w:tcPr>
          <w:p w14:paraId="5AE685F2">
            <w:pPr>
              <w:snapToGrid w:val="0"/>
              <w:spacing w:line="480" w:lineRule="exact"/>
              <w:rPr>
                <w:sz w:val="21"/>
                <w:szCs w:val="21"/>
              </w:rPr>
            </w:pPr>
            <w:r>
              <w:rPr>
                <w:sz w:val="21"/>
                <w:szCs w:val="21"/>
              </w:rPr>
              <w:t>*农村生活污水处理率</w:t>
            </w:r>
          </w:p>
        </w:tc>
        <w:tc>
          <w:tcPr>
            <w:tcW w:w="718" w:type="dxa"/>
            <w:noWrap/>
            <w:vAlign w:val="center"/>
          </w:tcPr>
          <w:p w14:paraId="493E0C21">
            <w:pPr>
              <w:snapToGrid w:val="0"/>
              <w:spacing w:line="480" w:lineRule="exact"/>
              <w:jc w:val="center"/>
              <w:rPr>
                <w:sz w:val="21"/>
                <w:szCs w:val="21"/>
              </w:rPr>
            </w:pPr>
            <w:r>
              <w:rPr>
                <w:sz w:val="21"/>
                <w:szCs w:val="21"/>
              </w:rPr>
              <w:t>%</w:t>
            </w:r>
          </w:p>
        </w:tc>
        <w:tc>
          <w:tcPr>
            <w:tcW w:w="828" w:type="dxa"/>
            <w:noWrap/>
            <w:vAlign w:val="center"/>
          </w:tcPr>
          <w:p w14:paraId="0CA09DB5">
            <w:pPr>
              <w:snapToGrid w:val="0"/>
              <w:spacing w:line="480" w:lineRule="exact"/>
              <w:jc w:val="center"/>
              <w:rPr>
                <w:kern w:val="0"/>
                <w:sz w:val="21"/>
                <w:szCs w:val="21"/>
              </w:rPr>
            </w:pPr>
            <w:r>
              <w:rPr>
                <w:kern w:val="0"/>
                <w:sz w:val="21"/>
                <w:szCs w:val="21"/>
              </w:rPr>
              <w:t>54</w:t>
            </w:r>
          </w:p>
        </w:tc>
        <w:tc>
          <w:tcPr>
            <w:tcW w:w="743" w:type="dxa"/>
            <w:noWrap/>
            <w:vAlign w:val="center"/>
          </w:tcPr>
          <w:p w14:paraId="1B2A2F4E">
            <w:pPr>
              <w:snapToGrid w:val="0"/>
              <w:spacing w:line="480" w:lineRule="exact"/>
              <w:jc w:val="center"/>
              <w:rPr>
                <w:kern w:val="0"/>
                <w:sz w:val="21"/>
                <w:szCs w:val="21"/>
              </w:rPr>
            </w:pPr>
            <w:r>
              <w:rPr>
                <w:kern w:val="0"/>
                <w:sz w:val="21"/>
                <w:szCs w:val="21"/>
              </w:rPr>
              <w:t>62</w:t>
            </w:r>
          </w:p>
        </w:tc>
        <w:tc>
          <w:tcPr>
            <w:tcW w:w="754" w:type="dxa"/>
            <w:noWrap/>
            <w:vAlign w:val="center"/>
          </w:tcPr>
          <w:p w14:paraId="1A4F74AF">
            <w:pPr>
              <w:snapToGrid w:val="0"/>
              <w:spacing w:line="480" w:lineRule="exact"/>
              <w:jc w:val="center"/>
              <w:rPr>
                <w:kern w:val="0"/>
                <w:sz w:val="21"/>
                <w:szCs w:val="21"/>
              </w:rPr>
            </w:pPr>
            <w:r>
              <w:rPr>
                <w:kern w:val="0"/>
                <w:sz w:val="21"/>
                <w:szCs w:val="21"/>
              </w:rPr>
              <w:t>65</w:t>
            </w:r>
          </w:p>
        </w:tc>
        <w:tc>
          <w:tcPr>
            <w:tcW w:w="1094" w:type="dxa"/>
            <w:noWrap/>
            <w:vAlign w:val="center"/>
          </w:tcPr>
          <w:p w14:paraId="65EC6F7E">
            <w:pPr>
              <w:snapToGrid w:val="0"/>
              <w:spacing w:line="480" w:lineRule="exact"/>
              <w:jc w:val="center"/>
              <w:rPr>
                <w:sz w:val="21"/>
                <w:szCs w:val="21"/>
              </w:rPr>
            </w:pPr>
            <w:r>
              <w:rPr>
                <w:kern w:val="0"/>
                <w:sz w:val="21"/>
                <w:szCs w:val="21"/>
              </w:rPr>
              <w:t>〔11〕</w:t>
            </w:r>
          </w:p>
        </w:tc>
        <w:tc>
          <w:tcPr>
            <w:tcW w:w="728" w:type="dxa"/>
            <w:noWrap/>
            <w:vAlign w:val="center"/>
          </w:tcPr>
          <w:p w14:paraId="7284D380">
            <w:pPr>
              <w:widowControl/>
              <w:snapToGrid w:val="0"/>
              <w:spacing w:line="480" w:lineRule="exact"/>
              <w:jc w:val="center"/>
              <w:rPr>
                <w:sz w:val="21"/>
                <w:szCs w:val="21"/>
              </w:rPr>
            </w:pPr>
            <w:r>
              <w:rPr>
                <w:sz w:val="21"/>
                <w:szCs w:val="21"/>
              </w:rPr>
              <w:t>70</w:t>
            </w:r>
          </w:p>
        </w:tc>
        <w:tc>
          <w:tcPr>
            <w:tcW w:w="728" w:type="dxa"/>
            <w:noWrap/>
            <w:vAlign w:val="center"/>
          </w:tcPr>
          <w:p w14:paraId="0D213928">
            <w:pPr>
              <w:widowControl/>
              <w:snapToGrid w:val="0"/>
              <w:spacing w:line="480" w:lineRule="exact"/>
              <w:jc w:val="center"/>
              <w:rPr>
                <w:sz w:val="21"/>
                <w:szCs w:val="21"/>
              </w:rPr>
            </w:pPr>
            <w:r>
              <w:rPr>
                <w:sz w:val="21"/>
                <w:szCs w:val="21"/>
              </w:rPr>
              <w:t>预期性</w:t>
            </w:r>
          </w:p>
        </w:tc>
      </w:tr>
      <w:tr w14:paraId="7B2A101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A742813">
            <w:pPr>
              <w:snapToGrid w:val="0"/>
              <w:spacing w:line="480" w:lineRule="exact"/>
              <w:jc w:val="center"/>
              <w:rPr>
                <w:sz w:val="21"/>
                <w:szCs w:val="21"/>
              </w:rPr>
            </w:pPr>
          </w:p>
        </w:tc>
        <w:tc>
          <w:tcPr>
            <w:tcW w:w="354" w:type="dxa"/>
            <w:noWrap/>
            <w:vAlign w:val="center"/>
          </w:tcPr>
          <w:p w14:paraId="4BDEC8D4">
            <w:pPr>
              <w:snapToGrid w:val="0"/>
              <w:spacing w:line="480" w:lineRule="exact"/>
              <w:jc w:val="center"/>
              <w:rPr>
                <w:sz w:val="21"/>
                <w:szCs w:val="21"/>
              </w:rPr>
            </w:pPr>
            <w:r>
              <w:rPr>
                <w:sz w:val="21"/>
                <w:szCs w:val="21"/>
              </w:rPr>
              <w:t>13</w:t>
            </w:r>
          </w:p>
        </w:tc>
        <w:tc>
          <w:tcPr>
            <w:tcW w:w="2068" w:type="dxa"/>
            <w:noWrap/>
            <w:vAlign w:val="center"/>
          </w:tcPr>
          <w:p w14:paraId="5083DF48">
            <w:pPr>
              <w:snapToGrid w:val="0"/>
              <w:spacing w:line="480" w:lineRule="exact"/>
              <w:rPr>
                <w:sz w:val="21"/>
                <w:szCs w:val="21"/>
              </w:rPr>
            </w:pPr>
            <w:r>
              <w:rPr>
                <w:sz w:val="21"/>
                <w:szCs w:val="21"/>
              </w:rPr>
              <w:t>农村卫生厕所普及率</w:t>
            </w:r>
          </w:p>
        </w:tc>
        <w:tc>
          <w:tcPr>
            <w:tcW w:w="718" w:type="dxa"/>
            <w:noWrap/>
            <w:vAlign w:val="center"/>
          </w:tcPr>
          <w:p w14:paraId="0A2CF3B4">
            <w:pPr>
              <w:snapToGrid w:val="0"/>
              <w:spacing w:line="480" w:lineRule="exact"/>
              <w:jc w:val="center"/>
              <w:rPr>
                <w:sz w:val="21"/>
                <w:szCs w:val="21"/>
              </w:rPr>
            </w:pPr>
            <w:r>
              <w:rPr>
                <w:sz w:val="21"/>
                <w:szCs w:val="21"/>
              </w:rPr>
              <w:t>%</w:t>
            </w:r>
          </w:p>
        </w:tc>
        <w:tc>
          <w:tcPr>
            <w:tcW w:w="828" w:type="dxa"/>
            <w:noWrap/>
            <w:vAlign w:val="center"/>
          </w:tcPr>
          <w:p w14:paraId="5B24A662">
            <w:pPr>
              <w:snapToGrid w:val="0"/>
              <w:spacing w:line="480" w:lineRule="exact"/>
              <w:jc w:val="center"/>
              <w:rPr>
                <w:sz w:val="21"/>
                <w:szCs w:val="21"/>
              </w:rPr>
            </w:pPr>
            <w:r>
              <w:rPr>
                <w:sz w:val="21"/>
                <w:szCs w:val="21"/>
              </w:rPr>
              <w:t>49.7</w:t>
            </w:r>
          </w:p>
        </w:tc>
        <w:tc>
          <w:tcPr>
            <w:tcW w:w="743" w:type="dxa"/>
            <w:noWrap/>
            <w:vAlign w:val="center"/>
          </w:tcPr>
          <w:p w14:paraId="18B9958E">
            <w:pPr>
              <w:snapToGrid w:val="0"/>
              <w:spacing w:line="480" w:lineRule="exact"/>
              <w:jc w:val="center"/>
              <w:rPr>
                <w:sz w:val="21"/>
                <w:szCs w:val="21"/>
              </w:rPr>
            </w:pPr>
            <w:r>
              <w:rPr>
                <w:sz w:val="21"/>
                <w:szCs w:val="21"/>
              </w:rPr>
              <w:t>70</w:t>
            </w:r>
          </w:p>
        </w:tc>
        <w:tc>
          <w:tcPr>
            <w:tcW w:w="754" w:type="dxa"/>
            <w:noWrap/>
            <w:vAlign w:val="center"/>
          </w:tcPr>
          <w:p w14:paraId="653F58A3">
            <w:pPr>
              <w:snapToGrid w:val="0"/>
              <w:spacing w:line="480" w:lineRule="exact"/>
              <w:jc w:val="center"/>
              <w:rPr>
                <w:sz w:val="21"/>
                <w:szCs w:val="21"/>
              </w:rPr>
            </w:pPr>
            <w:r>
              <w:rPr>
                <w:sz w:val="21"/>
                <w:szCs w:val="21"/>
              </w:rPr>
              <w:t>&gt;72</w:t>
            </w:r>
          </w:p>
        </w:tc>
        <w:tc>
          <w:tcPr>
            <w:tcW w:w="1094" w:type="dxa"/>
            <w:noWrap/>
            <w:vAlign w:val="center"/>
          </w:tcPr>
          <w:p w14:paraId="257A021C">
            <w:pPr>
              <w:snapToGrid w:val="0"/>
              <w:spacing w:line="480" w:lineRule="exact"/>
              <w:jc w:val="center"/>
              <w:rPr>
                <w:sz w:val="21"/>
                <w:szCs w:val="21"/>
              </w:rPr>
            </w:pPr>
            <w:r>
              <w:rPr>
                <w:kern w:val="0"/>
                <w:sz w:val="21"/>
                <w:szCs w:val="21"/>
              </w:rPr>
              <w:t>〔&gt;45〕</w:t>
            </w:r>
          </w:p>
        </w:tc>
        <w:tc>
          <w:tcPr>
            <w:tcW w:w="728" w:type="dxa"/>
            <w:noWrap/>
            <w:vAlign w:val="center"/>
          </w:tcPr>
          <w:p w14:paraId="39B98A4D">
            <w:pPr>
              <w:widowControl/>
              <w:snapToGrid w:val="0"/>
              <w:spacing w:line="480" w:lineRule="exact"/>
              <w:jc w:val="center"/>
              <w:rPr>
                <w:sz w:val="21"/>
                <w:szCs w:val="21"/>
              </w:rPr>
            </w:pPr>
            <w:r>
              <w:rPr>
                <w:sz w:val="21"/>
                <w:szCs w:val="21"/>
              </w:rPr>
              <w:t>100</w:t>
            </w:r>
          </w:p>
        </w:tc>
        <w:tc>
          <w:tcPr>
            <w:tcW w:w="728" w:type="dxa"/>
            <w:noWrap/>
            <w:vAlign w:val="center"/>
          </w:tcPr>
          <w:p w14:paraId="4780D2A7">
            <w:pPr>
              <w:widowControl/>
              <w:snapToGrid w:val="0"/>
              <w:spacing w:line="480" w:lineRule="exact"/>
              <w:jc w:val="center"/>
              <w:rPr>
                <w:sz w:val="21"/>
                <w:szCs w:val="21"/>
              </w:rPr>
            </w:pPr>
            <w:r>
              <w:rPr>
                <w:sz w:val="21"/>
                <w:szCs w:val="21"/>
              </w:rPr>
              <w:t>预期性</w:t>
            </w:r>
          </w:p>
        </w:tc>
      </w:tr>
      <w:tr w14:paraId="0CC171F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14:paraId="6BB2BADC">
            <w:pPr>
              <w:snapToGrid w:val="0"/>
              <w:spacing w:line="480" w:lineRule="exact"/>
              <w:jc w:val="center"/>
              <w:rPr>
                <w:sz w:val="21"/>
                <w:szCs w:val="21"/>
              </w:rPr>
            </w:pPr>
            <w:r>
              <w:rPr>
                <w:sz w:val="21"/>
                <w:szCs w:val="21"/>
              </w:rPr>
              <w:t>乡风</w:t>
            </w:r>
          </w:p>
          <w:p w14:paraId="32F9DC3F">
            <w:pPr>
              <w:snapToGrid w:val="0"/>
              <w:spacing w:line="480" w:lineRule="exact"/>
              <w:jc w:val="center"/>
              <w:rPr>
                <w:sz w:val="21"/>
                <w:szCs w:val="21"/>
              </w:rPr>
            </w:pPr>
            <w:r>
              <w:rPr>
                <w:sz w:val="21"/>
                <w:szCs w:val="21"/>
              </w:rPr>
              <w:t>文明</w:t>
            </w:r>
          </w:p>
        </w:tc>
        <w:tc>
          <w:tcPr>
            <w:tcW w:w="354" w:type="dxa"/>
            <w:noWrap/>
            <w:vAlign w:val="center"/>
          </w:tcPr>
          <w:p w14:paraId="5ADE5E0C">
            <w:pPr>
              <w:snapToGrid w:val="0"/>
              <w:spacing w:line="480" w:lineRule="exact"/>
              <w:jc w:val="center"/>
              <w:rPr>
                <w:sz w:val="21"/>
                <w:szCs w:val="21"/>
              </w:rPr>
            </w:pPr>
            <w:r>
              <w:rPr>
                <w:sz w:val="21"/>
                <w:szCs w:val="21"/>
              </w:rPr>
              <w:t>14</w:t>
            </w:r>
          </w:p>
        </w:tc>
        <w:tc>
          <w:tcPr>
            <w:tcW w:w="2068" w:type="dxa"/>
            <w:noWrap/>
            <w:vAlign w:val="center"/>
          </w:tcPr>
          <w:p w14:paraId="0885A7B1">
            <w:pPr>
              <w:snapToGrid w:val="0"/>
              <w:spacing w:line="480" w:lineRule="exact"/>
              <w:rPr>
                <w:sz w:val="21"/>
                <w:szCs w:val="21"/>
              </w:rPr>
            </w:pPr>
            <w:r>
              <w:rPr>
                <w:sz w:val="21"/>
                <w:szCs w:val="21"/>
              </w:rPr>
              <w:t>村综合性文化服务中心覆盖率</w:t>
            </w:r>
          </w:p>
        </w:tc>
        <w:tc>
          <w:tcPr>
            <w:tcW w:w="718" w:type="dxa"/>
            <w:noWrap/>
            <w:vAlign w:val="center"/>
          </w:tcPr>
          <w:p w14:paraId="52A326C3">
            <w:pPr>
              <w:snapToGrid w:val="0"/>
              <w:spacing w:line="480" w:lineRule="exact"/>
              <w:jc w:val="center"/>
              <w:rPr>
                <w:sz w:val="21"/>
                <w:szCs w:val="21"/>
              </w:rPr>
            </w:pPr>
            <w:r>
              <w:rPr>
                <w:sz w:val="21"/>
                <w:szCs w:val="21"/>
              </w:rPr>
              <w:t>%</w:t>
            </w:r>
          </w:p>
        </w:tc>
        <w:tc>
          <w:tcPr>
            <w:tcW w:w="828" w:type="dxa"/>
            <w:noWrap/>
            <w:vAlign w:val="center"/>
          </w:tcPr>
          <w:p w14:paraId="45CB51E6">
            <w:pPr>
              <w:snapToGrid w:val="0"/>
              <w:spacing w:line="480" w:lineRule="exact"/>
              <w:jc w:val="center"/>
              <w:rPr>
                <w:sz w:val="21"/>
                <w:szCs w:val="21"/>
              </w:rPr>
            </w:pPr>
            <w:r>
              <w:rPr>
                <w:sz w:val="21"/>
                <w:szCs w:val="21"/>
              </w:rPr>
              <w:t>100</w:t>
            </w:r>
          </w:p>
        </w:tc>
        <w:tc>
          <w:tcPr>
            <w:tcW w:w="743" w:type="dxa"/>
            <w:noWrap/>
            <w:vAlign w:val="center"/>
          </w:tcPr>
          <w:p w14:paraId="684B78A5">
            <w:pPr>
              <w:snapToGrid w:val="0"/>
              <w:spacing w:line="480" w:lineRule="exact"/>
              <w:jc w:val="center"/>
              <w:rPr>
                <w:sz w:val="21"/>
                <w:szCs w:val="21"/>
              </w:rPr>
            </w:pPr>
            <w:r>
              <w:rPr>
                <w:sz w:val="21"/>
                <w:szCs w:val="21"/>
              </w:rPr>
              <w:t>100</w:t>
            </w:r>
          </w:p>
        </w:tc>
        <w:tc>
          <w:tcPr>
            <w:tcW w:w="754" w:type="dxa"/>
            <w:noWrap/>
            <w:vAlign w:val="center"/>
          </w:tcPr>
          <w:p w14:paraId="61686DF1">
            <w:pPr>
              <w:snapToGrid w:val="0"/>
              <w:spacing w:line="480" w:lineRule="exact"/>
              <w:jc w:val="center"/>
              <w:rPr>
                <w:sz w:val="21"/>
                <w:szCs w:val="21"/>
              </w:rPr>
            </w:pPr>
            <w:r>
              <w:rPr>
                <w:sz w:val="21"/>
                <w:szCs w:val="21"/>
              </w:rPr>
              <w:t>100</w:t>
            </w:r>
          </w:p>
        </w:tc>
        <w:tc>
          <w:tcPr>
            <w:tcW w:w="1094" w:type="dxa"/>
            <w:noWrap/>
            <w:vAlign w:val="center"/>
          </w:tcPr>
          <w:p w14:paraId="26FCEC81">
            <w:pPr>
              <w:snapToGrid w:val="0"/>
              <w:spacing w:line="480" w:lineRule="exact"/>
              <w:jc w:val="center"/>
              <w:rPr>
                <w:sz w:val="21"/>
                <w:szCs w:val="21"/>
              </w:rPr>
            </w:pPr>
            <w:r>
              <w:rPr>
                <w:kern w:val="0"/>
                <w:sz w:val="21"/>
                <w:szCs w:val="21"/>
              </w:rPr>
              <w:t>〔0〕</w:t>
            </w:r>
          </w:p>
        </w:tc>
        <w:tc>
          <w:tcPr>
            <w:tcW w:w="728" w:type="dxa"/>
            <w:noWrap/>
            <w:vAlign w:val="center"/>
          </w:tcPr>
          <w:p w14:paraId="30D5410E">
            <w:pPr>
              <w:widowControl/>
              <w:snapToGrid w:val="0"/>
              <w:spacing w:line="480" w:lineRule="exact"/>
              <w:jc w:val="center"/>
              <w:rPr>
                <w:sz w:val="21"/>
                <w:szCs w:val="21"/>
              </w:rPr>
            </w:pPr>
            <w:r>
              <w:rPr>
                <w:sz w:val="21"/>
                <w:szCs w:val="21"/>
              </w:rPr>
              <w:t>100</w:t>
            </w:r>
          </w:p>
        </w:tc>
        <w:tc>
          <w:tcPr>
            <w:tcW w:w="728" w:type="dxa"/>
            <w:noWrap/>
            <w:vAlign w:val="center"/>
          </w:tcPr>
          <w:p w14:paraId="54ECE752">
            <w:pPr>
              <w:widowControl/>
              <w:snapToGrid w:val="0"/>
              <w:spacing w:line="480" w:lineRule="exact"/>
              <w:jc w:val="center"/>
              <w:rPr>
                <w:sz w:val="21"/>
                <w:szCs w:val="21"/>
              </w:rPr>
            </w:pPr>
            <w:r>
              <w:rPr>
                <w:sz w:val="21"/>
                <w:szCs w:val="21"/>
              </w:rPr>
              <w:t>预期性</w:t>
            </w:r>
          </w:p>
        </w:tc>
      </w:tr>
      <w:tr w14:paraId="3B649CD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3D6F6AEA">
            <w:pPr>
              <w:snapToGrid w:val="0"/>
              <w:spacing w:line="480" w:lineRule="exact"/>
              <w:jc w:val="center"/>
              <w:rPr>
                <w:sz w:val="21"/>
                <w:szCs w:val="21"/>
              </w:rPr>
            </w:pPr>
          </w:p>
        </w:tc>
        <w:tc>
          <w:tcPr>
            <w:tcW w:w="354" w:type="dxa"/>
            <w:noWrap/>
            <w:vAlign w:val="center"/>
          </w:tcPr>
          <w:p w14:paraId="523FC7D8">
            <w:pPr>
              <w:snapToGrid w:val="0"/>
              <w:spacing w:line="480" w:lineRule="exact"/>
              <w:jc w:val="center"/>
              <w:rPr>
                <w:sz w:val="21"/>
                <w:szCs w:val="21"/>
              </w:rPr>
            </w:pPr>
            <w:r>
              <w:rPr>
                <w:sz w:val="21"/>
                <w:szCs w:val="21"/>
              </w:rPr>
              <w:t>15</w:t>
            </w:r>
          </w:p>
        </w:tc>
        <w:tc>
          <w:tcPr>
            <w:tcW w:w="2068" w:type="dxa"/>
            <w:noWrap/>
            <w:vAlign w:val="center"/>
          </w:tcPr>
          <w:p w14:paraId="2A3705FE">
            <w:pPr>
              <w:snapToGrid w:val="0"/>
              <w:spacing w:line="480" w:lineRule="exact"/>
              <w:rPr>
                <w:spacing w:val="-6"/>
                <w:sz w:val="21"/>
                <w:szCs w:val="21"/>
              </w:rPr>
            </w:pPr>
            <w:r>
              <w:rPr>
                <w:spacing w:val="-6"/>
                <w:sz w:val="21"/>
                <w:szCs w:val="21"/>
              </w:rPr>
              <w:t>县级以上文明村和乡镇占比</w:t>
            </w:r>
          </w:p>
        </w:tc>
        <w:tc>
          <w:tcPr>
            <w:tcW w:w="718" w:type="dxa"/>
            <w:noWrap/>
            <w:vAlign w:val="center"/>
          </w:tcPr>
          <w:p w14:paraId="5EC7737A">
            <w:pPr>
              <w:snapToGrid w:val="0"/>
              <w:spacing w:line="480" w:lineRule="exact"/>
              <w:jc w:val="center"/>
              <w:rPr>
                <w:sz w:val="21"/>
                <w:szCs w:val="21"/>
              </w:rPr>
            </w:pPr>
            <w:r>
              <w:rPr>
                <w:sz w:val="21"/>
                <w:szCs w:val="21"/>
              </w:rPr>
              <w:t>%</w:t>
            </w:r>
          </w:p>
        </w:tc>
        <w:tc>
          <w:tcPr>
            <w:tcW w:w="828" w:type="dxa"/>
            <w:noWrap/>
            <w:vAlign w:val="center"/>
          </w:tcPr>
          <w:p w14:paraId="7DA8E290">
            <w:pPr>
              <w:snapToGrid w:val="0"/>
              <w:spacing w:line="480" w:lineRule="exact"/>
              <w:jc w:val="center"/>
              <w:rPr>
                <w:sz w:val="21"/>
                <w:szCs w:val="21"/>
              </w:rPr>
            </w:pPr>
            <w:r>
              <w:rPr>
                <w:sz w:val="21"/>
                <w:szCs w:val="21"/>
              </w:rPr>
              <w:t>26.02</w:t>
            </w:r>
          </w:p>
        </w:tc>
        <w:tc>
          <w:tcPr>
            <w:tcW w:w="743" w:type="dxa"/>
            <w:noWrap/>
            <w:vAlign w:val="center"/>
          </w:tcPr>
          <w:p w14:paraId="2287C4E3">
            <w:pPr>
              <w:snapToGrid w:val="0"/>
              <w:spacing w:line="480" w:lineRule="exact"/>
              <w:jc w:val="center"/>
              <w:rPr>
                <w:sz w:val="21"/>
                <w:szCs w:val="21"/>
              </w:rPr>
            </w:pPr>
            <w:r>
              <w:rPr>
                <w:sz w:val="21"/>
                <w:szCs w:val="21"/>
              </w:rPr>
              <w:t>&gt;45</w:t>
            </w:r>
          </w:p>
        </w:tc>
        <w:tc>
          <w:tcPr>
            <w:tcW w:w="754" w:type="dxa"/>
            <w:noWrap/>
            <w:vAlign w:val="center"/>
          </w:tcPr>
          <w:p w14:paraId="480B79CA">
            <w:pPr>
              <w:snapToGrid w:val="0"/>
              <w:spacing w:line="480" w:lineRule="exact"/>
              <w:jc w:val="center"/>
              <w:rPr>
                <w:sz w:val="21"/>
                <w:szCs w:val="21"/>
              </w:rPr>
            </w:pPr>
            <w:r>
              <w:rPr>
                <w:sz w:val="21"/>
                <w:szCs w:val="21"/>
              </w:rPr>
              <w:t>&gt;55</w:t>
            </w:r>
          </w:p>
        </w:tc>
        <w:tc>
          <w:tcPr>
            <w:tcW w:w="1094" w:type="dxa"/>
            <w:noWrap/>
            <w:vAlign w:val="center"/>
          </w:tcPr>
          <w:p w14:paraId="2C886784">
            <w:pPr>
              <w:snapToGrid w:val="0"/>
              <w:spacing w:line="480" w:lineRule="exact"/>
              <w:jc w:val="center"/>
              <w:rPr>
                <w:sz w:val="21"/>
                <w:szCs w:val="21"/>
              </w:rPr>
            </w:pPr>
            <w:r>
              <w:rPr>
                <w:kern w:val="0"/>
                <w:sz w:val="21"/>
                <w:szCs w:val="21"/>
              </w:rPr>
              <w:t>〔&gt;28.98〕</w:t>
            </w:r>
          </w:p>
        </w:tc>
        <w:tc>
          <w:tcPr>
            <w:tcW w:w="728" w:type="dxa"/>
            <w:noWrap/>
            <w:vAlign w:val="center"/>
          </w:tcPr>
          <w:p w14:paraId="175CCD5B">
            <w:pPr>
              <w:widowControl/>
              <w:snapToGrid w:val="0"/>
              <w:spacing w:line="480" w:lineRule="exact"/>
              <w:jc w:val="center"/>
              <w:rPr>
                <w:sz w:val="21"/>
                <w:szCs w:val="21"/>
              </w:rPr>
            </w:pPr>
            <w:r>
              <w:rPr>
                <w:sz w:val="21"/>
                <w:szCs w:val="21"/>
              </w:rPr>
              <w:t>70</w:t>
            </w:r>
          </w:p>
        </w:tc>
        <w:tc>
          <w:tcPr>
            <w:tcW w:w="728" w:type="dxa"/>
            <w:noWrap/>
            <w:vAlign w:val="center"/>
          </w:tcPr>
          <w:p w14:paraId="10E56C89">
            <w:pPr>
              <w:widowControl/>
              <w:snapToGrid w:val="0"/>
              <w:spacing w:line="480" w:lineRule="exact"/>
              <w:jc w:val="center"/>
              <w:rPr>
                <w:sz w:val="21"/>
                <w:szCs w:val="21"/>
              </w:rPr>
            </w:pPr>
            <w:r>
              <w:rPr>
                <w:sz w:val="21"/>
                <w:szCs w:val="21"/>
              </w:rPr>
              <w:t>预期性</w:t>
            </w:r>
          </w:p>
        </w:tc>
      </w:tr>
      <w:tr w14:paraId="548766A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6EC9D148">
            <w:pPr>
              <w:snapToGrid w:val="0"/>
              <w:spacing w:line="480" w:lineRule="exact"/>
              <w:jc w:val="center"/>
              <w:rPr>
                <w:sz w:val="21"/>
                <w:szCs w:val="21"/>
              </w:rPr>
            </w:pPr>
          </w:p>
        </w:tc>
        <w:tc>
          <w:tcPr>
            <w:tcW w:w="354" w:type="dxa"/>
            <w:noWrap/>
            <w:vAlign w:val="center"/>
          </w:tcPr>
          <w:p w14:paraId="5FC487A0">
            <w:pPr>
              <w:snapToGrid w:val="0"/>
              <w:spacing w:line="480" w:lineRule="exact"/>
              <w:jc w:val="center"/>
              <w:rPr>
                <w:sz w:val="21"/>
                <w:szCs w:val="21"/>
              </w:rPr>
            </w:pPr>
            <w:r>
              <w:rPr>
                <w:sz w:val="21"/>
                <w:szCs w:val="21"/>
              </w:rPr>
              <w:t>16</w:t>
            </w:r>
          </w:p>
        </w:tc>
        <w:tc>
          <w:tcPr>
            <w:tcW w:w="2068" w:type="dxa"/>
            <w:noWrap/>
            <w:vAlign w:val="center"/>
          </w:tcPr>
          <w:p w14:paraId="6060A266">
            <w:pPr>
              <w:snapToGrid w:val="0"/>
              <w:spacing w:line="480" w:lineRule="exact"/>
              <w:rPr>
                <w:sz w:val="21"/>
                <w:szCs w:val="21"/>
              </w:rPr>
            </w:pPr>
            <w:r>
              <w:rPr>
                <w:sz w:val="21"/>
                <w:szCs w:val="21"/>
              </w:rPr>
              <w:t>农村义务教育学校专任教师本科以上学历比例</w:t>
            </w:r>
          </w:p>
        </w:tc>
        <w:tc>
          <w:tcPr>
            <w:tcW w:w="718" w:type="dxa"/>
            <w:noWrap/>
            <w:vAlign w:val="center"/>
          </w:tcPr>
          <w:p w14:paraId="02FAC0FE">
            <w:pPr>
              <w:snapToGrid w:val="0"/>
              <w:spacing w:line="480" w:lineRule="exact"/>
              <w:jc w:val="center"/>
              <w:rPr>
                <w:sz w:val="21"/>
                <w:szCs w:val="21"/>
              </w:rPr>
            </w:pPr>
            <w:r>
              <w:rPr>
                <w:sz w:val="21"/>
                <w:szCs w:val="21"/>
              </w:rPr>
              <w:t>%</w:t>
            </w:r>
          </w:p>
        </w:tc>
        <w:tc>
          <w:tcPr>
            <w:tcW w:w="828" w:type="dxa"/>
            <w:noWrap/>
            <w:vAlign w:val="center"/>
          </w:tcPr>
          <w:p w14:paraId="7282CF5D">
            <w:pPr>
              <w:snapToGrid w:val="0"/>
              <w:spacing w:line="480" w:lineRule="exact"/>
              <w:jc w:val="center"/>
              <w:rPr>
                <w:sz w:val="21"/>
                <w:szCs w:val="21"/>
              </w:rPr>
            </w:pPr>
            <w:r>
              <w:rPr>
                <w:sz w:val="21"/>
                <w:szCs w:val="21"/>
              </w:rPr>
              <w:t>57.32</w:t>
            </w:r>
          </w:p>
        </w:tc>
        <w:tc>
          <w:tcPr>
            <w:tcW w:w="743" w:type="dxa"/>
            <w:noWrap/>
            <w:vAlign w:val="center"/>
          </w:tcPr>
          <w:p w14:paraId="724F8D3B">
            <w:pPr>
              <w:snapToGrid w:val="0"/>
              <w:spacing w:line="480" w:lineRule="exact"/>
              <w:jc w:val="center"/>
              <w:rPr>
                <w:sz w:val="21"/>
                <w:szCs w:val="21"/>
              </w:rPr>
            </w:pPr>
            <w:r>
              <w:rPr>
                <w:sz w:val="21"/>
                <w:szCs w:val="21"/>
              </w:rPr>
              <w:t>65.14</w:t>
            </w:r>
          </w:p>
        </w:tc>
        <w:tc>
          <w:tcPr>
            <w:tcW w:w="754" w:type="dxa"/>
            <w:noWrap/>
            <w:vAlign w:val="center"/>
          </w:tcPr>
          <w:p w14:paraId="67122902">
            <w:pPr>
              <w:snapToGrid w:val="0"/>
              <w:spacing w:line="480" w:lineRule="exact"/>
              <w:jc w:val="center"/>
              <w:rPr>
                <w:sz w:val="21"/>
                <w:szCs w:val="21"/>
              </w:rPr>
            </w:pPr>
            <w:r>
              <w:rPr>
                <w:sz w:val="21"/>
                <w:szCs w:val="21"/>
              </w:rPr>
              <w:t>75</w:t>
            </w:r>
          </w:p>
        </w:tc>
        <w:tc>
          <w:tcPr>
            <w:tcW w:w="1094" w:type="dxa"/>
            <w:noWrap/>
            <w:vAlign w:val="center"/>
          </w:tcPr>
          <w:p w14:paraId="207D4C87">
            <w:pPr>
              <w:snapToGrid w:val="0"/>
              <w:spacing w:line="480" w:lineRule="exact"/>
              <w:jc w:val="center"/>
              <w:rPr>
                <w:sz w:val="21"/>
                <w:szCs w:val="21"/>
              </w:rPr>
            </w:pPr>
            <w:r>
              <w:rPr>
                <w:sz w:val="21"/>
                <w:szCs w:val="21"/>
              </w:rPr>
              <w:t>〔17.68〕</w:t>
            </w:r>
          </w:p>
        </w:tc>
        <w:tc>
          <w:tcPr>
            <w:tcW w:w="728" w:type="dxa"/>
            <w:noWrap/>
            <w:vAlign w:val="center"/>
          </w:tcPr>
          <w:p w14:paraId="1C6081EE">
            <w:pPr>
              <w:widowControl/>
              <w:snapToGrid w:val="0"/>
              <w:spacing w:line="480" w:lineRule="exact"/>
              <w:jc w:val="center"/>
              <w:rPr>
                <w:sz w:val="21"/>
                <w:szCs w:val="21"/>
              </w:rPr>
            </w:pPr>
            <w:r>
              <w:rPr>
                <w:sz w:val="21"/>
                <w:szCs w:val="21"/>
              </w:rPr>
              <w:t>78</w:t>
            </w:r>
          </w:p>
        </w:tc>
        <w:tc>
          <w:tcPr>
            <w:tcW w:w="728" w:type="dxa"/>
            <w:noWrap/>
            <w:vAlign w:val="center"/>
          </w:tcPr>
          <w:p w14:paraId="018A3241">
            <w:pPr>
              <w:widowControl/>
              <w:snapToGrid w:val="0"/>
              <w:spacing w:line="480" w:lineRule="exact"/>
              <w:jc w:val="center"/>
              <w:rPr>
                <w:sz w:val="21"/>
                <w:szCs w:val="21"/>
              </w:rPr>
            </w:pPr>
            <w:r>
              <w:rPr>
                <w:sz w:val="21"/>
                <w:szCs w:val="21"/>
              </w:rPr>
              <w:t>预期性</w:t>
            </w:r>
          </w:p>
        </w:tc>
      </w:tr>
      <w:tr w14:paraId="0E4DADA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27457114">
            <w:pPr>
              <w:snapToGrid w:val="0"/>
              <w:spacing w:line="480" w:lineRule="exact"/>
              <w:jc w:val="center"/>
              <w:rPr>
                <w:sz w:val="21"/>
                <w:szCs w:val="21"/>
              </w:rPr>
            </w:pPr>
          </w:p>
        </w:tc>
        <w:tc>
          <w:tcPr>
            <w:tcW w:w="354" w:type="dxa"/>
            <w:noWrap/>
            <w:vAlign w:val="center"/>
          </w:tcPr>
          <w:p w14:paraId="7961FCA1">
            <w:pPr>
              <w:snapToGrid w:val="0"/>
              <w:spacing w:line="480" w:lineRule="exact"/>
              <w:jc w:val="center"/>
              <w:rPr>
                <w:sz w:val="21"/>
                <w:szCs w:val="21"/>
              </w:rPr>
            </w:pPr>
            <w:r>
              <w:rPr>
                <w:sz w:val="21"/>
                <w:szCs w:val="21"/>
              </w:rPr>
              <w:t>17</w:t>
            </w:r>
          </w:p>
        </w:tc>
        <w:tc>
          <w:tcPr>
            <w:tcW w:w="2068" w:type="dxa"/>
            <w:noWrap/>
            <w:vAlign w:val="center"/>
          </w:tcPr>
          <w:p w14:paraId="44A5144A">
            <w:pPr>
              <w:snapToGrid w:val="0"/>
              <w:spacing w:line="480" w:lineRule="exact"/>
              <w:rPr>
                <w:sz w:val="21"/>
                <w:szCs w:val="21"/>
              </w:rPr>
            </w:pPr>
            <w:r>
              <w:rPr>
                <w:sz w:val="21"/>
                <w:szCs w:val="21"/>
              </w:rPr>
              <w:t>农村居民教育文化娱乐支出占比</w:t>
            </w:r>
          </w:p>
        </w:tc>
        <w:tc>
          <w:tcPr>
            <w:tcW w:w="718" w:type="dxa"/>
            <w:noWrap/>
            <w:vAlign w:val="center"/>
          </w:tcPr>
          <w:p w14:paraId="68451E80">
            <w:pPr>
              <w:snapToGrid w:val="0"/>
              <w:spacing w:line="480" w:lineRule="exact"/>
              <w:jc w:val="center"/>
              <w:rPr>
                <w:kern w:val="0"/>
                <w:sz w:val="21"/>
                <w:szCs w:val="21"/>
              </w:rPr>
            </w:pPr>
            <w:r>
              <w:rPr>
                <w:kern w:val="0"/>
                <w:sz w:val="21"/>
                <w:szCs w:val="21"/>
              </w:rPr>
              <w:t>%</w:t>
            </w:r>
          </w:p>
        </w:tc>
        <w:tc>
          <w:tcPr>
            <w:tcW w:w="828" w:type="dxa"/>
            <w:noWrap/>
            <w:vAlign w:val="center"/>
          </w:tcPr>
          <w:p w14:paraId="0039A778">
            <w:pPr>
              <w:snapToGrid w:val="0"/>
              <w:spacing w:line="480" w:lineRule="exact"/>
              <w:jc w:val="center"/>
              <w:rPr>
                <w:kern w:val="0"/>
                <w:sz w:val="21"/>
                <w:szCs w:val="21"/>
              </w:rPr>
            </w:pPr>
            <w:r>
              <w:rPr>
                <w:kern w:val="0"/>
                <w:sz w:val="21"/>
                <w:szCs w:val="21"/>
              </w:rPr>
              <w:t>8.5</w:t>
            </w:r>
          </w:p>
        </w:tc>
        <w:tc>
          <w:tcPr>
            <w:tcW w:w="743" w:type="dxa"/>
            <w:noWrap/>
            <w:vAlign w:val="center"/>
          </w:tcPr>
          <w:p w14:paraId="31764D21">
            <w:pPr>
              <w:snapToGrid w:val="0"/>
              <w:spacing w:line="480" w:lineRule="exact"/>
              <w:jc w:val="center"/>
              <w:rPr>
                <w:kern w:val="0"/>
                <w:sz w:val="21"/>
                <w:szCs w:val="21"/>
              </w:rPr>
            </w:pPr>
            <w:r>
              <w:rPr>
                <w:kern w:val="0"/>
                <w:sz w:val="21"/>
                <w:szCs w:val="21"/>
              </w:rPr>
              <w:t>10</w:t>
            </w:r>
          </w:p>
        </w:tc>
        <w:tc>
          <w:tcPr>
            <w:tcW w:w="754" w:type="dxa"/>
            <w:noWrap/>
            <w:vAlign w:val="center"/>
          </w:tcPr>
          <w:p w14:paraId="38962715">
            <w:pPr>
              <w:snapToGrid w:val="0"/>
              <w:spacing w:line="480" w:lineRule="exact"/>
              <w:jc w:val="center"/>
              <w:rPr>
                <w:kern w:val="0"/>
                <w:sz w:val="21"/>
                <w:szCs w:val="21"/>
              </w:rPr>
            </w:pPr>
            <w:r>
              <w:rPr>
                <w:kern w:val="0"/>
                <w:sz w:val="21"/>
                <w:szCs w:val="21"/>
              </w:rPr>
              <w:t>10.4</w:t>
            </w:r>
          </w:p>
        </w:tc>
        <w:tc>
          <w:tcPr>
            <w:tcW w:w="1094" w:type="dxa"/>
            <w:noWrap/>
            <w:vAlign w:val="center"/>
          </w:tcPr>
          <w:p w14:paraId="07C6DFB3">
            <w:pPr>
              <w:snapToGrid w:val="0"/>
              <w:spacing w:line="480" w:lineRule="exact"/>
              <w:jc w:val="center"/>
              <w:rPr>
                <w:sz w:val="21"/>
                <w:szCs w:val="21"/>
              </w:rPr>
            </w:pPr>
            <w:r>
              <w:rPr>
                <w:kern w:val="0"/>
                <w:sz w:val="21"/>
                <w:szCs w:val="21"/>
              </w:rPr>
              <w:t>〔1.9〕</w:t>
            </w:r>
          </w:p>
        </w:tc>
        <w:tc>
          <w:tcPr>
            <w:tcW w:w="728" w:type="dxa"/>
            <w:noWrap/>
            <w:vAlign w:val="center"/>
          </w:tcPr>
          <w:p w14:paraId="23295BCE">
            <w:pPr>
              <w:widowControl/>
              <w:snapToGrid w:val="0"/>
              <w:spacing w:line="480" w:lineRule="exact"/>
              <w:jc w:val="center"/>
              <w:rPr>
                <w:sz w:val="21"/>
                <w:szCs w:val="21"/>
              </w:rPr>
            </w:pPr>
            <w:r>
              <w:rPr>
                <w:sz w:val="21"/>
                <w:szCs w:val="21"/>
              </w:rPr>
              <w:t>11.5</w:t>
            </w:r>
          </w:p>
        </w:tc>
        <w:tc>
          <w:tcPr>
            <w:tcW w:w="728" w:type="dxa"/>
            <w:noWrap/>
            <w:vAlign w:val="center"/>
          </w:tcPr>
          <w:p w14:paraId="3163913C">
            <w:pPr>
              <w:widowControl/>
              <w:snapToGrid w:val="0"/>
              <w:spacing w:line="480" w:lineRule="exact"/>
              <w:jc w:val="center"/>
              <w:rPr>
                <w:sz w:val="21"/>
                <w:szCs w:val="21"/>
              </w:rPr>
            </w:pPr>
            <w:r>
              <w:rPr>
                <w:sz w:val="21"/>
                <w:szCs w:val="21"/>
              </w:rPr>
              <w:t>预期性</w:t>
            </w:r>
          </w:p>
        </w:tc>
      </w:tr>
      <w:tr w14:paraId="15CF173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76C45FA8">
            <w:pPr>
              <w:snapToGrid w:val="0"/>
              <w:spacing w:line="480" w:lineRule="exact"/>
              <w:jc w:val="center"/>
              <w:rPr>
                <w:sz w:val="21"/>
                <w:szCs w:val="21"/>
              </w:rPr>
            </w:pPr>
          </w:p>
        </w:tc>
        <w:tc>
          <w:tcPr>
            <w:tcW w:w="354" w:type="dxa"/>
            <w:noWrap/>
            <w:vAlign w:val="center"/>
          </w:tcPr>
          <w:p w14:paraId="7C4C787B">
            <w:pPr>
              <w:snapToGrid w:val="0"/>
              <w:spacing w:line="480" w:lineRule="exact"/>
              <w:jc w:val="center"/>
              <w:rPr>
                <w:sz w:val="21"/>
                <w:szCs w:val="21"/>
              </w:rPr>
            </w:pPr>
            <w:r>
              <w:rPr>
                <w:sz w:val="21"/>
                <w:szCs w:val="21"/>
              </w:rPr>
              <w:t>18</w:t>
            </w:r>
          </w:p>
        </w:tc>
        <w:tc>
          <w:tcPr>
            <w:tcW w:w="2068" w:type="dxa"/>
            <w:noWrap/>
            <w:vAlign w:val="center"/>
          </w:tcPr>
          <w:p w14:paraId="31540B08">
            <w:pPr>
              <w:snapToGrid w:val="0"/>
              <w:spacing w:line="480" w:lineRule="exact"/>
              <w:rPr>
                <w:sz w:val="21"/>
                <w:szCs w:val="21"/>
              </w:rPr>
            </w:pPr>
            <w:r>
              <w:rPr>
                <w:sz w:val="21"/>
                <w:szCs w:val="21"/>
              </w:rPr>
              <w:t>*梦想课堂参与度</w:t>
            </w:r>
          </w:p>
        </w:tc>
        <w:tc>
          <w:tcPr>
            <w:tcW w:w="718" w:type="dxa"/>
            <w:noWrap/>
            <w:vAlign w:val="center"/>
          </w:tcPr>
          <w:p w14:paraId="4640B634">
            <w:pPr>
              <w:snapToGrid w:val="0"/>
              <w:spacing w:line="480" w:lineRule="exact"/>
              <w:jc w:val="center"/>
              <w:rPr>
                <w:sz w:val="21"/>
                <w:szCs w:val="21"/>
              </w:rPr>
            </w:pPr>
            <w:r>
              <w:rPr>
                <w:sz w:val="21"/>
                <w:szCs w:val="21"/>
              </w:rPr>
              <w:t>%</w:t>
            </w:r>
          </w:p>
        </w:tc>
        <w:tc>
          <w:tcPr>
            <w:tcW w:w="828" w:type="dxa"/>
            <w:noWrap/>
            <w:vAlign w:val="center"/>
          </w:tcPr>
          <w:p w14:paraId="0DD1C09A">
            <w:pPr>
              <w:snapToGrid w:val="0"/>
              <w:spacing w:line="480" w:lineRule="exact"/>
              <w:jc w:val="center"/>
              <w:rPr>
                <w:sz w:val="21"/>
                <w:szCs w:val="21"/>
              </w:rPr>
            </w:pPr>
            <w:r>
              <w:rPr>
                <w:sz w:val="21"/>
                <w:szCs w:val="21"/>
              </w:rPr>
              <w:t>25</w:t>
            </w:r>
          </w:p>
        </w:tc>
        <w:tc>
          <w:tcPr>
            <w:tcW w:w="743" w:type="dxa"/>
            <w:noWrap/>
            <w:vAlign w:val="center"/>
          </w:tcPr>
          <w:p w14:paraId="5B58C618">
            <w:pPr>
              <w:snapToGrid w:val="0"/>
              <w:spacing w:line="480" w:lineRule="exact"/>
              <w:jc w:val="center"/>
              <w:rPr>
                <w:sz w:val="21"/>
                <w:szCs w:val="21"/>
              </w:rPr>
            </w:pPr>
            <w:r>
              <w:rPr>
                <w:sz w:val="21"/>
                <w:szCs w:val="21"/>
              </w:rPr>
              <w:t>40</w:t>
            </w:r>
          </w:p>
        </w:tc>
        <w:tc>
          <w:tcPr>
            <w:tcW w:w="754" w:type="dxa"/>
            <w:noWrap/>
            <w:vAlign w:val="center"/>
          </w:tcPr>
          <w:p w14:paraId="156D5F81">
            <w:pPr>
              <w:snapToGrid w:val="0"/>
              <w:spacing w:line="480" w:lineRule="exact"/>
              <w:jc w:val="center"/>
              <w:rPr>
                <w:sz w:val="21"/>
                <w:szCs w:val="21"/>
              </w:rPr>
            </w:pPr>
            <w:r>
              <w:rPr>
                <w:sz w:val="21"/>
                <w:szCs w:val="21"/>
              </w:rPr>
              <w:t>60</w:t>
            </w:r>
          </w:p>
        </w:tc>
        <w:tc>
          <w:tcPr>
            <w:tcW w:w="1094" w:type="dxa"/>
            <w:noWrap/>
            <w:vAlign w:val="center"/>
          </w:tcPr>
          <w:p w14:paraId="0524CAB1">
            <w:pPr>
              <w:snapToGrid w:val="0"/>
              <w:spacing w:line="480" w:lineRule="exact"/>
              <w:jc w:val="center"/>
              <w:rPr>
                <w:sz w:val="21"/>
                <w:szCs w:val="21"/>
              </w:rPr>
            </w:pPr>
            <w:r>
              <w:rPr>
                <w:kern w:val="0"/>
                <w:sz w:val="21"/>
                <w:szCs w:val="21"/>
              </w:rPr>
              <w:t>〔35〕</w:t>
            </w:r>
          </w:p>
        </w:tc>
        <w:tc>
          <w:tcPr>
            <w:tcW w:w="728" w:type="dxa"/>
            <w:noWrap/>
            <w:vAlign w:val="center"/>
          </w:tcPr>
          <w:p w14:paraId="43D6FE27">
            <w:pPr>
              <w:widowControl/>
              <w:snapToGrid w:val="0"/>
              <w:spacing w:line="480" w:lineRule="exact"/>
              <w:jc w:val="center"/>
              <w:rPr>
                <w:sz w:val="21"/>
                <w:szCs w:val="21"/>
              </w:rPr>
            </w:pPr>
            <w:r>
              <w:rPr>
                <w:sz w:val="21"/>
                <w:szCs w:val="21"/>
              </w:rPr>
              <w:t>80</w:t>
            </w:r>
          </w:p>
        </w:tc>
        <w:tc>
          <w:tcPr>
            <w:tcW w:w="728" w:type="dxa"/>
            <w:noWrap/>
            <w:vAlign w:val="center"/>
          </w:tcPr>
          <w:p w14:paraId="014F9019">
            <w:pPr>
              <w:widowControl/>
              <w:snapToGrid w:val="0"/>
              <w:spacing w:line="480" w:lineRule="exact"/>
              <w:jc w:val="center"/>
              <w:rPr>
                <w:sz w:val="21"/>
                <w:szCs w:val="21"/>
              </w:rPr>
            </w:pPr>
            <w:r>
              <w:rPr>
                <w:sz w:val="21"/>
                <w:szCs w:val="21"/>
              </w:rPr>
              <w:t>预期性</w:t>
            </w:r>
          </w:p>
        </w:tc>
      </w:tr>
      <w:tr w14:paraId="4CF4246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14:paraId="27D5C787">
            <w:pPr>
              <w:snapToGrid w:val="0"/>
              <w:spacing w:line="480" w:lineRule="exact"/>
              <w:jc w:val="center"/>
              <w:rPr>
                <w:sz w:val="21"/>
                <w:szCs w:val="21"/>
              </w:rPr>
            </w:pPr>
            <w:r>
              <w:rPr>
                <w:sz w:val="21"/>
                <w:szCs w:val="21"/>
              </w:rPr>
              <w:t>治理</w:t>
            </w:r>
          </w:p>
          <w:p w14:paraId="23A6788F">
            <w:pPr>
              <w:snapToGrid w:val="0"/>
              <w:spacing w:line="480" w:lineRule="exact"/>
              <w:jc w:val="center"/>
              <w:rPr>
                <w:sz w:val="21"/>
                <w:szCs w:val="21"/>
              </w:rPr>
            </w:pPr>
            <w:r>
              <w:rPr>
                <w:sz w:val="21"/>
                <w:szCs w:val="21"/>
              </w:rPr>
              <w:t>有效</w:t>
            </w:r>
          </w:p>
        </w:tc>
        <w:tc>
          <w:tcPr>
            <w:tcW w:w="354" w:type="dxa"/>
            <w:noWrap/>
            <w:vAlign w:val="center"/>
          </w:tcPr>
          <w:p w14:paraId="080912B0">
            <w:pPr>
              <w:snapToGrid w:val="0"/>
              <w:spacing w:line="480" w:lineRule="exact"/>
              <w:jc w:val="center"/>
              <w:rPr>
                <w:sz w:val="21"/>
                <w:szCs w:val="21"/>
              </w:rPr>
            </w:pPr>
            <w:r>
              <w:rPr>
                <w:sz w:val="21"/>
                <w:szCs w:val="21"/>
              </w:rPr>
              <w:t>19</w:t>
            </w:r>
          </w:p>
        </w:tc>
        <w:tc>
          <w:tcPr>
            <w:tcW w:w="2068" w:type="dxa"/>
            <w:noWrap/>
            <w:vAlign w:val="center"/>
          </w:tcPr>
          <w:p w14:paraId="0881EBF7">
            <w:pPr>
              <w:snapToGrid w:val="0"/>
              <w:spacing w:line="480" w:lineRule="exact"/>
              <w:rPr>
                <w:sz w:val="21"/>
                <w:szCs w:val="21"/>
              </w:rPr>
            </w:pPr>
            <w:r>
              <w:rPr>
                <w:sz w:val="21"/>
                <w:szCs w:val="21"/>
              </w:rPr>
              <w:t>村规划管理覆盖率</w:t>
            </w:r>
          </w:p>
        </w:tc>
        <w:tc>
          <w:tcPr>
            <w:tcW w:w="718" w:type="dxa"/>
            <w:noWrap/>
            <w:vAlign w:val="center"/>
          </w:tcPr>
          <w:p w14:paraId="77C69AEA">
            <w:pPr>
              <w:snapToGrid w:val="0"/>
              <w:spacing w:line="480" w:lineRule="exact"/>
              <w:jc w:val="center"/>
              <w:rPr>
                <w:kern w:val="0"/>
                <w:sz w:val="21"/>
                <w:szCs w:val="21"/>
              </w:rPr>
            </w:pPr>
            <w:r>
              <w:rPr>
                <w:kern w:val="0"/>
                <w:sz w:val="21"/>
                <w:szCs w:val="21"/>
              </w:rPr>
              <w:t>%</w:t>
            </w:r>
          </w:p>
        </w:tc>
        <w:tc>
          <w:tcPr>
            <w:tcW w:w="828" w:type="dxa"/>
            <w:noWrap/>
            <w:vAlign w:val="center"/>
          </w:tcPr>
          <w:p w14:paraId="1F5994F2">
            <w:pPr>
              <w:snapToGrid w:val="0"/>
              <w:spacing w:line="480" w:lineRule="exact"/>
              <w:jc w:val="center"/>
              <w:rPr>
                <w:kern w:val="0"/>
                <w:sz w:val="21"/>
                <w:szCs w:val="21"/>
              </w:rPr>
            </w:pPr>
            <w:r>
              <w:rPr>
                <w:kern w:val="0"/>
                <w:sz w:val="21"/>
                <w:szCs w:val="21"/>
              </w:rPr>
              <w:t>100</w:t>
            </w:r>
          </w:p>
        </w:tc>
        <w:tc>
          <w:tcPr>
            <w:tcW w:w="743" w:type="dxa"/>
            <w:noWrap/>
            <w:vAlign w:val="center"/>
          </w:tcPr>
          <w:p w14:paraId="68E8EF9C">
            <w:pPr>
              <w:snapToGrid w:val="0"/>
              <w:spacing w:line="480" w:lineRule="exact"/>
              <w:jc w:val="center"/>
              <w:rPr>
                <w:kern w:val="0"/>
                <w:sz w:val="21"/>
                <w:szCs w:val="21"/>
              </w:rPr>
            </w:pPr>
            <w:r>
              <w:rPr>
                <w:kern w:val="0"/>
                <w:sz w:val="21"/>
                <w:szCs w:val="21"/>
              </w:rPr>
              <w:t>100</w:t>
            </w:r>
          </w:p>
        </w:tc>
        <w:tc>
          <w:tcPr>
            <w:tcW w:w="754" w:type="dxa"/>
            <w:noWrap/>
            <w:vAlign w:val="center"/>
          </w:tcPr>
          <w:p w14:paraId="2389BD1A">
            <w:pPr>
              <w:snapToGrid w:val="0"/>
              <w:spacing w:line="480" w:lineRule="exact"/>
              <w:jc w:val="center"/>
              <w:rPr>
                <w:kern w:val="0"/>
                <w:sz w:val="21"/>
                <w:szCs w:val="21"/>
              </w:rPr>
            </w:pPr>
            <w:r>
              <w:rPr>
                <w:kern w:val="0"/>
                <w:sz w:val="21"/>
                <w:szCs w:val="21"/>
              </w:rPr>
              <w:t>100</w:t>
            </w:r>
          </w:p>
        </w:tc>
        <w:tc>
          <w:tcPr>
            <w:tcW w:w="1094" w:type="dxa"/>
            <w:noWrap/>
            <w:vAlign w:val="center"/>
          </w:tcPr>
          <w:p w14:paraId="6C846ABC">
            <w:pPr>
              <w:snapToGrid w:val="0"/>
              <w:spacing w:line="480" w:lineRule="exact"/>
              <w:jc w:val="center"/>
              <w:rPr>
                <w:sz w:val="21"/>
                <w:szCs w:val="21"/>
              </w:rPr>
            </w:pPr>
            <w:r>
              <w:rPr>
                <w:kern w:val="0"/>
                <w:sz w:val="21"/>
                <w:szCs w:val="21"/>
              </w:rPr>
              <w:t>〔00〕</w:t>
            </w:r>
          </w:p>
        </w:tc>
        <w:tc>
          <w:tcPr>
            <w:tcW w:w="728" w:type="dxa"/>
            <w:noWrap/>
            <w:vAlign w:val="center"/>
          </w:tcPr>
          <w:p w14:paraId="54E05B33">
            <w:pPr>
              <w:widowControl/>
              <w:snapToGrid w:val="0"/>
              <w:spacing w:line="480" w:lineRule="exact"/>
              <w:jc w:val="center"/>
              <w:rPr>
                <w:sz w:val="21"/>
                <w:szCs w:val="21"/>
              </w:rPr>
            </w:pPr>
            <w:r>
              <w:rPr>
                <w:sz w:val="21"/>
                <w:szCs w:val="21"/>
              </w:rPr>
              <w:t>100</w:t>
            </w:r>
          </w:p>
        </w:tc>
        <w:tc>
          <w:tcPr>
            <w:tcW w:w="728" w:type="dxa"/>
            <w:noWrap/>
            <w:vAlign w:val="center"/>
          </w:tcPr>
          <w:p w14:paraId="0F26F4BA">
            <w:pPr>
              <w:widowControl/>
              <w:snapToGrid w:val="0"/>
              <w:spacing w:line="480" w:lineRule="exact"/>
              <w:jc w:val="center"/>
              <w:rPr>
                <w:sz w:val="21"/>
                <w:szCs w:val="21"/>
              </w:rPr>
            </w:pPr>
            <w:r>
              <w:rPr>
                <w:sz w:val="21"/>
                <w:szCs w:val="21"/>
              </w:rPr>
              <w:t>预期性</w:t>
            </w:r>
          </w:p>
        </w:tc>
      </w:tr>
      <w:tr w14:paraId="35FA019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2D995BEF">
            <w:pPr>
              <w:snapToGrid w:val="0"/>
              <w:spacing w:line="480" w:lineRule="exact"/>
              <w:jc w:val="center"/>
              <w:rPr>
                <w:sz w:val="21"/>
                <w:szCs w:val="21"/>
              </w:rPr>
            </w:pPr>
          </w:p>
        </w:tc>
        <w:tc>
          <w:tcPr>
            <w:tcW w:w="354" w:type="dxa"/>
            <w:noWrap/>
            <w:vAlign w:val="center"/>
          </w:tcPr>
          <w:p w14:paraId="69433C0B">
            <w:pPr>
              <w:snapToGrid w:val="0"/>
              <w:spacing w:line="480" w:lineRule="exact"/>
              <w:jc w:val="center"/>
              <w:rPr>
                <w:sz w:val="21"/>
                <w:szCs w:val="21"/>
              </w:rPr>
            </w:pPr>
            <w:r>
              <w:rPr>
                <w:sz w:val="21"/>
                <w:szCs w:val="21"/>
              </w:rPr>
              <w:t>20</w:t>
            </w:r>
          </w:p>
        </w:tc>
        <w:tc>
          <w:tcPr>
            <w:tcW w:w="2068" w:type="dxa"/>
            <w:noWrap/>
            <w:vAlign w:val="center"/>
          </w:tcPr>
          <w:p w14:paraId="1FF4EF53">
            <w:pPr>
              <w:snapToGrid w:val="0"/>
              <w:spacing w:line="480" w:lineRule="exact"/>
              <w:rPr>
                <w:sz w:val="21"/>
                <w:szCs w:val="21"/>
              </w:rPr>
            </w:pPr>
            <w:r>
              <w:rPr>
                <w:sz w:val="21"/>
                <w:szCs w:val="21"/>
              </w:rPr>
              <w:t>建有综合服务站的村占比</w:t>
            </w:r>
          </w:p>
        </w:tc>
        <w:tc>
          <w:tcPr>
            <w:tcW w:w="718" w:type="dxa"/>
            <w:noWrap/>
            <w:vAlign w:val="center"/>
          </w:tcPr>
          <w:p w14:paraId="3BAE55AF">
            <w:pPr>
              <w:snapToGrid w:val="0"/>
              <w:spacing w:line="480" w:lineRule="exact"/>
              <w:jc w:val="center"/>
              <w:rPr>
                <w:kern w:val="0"/>
                <w:sz w:val="21"/>
                <w:szCs w:val="21"/>
              </w:rPr>
            </w:pPr>
            <w:r>
              <w:rPr>
                <w:kern w:val="0"/>
                <w:sz w:val="21"/>
                <w:szCs w:val="21"/>
              </w:rPr>
              <w:t>%</w:t>
            </w:r>
          </w:p>
        </w:tc>
        <w:tc>
          <w:tcPr>
            <w:tcW w:w="828" w:type="dxa"/>
            <w:noWrap/>
            <w:vAlign w:val="center"/>
          </w:tcPr>
          <w:p w14:paraId="219CA102">
            <w:pPr>
              <w:snapToGrid w:val="0"/>
              <w:spacing w:line="480" w:lineRule="exact"/>
              <w:jc w:val="center"/>
              <w:rPr>
                <w:kern w:val="0"/>
                <w:sz w:val="21"/>
                <w:szCs w:val="21"/>
              </w:rPr>
            </w:pPr>
            <w:r>
              <w:rPr>
                <w:kern w:val="0"/>
                <w:sz w:val="21"/>
                <w:szCs w:val="21"/>
              </w:rPr>
              <w:t>96</w:t>
            </w:r>
          </w:p>
        </w:tc>
        <w:tc>
          <w:tcPr>
            <w:tcW w:w="743" w:type="dxa"/>
            <w:noWrap/>
            <w:vAlign w:val="center"/>
          </w:tcPr>
          <w:p w14:paraId="2EAD92A9">
            <w:pPr>
              <w:snapToGrid w:val="0"/>
              <w:spacing w:line="480" w:lineRule="exact"/>
              <w:jc w:val="center"/>
              <w:rPr>
                <w:kern w:val="0"/>
                <w:sz w:val="21"/>
                <w:szCs w:val="21"/>
              </w:rPr>
            </w:pPr>
            <w:r>
              <w:rPr>
                <w:kern w:val="0"/>
                <w:sz w:val="21"/>
                <w:szCs w:val="21"/>
              </w:rPr>
              <w:t>100</w:t>
            </w:r>
          </w:p>
        </w:tc>
        <w:tc>
          <w:tcPr>
            <w:tcW w:w="754" w:type="dxa"/>
            <w:noWrap/>
            <w:vAlign w:val="center"/>
          </w:tcPr>
          <w:p w14:paraId="6CF07866">
            <w:pPr>
              <w:snapToGrid w:val="0"/>
              <w:spacing w:line="480" w:lineRule="exact"/>
              <w:jc w:val="center"/>
              <w:rPr>
                <w:kern w:val="0"/>
                <w:sz w:val="21"/>
                <w:szCs w:val="21"/>
              </w:rPr>
            </w:pPr>
            <w:r>
              <w:rPr>
                <w:kern w:val="0"/>
                <w:sz w:val="21"/>
                <w:szCs w:val="21"/>
              </w:rPr>
              <w:t>100</w:t>
            </w:r>
          </w:p>
        </w:tc>
        <w:tc>
          <w:tcPr>
            <w:tcW w:w="1094" w:type="dxa"/>
            <w:noWrap/>
            <w:vAlign w:val="center"/>
          </w:tcPr>
          <w:p w14:paraId="23C1F957">
            <w:pPr>
              <w:snapToGrid w:val="0"/>
              <w:spacing w:line="480" w:lineRule="exact"/>
              <w:jc w:val="center"/>
              <w:rPr>
                <w:sz w:val="21"/>
                <w:szCs w:val="21"/>
              </w:rPr>
            </w:pPr>
            <w:r>
              <w:rPr>
                <w:kern w:val="0"/>
                <w:sz w:val="21"/>
                <w:szCs w:val="21"/>
              </w:rPr>
              <w:t>〔4〕</w:t>
            </w:r>
          </w:p>
        </w:tc>
        <w:tc>
          <w:tcPr>
            <w:tcW w:w="728" w:type="dxa"/>
            <w:noWrap/>
            <w:vAlign w:val="center"/>
          </w:tcPr>
          <w:p w14:paraId="17ECA814">
            <w:pPr>
              <w:widowControl/>
              <w:snapToGrid w:val="0"/>
              <w:spacing w:line="480" w:lineRule="exact"/>
              <w:jc w:val="center"/>
              <w:rPr>
                <w:sz w:val="21"/>
                <w:szCs w:val="21"/>
              </w:rPr>
            </w:pPr>
            <w:r>
              <w:rPr>
                <w:sz w:val="21"/>
                <w:szCs w:val="21"/>
              </w:rPr>
              <w:t>100</w:t>
            </w:r>
          </w:p>
        </w:tc>
        <w:tc>
          <w:tcPr>
            <w:tcW w:w="728" w:type="dxa"/>
            <w:noWrap/>
            <w:vAlign w:val="center"/>
          </w:tcPr>
          <w:p w14:paraId="19E0167B">
            <w:pPr>
              <w:widowControl/>
              <w:snapToGrid w:val="0"/>
              <w:spacing w:line="480" w:lineRule="exact"/>
              <w:jc w:val="center"/>
              <w:rPr>
                <w:sz w:val="21"/>
                <w:szCs w:val="21"/>
              </w:rPr>
            </w:pPr>
            <w:r>
              <w:rPr>
                <w:sz w:val="21"/>
                <w:szCs w:val="21"/>
              </w:rPr>
              <w:t>预期性</w:t>
            </w:r>
          </w:p>
        </w:tc>
      </w:tr>
      <w:tr w14:paraId="4DFED64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18693DED">
            <w:pPr>
              <w:snapToGrid w:val="0"/>
              <w:spacing w:line="480" w:lineRule="exact"/>
              <w:jc w:val="center"/>
              <w:rPr>
                <w:sz w:val="21"/>
                <w:szCs w:val="21"/>
              </w:rPr>
            </w:pPr>
          </w:p>
        </w:tc>
        <w:tc>
          <w:tcPr>
            <w:tcW w:w="354" w:type="dxa"/>
            <w:noWrap/>
            <w:vAlign w:val="center"/>
          </w:tcPr>
          <w:p w14:paraId="11BB019B">
            <w:pPr>
              <w:snapToGrid w:val="0"/>
              <w:spacing w:line="480" w:lineRule="exact"/>
              <w:jc w:val="center"/>
              <w:rPr>
                <w:sz w:val="21"/>
                <w:szCs w:val="21"/>
              </w:rPr>
            </w:pPr>
            <w:r>
              <w:rPr>
                <w:sz w:val="21"/>
                <w:szCs w:val="21"/>
              </w:rPr>
              <w:t>21</w:t>
            </w:r>
          </w:p>
        </w:tc>
        <w:tc>
          <w:tcPr>
            <w:tcW w:w="2068" w:type="dxa"/>
            <w:noWrap/>
            <w:vAlign w:val="center"/>
          </w:tcPr>
          <w:p w14:paraId="5D00DB28">
            <w:pPr>
              <w:snapToGrid w:val="0"/>
              <w:spacing w:line="480" w:lineRule="exact"/>
              <w:rPr>
                <w:sz w:val="21"/>
                <w:szCs w:val="21"/>
              </w:rPr>
            </w:pPr>
            <w:r>
              <w:rPr>
                <w:sz w:val="21"/>
                <w:szCs w:val="21"/>
              </w:rPr>
              <w:t>村党组织书记兼任村委会主任的村占比</w:t>
            </w:r>
          </w:p>
        </w:tc>
        <w:tc>
          <w:tcPr>
            <w:tcW w:w="718" w:type="dxa"/>
            <w:noWrap/>
            <w:vAlign w:val="center"/>
          </w:tcPr>
          <w:p w14:paraId="082C510F">
            <w:pPr>
              <w:snapToGrid w:val="0"/>
              <w:spacing w:line="480" w:lineRule="exact"/>
              <w:jc w:val="center"/>
              <w:rPr>
                <w:sz w:val="21"/>
                <w:szCs w:val="21"/>
              </w:rPr>
            </w:pPr>
            <w:r>
              <w:rPr>
                <w:sz w:val="21"/>
                <w:szCs w:val="21"/>
              </w:rPr>
              <w:t>%</w:t>
            </w:r>
          </w:p>
        </w:tc>
        <w:tc>
          <w:tcPr>
            <w:tcW w:w="828" w:type="dxa"/>
            <w:noWrap/>
            <w:vAlign w:val="center"/>
          </w:tcPr>
          <w:p w14:paraId="5C25164A">
            <w:pPr>
              <w:snapToGrid w:val="0"/>
              <w:spacing w:line="480" w:lineRule="exact"/>
              <w:jc w:val="center"/>
              <w:rPr>
                <w:sz w:val="21"/>
                <w:szCs w:val="21"/>
                <w:highlight w:val="yellow"/>
              </w:rPr>
            </w:pPr>
            <w:r>
              <w:rPr>
                <w:sz w:val="21"/>
                <w:szCs w:val="21"/>
              </w:rPr>
              <w:t>9.8</w:t>
            </w:r>
          </w:p>
        </w:tc>
        <w:tc>
          <w:tcPr>
            <w:tcW w:w="743" w:type="dxa"/>
            <w:noWrap/>
            <w:vAlign w:val="center"/>
          </w:tcPr>
          <w:p w14:paraId="48A7CF1D">
            <w:pPr>
              <w:snapToGrid w:val="0"/>
              <w:spacing w:line="480" w:lineRule="exact"/>
              <w:jc w:val="center"/>
              <w:rPr>
                <w:sz w:val="21"/>
                <w:szCs w:val="21"/>
                <w:highlight w:val="yellow"/>
              </w:rPr>
            </w:pPr>
            <w:r>
              <w:rPr>
                <w:sz w:val="21"/>
                <w:szCs w:val="21"/>
              </w:rPr>
              <w:t>&gt;35</w:t>
            </w:r>
          </w:p>
        </w:tc>
        <w:tc>
          <w:tcPr>
            <w:tcW w:w="754" w:type="dxa"/>
            <w:noWrap/>
            <w:vAlign w:val="center"/>
          </w:tcPr>
          <w:p w14:paraId="199FF669">
            <w:pPr>
              <w:snapToGrid w:val="0"/>
              <w:spacing w:line="480" w:lineRule="exact"/>
              <w:jc w:val="center"/>
              <w:rPr>
                <w:sz w:val="21"/>
                <w:szCs w:val="21"/>
                <w:highlight w:val="yellow"/>
              </w:rPr>
            </w:pPr>
            <w:r>
              <w:rPr>
                <w:sz w:val="21"/>
                <w:szCs w:val="21"/>
              </w:rPr>
              <w:t>&gt;50</w:t>
            </w:r>
          </w:p>
        </w:tc>
        <w:tc>
          <w:tcPr>
            <w:tcW w:w="1094" w:type="dxa"/>
            <w:noWrap/>
            <w:vAlign w:val="center"/>
          </w:tcPr>
          <w:p w14:paraId="44E6BFC5">
            <w:pPr>
              <w:snapToGrid w:val="0"/>
              <w:spacing w:line="480" w:lineRule="exact"/>
              <w:jc w:val="center"/>
              <w:rPr>
                <w:sz w:val="21"/>
                <w:szCs w:val="21"/>
                <w:highlight w:val="yellow"/>
              </w:rPr>
            </w:pPr>
            <w:r>
              <w:rPr>
                <w:kern w:val="0"/>
                <w:sz w:val="21"/>
                <w:szCs w:val="21"/>
              </w:rPr>
              <w:t>〔&gt;40.2〕</w:t>
            </w:r>
          </w:p>
        </w:tc>
        <w:tc>
          <w:tcPr>
            <w:tcW w:w="728" w:type="dxa"/>
            <w:noWrap/>
            <w:vAlign w:val="center"/>
          </w:tcPr>
          <w:p w14:paraId="6C37664E">
            <w:pPr>
              <w:widowControl/>
              <w:snapToGrid w:val="0"/>
              <w:spacing w:line="480" w:lineRule="exact"/>
              <w:jc w:val="center"/>
              <w:rPr>
                <w:sz w:val="21"/>
                <w:szCs w:val="21"/>
              </w:rPr>
            </w:pPr>
            <w:r>
              <w:rPr>
                <w:sz w:val="21"/>
                <w:szCs w:val="21"/>
              </w:rPr>
              <w:t>80</w:t>
            </w:r>
          </w:p>
        </w:tc>
        <w:tc>
          <w:tcPr>
            <w:tcW w:w="728" w:type="dxa"/>
            <w:noWrap/>
            <w:vAlign w:val="center"/>
          </w:tcPr>
          <w:p w14:paraId="2FCBC60A">
            <w:pPr>
              <w:widowControl/>
              <w:snapToGrid w:val="0"/>
              <w:spacing w:line="480" w:lineRule="exact"/>
              <w:jc w:val="center"/>
              <w:rPr>
                <w:sz w:val="21"/>
                <w:szCs w:val="21"/>
              </w:rPr>
            </w:pPr>
            <w:r>
              <w:rPr>
                <w:sz w:val="21"/>
                <w:szCs w:val="21"/>
              </w:rPr>
              <w:t>预期性</w:t>
            </w:r>
          </w:p>
        </w:tc>
      </w:tr>
      <w:tr w14:paraId="62BB083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continue"/>
            <w:noWrap/>
            <w:vAlign w:val="center"/>
          </w:tcPr>
          <w:p w14:paraId="48175ECD">
            <w:pPr>
              <w:snapToGrid w:val="0"/>
              <w:spacing w:line="480" w:lineRule="exact"/>
              <w:jc w:val="center"/>
              <w:rPr>
                <w:sz w:val="21"/>
                <w:szCs w:val="21"/>
              </w:rPr>
            </w:pPr>
          </w:p>
        </w:tc>
        <w:tc>
          <w:tcPr>
            <w:tcW w:w="354" w:type="dxa"/>
            <w:noWrap/>
            <w:vAlign w:val="center"/>
          </w:tcPr>
          <w:p w14:paraId="5A26DCB1">
            <w:pPr>
              <w:snapToGrid w:val="0"/>
              <w:spacing w:line="480" w:lineRule="exact"/>
              <w:jc w:val="center"/>
              <w:rPr>
                <w:sz w:val="21"/>
                <w:szCs w:val="21"/>
              </w:rPr>
            </w:pPr>
            <w:r>
              <w:rPr>
                <w:sz w:val="21"/>
                <w:szCs w:val="21"/>
              </w:rPr>
              <w:t>22</w:t>
            </w:r>
          </w:p>
        </w:tc>
        <w:tc>
          <w:tcPr>
            <w:tcW w:w="2068" w:type="dxa"/>
            <w:noWrap/>
            <w:vAlign w:val="center"/>
          </w:tcPr>
          <w:p w14:paraId="5976CE75">
            <w:pPr>
              <w:snapToGrid w:val="0"/>
              <w:spacing w:line="480" w:lineRule="exact"/>
              <w:rPr>
                <w:sz w:val="21"/>
                <w:szCs w:val="21"/>
              </w:rPr>
            </w:pPr>
            <w:r>
              <w:rPr>
                <w:sz w:val="21"/>
                <w:szCs w:val="21"/>
              </w:rPr>
              <w:t>有村规民约的村占比</w:t>
            </w:r>
          </w:p>
        </w:tc>
        <w:tc>
          <w:tcPr>
            <w:tcW w:w="718" w:type="dxa"/>
            <w:noWrap/>
            <w:vAlign w:val="center"/>
          </w:tcPr>
          <w:p w14:paraId="0C2920BB">
            <w:pPr>
              <w:snapToGrid w:val="0"/>
              <w:spacing w:line="480" w:lineRule="exact"/>
              <w:jc w:val="center"/>
              <w:rPr>
                <w:sz w:val="21"/>
                <w:szCs w:val="21"/>
              </w:rPr>
            </w:pPr>
            <w:r>
              <w:rPr>
                <w:sz w:val="21"/>
                <w:szCs w:val="21"/>
              </w:rPr>
              <w:t>%</w:t>
            </w:r>
          </w:p>
        </w:tc>
        <w:tc>
          <w:tcPr>
            <w:tcW w:w="828" w:type="dxa"/>
            <w:noWrap/>
            <w:vAlign w:val="center"/>
          </w:tcPr>
          <w:p w14:paraId="28C07E9F">
            <w:pPr>
              <w:snapToGrid w:val="0"/>
              <w:spacing w:line="480" w:lineRule="exact"/>
              <w:jc w:val="center"/>
              <w:rPr>
                <w:sz w:val="21"/>
                <w:szCs w:val="21"/>
                <w:highlight w:val="yellow"/>
              </w:rPr>
            </w:pPr>
            <w:r>
              <w:rPr>
                <w:sz w:val="21"/>
                <w:szCs w:val="21"/>
              </w:rPr>
              <w:t>100</w:t>
            </w:r>
          </w:p>
        </w:tc>
        <w:tc>
          <w:tcPr>
            <w:tcW w:w="743" w:type="dxa"/>
            <w:noWrap/>
            <w:vAlign w:val="center"/>
          </w:tcPr>
          <w:p w14:paraId="7F9B1EBF">
            <w:pPr>
              <w:snapToGrid w:val="0"/>
              <w:spacing w:line="480" w:lineRule="exact"/>
              <w:jc w:val="center"/>
              <w:rPr>
                <w:kern w:val="0"/>
                <w:sz w:val="21"/>
                <w:szCs w:val="21"/>
              </w:rPr>
            </w:pPr>
            <w:r>
              <w:rPr>
                <w:kern w:val="0"/>
                <w:sz w:val="21"/>
                <w:szCs w:val="21"/>
              </w:rPr>
              <w:t>100</w:t>
            </w:r>
          </w:p>
        </w:tc>
        <w:tc>
          <w:tcPr>
            <w:tcW w:w="754" w:type="dxa"/>
            <w:noWrap/>
            <w:vAlign w:val="center"/>
          </w:tcPr>
          <w:p w14:paraId="6FEEA18F">
            <w:pPr>
              <w:snapToGrid w:val="0"/>
              <w:spacing w:line="480" w:lineRule="exact"/>
              <w:jc w:val="center"/>
              <w:rPr>
                <w:kern w:val="0"/>
                <w:sz w:val="21"/>
                <w:szCs w:val="21"/>
              </w:rPr>
            </w:pPr>
            <w:r>
              <w:rPr>
                <w:kern w:val="0"/>
                <w:sz w:val="21"/>
                <w:szCs w:val="21"/>
              </w:rPr>
              <w:t>100</w:t>
            </w:r>
          </w:p>
        </w:tc>
        <w:tc>
          <w:tcPr>
            <w:tcW w:w="1094" w:type="dxa"/>
            <w:noWrap/>
            <w:vAlign w:val="center"/>
          </w:tcPr>
          <w:p w14:paraId="34790D05">
            <w:pPr>
              <w:snapToGrid w:val="0"/>
              <w:spacing w:line="480" w:lineRule="exact"/>
              <w:jc w:val="center"/>
              <w:rPr>
                <w:sz w:val="21"/>
                <w:szCs w:val="21"/>
              </w:rPr>
            </w:pPr>
            <w:r>
              <w:rPr>
                <w:sz w:val="21"/>
                <w:szCs w:val="21"/>
              </w:rPr>
              <w:t>—</w:t>
            </w:r>
          </w:p>
        </w:tc>
        <w:tc>
          <w:tcPr>
            <w:tcW w:w="728" w:type="dxa"/>
            <w:noWrap/>
            <w:vAlign w:val="center"/>
          </w:tcPr>
          <w:p w14:paraId="126FB88E">
            <w:pPr>
              <w:widowControl/>
              <w:snapToGrid w:val="0"/>
              <w:spacing w:line="480" w:lineRule="exact"/>
              <w:jc w:val="center"/>
              <w:rPr>
                <w:sz w:val="21"/>
                <w:szCs w:val="21"/>
              </w:rPr>
            </w:pPr>
            <w:r>
              <w:rPr>
                <w:sz w:val="21"/>
                <w:szCs w:val="21"/>
              </w:rPr>
              <w:t>100</w:t>
            </w:r>
          </w:p>
        </w:tc>
        <w:tc>
          <w:tcPr>
            <w:tcW w:w="728" w:type="dxa"/>
            <w:noWrap/>
            <w:vAlign w:val="center"/>
          </w:tcPr>
          <w:p w14:paraId="67A03366">
            <w:pPr>
              <w:widowControl/>
              <w:snapToGrid w:val="0"/>
              <w:spacing w:line="480" w:lineRule="exact"/>
              <w:jc w:val="center"/>
              <w:rPr>
                <w:sz w:val="21"/>
                <w:szCs w:val="21"/>
              </w:rPr>
            </w:pPr>
            <w:r>
              <w:rPr>
                <w:sz w:val="21"/>
                <w:szCs w:val="21"/>
              </w:rPr>
              <w:t>预期性</w:t>
            </w:r>
          </w:p>
        </w:tc>
      </w:tr>
      <w:tr w14:paraId="48A5591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continue"/>
            <w:noWrap/>
            <w:vAlign w:val="center"/>
          </w:tcPr>
          <w:p w14:paraId="6B026D40">
            <w:pPr>
              <w:snapToGrid w:val="0"/>
              <w:spacing w:line="480" w:lineRule="exact"/>
              <w:jc w:val="center"/>
              <w:rPr>
                <w:sz w:val="21"/>
                <w:szCs w:val="21"/>
              </w:rPr>
            </w:pPr>
          </w:p>
        </w:tc>
        <w:tc>
          <w:tcPr>
            <w:tcW w:w="354" w:type="dxa"/>
            <w:noWrap/>
            <w:vAlign w:val="center"/>
          </w:tcPr>
          <w:p w14:paraId="24A23941">
            <w:pPr>
              <w:snapToGrid w:val="0"/>
              <w:spacing w:line="480" w:lineRule="exact"/>
              <w:jc w:val="center"/>
              <w:rPr>
                <w:sz w:val="21"/>
                <w:szCs w:val="21"/>
              </w:rPr>
            </w:pPr>
            <w:r>
              <w:rPr>
                <w:sz w:val="21"/>
                <w:szCs w:val="21"/>
              </w:rPr>
              <w:t>23</w:t>
            </w:r>
          </w:p>
        </w:tc>
        <w:tc>
          <w:tcPr>
            <w:tcW w:w="2068" w:type="dxa"/>
            <w:noWrap/>
            <w:vAlign w:val="center"/>
          </w:tcPr>
          <w:p w14:paraId="39C992B0">
            <w:pPr>
              <w:snapToGrid w:val="0"/>
              <w:spacing w:line="480" w:lineRule="exact"/>
              <w:rPr>
                <w:sz w:val="21"/>
                <w:szCs w:val="21"/>
              </w:rPr>
            </w:pPr>
            <w:r>
              <w:rPr>
                <w:sz w:val="21"/>
                <w:szCs w:val="21"/>
              </w:rPr>
              <w:t>集体经济强村比重</w:t>
            </w:r>
          </w:p>
        </w:tc>
        <w:tc>
          <w:tcPr>
            <w:tcW w:w="718" w:type="dxa"/>
            <w:noWrap/>
            <w:vAlign w:val="center"/>
          </w:tcPr>
          <w:p w14:paraId="7E064FC8">
            <w:pPr>
              <w:snapToGrid w:val="0"/>
              <w:spacing w:line="480" w:lineRule="exact"/>
              <w:jc w:val="center"/>
              <w:rPr>
                <w:sz w:val="21"/>
                <w:szCs w:val="21"/>
              </w:rPr>
            </w:pPr>
            <w:r>
              <w:rPr>
                <w:sz w:val="21"/>
                <w:szCs w:val="21"/>
              </w:rPr>
              <w:t>%</w:t>
            </w:r>
          </w:p>
        </w:tc>
        <w:tc>
          <w:tcPr>
            <w:tcW w:w="828" w:type="dxa"/>
            <w:noWrap/>
            <w:vAlign w:val="center"/>
          </w:tcPr>
          <w:p w14:paraId="374662EC">
            <w:pPr>
              <w:snapToGrid w:val="0"/>
              <w:spacing w:line="480" w:lineRule="exact"/>
              <w:jc w:val="center"/>
              <w:rPr>
                <w:kern w:val="0"/>
                <w:sz w:val="21"/>
                <w:szCs w:val="21"/>
              </w:rPr>
            </w:pPr>
            <w:r>
              <w:rPr>
                <w:kern w:val="0"/>
                <w:sz w:val="21"/>
                <w:szCs w:val="21"/>
              </w:rPr>
              <w:t>1</w:t>
            </w:r>
          </w:p>
        </w:tc>
        <w:tc>
          <w:tcPr>
            <w:tcW w:w="743" w:type="dxa"/>
            <w:noWrap/>
            <w:vAlign w:val="center"/>
          </w:tcPr>
          <w:p w14:paraId="5553E00A">
            <w:pPr>
              <w:snapToGrid w:val="0"/>
              <w:spacing w:line="480" w:lineRule="exact"/>
              <w:jc w:val="center"/>
              <w:rPr>
                <w:kern w:val="0"/>
                <w:sz w:val="21"/>
                <w:szCs w:val="21"/>
              </w:rPr>
            </w:pPr>
            <w:r>
              <w:rPr>
                <w:kern w:val="0"/>
                <w:sz w:val="21"/>
                <w:szCs w:val="21"/>
              </w:rPr>
              <w:t>6</w:t>
            </w:r>
          </w:p>
        </w:tc>
        <w:tc>
          <w:tcPr>
            <w:tcW w:w="754" w:type="dxa"/>
            <w:noWrap/>
            <w:vAlign w:val="center"/>
          </w:tcPr>
          <w:p w14:paraId="3D30DA14">
            <w:pPr>
              <w:snapToGrid w:val="0"/>
              <w:spacing w:line="480" w:lineRule="exact"/>
              <w:jc w:val="center"/>
              <w:rPr>
                <w:kern w:val="0"/>
                <w:sz w:val="21"/>
                <w:szCs w:val="21"/>
              </w:rPr>
            </w:pPr>
            <w:r>
              <w:rPr>
                <w:kern w:val="0"/>
                <w:sz w:val="21"/>
                <w:szCs w:val="21"/>
              </w:rPr>
              <w:t>9</w:t>
            </w:r>
          </w:p>
        </w:tc>
        <w:tc>
          <w:tcPr>
            <w:tcW w:w="1094" w:type="dxa"/>
            <w:noWrap/>
            <w:vAlign w:val="center"/>
          </w:tcPr>
          <w:p w14:paraId="0752E9E4">
            <w:pPr>
              <w:snapToGrid w:val="0"/>
              <w:spacing w:line="480" w:lineRule="exact"/>
              <w:jc w:val="center"/>
              <w:rPr>
                <w:kern w:val="0"/>
                <w:sz w:val="21"/>
                <w:szCs w:val="21"/>
              </w:rPr>
            </w:pPr>
            <w:r>
              <w:rPr>
                <w:kern w:val="0"/>
                <w:sz w:val="21"/>
                <w:szCs w:val="21"/>
              </w:rPr>
              <w:t>〔8〕</w:t>
            </w:r>
          </w:p>
        </w:tc>
        <w:tc>
          <w:tcPr>
            <w:tcW w:w="728" w:type="dxa"/>
            <w:noWrap/>
            <w:vAlign w:val="center"/>
          </w:tcPr>
          <w:p w14:paraId="03ADE4FB">
            <w:pPr>
              <w:widowControl/>
              <w:snapToGrid w:val="0"/>
              <w:spacing w:line="480" w:lineRule="exact"/>
              <w:jc w:val="center"/>
              <w:rPr>
                <w:sz w:val="21"/>
                <w:szCs w:val="21"/>
              </w:rPr>
            </w:pPr>
            <w:r>
              <w:rPr>
                <w:sz w:val="21"/>
                <w:szCs w:val="21"/>
              </w:rPr>
              <w:t>11</w:t>
            </w:r>
          </w:p>
        </w:tc>
        <w:tc>
          <w:tcPr>
            <w:tcW w:w="728" w:type="dxa"/>
            <w:noWrap/>
            <w:vAlign w:val="center"/>
          </w:tcPr>
          <w:p w14:paraId="1A0B9BAC">
            <w:pPr>
              <w:widowControl/>
              <w:snapToGrid w:val="0"/>
              <w:spacing w:line="480" w:lineRule="exact"/>
              <w:jc w:val="center"/>
              <w:rPr>
                <w:sz w:val="21"/>
                <w:szCs w:val="21"/>
              </w:rPr>
            </w:pPr>
            <w:r>
              <w:rPr>
                <w:sz w:val="21"/>
                <w:szCs w:val="21"/>
              </w:rPr>
              <w:t>预期性</w:t>
            </w:r>
          </w:p>
        </w:tc>
      </w:tr>
      <w:tr w14:paraId="37EAC6D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restart"/>
            <w:noWrap/>
            <w:vAlign w:val="center"/>
          </w:tcPr>
          <w:p w14:paraId="404C6891">
            <w:pPr>
              <w:snapToGrid w:val="0"/>
              <w:spacing w:line="480" w:lineRule="exact"/>
              <w:jc w:val="center"/>
              <w:rPr>
                <w:sz w:val="21"/>
                <w:szCs w:val="21"/>
              </w:rPr>
            </w:pPr>
          </w:p>
        </w:tc>
        <w:tc>
          <w:tcPr>
            <w:tcW w:w="354" w:type="dxa"/>
            <w:noWrap/>
            <w:vAlign w:val="center"/>
          </w:tcPr>
          <w:p w14:paraId="7D8D1B44">
            <w:pPr>
              <w:snapToGrid w:val="0"/>
              <w:spacing w:line="480" w:lineRule="exact"/>
              <w:jc w:val="center"/>
              <w:rPr>
                <w:sz w:val="21"/>
                <w:szCs w:val="21"/>
              </w:rPr>
            </w:pPr>
            <w:r>
              <w:rPr>
                <w:sz w:val="21"/>
                <w:szCs w:val="21"/>
              </w:rPr>
              <w:t>24</w:t>
            </w:r>
          </w:p>
        </w:tc>
        <w:tc>
          <w:tcPr>
            <w:tcW w:w="2068" w:type="dxa"/>
            <w:noWrap/>
            <w:vAlign w:val="center"/>
          </w:tcPr>
          <w:p w14:paraId="4D64D599">
            <w:pPr>
              <w:snapToGrid w:val="0"/>
              <w:spacing w:line="480" w:lineRule="exact"/>
              <w:rPr>
                <w:sz w:val="21"/>
                <w:szCs w:val="21"/>
              </w:rPr>
            </w:pPr>
            <w:r>
              <w:rPr>
                <w:sz w:val="21"/>
                <w:szCs w:val="21"/>
              </w:rPr>
              <w:t>农村居民恩格尔系数</w:t>
            </w:r>
          </w:p>
        </w:tc>
        <w:tc>
          <w:tcPr>
            <w:tcW w:w="718" w:type="dxa"/>
            <w:noWrap/>
            <w:vAlign w:val="center"/>
          </w:tcPr>
          <w:p w14:paraId="5DD883B6">
            <w:pPr>
              <w:snapToGrid w:val="0"/>
              <w:spacing w:line="480" w:lineRule="exact"/>
              <w:jc w:val="center"/>
              <w:rPr>
                <w:sz w:val="21"/>
                <w:szCs w:val="21"/>
              </w:rPr>
            </w:pPr>
            <w:r>
              <w:rPr>
                <w:sz w:val="21"/>
                <w:szCs w:val="21"/>
              </w:rPr>
              <w:t>%</w:t>
            </w:r>
          </w:p>
        </w:tc>
        <w:tc>
          <w:tcPr>
            <w:tcW w:w="828" w:type="dxa"/>
            <w:noWrap/>
            <w:vAlign w:val="center"/>
          </w:tcPr>
          <w:p w14:paraId="391DFC4E">
            <w:pPr>
              <w:snapToGrid w:val="0"/>
              <w:spacing w:line="480" w:lineRule="exact"/>
              <w:jc w:val="center"/>
              <w:rPr>
                <w:sz w:val="21"/>
                <w:szCs w:val="21"/>
              </w:rPr>
            </w:pPr>
            <w:r>
              <w:rPr>
                <w:sz w:val="21"/>
                <w:szCs w:val="21"/>
              </w:rPr>
              <w:t>37.54</w:t>
            </w:r>
          </w:p>
        </w:tc>
        <w:tc>
          <w:tcPr>
            <w:tcW w:w="743" w:type="dxa"/>
            <w:noWrap/>
            <w:vAlign w:val="center"/>
          </w:tcPr>
          <w:p w14:paraId="6059FAA6">
            <w:pPr>
              <w:snapToGrid w:val="0"/>
              <w:spacing w:line="480" w:lineRule="exact"/>
              <w:jc w:val="center"/>
              <w:rPr>
                <w:sz w:val="21"/>
                <w:szCs w:val="21"/>
              </w:rPr>
            </w:pPr>
            <w:r>
              <w:rPr>
                <w:sz w:val="21"/>
                <w:szCs w:val="21"/>
              </w:rPr>
              <w:t>33.2</w:t>
            </w:r>
          </w:p>
        </w:tc>
        <w:tc>
          <w:tcPr>
            <w:tcW w:w="754" w:type="dxa"/>
            <w:noWrap/>
            <w:vAlign w:val="center"/>
          </w:tcPr>
          <w:p w14:paraId="3B6E6416">
            <w:pPr>
              <w:snapToGrid w:val="0"/>
              <w:spacing w:line="480" w:lineRule="exact"/>
              <w:jc w:val="center"/>
              <w:rPr>
                <w:sz w:val="21"/>
                <w:szCs w:val="21"/>
              </w:rPr>
            </w:pPr>
            <w:r>
              <w:rPr>
                <w:sz w:val="21"/>
                <w:szCs w:val="21"/>
              </w:rPr>
              <w:t>30.6</w:t>
            </w:r>
          </w:p>
        </w:tc>
        <w:tc>
          <w:tcPr>
            <w:tcW w:w="1094" w:type="dxa"/>
            <w:noWrap/>
            <w:vAlign w:val="center"/>
          </w:tcPr>
          <w:p w14:paraId="5EA4878B">
            <w:pPr>
              <w:snapToGrid w:val="0"/>
              <w:spacing w:line="480" w:lineRule="exact"/>
              <w:jc w:val="center"/>
              <w:rPr>
                <w:sz w:val="21"/>
                <w:szCs w:val="21"/>
              </w:rPr>
            </w:pPr>
            <w:r>
              <w:rPr>
                <w:sz w:val="21"/>
                <w:szCs w:val="21"/>
              </w:rPr>
              <w:t>〔−6.94〕</w:t>
            </w:r>
          </w:p>
        </w:tc>
        <w:tc>
          <w:tcPr>
            <w:tcW w:w="728" w:type="dxa"/>
            <w:noWrap/>
            <w:vAlign w:val="center"/>
          </w:tcPr>
          <w:p w14:paraId="2274AD12">
            <w:pPr>
              <w:snapToGrid w:val="0"/>
              <w:spacing w:line="480" w:lineRule="exact"/>
              <w:jc w:val="center"/>
              <w:rPr>
                <w:sz w:val="21"/>
                <w:szCs w:val="21"/>
              </w:rPr>
            </w:pPr>
            <w:r>
              <w:rPr>
                <w:sz w:val="21"/>
                <w:szCs w:val="21"/>
              </w:rPr>
              <w:t>27.92</w:t>
            </w:r>
          </w:p>
        </w:tc>
        <w:tc>
          <w:tcPr>
            <w:tcW w:w="728" w:type="dxa"/>
            <w:noWrap/>
            <w:vAlign w:val="center"/>
          </w:tcPr>
          <w:p w14:paraId="140E6B11">
            <w:pPr>
              <w:widowControl/>
              <w:snapToGrid w:val="0"/>
              <w:spacing w:line="480" w:lineRule="exact"/>
              <w:jc w:val="center"/>
              <w:rPr>
                <w:sz w:val="21"/>
                <w:szCs w:val="21"/>
              </w:rPr>
            </w:pPr>
            <w:r>
              <w:rPr>
                <w:sz w:val="21"/>
                <w:szCs w:val="21"/>
              </w:rPr>
              <w:t>预期性</w:t>
            </w:r>
          </w:p>
        </w:tc>
      </w:tr>
      <w:tr w14:paraId="10975EA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500" w:type="dxa"/>
            <w:vMerge w:val="continue"/>
            <w:noWrap/>
            <w:vAlign w:val="center"/>
          </w:tcPr>
          <w:p w14:paraId="03A88731">
            <w:pPr>
              <w:snapToGrid w:val="0"/>
              <w:spacing w:line="480" w:lineRule="exact"/>
              <w:jc w:val="center"/>
              <w:rPr>
                <w:sz w:val="21"/>
                <w:szCs w:val="21"/>
              </w:rPr>
            </w:pPr>
          </w:p>
        </w:tc>
        <w:tc>
          <w:tcPr>
            <w:tcW w:w="354" w:type="dxa"/>
            <w:noWrap/>
            <w:vAlign w:val="center"/>
          </w:tcPr>
          <w:p w14:paraId="0CF751EA">
            <w:pPr>
              <w:snapToGrid w:val="0"/>
              <w:spacing w:line="480" w:lineRule="exact"/>
              <w:jc w:val="center"/>
              <w:rPr>
                <w:sz w:val="21"/>
                <w:szCs w:val="21"/>
              </w:rPr>
            </w:pPr>
            <w:r>
              <w:rPr>
                <w:sz w:val="21"/>
                <w:szCs w:val="21"/>
              </w:rPr>
              <w:t>25</w:t>
            </w:r>
          </w:p>
        </w:tc>
        <w:tc>
          <w:tcPr>
            <w:tcW w:w="2068" w:type="dxa"/>
            <w:noWrap/>
            <w:vAlign w:val="center"/>
          </w:tcPr>
          <w:p w14:paraId="2C1D37EB">
            <w:pPr>
              <w:snapToGrid w:val="0"/>
              <w:spacing w:line="480" w:lineRule="exact"/>
              <w:rPr>
                <w:rFonts w:eastAsia="PMingLiU"/>
                <w:sz w:val="21"/>
                <w:szCs w:val="21"/>
                <w:lang w:val="zh-TW" w:eastAsia="zh-TW"/>
              </w:rPr>
            </w:pPr>
            <w:r>
              <w:rPr>
                <w:sz w:val="21"/>
                <w:szCs w:val="21"/>
                <w:lang w:val="zh-TW"/>
              </w:rPr>
              <w:t>城乡居民收入比</w:t>
            </w:r>
          </w:p>
        </w:tc>
        <w:tc>
          <w:tcPr>
            <w:tcW w:w="718" w:type="dxa"/>
            <w:noWrap/>
            <w:vAlign w:val="center"/>
          </w:tcPr>
          <w:p w14:paraId="4E652B61">
            <w:pPr>
              <w:snapToGrid w:val="0"/>
              <w:spacing w:line="480" w:lineRule="exact"/>
              <w:jc w:val="center"/>
              <w:rPr>
                <w:sz w:val="21"/>
                <w:szCs w:val="21"/>
              </w:rPr>
            </w:pPr>
            <w:r>
              <w:rPr>
                <w:sz w:val="21"/>
                <w:szCs w:val="21"/>
              </w:rPr>
              <w:t>—</w:t>
            </w:r>
          </w:p>
        </w:tc>
        <w:tc>
          <w:tcPr>
            <w:tcW w:w="828" w:type="dxa"/>
            <w:noWrap/>
            <w:vAlign w:val="center"/>
          </w:tcPr>
          <w:p w14:paraId="45F7E300">
            <w:pPr>
              <w:snapToGrid w:val="0"/>
              <w:spacing w:line="480" w:lineRule="exact"/>
              <w:jc w:val="center"/>
              <w:rPr>
                <w:sz w:val="21"/>
                <w:szCs w:val="21"/>
              </w:rPr>
            </w:pPr>
            <w:r>
              <w:rPr>
                <w:sz w:val="21"/>
                <w:szCs w:val="21"/>
              </w:rPr>
              <w:t>2.88：1</w:t>
            </w:r>
          </w:p>
        </w:tc>
        <w:tc>
          <w:tcPr>
            <w:tcW w:w="743" w:type="dxa"/>
            <w:noWrap/>
            <w:vAlign w:val="center"/>
          </w:tcPr>
          <w:p w14:paraId="04A33EDD">
            <w:pPr>
              <w:snapToGrid w:val="0"/>
              <w:spacing w:line="480" w:lineRule="exact"/>
              <w:jc w:val="center"/>
              <w:rPr>
                <w:sz w:val="21"/>
                <w:szCs w:val="21"/>
              </w:rPr>
            </w:pPr>
            <w:r>
              <w:rPr>
                <w:sz w:val="21"/>
                <w:szCs w:val="21"/>
              </w:rPr>
              <w:t>2.67:1</w:t>
            </w:r>
          </w:p>
        </w:tc>
        <w:tc>
          <w:tcPr>
            <w:tcW w:w="754" w:type="dxa"/>
            <w:noWrap/>
            <w:vAlign w:val="center"/>
          </w:tcPr>
          <w:p w14:paraId="1B6A027E">
            <w:pPr>
              <w:snapToGrid w:val="0"/>
              <w:spacing w:line="480" w:lineRule="exact"/>
              <w:jc w:val="center"/>
              <w:rPr>
                <w:sz w:val="21"/>
                <w:szCs w:val="21"/>
              </w:rPr>
            </w:pPr>
            <w:r>
              <w:rPr>
                <w:sz w:val="21"/>
                <w:szCs w:val="21"/>
              </w:rPr>
              <w:t>2.53:1</w:t>
            </w:r>
          </w:p>
        </w:tc>
        <w:tc>
          <w:tcPr>
            <w:tcW w:w="1094" w:type="dxa"/>
            <w:noWrap/>
            <w:vAlign w:val="center"/>
          </w:tcPr>
          <w:p w14:paraId="45A470D7">
            <w:pPr>
              <w:snapToGrid w:val="0"/>
              <w:spacing w:line="480" w:lineRule="exact"/>
              <w:jc w:val="center"/>
              <w:rPr>
                <w:sz w:val="21"/>
                <w:szCs w:val="21"/>
              </w:rPr>
            </w:pPr>
            <w:r>
              <w:rPr>
                <w:sz w:val="21"/>
                <w:szCs w:val="21"/>
              </w:rPr>
              <w:t>−0.35</w:t>
            </w:r>
          </w:p>
        </w:tc>
        <w:tc>
          <w:tcPr>
            <w:tcW w:w="728" w:type="dxa"/>
            <w:noWrap/>
            <w:vAlign w:val="center"/>
          </w:tcPr>
          <w:p w14:paraId="27A8C0AF">
            <w:pPr>
              <w:snapToGrid w:val="0"/>
              <w:spacing w:line="480" w:lineRule="exact"/>
              <w:jc w:val="center"/>
              <w:rPr>
                <w:sz w:val="21"/>
                <w:szCs w:val="21"/>
              </w:rPr>
            </w:pPr>
            <w:r>
              <w:rPr>
                <w:sz w:val="21"/>
                <w:szCs w:val="21"/>
              </w:rPr>
              <w:t>2.38:1</w:t>
            </w:r>
          </w:p>
        </w:tc>
        <w:tc>
          <w:tcPr>
            <w:tcW w:w="728" w:type="dxa"/>
            <w:noWrap/>
            <w:vAlign w:val="center"/>
          </w:tcPr>
          <w:p w14:paraId="19365504">
            <w:pPr>
              <w:widowControl/>
              <w:snapToGrid w:val="0"/>
              <w:spacing w:line="480" w:lineRule="exact"/>
              <w:jc w:val="center"/>
              <w:rPr>
                <w:sz w:val="21"/>
                <w:szCs w:val="21"/>
              </w:rPr>
            </w:pPr>
            <w:r>
              <w:rPr>
                <w:sz w:val="21"/>
                <w:szCs w:val="21"/>
              </w:rPr>
              <w:t>预期性</w:t>
            </w:r>
          </w:p>
        </w:tc>
      </w:tr>
      <w:tr w14:paraId="7F46EE9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restart"/>
            <w:noWrap/>
            <w:vAlign w:val="center"/>
          </w:tcPr>
          <w:p w14:paraId="635B35DF">
            <w:pPr>
              <w:snapToGrid w:val="0"/>
              <w:spacing w:line="480" w:lineRule="exact"/>
              <w:jc w:val="center"/>
              <w:rPr>
                <w:sz w:val="21"/>
                <w:szCs w:val="21"/>
              </w:rPr>
            </w:pPr>
            <w:r>
              <w:rPr>
                <w:sz w:val="21"/>
                <w:szCs w:val="21"/>
              </w:rPr>
              <w:t>生活</w:t>
            </w:r>
          </w:p>
          <w:p w14:paraId="22207ECF">
            <w:pPr>
              <w:snapToGrid w:val="0"/>
              <w:spacing w:line="480" w:lineRule="exact"/>
              <w:jc w:val="center"/>
              <w:rPr>
                <w:sz w:val="21"/>
                <w:szCs w:val="21"/>
              </w:rPr>
            </w:pPr>
            <w:r>
              <w:rPr>
                <w:sz w:val="21"/>
                <w:szCs w:val="21"/>
              </w:rPr>
              <w:t>富裕</w:t>
            </w:r>
          </w:p>
        </w:tc>
        <w:tc>
          <w:tcPr>
            <w:tcW w:w="354" w:type="dxa"/>
            <w:noWrap/>
            <w:vAlign w:val="center"/>
          </w:tcPr>
          <w:p w14:paraId="6BA5DD75">
            <w:pPr>
              <w:snapToGrid w:val="0"/>
              <w:spacing w:line="480" w:lineRule="exact"/>
              <w:jc w:val="center"/>
              <w:rPr>
                <w:sz w:val="21"/>
                <w:szCs w:val="21"/>
              </w:rPr>
            </w:pPr>
            <w:r>
              <w:rPr>
                <w:sz w:val="21"/>
                <w:szCs w:val="21"/>
              </w:rPr>
              <w:t>26</w:t>
            </w:r>
          </w:p>
        </w:tc>
        <w:tc>
          <w:tcPr>
            <w:tcW w:w="2068" w:type="dxa"/>
            <w:noWrap/>
            <w:vAlign w:val="center"/>
          </w:tcPr>
          <w:p w14:paraId="52CBF870">
            <w:pPr>
              <w:snapToGrid w:val="0"/>
              <w:spacing w:line="480" w:lineRule="exact"/>
              <w:rPr>
                <w:sz w:val="21"/>
                <w:szCs w:val="21"/>
              </w:rPr>
            </w:pPr>
            <w:r>
              <w:rPr>
                <w:sz w:val="21"/>
                <w:szCs w:val="21"/>
              </w:rPr>
              <w:t>*城乡养老保险参保率</w:t>
            </w:r>
          </w:p>
        </w:tc>
        <w:tc>
          <w:tcPr>
            <w:tcW w:w="718" w:type="dxa"/>
            <w:noWrap/>
            <w:vAlign w:val="center"/>
          </w:tcPr>
          <w:p w14:paraId="757540E3">
            <w:pPr>
              <w:snapToGrid w:val="0"/>
              <w:spacing w:line="480" w:lineRule="exact"/>
              <w:jc w:val="center"/>
              <w:rPr>
                <w:sz w:val="21"/>
                <w:szCs w:val="21"/>
              </w:rPr>
            </w:pPr>
            <w:r>
              <w:rPr>
                <w:sz w:val="21"/>
                <w:szCs w:val="21"/>
              </w:rPr>
              <w:t>%</w:t>
            </w:r>
          </w:p>
        </w:tc>
        <w:tc>
          <w:tcPr>
            <w:tcW w:w="828" w:type="dxa"/>
            <w:noWrap/>
            <w:vAlign w:val="center"/>
          </w:tcPr>
          <w:p w14:paraId="060BF5E8">
            <w:pPr>
              <w:snapToGrid w:val="0"/>
              <w:spacing w:line="480" w:lineRule="exact"/>
              <w:jc w:val="center"/>
              <w:rPr>
                <w:sz w:val="21"/>
                <w:szCs w:val="21"/>
              </w:rPr>
            </w:pPr>
            <w:r>
              <w:rPr>
                <w:sz w:val="21"/>
                <w:szCs w:val="21"/>
              </w:rPr>
              <w:t>70</w:t>
            </w:r>
          </w:p>
        </w:tc>
        <w:tc>
          <w:tcPr>
            <w:tcW w:w="743" w:type="dxa"/>
            <w:noWrap/>
            <w:vAlign w:val="center"/>
          </w:tcPr>
          <w:p w14:paraId="49B5CDA1">
            <w:pPr>
              <w:snapToGrid w:val="0"/>
              <w:spacing w:line="480" w:lineRule="exact"/>
              <w:jc w:val="center"/>
              <w:rPr>
                <w:sz w:val="21"/>
                <w:szCs w:val="21"/>
              </w:rPr>
            </w:pPr>
            <w:r>
              <w:rPr>
                <w:sz w:val="21"/>
                <w:szCs w:val="21"/>
                <w:lang w:val="zh-TW"/>
              </w:rPr>
              <w:t>≥</w:t>
            </w:r>
            <w:r>
              <w:rPr>
                <w:sz w:val="21"/>
                <w:szCs w:val="21"/>
              </w:rPr>
              <w:t>90</w:t>
            </w:r>
          </w:p>
        </w:tc>
        <w:tc>
          <w:tcPr>
            <w:tcW w:w="754" w:type="dxa"/>
            <w:noWrap/>
            <w:vAlign w:val="center"/>
          </w:tcPr>
          <w:p w14:paraId="45600610">
            <w:pPr>
              <w:snapToGrid w:val="0"/>
              <w:spacing w:line="480" w:lineRule="exact"/>
              <w:jc w:val="center"/>
              <w:rPr>
                <w:sz w:val="21"/>
                <w:szCs w:val="21"/>
              </w:rPr>
            </w:pPr>
            <w:r>
              <w:rPr>
                <w:sz w:val="21"/>
                <w:szCs w:val="21"/>
                <w:lang w:val="zh-TW"/>
              </w:rPr>
              <w:t>≥</w:t>
            </w:r>
            <w:r>
              <w:rPr>
                <w:sz w:val="21"/>
                <w:szCs w:val="21"/>
              </w:rPr>
              <w:t>92</w:t>
            </w:r>
          </w:p>
        </w:tc>
        <w:tc>
          <w:tcPr>
            <w:tcW w:w="1094" w:type="dxa"/>
            <w:noWrap/>
            <w:vAlign w:val="center"/>
          </w:tcPr>
          <w:p w14:paraId="7B44C6D1">
            <w:pPr>
              <w:snapToGrid w:val="0"/>
              <w:spacing w:line="480" w:lineRule="exact"/>
              <w:jc w:val="center"/>
              <w:rPr>
                <w:sz w:val="21"/>
                <w:szCs w:val="21"/>
              </w:rPr>
            </w:pPr>
            <w:r>
              <w:rPr>
                <w:sz w:val="21"/>
                <w:szCs w:val="21"/>
              </w:rPr>
              <w:t>—</w:t>
            </w:r>
          </w:p>
        </w:tc>
        <w:tc>
          <w:tcPr>
            <w:tcW w:w="728" w:type="dxa"/>
            <w:noWrap/>
            <w:vAlign w:val="center"/>
          </w:tcPr>
          <w:p w14:paraId="63C65F18">
            <w:pPr>
              <w:snapToGrid w:val="0"/>
              <w:spacing w:line="480" w:lineRule="exact"/>
              <w:jc w:val="center"/>
              <w:rPr>
                <w:sz w:val="21"/>
                <w:szCs w:val="21"/>
              </w:rPr>
            </w:pPr>
            <w:r>
              <w:rPr>
                <w:sz w:val="21"/>
                <w:szCs w:val="21"/>
              </w:rPr>
              <w:t>95</w:t>
            </w:r>
          </w:p>
        </w:tc>
        <w:tc>
          <w:tcPr>
            <w:tcW w:w="728" w:type="dxa"/>
            <w:noWrap/>
            <w:vAlign w:val="center"/>
          </w:tcPr>
          <w:p w14:paraId="18415821">
            <w:pPr>
              <w:snapToGrid w:val="0"/>
              <w:spacing w:line="480" w:lineRule="exact"/>
              <w:jc w:val="center"/>
              <w:rPr>
                <w:sz w:val="21"/>
                <w:szCs w:val="21"/>
              </w:rPr>
            </w:pPr>
            <w:r>
              <w:rPr>
                <w:sz w:val="21"/>
                <w:szCs w:val="21"/>
              </w:rPr>
              <w:t>预期性</w:t>
            </w:r>
          </w:p>
        </w:tc>
      </w:tr>
      <w:tr w14:paraId="1BE0B7E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574A6482">
            <w:pPr>
              <w:snapToGrid w:val="0"/>
              <w:spacing w:line="480" w:lineRule="exact"/>
              <w:jc w:val="center"/>
              <w:rPr>
                <w:sz w:val="21"/>
                <w:szCs w:val="21"/>
              </w:rPr>
            </w:pPr>
          </w:p>
        </w:tc>
        <w:tc>
          <w:tcPr>
            <w:tcW w:w="354" w:type="dxa"/>
            <w:noWrap/>
            <w:vAlign w:val="center"/>
          </w:tcPr>
          <w:p w14:paraId="4CACCD76">
            <w:pPr>
              <w:snapToGrid w:val="0"/>
              <w:spacing w:line="480" w:lineRule="exact"/>
              <w:jc w:val="center"/>
              <w:rPr>
                <w:sz w:val="21"/>
                <w:szCs w:val="21"/>
              </w:rPr>
            </w:pPr>
            <w:r>
              <w:rPr>
                <w:sz w:val="21"/>
                <w:szCs w:val="21"/>
              </w:rPr>
              <w:t>27</w:t>
            </w:r>
          </w:p>
        </w:tc>
        <w:tc>
          <w:tcPr>
            <w:tcW w:w="2068" w:type="dxa"/>
            <w:noWrap/>
            <w:vAlign w:val="center"/>
          </w:tcPr>
          <w:p w14:paraId="54059C3E">
            <w:pPr>
              <w:snapToGrid w:val="0"/>
              <w:spacing w:line="480" w:lineRule="exact"/>
              <w:rPr>
                <w:sz w:val="21"/>
                <w:szCs w:val="21"/>
              </w:rPr>
            </w:pPr>
            <w:r>
              <w:rPr>
                <w:sz w:val="21"/>
                <w:szCs w:val="21"/>
              </w:rPr>
              <w:t>*城乡基本医疗保险参保率</w:t>
            </w:r>
          </w:p>
        </w:tc>
        <w:tc>
          <w:tcPr>
            <w:tcW w:w="718" w:type="dxa"/>
            <w:noWrap/>
            <w:vAlign w:val="center"/>
          </w:tcPr>
          <w:p w14:paraId="6955C132">
            <w:pPr>
              <w:snapToGrid w:val="0"/>
              <w:spacing w:line="480" w:lineRule="exact"/>
              <w:jc w:val="center"/>
              <w:rPr>
                <w:sz w:val="21"/>
                <w:szCs w:val="21"/>
              </w:rPr>
            </w:pPr>
            <w:r>
              <w:rPr>
                <w:sz w:val="21"/>
                <w:szCs w:val="21"/>
              </w:rPr>
              <w:t>%</w:t>
            </w:r>
          </w:p>
        </w:tc>
        <w:tc>
          <w:tcPr>
            <w:tcW w:w="828" w:type="dxa"/>
            <w:noWrap/>
            <w:vAlign w:val="center"/>
          </w:tcPr>
          <w:p w14:paraId="40BA0296">
            <w:pPr>
              <w:snapToGrid w:val="0"/>
              <w:spacing w:line="480" w:lineRule="exact"/>
              <w:jc w:val="center"/>
              <w:rPr>
                <w:sz w:val="21"/>
                <w:szCs w:val="21"/>
              </w:rPr>
            </w:pPr>
            <w:r>
              <w:rPr>
                <w:sz w:val="21"/>
                <w:szCs w:val="21"/>
              </w:rPr>
              <w:t>95</w:t>
            </w:r>
          </w:p>
        </w:tc>
        <w:tc>
          <w:tcPr>
            <w:tcW w:w="743" w:type="dxa"/>
            <w:noWrap/>
            <w:vAlign w:val="center"/>
          </w:tcPr>
          <w:p w14:paraId="6F6A20A5">
            <w:pPr>
              <w:snapToGrid w:val="0"/>
              <w:spacing w:line="480" w:lineRule="exact"/>
              <w:jc w:val="center"/>
              <w:rPr>
                <w:sz w:val="21"/>
                <w:szCs w:val="21"/>
              </w:rPr>
            </w:pPr>
            <w:r>
              <w:rPr>
                <w:sz w:val="21"/>
                <w:szCs w:val="21"/>
                <w:lang w:val="zh-TW"/>
              </w:rPr>
              <w:t>≥</w:t>
            </w:r>
            <w:r>
              <w:rPr>
                <w:sz w:val="21"/>
                <w:szCs w:val="21"/>
              </w:rPr>
              <w:t>95</w:t>
            </w:r>
          </w:p>
        </w:tc>
        <w:tc>
          <w:tcPr>
            <w:tcW w:w="754" w:type="dxa"/>
            <w:noWrap/>
            <w:vAlign w:val="center"/>
          </w:tcPr>
          <w:p w14:paraId="0CE05617">
            <w:pPr>
              <w:snapToGrid w:val="0"/>
              <w:spacing w:line="480" w:lineRule="exact"/>
              <w:jc w:val="center"/>
              <w:rPr>
                <w:sz w:val="21"/>
                <w:szCs w:val="21"/>
              </w:rPr>
            </w:pPr>
            <w:r>
              <w:rPr>
                <w:sz w:val="21"/>
                <w:szCs w:val="21"/>
                <w:lang w:val="zh-TW"/>
              </w:rPr>
              <w:t>≥</w:t>
            </w:r>
            <w:r>
              <w:rPr>
                <w:sz w:val="21"/>
                <w:szCs w:val="21"/>
              </w:rPr>
              <w:t>95</w:t>
            </w:r>
          </w:p>
        </w:tc>
        <w:tc>
          <w:tcPr>
            <w:tcW w:w="1094" w:type="dxa"/>
            <w:noWrap/>
            <w:vAlign w:val="center"/>
          </w:tcPr>
          <w:p w14:paraId="426E3AEE">
            <w:pPr>
              <w:snapToGrid w:val="0"/>
              <w:spacing w:line="480" w:lineRule="exact"/>
              <w:jc w:val="center"/>
              <w:rPr>
                <w:sz w:val="21"/>
                <w:szCs w:val="21"/>
              </w:rPr>
            </w:pPr>
            <w:r>
              <w:rPr>
                <w:sz w:val="21"/>
                <w:szCs w:val="21"/>
              </w:rPr>
              <w:t>—</w:t>
            </w:r>
          </w:p>
        </w:tc>
        <w:tc>
          <w:tcPr>
            <w:tcW w:w="728" w:type="dxa"/>
            <w:noWrap/>
            <w:vAlign w:val="center"/>
          </w:tcPr>
          <w:p w14:paraId="669743DF">
            <w:pPr>
              <w:widowControl/>
              <w:snapToGrid w:val="0"/>
              <w:spacing w:line="480" w:lineRule="exact"/>
              <w:jc w:val="center"/>
              <w:rPr>
                <w:sz w:val="21"/>
                <w:szCs w:val="21"/>
              </w:rPr>
            </w:pPr>
            <w:r>
              <w:rPr>
                <w:sz w:val="21"/>
                <w:szCs w:val="21"/>
                <w:lang w:val="zh-TW"/>
              </w:rPr>
              <w:t>≥</w:t>
            </w:r>
            <w:r>
              <w:rPr>
                <w:sz w:val="21"/>
                <w:szCs w:val="21"/>
              </w:rPr>
              <w:t>95</w:t>
            </w:r>
          </w:p>
        </w:tc>
        <w:tc>
          <w:tcPr>
            <w:tcW w:w="728" w:type="dxa"/>
            <w:noWrap/>
            <w:vAlign w:val="center"/>
          </w:tcPr>
          <w:p w14:paraId="57F75A69">
            <w:pPr>
              <w:widowControl/>
              <w:snapToGrid w:val="0"/>
              <w:spacing w:line="480" w:lineRule="exact"/>
              <w:jc w:val="center"/>
              <w:rPr>
                <w:sz w:val="21"/>
                <w:szCs w:val="21"/>
              </w:rPr>
            </w:pPr>
            <w:r>
              <w:rPr>
                <w:sz w:val="21"/>
                <w:szCs w:val="21"/>
              </w:rPr>
              <w:t>预期性</w:t>
            </w:r>
          </w:p>
        </w:tc>
      </w:tr>
      <w:tr w14:paraId="7FCDEE2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5ABC0BA8">
            <w:pPr>
              <w:snapToGrid w:val="0"/>
              <w:spacing w:line="480" w:lineRule="exact"/>
              <w:jc w:val="center"/>
              <w:rPr>
                <w:sz w:val="21"/>
                <w:szCs w:val="21"/>
              </w:rPr>
            </w:pPr>
          </w:p>
        </w:tc>
        <w:tc>
          <w:tcPr>
            <w:tcW w:w="354" w:type="dxa"/>
            <w:noWrap/>
            <w:vAlign w:val="center"/>
          </w:tcPr>
          <w:p w14:paraId="4135FA69">
            <w:pPr>
              <w:snapToGrid w:val="0"/>
              <w:spacing w:line="480" w:lineRule="exact"/>
              <w:jc w:val="center"/>
              <w:rPr>
                <w:sz w:val="21"/>
                <w:szCs w:val="21"/>
              </w:rPr>
            </w:pPr>
            <w:r>
              <w:rPr>
                <w:sz w:val="21"/>
                <w:szCs w:val="21"/>
              </w:rPr>
              <w:t>28</w:t>
            </w:r>
          </w:p>
        </w:tc>
        <w:tc>
          <w:tcPr>
            <w:tcW w:w="2068" w:type="dxa"/>
            <w:noWrap/>
            <w:vAlign w:val="center"/>
          </w:tcPr>
          <w:p w14:paraId="67843213">
            <w:pPr>
              <w:snapToGrid w:val="0"/>
              <w:spacing w:line="480" w:lineRule="exact"/>
              <w:rPr>
                <w:sz w:val="21"/>
                <w:szCs w:val="21"/>
              </w:rPr>
            </w:pPr>
            <w:r>
              <w:rPr>
                <w:sz w:val="21"/>
                <w:szCs w:val="21"/>
              </w:rPr>
              <w:t>农村自来水普及率</w:t>
            </w:r>
          </w:p>
        </w:tc>
        <w:tc>
          <w:tcPr>
            <w:tcW w:w="718" w:type="dxa"/>
            <w:noWrap/>
            <w:vAlign w:val="center"/>
          </w:tcPr>
          <w:p w14:paraId="536E7196">
            <w:pPr>
              <w:snapToGrid w:val="0"/>
              <w:spacing w:line="480" w:lineRule="exact"/>
              <w:jc w:val="center"/>
              <w:rPr>
                <w:sz w:val="21"/>
                <w:szCs w:val="21"/>
              </w:rPr>
            </w:pPr>
            <w:r>
              <w:rPr>
                <w:sz w:val="21"/>
                <w:szCs w:val="21"/>
              </w:rPr>
              <w:t>%</w:t>
            </w:r>
          </w:p>
        </w:tc>
        <w:tc>
          <w:tcPr>
            <w:tcW w:w="828" w:type="dxa"/>
            <w:noWrap/>
            <w:vAlign w:val="center"/>
          </w:tcPr>
          <w:p w14:paraId="23AECBA9">
            <w:pPr>
              <w:snapToGrid w:val="0"/>
              <w:spacing w:line="480" w:lineRule="exact"/>
              <w:jc w:val="center"/>
              <w:rPr>
                <w:sz w:val="21"/>
                <w:szCs w:val="21"/>
              </w:rPr>
            </w:pPr>
            <w:r>
              <w:rPr>
                <w:sz w:val="21"/>
                <w:szCs w:val="21"/>
              </w:rPr>
              <w:t>73</w:t>
            </w:r>
          </w:p>
        </w:tc>
        <w:tc>
          <w:tcPr>
            <w:tcW w:w="743" w:type="dxa"/>
            <w:noWrap/>
            <w:vAlign w:val="center"/>
          </w:tcPr>
          <w:p w14:paraId="0EC9601E">
            <w:pPr>
              <w:snapToGrid w:val="0"/>
              <w:spacing w:line="480" w:lineRule="exact"/>
              <w:jc w:val="center"/>
              <w:rPr>
                <w:sz w:val="21"/>
                <w:szCs w:val="21"/>
              </w:rPr>
            </w:pPr>
            <w:r>
              <w:rPr>
                <w:sz w:val="21"/>
                <w:szCs w:val="21"/>
              </w:rPr>
              <w:t>80</w:t>
            </w:r>
          </w:p>
        </w:tc>
        <w:tc>
          <w:tcPr>
            <w:tcW w:w="754" w:type="dxa"/>
            <w:noWrap/>
            <w:vAlign w:val="center"/>
          </w:tcPr>
          <w:p w14:paraId="3CABDBA6">
            <w:pPr>
              <w:snapToGrid w:val="0"/>
              <w:spacing w:line="480" w:lineRule="exact"/>
              <w:jc w:val="center"/>
              <w:rPr>
                <w:sz w:val="21"/>
                <w:szCs w:val="21"/>
              </w:rPr>
            </w:pPr>
            <w:r>
              <w:rPr>
                <w:sz w:val="21"/>
                <w:szCs w:val="21"/>
              </w:rPr>
              <w:t>85</w:t>
            </w:r>
          </w:p>
        </w:tc>
        <w:tc>
          <w:tcPr>
            <w:tcW w:w="1094" w:type="dxa"/>
            <w:noWrap/>
            <w:vAlign w:val="center"/>
          </w:tcPr>
          <w:p w14:paraId="16E4C4DD">
            <w:pPr>
              <w:snapToGrid w:val="0"/>
              <w:spacing w:line="480" w:lineRule="exact"/>
              <w:jc w:val="center"/>
              <w:rPr>
                <w:sz w:val="21"/>
                <w:szCs w:val="21"/>
              </w:rPr>
            </w:pPr>
            <w:r>
              <w:rPr>
                <w:kern w:val="0"/>
                <w:sz w:val="21"/>
                <w:szCs w:val="21"/>
              </w:rPr>
              <w:t>〔12〕</w:t>
            </w:r>
          </w:p>
        </w:tc>
        <w:tc>
          <w:tcPr>
            <w:tcW w:w="728" w:type="dxa"/>
            <w:noWrap/>
            <w:vAlign w:val="center"/>
          </w:tcPr>
          <w:p w14:paraId="7A45E044">
            <w:pPr>
              <w:widowControl/>
              <w:snapToGrid w:val="0"/>
              <w:spacing w:line="480" w:lineRule="exact"/>
              <w:jc w:val="center"/>
              <w:rPr>
                <w:sz w:val="21"/>
                <w:szCs w:val="21"/>
              </w:rPr>
            </w:pPr>
            <w:r>
              <w:rPr>
                <w:sz w:val="21"/>
                <w:szCs w:val="21"/>
              </w:rPr>
              <w:t>90</w:t>
            </w:r>
          </w:p>
        </w:tc>
        <w:tc>
          <w:tcPr>
            <w:tcW w:w="728" w:type="dxa"/>
            <w:noWrap/>
            <w:vAlign w:val="center"/>
          </w:tcPr>
          <w:p w14:paraId="6B42F0E6">
            <w:pPr>
              <w:widowControl/>
              <w:snapToGrid w:val="0"/>
              <w:spacing w:line="480" w:lineRule="exact"/>
              <w:jc w:val="center"/>
              <w:rPr>
                <w:sz w:val="21"/>
                <w:szCs w:val="21"/>
              </w:rPr>
            </w:pPr>
            <w:r>
              <w:rPr>
                <w:sz w:val="21"/>
                <w:szCs w:val="21"/>
              </w:rPr>
              <w:t>预期性</w:t>
            </w:r>
          </w:p>
        </w:tc>
      </w:tr>
      <w:tr w14:paraId="46018AB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693EB460">
            <w:pPr>
              <w:snapToGrid w:val="0"/>
              <w:spacing w:line="480" w:lineRule="exact"/>
              <w:jc w:val="center"/>
              <w:rPr>
                <w:sz w:val="21"/>
                <w:szCs w:val="21"/>
              </w:rPr>
            </w:pPr>
          </w:p>
        </w:tc>
        <w:tc>
          <w:tcPr>
            <w:tcW w:w="354" w:type="dxa"/>
            <w:noWrap/>
            <w:vAlign w:val="center"/>
          </w:tcPr>
          <w:p w14:paraId="7EB12957">
            <w:pPr>
              <w:snapToGrid w:val="0"/>
              <w:spacing w:line="480" w:lineRule="exact"/>
              <w:jc w:val="center"/>
              <w:rPr>
                <w:sz w:val="21"/>
                <w:szCs w:val="21"/>
              </w:rPr>
            </w:pPr>
            <w:r>
              <w:rPr>
                <w:sz w:val="21"/>
                <w:szCs w:val="21"/>
              </w:rPr>
              <w:t>29</w:t>
            </w:r>
          </w:p>
        </w:tc>
        <w:tc>
          <w:tcPr>
            <w:tcW w:w="2068" w:type="dxa"/>
            <w:noWrap/>
            <w:vAlign w:val="center"/>
          </w:tcPr>
          <w:p w14:paraId="6C5EFC8C">
            <w:pPr>
              <w:snapToGrid w:val="0"/>
              <w:spacing w:line="480" w:lineRule="exact"/>
              <w:rPr>
                <w:sz w:val="21"/>
                <w:szCs w:val="21"/>
                <w:lang w:val="zh-TW"/>
              </w:rPr>
            </w:pPr>
            <w:r>
              <w:rPr>
                <w:sz w:val="21"/>
                <w:szCs w:val="21"/>
              </w:rPr>
              <w:t>具备条件的建制村通硬化路比例</w:t>
            </w:r>
          </w:p>
        </w:tc>
        <w:tc>
          <w:tcPr>
            <w:tcW w:w="718" w:type="dxa"/>
            <w:noWrap/>
            <w:vAlign w:val="center"/>
          </w:tcPr>
          <w:p w14:paraId="233E057C">
            <w:pPr>
              <w:snapToGrid w:val="0"/>
              <w:spacing w:line="480" w:lineRule="exact"/>
              <w:jc w:val="center"/>
              <w:rPr>
                <w:sz w:val="21"/>
                <w:szCs w:val="21"/>
              </w:rPr>
            </w:pPr>
            <w:r>
              <w:rPr>
                <w:sz w:val="21"/>
                <w:szCs w:val="21"/>
              </w:rPr>
              <w:t>%</w:t>
            </w:r>
          </w:p>
        </w:tc>
        <w:tc>
          <w:tcPr>
            <w:tcW w:w="828" w:type="dxa"/>
            <w:noWrap/>
            <w:vAlign w:val="center"/>
          </w:tcPr>
          <w:p w14:paraId="462F3963">
            <w:pPr>
              <w:snapToGrid w:val="0"/>
              <w:spacing w:line="480" w:lineRule="exact"/>
              <w:jc w:val="center"/>
              <w:rPr>
                <w:sz w:val="21"/>
                <w:szCs w:val="21"/>
              </w:rPr>
            </w:pPr>
            <w:r>
              <w:rPr>
                <w:sz w:val="21"/>
                <w:szCs w:val="21"/>
              </w:rPr>
              <w:t>98</w:t>
            </w:r>
          </w:p>
        </w:tc>
        <w:tc>
          <w:tcPr>
            <w:tcW w:w="743" w:type="dxa"/>
            <w:noWrap/>
            <w:vAlign w:val="center"/>
          </w:tcPr>
          <w:p w14:paraId="1D65AE7C">
            <w:pPr>
              <w:snapToGrid w:val="0"/>
              <w:spacing w:line="480" w:lineRule="exact"/>
              <w:jc w:val="center"/>
              <w:rPr>
                <w:sz w:val="21"/>
                <w:szCs w:val="21"/>
              </w:rPr>
            </w:pPr>
            <w:r>
              <w:rPr>
                <w:sz w:val="21"/>
                <w:szCs w:val="21"/>
              </w:rPr>
              <w:t>100</w:t>
            </w:r>
          </w:p>
        </w:tc>
        <w:tc>
          <w:tcPr>
            <w:tcW w:w="754" w:type="dxa"/>
            <w:noWrap/>
            <w:vAlign w:val="center"/>
          </w:tcPr>
          <w:p w14:paraId="1F22214B">
            <w:pPr>
              <w:snapToGrid w:val="0"/>
              <w:spacing w:line="480" w:lineRule="exact"/>
              <w:jc w:val="center"/>
              <w:rPr>
                <w:sz w:val="21"/>
                <w:szCs w:val="21"/>
              </w:rPr>
            </w:pPr>
            <w:r>
              <w:rPr>
                <w:sz w:val="21"/>
                <w:szCs w:val="21"/>
              </w:rPr>
              <w:t>100</w:t>
            </w:r>
          </w:p>
        </w:tc>
        <w:tc>
          <w:tcPr>
            <w:tcW w:w="1094" w:type="dxa"/>
            <w:noWrap/>
            <w:vAlign w:val="center"/>
          </w:tcPr>
          <w:p w14:paraId="69212074">
            <w:pPr>
              <w:snapToGrid w:val="0"/>
              <w:spacing w:line="480" w:lineRule="exact"/>
              <w:jc w:val="center"/>
              <w:rPr>
                <w:sz w:val="21"/>
                <w:szCs w:val="21"/>
                <w:lang w:val="zh-TW"/>
              </w:rPr>
            </w:pPr>
            <w:r>
              <w:rPr>
                <w:sz w:val="21"/>
                <w:szCs w:val="21"/>
                <w:lang w:val="zh-TW"/>
              </w:rPr>
              <w:t>—</w:t>
            </w:r>
          </w:p>
        </w:tc>
        <w:tc>
          <w:tcPr>
            <w:tcW w:w="728" w:type="dxa"/>
            <w:noWrap/>
            <w:vAlign w:val="center"/>
          </w:tcPr>
          <w:p w14:paraId="065B114C">
            <w:pPr>
              <w:widowControl/>
              <w:snapToGrid w:val="0"/>
              <w:spacing w:line="480" w:lineRule="exact"/>
              <w:jc w:val="center"/>
              <w:rPr>
                <w:sz w:val="21"/>
                <w:szCs w:val="21"/>
              </w:rPr>
            </w:pPr>
            <w:r>
              <w:rPr>
                <w:sz w:val="21"/>
                <w:szCs w:val="21"/>
              </w:rPr>
              <w:t>100</w:t>
            </w:r>
          </w:p>
        </w:tc>
        <w:tc>
          <w:tcPr>
            <w:tcW w:w="728" w:type="dxa"/>
            <w:noWrap/>
            <w:vAlign w:val="center"/>
          </w:tcPr>
          <w:p w14:paraId="5DA960EC">
            <w:pPr>
              <w:widowControl/>
              <w:snapToGrid w:val="0"/>
              <w:spacing w:line="480" w:lineRule="exact"/>
              <w:jc w:val="center"/>
              <w:rPr>
                <w:sz w:val="21"/>
                <w:szCs w:val="21"/>
              </w:rPr>
            </w:pPr>
            <w:r>
              <w:rPr>
                <w:sz w:val="21"/>
                <w:szCs w:val="21"/>
              </w:rPr>
              <w:t>约束性</w:t>
            </w:r>
          </w:p>
        </w:tc>
      </w:tr>
      <w:tr w14:paraId="68D8950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500" w:type="dxa"/>
            <w:vMerge w:val="continue"/>
            <w:noWrap/>
            <w:vAlign w:val="center"/>
          </w:tcPr>
          <w:p w14:paraId="6C4DCDA3">
            <w:pPr>
              <w:snapToGrid w:val="0"/>
              <w:spacing w:line="480" w:lineRule="exact"/>
              <w:jc w:val="center"/>
              <w:rPr>
                <w:sz w:val="21"/>
                <w:szCs w:val="21"/>
              </w:rPr>
            </w:pPr>
          </w:p>
        </w:tc>
        <w:tc>
          <w:tcPr>
            <w:tcW w:w="354" w:type="dxa"/>
            <w:noWrap/>
            <w:vAlign w:val="center"/>
          </w:tcPr>
          <w:p w14:paraId="4F476CD9">
            <w:pPr>
              <w:snapToGrid w:val="0"/>
              <w:spacing w:line="480" w:lineRule="exact"/>
              <w:jc w:val="center"/>
              <w:rPr>
                <w:sz w:val="21"/>
                <w:szCs w:val="21"/>
              </w:rPr>
            </w:pPr>
            <w:r>
              <w:rPr>
                <w:sz w:val="21"/>
                <w:szCs w:val="21"/>
              </w:rPr>
              <w:t>30</w:t>
            </w:r>
          </w:p>
        </w:tc>
        <w:tc>
          <w:tcPr>
            <w:tcW w:w="2068" w:type="dxa"/>
            <w:noWrap/>
            <w:vAlign w:val="center"/>
          </w:tcPr>
          <w:p w14:paraId="12E56913">
            <w:pPr>
              <w:snapToGrid w:val="0"/>
              <w:spacing w:line="480" w:lineRule="exact"/>
              <w:rPr>
                <w:sz w:val="21"/>
                <w:szCs w:val="21"/>
              </w:rPr>
            </w:pPr>
            <w:r>
              <w:rPr>
                <w:sz w:val="21"/>
                <w:szCs w:val="21"/>
              </w:rPr>
              <w:t>*农村公路村民小组通畅率</w:t>
            </w:r>
          </w:p>
        </w:tc>
        <w:tc>
          <w:tcPr>
            <w:tcW w:w="718" w:type="dxa"/>
            <w:noWrap/>
            <w:vAlign w:val="center"/>
          </w:tcPr>
          <w:p w14:paraId="11073344">
            <w:pPr>
              <w:snapToGrid w:val="0"/>
              <w:spacing w:line="480" w:lineRule="exact"/>
              <w:jc w:val="center"/>
              <w:rPr>
                <w:sz w:val="21"/>
                <w:szCs w:val="21"/>
              </w:rPr>
            </w:pPr>
            <w:r>
              <w:rPr>
                <w:sz w:val="21"/>
                <w:szCs w:val="21"/>
              </w:rPr>
              <w:t>%</w:t>
            </w:r>
          </w:p>
        </w:tc>
        <w:tc>
          <w:tcPr>
            <w:tcW w:w="828" w:type="dxa"/>
            <w:noWrap/>
            <w:vAlign w:val="center"/>
          </w:tcPr>
          <w:p w14:paraId="4583BC51">
            <w:pPr>
              <w:snapToGrid w:val="0"/>
              <w:spacing w:line="480" w:lineRule="exact"/>
              <w:jc w:val="center"/>
              <w:rPr>
                <w:sz w:val="21"/>
                <w:szCs w:val="21"/>
              </w:rPr>
            </w:pPr>
            <w:r>
              <w:rPr>
                <w:sz w:val="21"/>
                <w:szCs w:val="21"/>
              </w:rPr>
              <w:t>57</w:t>
            </w:r>
          </w:p>
        </w:tc>
        <w:tc>
          <w:tcPr>
            <w:tcW w:w="743" w:type="dxa"/>
            <w:noWrap/>
            <w:vAlign w:val="center"/>
          </w:tcPr>
          <w:p w14:paraId="343E3FA0">
            <w:pPr>
              <w:snapToGrid w:val="0"/>
              <w:spacing w:line="480" w:lineRule="exact"/>
              <w:jc w:val="center"/>
              <w:rPr>
                <w:sz w:val="21"/>
                <w:szCs w:val="21"/>
              </w:rPr>
            </w:pPr>
            <w:r>
              <w:rPr>
                <w:sz w:val="21"/>
                <w:szCs w:val="21"/>
              </w:rPr>
              <w:t>89</w:t>
            </w:r>
          </w:p>
        </w:tc>
        <w:tc>
          <w:tcPr>
            <w:tcW w:w="754" w:type="dxa"/>
            <w:noWrap/>
            <w:vAlign w:val="center"/>
          </w:tcPr>
          <w:p w14:paraId="297B8707">
            <w:pPr>
              <w:snapToGrid w:val="0"/>
              <w:spacing w:line="480" w:lineRule="exact"/>
              <w:jc w:val="center"/>
              <w:rPr>
                <w:sz w:val="21"/>
                <w:szCs w:val="21"/>
              </w:rPr>
            </w:pPr>
            <w:r>
              <w:rPr>
                <w:sz w:val="21"/>
                <w:szCs w:val="21"/>
              </w:rPr>
              <w:t>95</w:t>
            </w:r>
          </w:p>
        </w:tc>
        <w:tc>
          <w:tcPr>
            <w:tcW w:w="1094" w:type="dxa"/>
            <w:noWrap/>
            <w:vAlign w:val="center"/>
          </w:tcPr>
          <w:p w14:paraId="4A9D2813">
            <w:pPr>
              <w:snapToGrid w:val="0"/>
              <w:spacing w:line="480" w:lineRule="exact"/>
              <w:jc w:val="center"/>
              <w:rPr>
                <w:sz w:val="21"/>
                <w:szCs w:val="21"/>
                <w:lang w:val="zh-TW"/>
              </w:rPr>
            </w:pPr>
            <w:r>
              <w:rPr>
                <w:kern w:val="0"/>
                <w:sz w:val="21"/>
                <w:szCs w:val="21"/>
              </w:rPr>
              <w:t>〔38〕</w:t>
            </w:r>
          </w:p>
        </w:tc>
        <w:tc>
          <w:tcPr>
            <w:tcW w:w="728" w:type="dxa"/>
            <w:noWrap/>
            <w:vAlign w:val="center"/>
          </w:tcPr>
          <w:p w14:paraId="033F8252">
            <w:pPr>
              <w:widowControl/>
              <w:snapToGrid w:val="0"/>
              <w:spacing w:line="480" w:lineRule="exact"/>
              <w:jc w:val="center"/>
              <w:rPr>
                <w:sz w:val="21"/>
                <w:szCs w:val="21"/>
              </w:rPr>
            </w:pPr>
            <w:r>
              <w:rPr>
                <w:sz w:val="21"/>
                <w:szCs w:val="21"/>
              </w:rPr>
              <w:t>100</w:t>
            </w:r>
          </w:p>
        </w:tc>
        <w:tc>
          <w:tcPr>
            <w:tcW w:w="728" w:type="dxa"/>
            <w:noWrap/>
            <w:vAlign w:val="center"/>
          </w:tcPr>
          <w:p w14:paraId="10029CA4">
            <w:pPr>
              <w:widowControl/>
              <w:snapToGrid w:val="0"/>
              <w:spacing w:line="480" w:lineRule="exact"/>
              <w:jc w:val="center"/>
              <w:rPr>
                <w:sz w:val="21"/>
                <w:szCs w:val="21"/>
              </w:rPr>
            </w:pPr>
            <w:r>
              <w:rPr>
                <w:sz w:val="21"/>
                <w:szCs w:val="21"/>
              </w:rPr>
              <w:t>预期性</w:t>
            </w:r>
          </w:p>
        </w:tc>
      </w:tr>
    </w:tbl>
    <w:p w14:paraId="07A77980">
      <w:pPr>
        <w:snapToGrid w:val="0"/>
        <w:spacing w:line="480" w:lineRule="exact"/>
        <w:rPr>
          <w:rFonts w:eastAsia="方正楷体_GBK"/>
          <w:sz w:val="21"/>
          <w:szCs w:val="21"/>
        </w:rPr>
      </w:pPr>
      <w:r>
        <w:rPr>
          <w:rFonts w:eastAsia="方正黑体_GBK"/>
          <w:sz w:val="21"/>
          <w:szCs w:val="21"/>
        </w:rPr>
        <w:t>注：</w:t>
      </w:r>
      <w:r>
        <w:rPr>
          <w:rFonts w:eastAsia="方正楷体_GBK"/>
          <w:sz w:val="21"/>
          <w:szCs w:val="21"/>
        </w:rPr>
        <w:t>1．本指标体系和规划中非特定称谓的</w:t>
      </w:r>
      <w:r>
        <w:rPr>
          <w:rFonts w:hint="eastAsia" w:eastAsia="方正楷体_GBK"/>
          <w:sz w:val="21"/>
          <w:szCs w:val="21"/>
        </w:rPr>
        <w:t>“</w:t>
      </w:r>
      <w:r>
        <w:rPr>
          <w:rFonts w:eastAsia="方正楷体_GBK"/>
          <w:sz w:val="21"/>
          <w:szCs w:val="21"/>
        </w:rPr>
        <w:t>村</w:t>
      </w:r>
      <w:r>
        <w:rPr>
          <w:rFonts w:hint="eastAsia" w:eastAsia="方正楷体_GBK"/>
          <w:sz w:val="21"/>
          <w:szCs w:val="21"/>
        </w:rPr>
        <w:t>”</w:t>
      </w:r>
      <w:r>
        <w:rPr>
          <w:rFonts w:eastAsia="方正楷体_GBK"/>
          <w:sz w:val="21"/>
          <w:szCs w:val="21"/>
        </w:rPr>
        <w:t>均指村民委员会和涉农居民委员会所辖地域。</w:t>
      </w:r>
    </w:p>
    <w:p w14:paraId="2C8C8517">
      <w:pPr>
        <w:snapToGrid w:val="0"/>
        <w:spacing w:line="480" w:lineRule="exact"/>
        <w:ind w:firstLine="424" w:firstLineChars="202"/>
        <w:rPr>
          <w:rFonts w:eastAsia="方正楷体_GBK"/>
          <w:sz w:val="21"/>
          <w:szCs w:val="21"/>
        </w:rPr>
      </w:pPr>
      <w:r>
        <w:rPr>
          <w:rFonts w:eastAsia="方正楷体_GBK"/>
          <w:sz w:val="21"/>
          <w:szCs w:val="21"/>
        </w:rPr>
        <w:t>2．本指标体系中带</w:t>
      </w:r>
      <w:r>
        <w:rPr>
          <w:rFonts w:hint="eastAsia" w:eastAsia="方正楷体_GBK"/>
          <w:sz w:val="21"/>
          <w:szCs w:val="21"/>
        </w:rPr>
        <w:t>“</w:t>
      </w:r>
      <w:r>
        <w:rPr>
          <w:rFonts w:eastAsia="方正楷体_GBK"/>
          <w:sz w:val="21"/>
          <w:szCs w:val="21"/>
        </w:rPr>
        <w:t>*</w:t>
      </w:r>
      <w:r>
        <w:rPr>
          <w:rFonts w:hint="eastAsia" w:eastAsia="方正楷体_GBK"/>
          <w:sz w:val="21"/>
          <w:szCs w:val="21"/>
        </w:rPr>
        <w:t>”</w:t>
      </w:r>
      <w:r>
        <w:rPr>
          <w:rFonts w:eastAsia="方正楷体_GBK"/>
          <w:sz w:val="21"/>
          <w:szCs w:val="21"/>
        </w:rPr>
        <w:t>指标为非国家指标。</w:t>
      </w:r>
    </w:p>
    <w:p w14:paraId="2160DB43">
      <w:pPr>
        <w:spacing w:line="480" w:lineRule="exact"/>
        <w:ind w:firstLine="420" w:firstLineChars="200"/>
        <w:rPr>
          <w:rFonts w:eastAsia="方正楷体_GBK"/>
          <w:sz w:val="21"/>
          <w:szCs w:val="21"/>
        </w:rPr>
      </w:pPr>
      <w:r>
        <w:rPr>
          <w:rFonts w:eastAsia="方正楷体_GBK"/>
          <w:sz w:val="21"/>
          <w:szCs w:val="21"/>
        </w:rPr>
        <w:t>3．后续正文和专栏中定量指标未说明年份的均为2025年目标值。</w:t>
      </w:r>
    </w:p>
    <w:p w14:paraId="73755C5D">
      <w:pPr>
        <w:rPr>
          <w:rFonts w:eastAsia="方正黑体_GBK"/>
          <w:sz w:val="44"/>
          <w:szCs w:val="44"/>
        </w:rPr>
      </w:pPr>
      <w:bookmarkStart w:id="28" w:name="_Toc17982"/>
      <w:r>
        <w:rPr>
          <w:rFonts w:eastAsia="方正黑体_GBK"/>
          <w:sz w:val="44"/>
          <w:szCs w:val="44"/>
        </w:rPr>
        <w:br w:type="page"/>
      </w:r>
    </w:p>
    <w:p w14:paraId="6B465A5B">
      <w:pPr>
        <w:adjustRightInd w:val="0"/>
        <w:snapToGrid w:val="0"/>
        <w:spacing w:line="480" w:lineRule="exact"/>
        <w:jc w:val="center"/>
        <w:outlineLvl w:val="0"/>
        <w:rPr>
          <w:rFonts w:eastAsia="方正黑体_GBK"/>
          <w:sz w:val="44"/>
          <w:szCs w:val="44"/>
        </w:rPr>
      </w:pPr>
      <w:r>
        <w:rPr>
          <w:rFonts w:eastAsia="方正黑体_GBK"/>
          <w:sz w:val="44"/>
          <w:szCs w:val="44"/>
        </w:rPr>
        <w:t>第三篇  重塑城乡发展新格局</w:t>
      </w:r>
      <w:bookmarkEnd w:id="28"/>
    </w:p>
    <w:p w14:paraId="1B277701">
      <w:pPr>
        <w:spacing w:line="480" w:lineRule="exact"/>
        <w:jc w:val="center"/>
        <w:rPr>
          <w:kern w:val="0"/>
          <w:sz w:val="28"/>
          <w:szCs w:val="28"/>
        </w:rPr>
      </w:pPr>
    </w:p>
    <w:p w14:paraId="75090D21">
      <w:pPr>
        <w:spacing w:line="480" w:lineRule="exact"/>
        <w:ind w:firstLine="560" w:firstLineChars="200"/>
        <w:rPr>
          <w:kern w:val="0"/>
          <w:sz w:val="28"/>
          <w:szCs w:val="28"/>
        </w:rPr>
      </w:pPr>
      <w:r>
        <w:rPr>
          <w:kern w:val="0"/>
          <w:sz w:val="28"/>
          <w:szCs w:val="28"/>
        </w:rPr>
        <w:t>坚持乡村振兴与新型城镇化双轮驱动，强化以工补农、以城带乡，推动形成工农互促、城乡互补、协调发展、共同繁荣的新型工农城乡关系。解决长期存在的城乡二元结构问题，处理好市域范围</w:t>
      </w:r>
      <w:r>
        <w:rPr>
          <w:rFonts w:hint="eastAsia"/>
          <w:kern w:val="0"/>
          <w:sz w:val="28"/>
          <w:szCs w:val="28"/>
        </w:rPr>
        <w:t>“</w:t>
      </w:r>
      <w:r>
        <w:rPr>
          <w:kern w:val="0"/>
          <w:sz w:val="28"/>
          <w:szCs w:val="28"/>
        </w:rPr>
        <w:t>主城-城口</w:t>
      </w:r>
      <w:r>
        <w:rPr>
          <w:rFonts w:hint="eastAsia"/>
          <w:kern w:val="0"/>
          <w:sz w:val="28"/>
          <w:szCs w:val="28"/>
        </w:rPr>
        <w:t>”</w:t>
      </w:r>
      <w:r>
        <w:rPr>
          <w:kern w:val="0"/>
          <w:sz w:val="28"/>
          <w:szCs w:val="28"/>
        </w:rPr>
        <w:t>与县域范围</w:t>
      </w:r>
      <w:r>
        <w:rPr>
          <w:rFonts w:hint="eastAsia"/>
          <w:kern w:val="0"/>
          <w:sz w:val="28"/>
          <w:szCs w:val="28"/>
        </w:rPr>
        <w:t>“</w:t>
      </w:r>
      <w:r>
        <w:rPr>
          <w:kern w:val="0"/>
          <w:sz w:val="28"/>
          <w:szCs w:val="28"/>
        </w:rPr>
        <w:t>城镇-乡村</w:t>
      </w:r>
      <w:r>
        <w:rPr>
          <w:rFonts w:hint="eastAsia"/>
          <w:kern w:val="0"/>
          <w:sz w:val="28"/>
          <w:szCs w:val="28"/>
        </w:rPr>
        <w:t>”</w:t>
      </w:r>
      <w:r>
        <w:rPr>
          <w:kern w:val="0"/>
          <w:sz w:val="28"/>
          <w:szCs w:val="28"/>
        </w:rPr>
        <w:t>两组城乡关系，加强周边区域交流、协调与合作，形成基础设施联通、经济要素流通、居民心灵相通的城乡融合发展新格局。</w:t>
      </w:r>
    </w:p>
    <w:p w14:paraId="313CBAC0">
      <w:pPr>
        <w:spacing w:line="480" w:lineRule="exact"/>
        <w:rPr>
          <w:rFonts w:eastAsia="宋体"/>
          <w:kern w:val="0"/>
          <w:sz w:val="28"/>
          <w:szCs w:val="28"/>
        </w:rPr>
      </w:pPr>
    </w:p>
    <w:p w14:paraId="1E1B9749">
      <w:pPr>
        <w:adjustRightInd w:val="0"/>
        <w:snapToGrid w:val="0"/>
        <w:spacing w:line="480" w:lineRule="exact"/>
        <w:jc w:val="center"/>
        <w:outlineLvl w:val="1"/>
        <w:rPr>
          <w:rFonts w:eastAsia="黑体"/>
          <w:sz w:val="36"/>
          <w:szCs w:val="36"/>
        </w:rPr>
      </w:pPr>
      <w:bookmarkStart w:id="29" w:name="_Toc27231"/>
      <w:r>
        <w:rPr>
          <w:rFonts w:eastAsia="方正黑体_GBK"/>
          <w:sz w:val="36"/>
          <w:szCs w:val="36"/>
        </w:rPr>
        <w:t>第七章  构建对外良性互动关系</w:t>
      </w:r>
      <w:bookmarkEnd w:id="29"/>
    </w:p>
    <w:p w14:paraId="4F20B7F6">
      <w:pPr>
        <w:spacing w:line="480" w:lineRule="exact"/>
      </w:pPr>
    </w:p>
    <w:p w14:paraId="300A95BF">
      <w:pPr>
        <w:spacing w:line="480" w:lineRule="exact"/>
        <w:ind w:firstLine="560" w:firstLineChars="200"/>
        <w:rPr>
          <w:rFonts w:eastAsia="宋体"/>
          <w:kern w:val="0"/>
          <w:sz w:val="28"/>
          <w:szCs w:val="28"/>
        </w:rPr>
      </w:pPr>
      <w:r>
        <w:rPr>
          <w:kern w:val="0"/>
          <w:sz w:val="28"/>
          <w:szCs w:val="28"/>
        </w:rPr>
        <w:t>坚持走城乡与区域融合发展道路，明确城口资源禀赋、区位条件与功能角色，促进</w:t>
      </w:r>
      <w:r>
        <w:rPr>
          <w:rFonts w:hint="eastAsia"/>
          <w:kern w:val="0"/>
          <w:sz w:val="28"/>
          <w:szCs w:val="28"/>
        </w:rPr>
        <w:t>“</w:t>
      </w:r>
      <w:r>
        <w:rPr>
          <w:kern w:val="0"/>
          <w:sz w:val="28"/>
          <w:szCs w:val="28"/>
        </w:rPr>
        <w:t>主城-城口</w:t>
      </w:r>
      <w:r>
        <w:rPr>
          <w:rFonts w:hint="eastAsia"/>
          <w:kern w:val="0"/>
          <w:sz w:val="28"/>
          <w:szCs w:val="28"/>
        </w:rPr>
        <w:t>”</w:t>
      </w:r>
      <w:r>
        <w:rPr>
          <w:kern w:val="0"/>
          <w:sz w:val="28"/>
          <w:szCs w:val="28"/>
        </w:rPr>
        <w:t>双向互动，加强泛大巴山和川陕革命老区区域协作，积极融入渝东北三峡库区城镇群建设和渝东北川东北一体化发展，建设</w:t>
      </w:r>
      <w:r>
        <w:rPr>
          <w:sz w:val="28"/>
          <w:szCs w:val="28"/>
        </w:rPr>
        <w:t>渝川陕</w:t>
      </w:r>
      <w:r>
        <w:rPr>
          <w:rFonts w:hint="eastAsia"/>
          <w:sz w:val="28"/>
          <w:szCs w:val="28"/>
        </w:rPr>
        <w:t>开放</w:t>
      </w:r>
      <w:r>
        <w:rPr>
          <w:sz w:val="28"/>
          <w:szCs w:val="28"/>
        </w:rPr>
        <w:t>合作门户</w:t>
      </w:r>
      <w:r>
        <w:rPr>
          <w:kern w:val="0"/>
          <w:sz w:val="28"/>
          <w:szCs w:val="28"/>
        </w:rPr>
        <w:t>、</w:t>
      </w:r>
      <w:r>
        <w:rPr>
          <w:sz w:val="28"/>
          <w:szCs w:val="28"/>
        </w:rPr>
        <w:t>川陕革命老区</w:t>
      </w:r>
      <w:r>
        <w:rPr>
          <w:rFonts w:hint="eastAsia"/>
          <w:sz w:val="28"/>
          <w:szCs w:val="28"/>
        </w:rPr>
        <w:t>振兴发展</w:t>
      </w:r>
      <w:r>
        <w:rPr>
          <w:sz w:val="28"/>
          <w:szCs w:val="28"/>
        </w:rPr>
        <w:t>示范区</w:t>
      </w:r>
      <w:r>
        <w:rPr>
          <w:kern w:val="0"/>
          <w:sz w:val="28"/>
          <w:szCs w:val="28"/>
        </w:rPr>
        <w:t>，打造城乡融合、区域协调发展典范。</w:t>
      </w:r>
    </w:p>
    <w:p w14:paraId="456D628E">
      <w:pPr>
        <w:spacing w:line="480" w:lineRule="exact"/>
        <w:rPr>
          <w:rFonts w:eastAsia="宋体"/>
          <w:kern w:val="0"/>
          <w:sz w:val="28"/>
          <w:szCs w:val="28"/>
        </w:rPr>
      </w:pPr>
    </w:p>
    <w:p w14:paraId="6C4E4520">
      <w:pPr>
        <w:adjustRightInd w:val="0"/>
        <w:snapToGrid w:val="0"/>
        <w:spacing w:line="480" w:lineRule="exact"/>
        <w:jc w:val="center"/>
        <w:outlineLvl w:val="2"/>
        <w:rPr>
          <w:rFonts w:eastAsia="黑体"/>
          <w:szCs w:val="32"/>
        </w:rPr>
      </w:pPr>
      <w:bookmarkStart w:id="30" w:name="_Toc13501"/>
      <w:r>
        <w:rPr>
          <w:rFonts w:eastAsia="方正黑体_GBK"/>
          <w:szCs w:val="32"/>
        </w:rPr>
        <w:t>第一节  明确城口功能定位</w:t>
      </w:r>
      <w:bookmarkEnd w:id="30"/>
    </w:p>
    <w:p w14:paraId="6CA99B46">
      <w:pPr>
        <w:spacing w:line="480" w:lineRule="exact"/>
      </w:pPr>
    </w:p>
    <w:p w14:paraId="733AA09C">
      <w:pPr>
        <w:spacing w:line="480" w:lineRule="exact"/>
        <w:ind w:firstLine="560" w:firstLineChars="200"/>
        <w:rPr>
          <w:kern w:val="0"/>
          <w:sz w:val="28"/>
          <w:szCs w:val="28"/>
        </w:rPr>
      </w:pPr>
      <w:r>
        <w:rPr>
          <w:kern w:val="0"/>
          <w:sz w:val="28"/>
          <w:szCs w:val="28"/>
        </w:rPr>
        <w:t>摸清城口资源禀赋，认真审视自身区位条件和竞争力，与周边区域进行对比分析，明确城口发展优劣势。牢牢抓住大巴山腹地核心地位，变被动为主动，变封闭为开放，引领创新发展，主导泛大巴山和川陕革命根据地区域合作，积极融入渝东北三峡库区城镇群建设和渝东北川东北一体化发展，在三峡新区建设中发挥独特作用，建设渝东北生态后花园。打造</w:t>
      </w:r>
      <w:r>
        <w:rPr>
          <w:sz w:val="28"/>
          <w:szCs w:val="28"/>
        </w:rPr>
        <w:t>国家生态文明示范县</w:t>
      </w:r>
      <w:r>
        <w:rPr>
          <w:kern w:val="0"/>
          <w:sz w:val="28"/>
          <w:szCs w:val="28"/>
        </w:rPr>
        <w:t>、</w:t>
      </w:r>
      <w:r>
        <w:rPr>
          <w:sz w:val="28"/>
          <w:szCs w:val="28"/>
        </w:rPr>
        <w:t>川陕革命老区</w:t>
      </w:r>
      <w:r>
        <w:rPr>
          <w:rFonts w:hint="eastAsia"/>
          <w:sz w:val="28"/>
          <w:szCs w:val="28"/>
        </w:rPr>
        <w:t>振兴发展</w:t>
      </w:r>
      <w:r>
        <w:rPr>
          <w:sz w:val="28"/>
          <w:szCs w:val="28"/>
        </w:rPr>
        <w:t>示范区</w:t>
      </w:r>
      <w:r>
        <w:rPr>
          <w:kern w:val="0"/>
          <w:sz w:val="28"/>
          <w:szCs w:val="28"/>
        </w:rPr>
        <w:t>和</w:t>
      </w:r>
      <w:r>
        <w:rPr>
          <w:sz w:val="28"/>
          <w:szCs w:val="28"/>
        </w:rPr>
        <w:t>渝川陕</w:t>
      </w:r>
      <w:r>
        <w:rPr>
          <w:rFonts w:hint="eastAsia"/>
          <w:sz w:val="28"/>
          <w:szCs w:val="28"/>
        </w:rPr>
        <w:t>开放</w:t>
      </w:r>
      <w:r>
        <w:rPr>
          <w:sz w:val="28"/>
          <w:szCs w:val="28"/>
        </w:rPr>
        <w:t>合作门户</w:t>
      </w:r>
      <w:r>
        <w:rPr>
          <w:kern w:val="0"/>
          <w:sz w:val="28"/>
          <w:szCs w:val="28"/>
        </w:rPr>
        <w:t>，努力建设</w:t>
      </w:r>
      <w:r>
        <w:rPr>
          <w:rFonts w:hint="eastAsia"/>
          <w:sz w:val="28"/>
          <w:szCs w:val="28"/>
        </w:rPr>
        <w:t>“</w:t>
      </w:r>
      <w:r>
        <w:rPr>
          <w:sz w:val="28"/>
          <w:szCs w:val="28"/>
        </w:rPr>
        <w:t>两山</w:t>
      </w:r>
      <w:r>
        <w:rPr>
          <w:rFonts w:hint="eastAsia"/>
          <w:sz w:val="28"/>
          <w:szCs w:val="28"/>
        </w:rPr>
        <w:t>”“</w:t>
      </w:r>
      <w:r>
        <w:rPr>
          <w:sz w:val="28"/>
          <w:szCs w:val="28"/>
        </w:rPr>
        <w:t>两化</w:t>
      </w:r>
      <w:r>
        <w:rPr>
          <w:rFonts w:hint="eastAsia"/>
          <w:sz w:val="28"/>
          <w:szCs w:val="28"/>
        </w:rPr>
        <w:t>”</w:t>
      </w:r>
      <w:r>
        <w:rPr>
          <w:sz w:val="28"/>
          <w:szCs w:val="28"/>
        </w:rPr>
        <w:t>先行示范区</w:t>
      </w:r>
      <w:r>
        <w:rPr>
          <w:kern w:val="0"/>
          <w:sz w:val="28"/>
          <w:szCs w:val="28"/>
        </w:rPr>
        <w:t>和山清水秀、原乡原景的美丽之地。</w:t>
      </w:r>
    </w:p>
    <w:p w14:paraId="28238A4F">
      <w:pPr>
        <w:spacing w:line="480" w:lineRule="exact"/>
      </w:pPr>
    </w:p>
    <w:p w14:paraId="13A7A203">
      <w:pPr>
        <w:adjustRightInd w:val="0"/>
        <w:snapToGrid w:val="0"/>
        <w:spacing w:line="480" w:lineRule="exact"/>
        <w:jc w:val="center"/>
        <w:outlineLvl w:val="2"/>
        <w:rPr>
          <w:rFonts w:eastAsia="方正黑体_GBK"/>
          <w:szCs w:val="32"/>
        </w:rPr>
      </w:pPr>
      <w:bookmarkStart w:id="31" w:name="_Toc27404"/>
      <w:r>
        <w:rPr>
          <w:rFonts w:eastAsia="方正黑体_GBK"/>
          <w:szCs w:val="32"/>
        </w:rPr>
        <w:t>第二节  完善对外交通体系</w:t>
      </w:r>
      <w:bookmarkEnd w:id="31"/>
    </w:p>
    <w:p w14:paraId="0B5CB267">
      <w:pPr>
        <w:spacing w:line="480" w:lineRule="exact"/>
      </w:pPr>
    </w:p>
    <w:p w14:paraId="21543F64">
      <w:pPr>
        <w:spacing w:line="480" w:lineRule="exact"/>
        <w:ind w:firstLine="560" w:firstLineChars="200"/>
        <w:rPr>
          <w:kern w:val="0"/>
          <w:sz w:val="28"/>
          <w:szCs w:val="28"/>
        </w:rPr>
      </w:pPr>
      <w:r>
        <w:rPr>
          <w:kern w:val="0"/>
          <w:sz w:val="28"/>
          <w:szCs w:val="28"/>
        </w:rPr>
        <w:t>全方位完善对外交通体系。以建成</w:t>
      </w:r>
      <w:r>
        <w:rPr>
          <w:rFonts w:hint="eastAsia"/>
          <w:kern w:val="0"/>
          <w:sz w:val="28"/>
          <w:szCs w:val="28"/>
        </w:rPr>
        <w:t>“</w:t>
      </w:r>
      <w:r>
        <w:rPr>
          <w:kern w:val="0"/>
          <w:sz w:val="28"/>
          <w:szCs w:val="28"/>
        </w:rPr>
        <w:t>重庆向北重要交通节点</w:t>
      </w:r>
      <w:r>
        <w:rPr>
          <w:rFonts w:hint="eastAsia"/>
          <w:kern w:val="0"/>
          <w:sz w:val="28"/>
          <w:szCs w:val="28"/>
        </w:rPr>
        <w:t>”“</w:t>
      </w:r>
      <w:r>
        <w:rPr>
          <w:kern w:val="0"/>
          <w:sz w:val="28"/>
          <w:szCs w:val="28"/>
        </w:rPr>
        <w:t>渝川陕毗邻区县综合交通枢纽</w:t>
      </w:r>
      <w:r>
        <w:rPr>
          <w:rFonts w:hint="eastAsia"/>
          <w:kern w:val="0"/>
          <w:sz w:val="28"/>
          <w:szCs w:val="28"/>
        </w:rPr>
        <w:t>”</w:t>
      </w:r>
      <w:r>
        <w:rPr>
          <w:kern w:val="0"/>
          <w:sz w:val="28"/>
          <w:szCs w:val="28"/>
        </w:rPr>
        <w:t>为目标，加快消除对外交通瓶颈制约，提升内部交通畅通能力。构建以</w:t>
      </w:r>
      <w:r>
        <w:rPr>
          <w:rFonts w:hint="eastAsia"/>
          <w:kern w:val="0"/>
          <w:sz w:val="28"/>
          <w:szCs w:val="28"/>
        </w:rPr>
        <w:t>“</w:t>
      </w:r>
      <w:r>
        <w:rPr>
          <w:kern w:val="0"/>
          <w:sz w:val="28"/>
          <w:szCs w:val="28"/>
        </w:rPr>
        <w:t>高速公路、高速铁路</w:t>
      </w:r>
      <w:r>
        <w:rPr>
          <w:rFonts w:hint="eastAsia"/>
          <w:kern w:val="0"/>
          <w:sz w:val="28"/>
          <w:szCs w:val="28"/>
        </w:rPr>
        <w:t>”</w:t>
      </w:r>
      <w:r>
        <w:rPr>
          <w:kern w:val="0"/>
          <w:sz w:val="28"/>
          <w:szCs w:val="28"/>
        </w:rPr>
        <w:t>为主体的对外交通体系。加快实施高速公路互通和高速铁路站点连接线公路建设，对全县国省县道实施改造升级，完善公路设施，切实提升公路服务能力和通行能力，形成布局合理、功能完善、衔接顺畅的国省县道网络。始终把打破对外交通瓶颈作为首要任务，力争城口尽早融入全市全国交通</w:t>
      </w:r>
      <w:r>
        <w:rPr>
          <w:rFonts w:hint="eastAsia"/>
          <w:kern w:val="0"/>
          <w:sz w:val="28"/>
          <w:szCs w:val="28"/>
        </w:rPr>
        <w:t>“</w:t>
      </w:r>
      <w:r>
        <w:rPr>
          <w:kern w:val="0"/>
          <w:sz w:val="28"/>
          <w:szCs w:val="28"/>
        </w:rPr>
        <w:t>主动脉</w:t>
      </w:r>
      <w:r>
        <w:rPr>
          <w:rFonts w:hint="eastAsia"/>
          <w:kern w:val="0"/>
          <w:sz w:val="28"/>
          <w:szCs w:val="28"/>
        </w:rPr>
        <w:t>”</w:t>
      </w:r>
      <w:r>
        <w:rPr>
          <w:kern w:val="0"/>
          <w:sz w:val="28"/>
          <w:szCs w:val="28"/>
        </w:rPr>
        <w:t>。建成G69银百高速城口段，新开工渝西高铁、城口至万源高速公路，加快推进城口至宣汉、城口至巫溪高速公路前期工作并及早开工，积极做好万州至城口至安康铁路、安张铁路过境城口、城口支线（通用）机场等重大交通项目规划争取工作</w:t>
      </w:r>
      <w:r>
        <w:rPr>
          <w:rFonts w:hint="eastAsia"/>
          <w:kern w:val="0"/>
          <w:sz w:val="28"/>
          <w:szCs w:val="28"/>
        </w:rPr>
        <w:t>。</w:t>
      </w:r>
    </w:p>
    <w:p w14:paraId="68489D5D">
      <w:pPr>
        <w:spacing w:line="480" w:lineRule="exact"/>
        <w:ind w:firstLine="560" w:firstLineChars="200"/>
        <w:rPr>
          <w:rFonts w:eastAsia="宋体"/>
          <w:kern w:val="0"/>
          <w:sz w:val="28"/>
          <w:szCs w:val="28"/>
        </w:rPr>
      </w:pPr>
    </w:p>
    <w:p w14:paraId="0CFD64B5">
      <w:pPr>
        <w:adjustRightInd w:val="0"/>
        <w:snapToGrid w:val="0"/>
        <w:spacing w:line="480" w:lineRule="exact"/>
        <w:jc w:val="center"/>
        <w:outlineLvl w:val="2"/>
        <w:rPr>
          <w:rFonts w:eastAsia="方正黑体_GBK"/>
          <w:szCs w:val="32"/>
        </w:rPr>
      </w:pPr>
      <w:bookmarkStart w:id="32" w:name="_Toc6873"/>
      <w:r>
        <w:rPr>
          <w:rFonts w:eastAsia="方正黑体_GBK"/>
          <w:szCs w:val="32"/>
        </w:rPr>
        <w:t>第三节 促进人口双向流动</w:t>
      </w:r>
      <w:bookmarkEnd w:id="32"/>
    </w:p>
    <w:p w14:paraId="3186FDD4">
      <w:pPr>
        <w:spacing w:line="480" w:lineRule="exact"/>
      </w:pPr>
    </w:p>
    <w:p w14:paraId="0B55469F">
      <w:pPr>
        <w:tabs>
          <w:tab w:val="left" w:pos="642"/>
        </w:tabs>
        <w:spacing w:line="480" w:lineRule="exact"/>
        <w:ind w:firstLine="560" w:firstLineChars="200"/>
        <w:rPr>
          <w:rFonts w:eastAsia="宋体"/>
          <w:kern w:val="0"/>
          <w:sz w:val="28"/>
          <w:szCs w:val="28"/>
        </w:rPr>
      </w:pPr>
      <w:r>
        <w:rPr>
          <w:rFonts w:eastAsia="宋体"/>
          <w:kern w:val="0"/>
          <w:sz w:val="28"/>
          <w:szCs w:val="28"/>
        </w:rPr>
        <w:tab/>
      </w:r>
      <w:r>
        <w:rPr>
          <w:kern w:val="0"/>
          <w:sz w:val="28"/>
          <w:szCs w:val="28"/>
        </w:rPr>
        <w:t>鼓励人口在城口与主城以及周边大城市之间双向流动。支持有条件的城口居民在主城置产兴业和就业创业，保障进城农民在村庄的合法权益。大力实施</w:t>
      </w:r>
      <w:r>
        <w:rPr>
          <w:rFonts w:hint="eastAsia"/>
          <w:kern w:val="0"/>
          <w:sz w:val="28"/>
          <w:szCs w:val="28"/>
        </w:rPr>
        <w:t>“</w:t>
      </w:r>
      <w:r>
        <w:rPr>
          <w:kern w:val="0"/>
          <w:sz w:val="28"/>
          <w:szCs w:val="28"/>
        </w:rPr>
        <w:t>三乡</w:t>
      </w:r>
      <w:r>
        <w:rPr>
          <w:rFonts w:hint="eastAsia"/>
          <w:kern w:val="0"/>
          <w:sz w:val="28"/>
          <w:szCs w:val="28"/>
        </w:rPr>
        <w:t>”</w:t>
      </w:r>
      <w:r>
        <w:rPr>
          <w:kern w:val="0"/>
          <w:sz w:val="28"/>
          <w:szCs w:val="28"/>
        </w:rPr>
        <w:t>工程，鼓励</w:t>
      </w:r>
      <w:r>
        <w:rPr>
          <w:rFonts w:hint="eastAsia"/>
          <w:kern w:val="0"/>
          <w:sz w:val="28"/>
          <w:szCs w:val="28"/>
        </w:rPr>
        <w:t>“</w:t>
      </w:r>
      <w:r>
        <w:rPr>
          <w:kern w:val="0"/>
          <w:sz w:val="28"/>
          <w:szCs w:val="28"/>
        </w:rPr>
        <w:t>市民下乡、能人返乡、企业兴乡</w:t>
      </w:r>
      <w:r>
        <w:rPr>
          <w:rFonts w:hint="eastAsia"/>
          <w:kern w:val="0"/>
          <w:sz w:val="28"/>
          <w:szCs w:val="28"/>
        </w:rPr>
        <w:t>”</w:t>
      </w:r>
      <w:r>
        <w:rPr>
          <w:kern w:val="0"/>
          <w:sz w:val="28"/>
          <w:szCs w:val="28"/>
        </w:rPr>
        <w:t>。积极吸引主城及周边大中城市居民到城口置产、投资、创业和消费，重点吸引中小企业和城市中产群体到城口投资和消费，精准引进文化创意和专业技术人员到城口就业和创业。制定相关鼓励支持政策措施，以人口流入带动资本、知识、技术和信息等要素流入。大力支持外出能人乡贤返乡，带动技术、资本、资源和劳动力回流。稳步开展农村住房共享产权、房票、地票等政策创新探索。</w:t>
      </w:r>
    </w:p>
    <w:p w14:paraId="3EDE1D3F">
      <w:pPr>
        <w:spacing w:line="480" w:lineRule="exact"/>
      </w:pPr>
    </w:p>
    <w:p w14:paraId="4ABDFB1D">
      <w:pPr>
        <w:adjustRightInd w:val="0"/>
        <w:snapToGrid w:val="0"/>
        <w:spacing w:line="480" w:lineRule="exact"/>
        <w:jc w:val="center"/>
        <w:outlineLvl w:val="1"/>
        <w:rPr>
          <w:rFonts w:eastAsia="方正黑体_GBK"/>
          <w:sz w:val="36"/>
          <w:szCs w:val="36"/>
        </w:rPr>
      </w:pPr>
      <w:bookmarkStart w:id="33" w:name="_Toc6778"/>
      <w:r>
        <w:rPr>
          <w:rFonts w:eastAsia="方正黑体_GBK"/>
          <w:sz w:val="36"/>
          <w:szCs w:val="36"/>
        </w:rPr>
        <w:t>第八章  建立县域城乡融合发展新格局</w:t>
      </w:r>
      <w:bookmarkEnd w:id="33"/>
    </w:p>
    <w:p w14:paraId="1BD54F29">
      <w:pPr>
        <w:spacing w:line="480" w:lineRule="exact"/>
      </w:pPr>
    </w:p>
    <w:p w14:paraId="4678D520">
      <w:pPr>
        <w:spacing w:line="480" w:lineRule="exact"/>
        <w:ind w:firstLine="560" w:firstLineChars="200"/>
        <w:rPr>
          <w:kern w:val="0"/>
          <w:sz w:val="28"/>
          <w:szCs w:val="28"/>
        </w:rPr>
      </w:pPr>
      <w:r>
        <w:rPr>
          <w:kern w:val="0"/>
          <w:sz w:val="28"/>
          <w:szCs w:val="28"/>
        </w:rPr>
        <w:t>实施乡村建设行动，把乡村建设摆在全县社会主义现代化建设的重要位置。坚持规划先行，统筹推进城乡空间保护、整治和开发，引导和调控城乡融合发展，控制县城发展规模，实施城市提升工程，合理确定农村集中居民点和乡村建设模式、数量、布局和建设用地规模，形成分工明确、梯度有序、开放互通的城乡空间结构体系。</w:t>
      </w:r>
      <w:bookmarkStart w:id="34" w:name="_Toc519079690"/>
      <w:bookmarkStart w:id="35" w:name="_Toc521352218"/>
      <w:bookmarkStart w:id="36" w:name="_Toc521865006"/>
      <w:bookmarkStart w:id="37" w:name="_Toc521853490"/>
      <w:bookmarkStart w:id="38" w:name="_Toc522042951"/>
    </w:p>
    <w:p w14:paraId="584C8C21">
      <w:pPr>
        <w:spacing w:line="480" w:lineRule="exact"/>
        <w:ind w:firstLine="560" w:firstLineChars="200"/>
        <w:rPr>
          <w:rFonts w:eastAsia="宋体"/>
          <w:kern w:val="0"/>
          <w:sz w:val="28"/>
          <w:szCs w:val="28"/>
        </w:rPr>
      </w:pPr>
    </w:p>
    <w:p w14:paraId="51BA383D">
      <w:pPr>
        <w:pStyle w:val="5"/>
        <w:spacing w:line="480" w:lineRule="exact"/>
        <w:jc w:val="center"/>
        <w:rPr>
          <w:rFonts w:eastAsia="方正黑体_GBK"/>
          <w:b w:val="0"/>
          <w:bCs w:val="0"/>
        </w:rPr>
      </w:pPr>
      <w:bookmarkStart w:id="39" w:name="_Toc6384"/>
      <w:r>
        <w:rPr>
          <w:rFonts w:eastAsia="方正黑体_GBK"/>
          <w:b w:val="0"/>
          <w:bCs w:val="0"/>
        </w:rPr>
        <w:t>第一节</w:t>
      </w:r>
      <w:bookmarkEnd w:id="34"/>
      <w:r>
        <w:rPr>
          <w:rFonts w:eastAsia="方正黑体_GBK"/>
          <w:b w:val="0"/>
          <w:bCs w:val="0"/>
        </w:rPr>
        <w:t xml:space="preserve">  强化空间用途管制</w:t>
      </w:r>
      <w:bookmarkEnd w:id="35"/>
      <w:bookmarkEnd w:id="36"/>
      <w:bookmarkEnd w:id="37"/>
      <w:bookmarkEnd w:id="38"/>
      <w:bookmarkEnd w:id="39"/>
    </w:p>
    <w:p w14:paraId="20F1FD14">
      <w:pPr>
        <w:tabs>
          <w:tab w:val="left" w:pos="642"/>
        </w:tabs>
        <w:spacing w:line="480" w:lineRule="exact"/>
        <w:ind w:firstLine="560" w:firstLineChars="200"/>
        <w:rPr>
          <w:rFonts w:eastAsia="宋体"/>
          <w:kern w:val="0"/>
          <w:sz w:val="28"/>
          <w:szCs w:val="28"/>
        </w:rPr>
      </w:pPr>
      <w:r>
        <w:rPr>
          <w:kern w:val="0"/>
          <w:sz w:val="28"/>
          <w:szCs w:val="28"/>
        </w:rPr>
        <w:t>贯彻落实国家主体功能区战略，围绕生态涵养和生物多样性保护中心任务，以自然保护地、重要河湖和生态红线为重点，构建</w:t>
      </w:r>
      <w:r>
        <w:rPr>
          <w:rFonts w:hint="eastAsia"/>
          <w:kern w:val="0"/>
          <w:sz w:val="28"/>
          <w:szCs w:val="28"/>
        </w:rPr>
        <w:t>“</w:t>
      </w:r>
      <w:r>
        <w:rPr>
          <w:kern w:val="0"/>
          <w:sz w:val="28"/>
          <w:szCs w:val="28"/>
        </w:rPr>
        <w:t>一屏</w:t>
      </w:r>
      <w:r>
        <w:rPr>
          <w:rFonts w:hint="eastAsia"/>
          <w:kern w:val="0"/>
          <w:sz w:val="28"/>
          <w:szCs w:val="28"/>
        </w:rPr>
        <w:t>”</w:t>
      </w:r>
      <w:r>
        <w:rPr>
          <w:kern w:val="0"/>
          <w:sz w:val="28"/>
          <w:szCs w:val="28"/>
        </w:rPr>
        <w:t>（即大巴山国家级自然保护区及重要山体）、</w:t>
      </w:r>
      <w:r>
        <w:rPr>
          <w:rFonts w:hint="eastAsia"/>
          <w:kern w:val="0"/>
          <w:sz w:val="28"/>
          <w:szCs w:val="28"/>
        </w:rPr>
        <w:t>“</w:t>
      </w:r>
      <w:r>
        <w:rPr>
          <w:kern w:val="0"/>
          <w:sz w:val="28"/>
          <w:szCs w:val="28"/>
        </w:rPr>
        <w:t>两带</w:t>
      </w:r>
      <w:r>
        <w:rPr>
          <w:rFonts w:hint="eastAsia"/>
          <w:kern w:val="0"/>
          <w:sz w:val="28"/>
          <w:szCs w:val="28"/>
        </w:rPr>
        <w:t>”</w:t>
      </w:r>
      <w:r>
        <w:rPr>
          <w:kern w:val="0"/>
          <w:sz w:val="28"/>
          <w:szCs w:val="28"/>
        </w:rPr>
        <w:t>（即任河流域带、前河流域带）、</w:t>
      </w:r>
      <w:r>
        <w:rPr>
          <w:rFonts w:hint="eastAsia"/>
          <w:kern w:val="0"/>
          <w:sz w:val="28"/>
          <w:szCs w:val="28"/>
        </w:rPr>
        <w:t>“</w:t>
      </w:r>
      <w:r>
        <w:rPr>
          <w:kern w:val="0"/>
          <w:sz w:val="28"/>
          <w:szCs w:val="28"/>
        </w:rPr>
        <w:t>多点</w:t>
      </w:r>
      <w:r>
        <w:rPr>
          <w:rFonts w:hint="eastAsia"/>
          <w:kern w:val="0"/>
          <w:sz w:val="28"/>
          <w:szCs w:val="28"/>
        </w:rPr>
        <w:t>”</w:t>
      </w:r>
      <w:r>
        <w:rPr>
          <w:kern w:val="0"/>
          <w:sz w:val="28"/>
          <w:szCs w:val="28"/>
        </w:rPr>
        <w:t>（即巴山湖国家湿地公园、九重山国家森林公园、饮用水源地等生态保护红线圈）的生态空间安全格局。落实生态保护红线、永久基本农田、城镇开发边界线</w:t>
      </w:r>
      <w:r>
        <w:rPr>
          <w:rFonts w:hint="eastAsia"/>
          <w:kern w:val="0"/>
          <w:sz w:val="28"/>
          <w:szCs w:val="28"/>
        </w:rPr>
        <w:t>“</w:t>
      </w:r>
      <w:r>
        <w:rPr>
          <w:kern w:val="0"/>
          <w:sz w:val="28"/>
          <w:szCs w:val="28"/>
        </w:rPr>
        <w:t>三条控制线</w:t>
      </w:r>
      <w:r>
        <w:rPr>
          <w:rFonts w:hint="eastAsia"/>
          <w:kern w:val="0"/>
          <w:sz w:val="28"/>
          <w:szCs w:val="28"/>
        </w:rPr>
        <w:t>”</w:t>
      </w:r>
      <w:r>
        <w:rPr>
          <w:kern w:val="0"/>
          <w:sz w:val="28"/>
          <w:szCs w:val="28"/>
        </w:rPr>
        <w:t>，实施</w:t>
      </w:r>
      <w:r>
        <w:rPr>
          <w:rFonts w:hint="eastAsia"/>
          <w:kern w:val="0"/>
          <w:sz w:val="28"/>
          <w:szCs w:val="28"/>
        </w:rPr>
        <w:t>“</w:t>
      </w:r>
      <w:r>
        <w:rPr>
          <w:kern w:val="0"/>
          <w:sz w:val="28"/>
          <w:szCs w:val="28"/>
        </w:rPr>
        <w:t>三线一单</w:t>
      </w:r>
      <w:r>
        <w:rPr>
          <w:rFonts w:hint="eastAsia"/>
          <w:kern w:val="0"/>
          <w:sz w:val="28"/>
          <w:szCs w:val="28"/>
        </w:rPr>
        <w:t>”</w:t>
      </w:r>
      <w:r>
        <w:rPr>
          <w:kern w:val="0"/>
          <w:sz w:val="28"/>
          <w:szCs w:val="28"/>
        </w:rPr>
        <w:t>生态环境分区管控。争取自然保护区边界适时适当调整，满足生态经济体系构建需要。重点做好任河与前河流域谷地河滩规划、开发和利用，扎实推进高山地区保护性开发。打破行政区划和城乡边界，按照全域思维进行</w:t>
      </w:r>
      <w:r>
        <w:rPr>
          <w:rFonts w:hint="eastAsia"/>
          <w:kern w:val="0"/>
          <w:sz w:val="28"/>
          <w:szCs w:val="28"/>
        </w:rPr>
        <w:t>“</w:t>
      </w:r>
      <w:r>
        <w:rPr>
          <w:kern w:val="0"/>
          <w:sz w:val="28"/>
          <w:szCs w:val="28"/>
        </w:rPr>
        <w:t>三生</w:t>
      </w:r>
      <w:r>
        <w:rPr>
          <w:rFonts w:hint="eastAsia"/>
          <w:kern w:val="0"/>
          <w:sz w:val="28"/>
          <w:szCs w:val="28"/>
        </w:rPr>
        <w:t>”</w:t>
      </w:r>
      <w:r>
        <w:rPr>
          <w:kern w:val="0"/>
          <w:sz w:val="28"/>
          <w:szCs w:val="28"/>
        </w:rPr>
        <w:t>空间规划布局和管理管制。</w:t>
      </w:r>
    </w:p>
    <w:p w14:paraId="07AD8521">
      <w:pPr>
        <w:pStyle w:val="5"/>
        <w:spacing w:line="480" w:lineRule="exact"/>
        <w:jc w:val="center"/>
        <w:rPr>
          <w:rFonts w:eastAsia="方正黑体_GBK"/>
          <w:b w:val="0"/>
          <w:bCs w:val="0"/>
        </w:rPr>
      </w:pPr>
      <w:bookmarkStart w:id="40" w:name="_Toc26164"/>
      <w:r>
        <w:rPr>
          <w:rFonts w:eastAsia="方正黑体_GBK"/>
          <w:b w:val="0"/>
          <w:bCs w:val="0"/>
        </w:rPr>
        <w:t>第二节  改善城乡空间结构</w:t>
      </w:r>
      <w:bookmarkEnd w:id="40"/>
    </w:p>
    <w:p w14:paraId="51B19B76">
      <w:pPr>
        <w:spacing w:line="480" w:lineRule="exact"/>
        <w:ind w:firstLine="560" w:firstLineChars="200"/>
        <w:rPr>
          <w:kern w:val="0"/>
          <w:sz w:val="28"/>
          <w:szCs w:val="28"/>
        </w:rPr>
      </w:pPr>
      <w:r>
        <w:rPr>
          <w:kern w:val="0"/>
          <w:sz w:val="28"/>
          <w:szCs w:val="28"/>
        </w:rPr>
        <w:t>立足大山区大农村小县城特点，以县域经济发展为统领，构建</w:t>
      </w:r>
      <w:r>
        <w:rPr>
          <w:rFonts w:hint="eastAsia"/>
          <w:sz w:val="28"/>
          <w:szCs w:val="28"/>
        </w:rPr>
        <w:t>“</w:t>
      </w:r>
      <w:r>
        <w:rPr>
          <w:sz w:val="28"/>
          <w:szCs w:val="28"/>
        </w:rPr>
        <w:t>县城、小城镇、新型农村社区</w:t>
      </w:r>
      <w:r>
        <w:rPr>
          <w:rFonts w:hint="eastAsia"/>
          <w:sz w:val="28"/>
          <w:szCs w:val="28"/>
        </w:rPr>
        <w:t>”</w:t>
      </w:r>
      <w:r>
        <w:rPr>
          <w:sz w:val="28"/>
          <w:szCs w:val="28"/>
        </w:rPr>
        <w:t>三级城乡体系</w:t>
      </w:r>
      <w:r>
        <w:rPr>
          <w:kern w:val="0"/>
          <w:sz w:val="28"/>
          <w:szCs w:val="28"/>
        </w:rPr>
        <w:t>。以乡村发展为重点，突出县城和小城镇服务乡村作用。合理控制县城建成区规模，实施城市提升工程，重点提高城市教育、医疗等公共服务水平，健全文化、艺术等综合体设施，优化城区人居环境，将县城打造成为布局科学、建设精致、功能齐全的大巴山特色生态城。结合渝西高铁城口站点设置，提前谋划布局城市新区建设。突出中心乡镇作用，做强做精修齐、坪坝、高观、明通、巴山、高燕、庙坝、东安等特色乡镇，打造北屏县城功能辅助区，东安旅游休闲精品区，</w:t>
      </w:r>
      <w:r>
        <w:rPr>
          <w:rFonts w:hint="eastAsia"/>
          <w:kern w:val="0"/>
          <w:sz w:val="28"/>
          <w:szCs w:val="28"/>
        </w:rPr>
        <w:t>“</w:t>
      </w:r>
      <w:r>
        <w:rPr>
          <w:kern w:val="0"/>
          <w:sz w:val="28"/>
          <w:szCs w:val="28"/>
        </w:rPr>
        <w:t>鸡鸣-咸宜</w:t>
      </w:r>
      <w:r>
        <w:rPr>
          <w:rFonts w:hint="eastAsia"/>
          <w:kern w:val="0"/>
          <w:sz w:val="28"/>
          <w:szCs w:val="28"/>
        </w:rPr>
        <w:t>”</w:t>
      </w:r>
      <w:r>
        <w:rPr>
          <w:kern w:val="0"/>
          <w:sz w:val="28"/>
          <w:szCs w:val="28"/>
        </w:rPr>
        <w:t>南部片区商贸物流集散中心。提高配套设施和公共服务质量，打造片区公共服务和商贸物流中心，提升辐射和服务周边水平。其他乡镇要坚持</w:t>
      </w:r>
      <w:r>
        <w:rPr>
          <w:rFonts w:hint="eastAsia"/>
          <w:kern w:val="0"/>
          <w:sz w:val="28"/>
          <w:szCs w:val="28"/>
        </w:rPr>
        <w:t>“</w:t>
      </w:r>
      <w:r>
        <w:rPr>
          <w:kern w:val="0"/>
          <w:sz w:val="28"/>
          <w:szCs w:val="28"/>
        </w:rPr>
        <w:t>小而美</w:t>
      </w:r>
      <w:r>
        <w:rPr>
          <w:rFonts w:hint="eastAsia"/>
          <w:kern w:val="0"/>
          <w:sz w:val="28"/>
          <w:szCs w:val="28"/>
        </w:rPr>
        <w:t>”</w:t>
      </w:r>
      <w:r>
        <w:rPr>
          <w:kern w:val="0"/>
          <w:sz w:val="28"/>
          <w:szCs w:val="28"/>
        </w:rPr>
        <w:t>的空间格局，加强以集镇为中心的农民生活圈建设，重点建好卫生院、中心学校和集贸市场。按照</w:t>
      </w:r>
      <w:r>
        <w:rPr>
          <w:rFonts w:hint="eastAsia"/>
          <w:kern w:val="0"/>
          <w:sz w:val="28"/>
          <w:szCs w:val="28"/>
        </w:rPr>
        <w:t>“</w:t>
      </w:r>
      <w:r>
        <w:rPr>
          <w:kern w:val="0"/>
          <w:sz w:val="28"/>
          <w:szCs w:val="28"/>
        </w:rPr>
        <w:t>一乡镇一特色</w:t>
      </w:r>
      <w:r>
        <w:rPr>
          <w:rFonts w:hint="eastAsia"/>
          <w:kern w:val="0"/>
          <w:sz w:val="28"/>
          <w:szCs w:val="28"/>
        </w:rPr>
        <w:t>”</w:t>
      </w:r>
      <w:r>
        <w:rPr>
          <w:kern w:val="0"/>
          <w:sz w:val="28"/>
          <w:szCs w:val="28"/>
        </w:rPr>
        <w:t>要求谋划各自特色概念主题，推动形成类型多样、充满活力、富有魅力的特色小镇发展新格局，做好咸宜镇市级乡村振兴重点帮扶工作和岚天乡市级乡村振兴示范乡镇工作，推动鸡鸣乡、沿河乡开展脱贫攻坚与乡村振兴有效衔接探索，支持岚天乡、河鱼乡开展乡村振兴试点示范，建设河鱼山地鸡特色小镇、厚坪老腊肉特色小镇、巴山冷水鱼特色小镇、</w:t>
      </w:r>
      <w:r>
        <w:rPr>
          <w:rFonts w:hint="eastAsia"/>
          <w:kern w:val="0"/>
          <w:sz w:val="28"/>
          <w:szCs w:val="28"/>
        </w:rPr>
        <w:t>“</w:t>
      </w:r>
      <w:r>
        <w:rPr>
          <w:kern w:val="0"/>
          <w:sz w:val="28"/>
          <w:szCs w:val="28"/>
        </w:rPr>
        <w:t>鸡鸣-咸宜</w:t>
      </w:r>
      <w:r>
        <w:rPr>
          <w:rFonts w:hint="eastAsia"/>
          <w:kern w:val="0"/>
          <w:sz w:val="28"/>
          <w:szCs w:val="28"/>
        </w:rPr>
        <w:t>”</w:t>
      </w:r>
      <w:r>
        <w:rPr>
          <w:kern w:val="0"/>
          <w:sz w:val="28"/>
          <w:szCs w:val="28"/>
        </w:rPr>
        <w:t>禅茶特色小镇、高观核桃特色小镇和明中、厚坪</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核心小镇。科学布局农村集中居民点，</w:t>
      </w:r>
      <w:r>
        <w:rPr>
          <w:rFonts w:hint="eastAsia"/>
          <w:kern w:val="0"/>
          <w:sz w:val="28"/>
          <w:szCs w:val="28"/>
        </w:rPr>
        <w:t>合理</w:t>
      </w:r>
      <w:r>
        <w:rPr>
          <w:kern w:val="0"/>
          <w:sz w:val="28"/>
          <w:szCs w:val="28"/>
        </w:rPr>
        <w:t>推动村庄撤并整合。重视传统建筑和废弃古建筑的改造利用。发挥乡村多功能性，把乡村作为优质农产品供给、传统文化传承和农民美好生活的空间载体。</w:t>
      </w:r>
      <w:bookmarkStart w:id="41" w:name="_Toc512339833"/>
      <w:bookmarkStart w:id="42" w:name="_Toc519079692"/>
      <w:bookmarkStart w:id="43" w:name="_Toc521865008"/>
      <w:bookmarkStart w:id="44" w:name="_Toc522042953"/>
      <w:bookmarkStart w:id="45" w:name="_Toc521352220"/>
      <w:bookmarkStart w:id="46" w:name="_Toc521853492"/>
    </w:p>
    <w:p w14:paraId="1B0B9C0D">
      <w:pPr>
        <w:pStyle w:val="5"/>
        <w:spacing w:line="480" w:lineRule="exact"/>
        <w:jc w:val="center"/>
        <w:rPr>
          <w:rFonts w:eastAsia="方正黑体_GBK"/>
          <w:b w:val="0"/>
          <w:bCs w:val="0"/>
        </w:rPr>
      </w:pPr>
      <w:bookmarkStart w:id="47" w:name="_Toc8803"/>
      <w:r>
        <w:rPr>
          <w:rFonts w:eastAsia="方正黑体_GBK"/>
          <w:b w:val="0"/>
          <w:bCs w:val="0"/>
        </w:rPr>
        <w:t>第三节</w:t>
      </w:r>
      <w:bookmarkEnd w:id="41"/>
      <w:r>
        <w:rPr>
          <w:rFonts w:eastAsia="方正黑体_GBK"/>
          <w:b w:val="0"/>
          <w:bCs w:val="0"/>
        </w:rPr>
        <w:t xml:space="preserve">  推进乡村规划</w:t>
      </w:r>
      <w:bookmarkEnd w:id="42"/>
      <w:r>
        <w:rPr>
          <w:rFonts w:eastAsia="方正黑体_GBK"/>
          <w:b w:val="0"/>
          <w:bCs w:val="0"/>
        </w:rPr>
        <w:t>全覆盖</w:t>
      </w:r>
      <w:bookmarkEnd w:id="43"/>
      <w:bookmarkEnd w:id="44"/>
      <w:bookmarkEnd w:id="45"/>
      <w:bookmarkEnd w:id="46"/>
      <w:bookmarkEnd w:id="47"/>
    </w:p>
    <w:p w14:paraId="25E93F91">
      <w:pPr>
        <w:spacing w:line="480" w:lineRule="exact"/>
        <w:ind w:firstLine="560" w:firstLineChars="200"/>
        <w:rPr>
          <w:kern w:val="0"/>
          <w:sz w:val="28"/>
          <w:szCs w:val="28"/>
        </w:rPr>
      </w:pPr>
      <w:r>
        <w:rPr>
          <w:kern w:val="0"/>
          <w:sz w:val="28"/>
          <w:szCs w:val="28"/>
        </w:rPr>
        <w:t>坚持一体设计、多规合一、功能互补，以国民经济和社会发展规划、各级城乡规划和土地利用总体规划为依据，通盘考虑城市和乡村发展需要，遵循保护生态、有利生产、合理布局、改善生活、因地制宜、尊重传统、村民参与的原则，开展乡镇规划修编和村规划编制。强化</w:t>
      </w:r>
      <w:r>
        <w:rPr>
          <w:rFonts w:hint="eastAsia"/>
          <w:kern w:val="0"/>
          <w:sz w:val="28"/>
          <w:szCs w:val="28"/>
        </w:rPr>
        <w:t>“</w:t>
      </w:r>
      <w:r>
        <w:rPr>
          <w:kern w:val="0"/>
          <w:sz w:val="28"/>
          <w:szCs w:val="28"/>
        </w:rPr>
        <w:t>统筹规划</w:t>
      </w:r>
      <w:r>
        <w:rPr>
          <w:rFonts w:hint="eastAsia"/>
          <w:kern w:val="0"/>
          <w:sz w:val="28"/>
          <w:szCs w:val="28"/>
        </w:rPr>
        <w:t>”</w:t>
      </w:r>
      <w:r>
        <w:rPr>
          <w:kern w:val="0"/>
          <w:sz w:val="28"/>
          <w:szCs w:val="28"/>
        </w:rPr>
        <w:t>和</w:t>
      </w:r>
      <w:r>
        <w:rPr>
          <w:rFonts w:hint="eastAsia"/>
          <w:kern w:val="0"/>
          <w:sz w:val="28"/>
          <w:szCs w:val="28"/>
        </w:rPr>
        <w:t>“</w:t>
      </w:r>
      <w:r>
        <w:rPr>
          <w:kern w:val="0"/>
          <w:sz w:val="28"/>
          <w:szCs w:val="28"/>
        </w:rPr>
        <w:t>规划统筹</w:t>
      </w:r>
      <w:r>
        <w:rPr>
          <w:rFonts w:hint="eastAsia"/>
          <w:kern w:val="0"/>
          <w:sz w:val="28"/>
          <w:szCs w:val="28"/>
        </w:rPr>
        <w:t>”</w:t>
      </w:r>
      <w:r>
        <w:rPr>
          <w:kern w:val="0"/>
          <w:sz w:val="28"/>
          <w:szCs w:val="28"/>
        </w:rPr>
        <w:t>，一体谋划产业发展、基础设施、公共服务、资源能源、生态环境保护等工作，加强各类空间规划有机融合，构建统一协调的空间规划体系。综合考虑乡村发展实际和演变趋势，充分结合高标准农田、标准化现代山地特色高效农业产业基地、乡村旅游、农村一二三产业融合等建设和发展需求，合理确定乡村空间布局和规模，引导乡村科学开发和有序建设。</w:t>
      </w:r>
    </w:p>
    <w:p w14:paraId="539D7C82">
      <w:pPr>
        <w:adjustRightInd w:val="0"/>
        <w:snapToGrid w:val="0"/>
        <w:spacing w:line="480" w:lineRule="exact"/>
        <w:ind w:firstLine="1440" w:firstLineChars="400"/>
        <w:outlineLvl w:val="1"/>
        <w:rPr>
          <w:rFonts w:eastAsia="方正黑体_GBK"/>
          <w:sz w:val="36"/>
          <w:szCs w:val="36"/>
        </w:rPr>
      </w:pPr>
    </w:p>
    <w:p w14:paraId="58AAC12E">
      <w:pPr>
        <w:adjustRightInd w:val="0"/>
        <w:snapToGrid w:val="0"/>
        <w:spacing w:line="480" w:lineRule="exact"/>
        <w:jc w:val="center"/>
        <w:outlineLvl w:val="1"/>
        <w:rPr>
          <w:rFonts w:eastAsia="黑体"/>
          <w:sz w:val="36"/>
          <w:szCs w:val="36"/>
        </w:rPr>
      </w:pPr>
      <w:bookmarkStart w:id="48" w:name="_Toc18451"/>
      <w:r>
        <w:rPr>
          <w:rFonts w:eastAsia="方正黑体_GBK"/>
          <w:sz w:val="36"/>
          <w:szCs w:val="36"/>
        </w:rPr>
        <w:t>第九章 优化乡村发展布局</w:t>
      </w:r>
      <w:bookmarkEnd w:id="48"/>
    </w:p>
    <w:p w14:paraId="63EAD367">
      <w:pPr>
        <w:spacing w:line="480" w:lineRule="exact"/>
        <w:ind w:firstLine="560" w:firstLineChars="200"/>
        <w:rPr>
          <w:rFonts w:eastAsia="宋体"/>
          <w:kern w:val="0"/>
          <w:sz w:val="28"/>
          <w:szCs w:val="28"/>
        </w:rPr>
      </w:pPr>
    </w:p>
    <w:p w14:paraId="07C3FB15">
      <w:pPr>
        <w:spacing w:line="480" w:lineRule="exact"/>
        <w:ind w:firstLine="560" w:firstLineChars="200"/>
        <w:rPr>
          <w:kern w:val="0"/>
          <w:sz w:val="28"/>
          <w:szCs w:val="28"/>
        </w:rPr>
      </w:pPr>
      <w:r>
        <w:rPr>
          <w:kern w:val="0"/>
          <w:sz w:val="28"/>
          <w:szCs w:val="28"/>
        </w:rPr>
        <w:t>坚持人口与资源环境承载能力相均衡、经济社会发展与生态环境保护相统一原则，持续推进</w:t>
      </w:r>
      <w:r>
        <w:rPr>
          <w:rFonts w:hint="eastAsia"/>
          <w:kern w:val="0"/>
          <w:sz w:val="28"/>
          <w:szCs w:val="28"/>
        </w:rPr>
        <w:t>“</w:t>
      </w:r>
      <w:r>
        <w:rPr>
          <w:kern w:val="0"/>
          <w:sz w:val="28"/>
          <w:szCs w:val="28"/>
        </w:rPr>
        <w:t>人口下山、产业上山</w:t>
      </w:r>
      <w:r>
        <w:rPr>
          <w:rFonts w:hint="eastAsia"/>
          <w:kern w:val="0"/>
          <w:sz w:val="28"/>
          <w:szCs w:val="28"/>
        </w:rPr>
        <w:t>”</w:t>
      </w:r>
      <w:r>
        <w:rPr>
          <w:kern w:val="0"/>
          <w:sz w:val="28"/>
          <w:szCs w:val="28"/>
        </w:rPr>
        <w:t>空间布局优化模式，按照生产空间集约高效、生活空间宜居适度、生态空间山清水秀的总体要求，营造平等共享的乡村生产生活生态空间。</w:t>
      </w:r>
    </w:p>
    <w:p w14:paraId="25B0A9CD">
      <w:pPr>
        <w:pStyle w:val="5"/>
        <w:spacing w:line="480" w:lineRule="exact"/>
        <w:jc w:val="center"/>
        <w:rPr>
          <w:rFonts w:eastAsia="方正黑体_GBK"/>
          <w:b w:val="0"/>
          <w:bCs w:val="0"/>
        </w:rPr>
      </w:pPr>
      <w:bookmarkStart w:id="49" w:name="_Toc13757"/>
      <w:r>
        <w:rPr>
          <w:rFonts w:eastAsia="方正黑体_GBK"/>
          <w:b w:val="0"/>
          <w:bCs w:val="0"/>
        </w:rPr>
        <w:t>第一节  统筹利用生产空间</w:t>
      </w:r>
      <w:bookmarkEnd w:id="49"/>
    </w:p>
    <w:p w14:paraId="2BC4F394">
      <w:pPr>
        <w:spacing w:line="480" w:lineRule="exact"/>
        <w:ind w:firstLine="560" w:firstLineChars="200"/>
        <w:rPr>
          <w:kern w:val="0"/>
          <w:sz w:val="28"/>
          <w:szCs w:val="28"/>
        </w:rPr>
      </w:pPr>
      <w:r>
        <w:rPr>
          <w:kern w:val="0"/>
          <w:sz w:val="28"/>
          <w:szCs w:val="28"/>
        </w:rPr>
        <w:t>充分尊重本地自然条件和生产传统，立足特色资源优势、生态环境承载能力、人口与市场特点，合理划定乡村经济发展片区和农业功能分区。严守耕地红线，坚决遏制耕地</w:t>
      </w:r>
      <w:r>
        <w:rPr>
          <w:rFonts w:hint="eastAsia"/>
          <w:kern w:val="0"/>
          <w:sz w:val="28"/>
          <w:szCs w:val="28"/>
        </w:rPr>
        <w:t>“</w:t>
      </w:r>
      <w:r>
        <w:rPr>
          <w:kern w:val="0"/>
          <w:sz w:val="28"/>
          <w:szCs w:val="28"/>
        </w:rPr>
        <w:t>非农化</w:t>
      </w:r>
      <w:r>
        <w:rPr>
          <w:rFonts w:hint="eastAsia"/>
          <w:kern w:val="0"/>
          <w:sz w:val="28"/>
          <w:szCs w:val="28"/>
        </w:rPr>
        <w:t>”</w:t>
      </w:r>
      <w:r>
        <w:rPr>
          <w:kern w:val="0"/>
          <w:sz w:val="28"/>
          <w:szCs w:val="28"/>
        </w:rPr>
        <w:t>，防止</w:t>
      </w:r>
      <w:r>
        <w:rPr>
          <w:rFonts w:hint="eastAsia"/>
          <w:kern w:val="0"/>
          <w:sz w:val="28"/>
          <w:szCs w:val="28"/>
        </w:rPr>
        <w:t>“</w:t>
      </w:r>
      <w:r>
        <w:rPr>
          <w:kern w:val="0"/>
          <w:sz w:val="28"/>
          <w:szCs w:val="28"/>
        </w:rPr>
        <w:t>非粮化</w:t>
      </w:r>
      <w:r>
        <w:rPr>
          <w:rFonts w:hint="eastAsia"/>
          <w:kern w:val="0"/>
          <w:sz w:val="28"/>
          <w:szCs w:val="28"/>
        </w:rPr>
        <w:t>”</w:t>
      </w:r>
      <w:r>
        <w:rPr>
          <w:kern w:val="0"/>
          <w:sz w:val="28"/>
          <w:szCs w:val="28"/>
        </w:rPr>
        <w:t>，推进高标准农田建设和宜机化改造。科学划定、严格保护粮食生产功能区，结合各区域特色划定重要农产品保护区和特色农产品优势区。推进农村产业融合发展园区（基地）和创业园区（空间）建设。将乡村生产活动融入区域性产业链和生产网络之中，到2022年形成相对完善的产业链和生产体系。</w:t>
      </w:r>
      <w:bookmarkStart w:id="50" w:name="_Toc521865011"/>
      <w:bookmarkStart w:id="51" w:name="_Toc521853495"/>
      <w:bookmarkStart w:id="52" w:name="_Toc512339836"/>
      <w:bookmarkStart w:id="53" w:name="_Toc521352223"/>
      <w:bookmarkStart w:id="54" w:name="_Toc522042956"/>
      <w:bookmarkStart w:id="55" w:name="_Toc519079695"/>
      <w:r>
        <w:rPr>
          <w:kern w:val="0"/>
          <w:sz w:val="28"/>
          <w:szCs w:val="28"/>
        </w:rPr>
        <w:t>合理处理产业发展与生态保护关系，积极争取域内自然保护区边界和开发利用程度调整，到2025年构建起可持续性开发利用格局。</w:t>
      </w:r>
    </w:p>
    <w:p w14:paraId="403226F7">
      <w:pPr>
        <w:pStyle w:val="5"/>
        <w:spacing w:line="480" w:lineRule="exact"/>
        <w:jc w:val="center"/>
        <w:rPr>
          <w:rFonts w:eastAsia="方正黑体_GBK"/>
          <w:b w:val="0"/>
          <w:bCs w:val="0"/>
        </w:rPr>
      </w:pPr>
      <w:bookmarkStart w:id="56" w:name="_Toc18497"/>
      <w:r>
        <w:rPr>
          <w:rFonts w:eastAsia="方正黑体_GBK"/>
          <w:b w:val="0"/>
          <w:bCs w:val="0"/>
        </w:rPr>
        <w:t>第二节  合理布局生活空间</w:t>
      </w:r>
      <w:bookmarkEnd w:id="50"/>
      <w:bookmarkEnd w:id="51"/>
      <w:bookmarkEnd w:id="52"/>
      <w:bookmarkEnd w:id="53"/>
      <w:bookmarkEnd w:id="54"/>
      <w:bookmarkEnd w:id="55"/>
      <w:bookmarkEnd w:id="56"/>
    </w:p>
    <w:p w14:paraId="2F721C79">
      <w:pPr>
        <w:spacing w:line="480" w:lineRule="exact"/>
        <w:ind w:firstLine="560" w:firstLineChars="200"/>
        <w:rPr>
          <w:kern w:val="0"/>
          <w:sz w:val="28"/>
          <w:szCs w:val="28"/>
        </w:rPr>
      </w:pPr>
      <w:r>
        <w:rPr>
          <w:kern w:val="0"/>
          <w:sz w:val="28"/>
          <w:szCs w:val="28"/>
        </w:rPr>
        <w:t>尊重乡村自然环境和农民生产生活习惯的传统依存关系，坚持</w:t>
      </w:r>
      <w:r>
        <w:rPr>
          <w:rFonts w:hint="eastAsia"/>
          <w:kern w:val="0"/>
          <w:sz w:val="28"/>
          <w:szCs w:val="28"/>
        </w:rPr>
        <w:t>“</w:t>
      </w:r>
      <w:r>
        <w:rPr>
          <w:kern w:val="0"/>
          <w:sz w:val="28"/>
          <w:szCs w:val="28"/>
        </w:rPr>
        <w:t>小规模、组团式、微田园、生态化</w:t>
      </w:r>
      <w:r>
        <w:rPr>
          <w:rFonts w:hint="eastAsia"/>
          <w:kern w:val="0"/>
          <w:sz w:val="28"/>
          <w:szCs w:val="28"/>
        </w:rPr>
        <w:t>”</w:t>
      </w:r>
      <w:r>
        <w:rPr>
          <w:kern w:val="0"/>
          <w:sz w:val="28"/>
          <w:szCs w:val="28"/>
        </w:rPr>
        <w:t>理念，积极应用推广引导性搬迁模式，以提升生产服务功能和生活品质为重点，优化居民点规模和集聚形态，合理确定乡村生活设施用地位置、规模和建设标准，着力完善供水、供电、通信、污水垃圾处理、公共服务等配套设施，适当增加旅游、休闲等服务设施，建立健全长效管护机制，努力满足乡村发展需要。到2025年建成生态宜居美丽乡村50个。保护和传承传统村落建筑风貌，注重融入时代元素，适应现代生活需要，创新古村古建保护机制，推进产权制度和开发经营利用模式创新，选取2-3个乡镇开展传统民居村集体收储和农村住房共享产权制度试点。强化空间发展的人性化、多样化，创新住宅功能，构建便捷的生活圈、完善的服务圈、繁荣的商业圈，让乡村居民过上更舒适的生活。</w:t>
      </w:r>
      <w:bookmarkStart w:id="57" w:name="_Toc521853496"/>
      <w:bookmarkStart w:id="58" w:name="_Toc519079696"/>
      <w:bookmarkStart w:id="59" w:name="_Toc521865012"/>
      <w:bookmarkStart w:id="60" w:name="_Toc521352224"/>
      <w:bookmarkStart w:id="61" w:name="_Toc522042957"/>
      <w:bookmarkStart w:id="62" w:name="_Toc512339837"/>
    </w:p>
    <w:p w14:paraId="32585AA1">
      <w:pPr>
        <w:pStyle w:val="5"/>
        <w:spacing w:line="480" w:lineRule="exact"/>
        <w:jc w:val="center"/>
        <w:rPr>
          <w:rFonts w:eastAsia="方正黑体_GBK"/>
          <w:b w:val="0"/>
          <w:bCs w:val="0"/>
        </w:rPr>
      </w:pPr>
      <w:bookmarkStart w:id="63" w:name="_Toc22303"/>
      <w:r>
        <w:rPr>
          <w:rFonts w:eastAsia="方正黑体_GBK"/>
          <w:b w:val="0"/>
          <w:bCs w:val="0"/>
        </w:rPr>
        <w:t>第三节  打造绿色生态空间</w:t>
      </w:r>
      <w:bookmarkEnd w:id="57"/>
      <w:bookmarkEnd w:id="58"/>
      <w:bookmarkEnd w:id="59"/>
      <w:bookmarkEnd w:id="60"/>
      <w:bookmarkEnd w:id="61"/>
      <w:bookmarkEnd w:id="62"/>
      <w:bookmarkEnd w:id="63"/>
    </w:p>
    <w:p w14:paraId="5AB9A4A5">
      <w:pPr>
        <w:spacing w:line="480" w:lineRule="exact"/>
        <w:ind w:firstLine="570"/>
        <w:rPr>
          <w:kern w:val="0"/>
          <w:sz w:val="28"/>
          <w:szCs w:val="28"/>
        </w:rPr>
      </w:pPr>
      <w:r>
        <w:rPr>
          <w:kern w:val="0"/>
          <w:sz w:val="28"/>
          <w:szCs w:val="28"/>
        </w:rPr>
        <w:t>坚持生态优先、绿色发展，严守生态保护红线，大力实施污染防治攻坚工程和国土绿化提升工程，推动城口加快建设长江上游重要生态屏障和大巴山区生态文明高地。树立山水林田湖草是一个生命共同体的理念，健全耕地草原森林河流湖泊休养生息制度，扎实推进全域禁渔行动。加强对自然生态空间的整体保护，树立全域思维，根据自然边界开展跨行政区划保护和管理，修复和改善乡村生态环境，提升生态功能和服务价值。开展生态资源清查，编制生态资源目录和资产负债表，实施生态环境审计，到2022年初步建立生态资源清单和审计制度，到2025年将生态资源要素和GEP（生态系统生产总值）纳入各级政府、部门和行政村绩效考核指标体系。分类实施产业准入负面清单制度，明确产业发展方向和开发强度，强化准入管理和底线约束。彰显大巴山生态特色，结合平坝、峡谷、山地等地貌环境，打造具有不同地域特色的自然乡村风貌。</w:t>
      </w:r>
    </w:p>
    <w:p w14:paraId="060787C8">
      <w:r>
        <w:br w:type="page"/>
      </w:r>
    </w:p>
    <w:p w14:paraId="07096D76">
      <w:pPr>
        <w:adjustRightInd w:val="0"/>
        <w:snapToGrid w:val="0"/>
        <w:spacing w:line="480" w:lineRule="exact"/>
        <w:jc w:val="center"/>
        <w:outlineLvl w:val="0"/>
        <w:rPr>
          <w:rFonts w:eastAsia="方正黑体_GBK"/>
          <w:sz w:val="44"/>
          <w:szCs w:val="44"/>
        </w:rPr>
      </w:pPr>
      <w:bookmarkStart w:id="64" w:name="_Toc3188"/>
      <w:r>
        <w:rPr>
          <w:rFonts w:eastAsia="方正黑体_GBK"/>
          <w:sz w:val="44"/>
          <w:szCs w:val="44"/>
        </w:rPr>
        <w:t>第四篇  构建高效山地生态经济体系</w:t>
      </w:r>
      <w:bookmarkEnd w:id="64"/>
    </w:p>
    <w:p w14:paraId="37E2214D">
      <w:pPr>
        <w:spacing w:line="480" w:lineRule="exact"/>
      </w:pPr>
    </w:p>
    <w:p w14:paraId="5DFA5487">
      <w:pPr>
        <w:spacing w:line="480" w:lineRule="exact"/>
        <w:ind w:firstLine="560" w:firstLineChars="200"/>
        <w:rPr>
          <w:kern w:val="0"/>
          <w:sz w:val="28"/>
          <w:szCs w:val="28"/>
        </w:rPr>
      </w:pPr>
      <w:r>
        <w:rPr>
          <w:kern w:val="0"/>
          <w:sz w:val="28"/>
          <w:szCs w:val="28"/>
        </w:rPr>
        <w:t>产业振兴是乡村振兴的物质基础，在改革创新的基础上，紧紧围绕城口资源禀赋和区位条件，深化农业供给侧结构性改革，促进农文旅融合发展，按照产业生态化和生态产业化基本要求构建特色山地生态经济体系。到2025年制度框架与产业体系初步形成，2035年基本实现乡村百业繁荣。</w:t>
      </w:r>
    </w:p>
    <w:p w14:paraId="758A3298">
      <w:pPr>
        <w:spacing w:line="480" w:lineRule="exact"/>
        <w:ind w:firstLine="560" w:firstLineChars="200"/>
        <w:rPr>
          <w:rFonts w:eastAsia="宋体"/>
          <w:kern w:val="0"/>
          <w:sz w:val="28"/>
          <w:szCs w:val="28"/>
        </w:rPr>
      </w:pPr>
    </w:p>
    <w:p w14:paraId="4A14140B">
      <w:pPr>
        <w:pStyle w:val="4"/>
        <w:spacing w:line="480" w:lineRule="exact"/>
        <w:ind w:firstLine="0"/>
        <w:rPr>
          <w:bCs w:val="0"/>
          <w:sz w:val="36"/>
          <w:szCs w:val="36"/>
        </w:rPr>
      </w:pPr>
      <w:bookmarkStart w:id="65" w:name="_Toc26397"/>
      <w:r>
        <w:rPr>
          <w:bCs w:val="0"/>
          <w:sz w:val="36"/>
          <w:szCs w:val="36"/>
        </w:rPr>
        <w:t>第十章  发展山地特色高效农业</w:t>
      </w:r>
      <w:bookmarkEnd w:id="65"/>
    </w:p>
    <w:p w14:paraId="21BF16D0">
      <w:pPr>
        <w:spacing w:line="480" w:lineRule="exact"/>
        <w:rPr>
          <w:rFonts w:eastAsia="宋体"/>
          <w:kern w:val="0"/>
          <w:sz w:val="28"/>
          <w:szCs w:val="28"/>
        </w:rPr>
      </w:pPr>
    </w:p>
    <w:p w14:paraId="1C1A4BE4">
      <w:pPr>
        <w:spacing w:line="480" w:lineRule="exact"/>
        <w:ind w:firstLine="560" w:firstLineChars="200"/>
        <w:rPr>
          <w:kern w:val="0"/>
          <w:sz w:val="28"/>
          <w:szCs w:val="28"/>
        </w:rPr>
      </w:pPr>
      <w:r>
        <w:rPr>
          <w:kern w:val="0"/>
          <w:sz w:val="28"/>
          <w:szCs w:val="28"/>
        </w:rPr>
        <w:t>因地制宜优化农业生产力布局，加快农业供给侧结构性改革，按照产业生态化要求，因地制宜发展</w:t>
      </w:r>
      <w:r>
        <w:rPr>
          <w:rFonts w:hint="eastAsia"/>
          <w:kern w:val="0"/>
          <w:sz w:val="28"/>
          <w:szCs w:val="28"/>
        </w:rPr>
        <w:t>“</w:t>
      </w:r>
      <w:r>
        <w:rPr>
          <w:kern w:val="0"/>
          <w:sz w:val="28"/>
          <w:szCs w:val="28"/>
        </w:rPr>
        <w:t>山上中药材、林下山地鸡，坡上核桃树、百花中蜂蜜，香菌巴掌田、杂粮鸡窝地，火炕老腊肉、冷水生态鱼</w:t>
      </w:r>
      <w:r>
        <w:rPr>
          <w:rFonts w:hint="eastAsia"/>
          <w:kern w:val="0"/>
          <w:sz w:val="28"/>
          <w:szCs w:val="28"/>
        </w:rPr>
        <w:t>”</w:t>
      </w:r>
      <w:r>
        <w:rPr>
          <w:kern w:val="0"/>
          <w:sz w:val="28"/>
          <w:szCs w:val="28"/>
        </w:rPr>
        <w:t>山地特色高效农业，巩固提升干果、茶叶、中蜂等区域特色产业，做大做强</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等农产品公用品牌</w:t>
      </w:r>
      <w:r>
        <w:rPr>
          <w:rFonts w:hint="eastAsia"/>
          <w:kern w:val="0"/>
          <w:sz w:val="28"/>
          <w:szCs w:val="28"/>
        </w:rPr>
        <w:t>。</w:t>
      </w:r>
    </w:p>
    <w:p w14:paraId="5C5FF364">
      <w:pPr>
        <w:spacing w:line="480" w:lineRule="exact"/>
        <w:rPr>
          <w:kern w:val="0"/>
          <w:sz w:val="28"/>
          <w:szCs w:val="28"/>
        </w:rPr>
      </w:pPr>
    </w:p>
    <w:p w14:paraId="05F87AC8">
      <w:pPr>
        <w:pStyle w:val="5"/>
        <w:spacing w:line="480" w:lineRule="exact"/>
        <w:jc w:val="center"/>
        <w:rPr>
          <w:rFonts w:eastAsia="方正黑体_GBK"/>
          <w:b w:val="0"/>
          <w:bCs w:val="0"/>
        </w:rPr>
      </w:pPr>
      <w:bookmarkStart w:id="66" w:name="_Toc17881"/>
      <w:r>
        <w:rPr>
          <w:rFonts w:eastAsia="方正黑体_GBK"/>
          <w:b w:val="0"/>
          <w:bCs w:val="0"/>
        </w:rPr>
        <w:t>第一节  完善农业生产布局</w:t>
      </w:r>
      <w:bookmarkEnd w:id="66"/>
    </w:p>
    <w:p w14:paraId="0125B657">
      <w:pPr>
        <w:spacing w:line="480" w:lineRule="exact"/>
        <w:ind w:firstLine="570"/>
      </w:pPr>
      <w:r>
        <w:rPr>
          <w:kern w:val="0"/>
          <w:sz w:val="28"/>
          <w:szCs w:val="28"/>
        </w:rPr>
        <w:t>根据气候地理环境和历史传统完善农业生产布局，加强基本农田保护，稳定粮食生产能力，完善粮食储备体系建设，依托北屏、坪坝、高观等乡镇优势自然条件发展特色粮食、蔬菜种植业，按照</w:t>
      </w:r>
      <w:r>
        <w:rPr>
          <w:rFonts w:hint="eastAsia"/>
          <w:kern w:val="0"/>
          <w:sz w:val="28"/>
          <w:szCs w:val="28"/>
        </w:rPr>
        <w:t>“</w:t>
      </w:r>
      <w:r>
        <w:rPr>
          <w:kern w:val="0"/>
          <w:sz w:val="28"/>
          <w:szCs w:val="28"/>
        </w:rPr>
        <w:t>小规模、多品种、高品质、好价钱</w:t>
      </w:r>
      <w:r>
        <w:rPr>
          <w:rFonts w:hint="eastAsia"/>
          <w:kern w:val="0"/>
          <w:sz w:val="28"/>
          <w:szCs w:val="28"/>
        </w:rPr>
        <w:t>”</w:t>
      </w:r>
      <w:r>
        <w:rPr>
          <w:kern w:val="0"/>
          <w:sz w:val="28"/>
          <w:szCs w:val="28"/>
        </w:rPr>
        <w:t>发展思路，打造城口</w:t>
      </w:r>
      <w:r>
        <w:rPr>
          <w:rFonts w:hint="eastAsia"/>
          <w:kern w:val="0"/>
          <w:sz w:val="28"/>
          <w:szCs w:val="28"/>
        </w:rPr>
        <w:t>“</w:t>
      </w:r>
      <w:r>
        <w:rPr>
          <w:kern w:val="0"/>
          <w:sz w:val="28"/>
          <w:szCs w:val="28"/>
        </w:rPr>
        <w:t>菜篮子</w:t>
      </w:r>
      <w:r>
        <w:rPr>
          <w:rFonts w:hint="eastAsia"/>
          <w:kern w:val="0"/>
          <w:sz w:val="28"/>
          <w:szCs w:val="28"/>
        </w:rPr>
        <w:t>”</w:t>
      </w:r>
      <w:r>
        <w:rPr>
          <w:kern w:val="0"/>
          <w:sz w:val="28"/>
          <w:szCs w:val="28"/>
        </w:rPr>
        <w:t>。</w:t>
      </w:r>
    </w:p>
    <w:p w14:paraId="07143CD2">
      <w:pPr>
        <w:spacing w:line="480" w:lineRule="exact"/>
        <w:ind w:firstLine="570"/>
        <w:rPr>
          <w:kern w:val="0"/>
          <w:sz w:val="28"/>
          <w:szCs w:val="28"/>
        </w:rPr>
      </w:pPr>
      <w:r>
        <w:rPr>
          <w:kern w:val="0"/>
          <w:sz w:val="28"/>
          <w:szCs w:val="28"/>
        </w:rPr>
        <w:t>做大做强以城口老腊肉、山地鸡和中蜂为代表的特色优势畜牧业。培育和壮大山羊、肉牛、肉兔和冷水鱼养殖等产业。提质扩面以中药材、食用菌和核桃为代表的种植业。全产业链发展壮大城口特色道地中药材产业，重点发展独活、天麻、太白贝母等优势药材品种，稳定中药材种植规模；加强中药材科技示范园区建设和制药企业引进培育，打造产业集群、建设大巴山</w:t>
      </w:r>
      <w:r>
        <w:rPr>
          <w:rStyle w:val="45"/>
          <w:sz w:val="28"/>
          <w:szCs w:val="28"/>
        </w:rPr>
        <w:t>中药材产业园；</w:t>
      </w:r>
      <w:r>
        <w:rPr>
          <w:kern w:val="0"/>
          <w:sz w:val="28"/>
          <w:szCs w:val="28"/>
        </w:rPr>
        <w:t>建好用好大巴山中药研究院，加强中药材良种品种选育、产业技术推广，创建</w:t>
      </w:r>
      <w:r>
        <w:rPr>
          <w:rFonts w:hint="eastAsia"/>
          <w:kern w:val="0"/>
          <w:sz w:val="28"/>
          <w:szCs w:val="28"/>
        </w:rPr>
        <w:t>“</w:t>
      </w:r>
      <w:r>
        <w:rPr>
          <w:kern w:val="0"/>
          <w:sz w:val="28"/>
          <w:szCs w:val="28"/>
        </w:rPr>
        <w:t>大巴山药谷</w:t>
      </w:r>
      <w:r>
        <w:rPr>
          <w:rFonts w:hint="eastAsia"/>
          <w:kern w:val="0"/>
          <w:sz w:val="28"/>
          <w:szCs w:val="28"/>
        </w:rPr>
        <w:t>”公用</w:t>
      </w:r>
      <w:r>
        <w:rPr>
          <w:kern w:val="0"/>
          <w:sz w:val="28"/>
          <w:szCs w:val="28"/>
        </w:rPr>
        <w:t>品牌，开展</w:t>
      </w:r>
      <w:r>
        <w:rPr>
          <w:rFonts w:hint="eastAsia"/>
          <w:kern w:val="0"/>
          <w:sz w:val="28"/>
          <w:szCs w:val="28"/>
        </w:rPr>
        <w:t>“</w:t>
      </w:r>
      <w:r>
        <w:rPr>
          <w:kern w:val="0"/>
          <w:sz w:val="28"/>
          <w:szCs w:val="28"/>
        </w:rPr>
        <w:t>城口独活</w:t>
      </w:r>
      <w:r>
        <w:rPr>
          <w:rFonts w:hint="eastAsia"/>
          <w:kern w:val="0"/>
          <w:sz w:val="28"/>
          <w:szCs w:val="28"/>
        </w:rPr>
        <w:t>”</w:t>
      </w:r>
      <w:r>
        <w:rPr>
          <w:kern w:val="0"/>
          <w:sz w:val="28"/>
          <w:szCs w:val="28"/>
        </w:rPr>
        <w:t>等优势道地药材品种地理标志证明商标认证和道地药材认证，到2025年建成渝川陕大巴山地区中药材集散地。大力发展城口特色干果产业，重点培育</w:t>
      </w:r>
      <w:r>
        <w:rPr>
          <w:rFonts w:hint="eastAsia"/>
          <w:kern w:val="0"/>
          <w:sz w:val="28"/>
          <w:szCs w:val="28"/>
        </w:rPr>
        <w:t>“</w:t>
      </w:r>
      <w:r>
        <w:rPr>
          <w:kern w:val="0"/>
          <w:sz w:val="28"/>
          <w:szCs w:val="28"/>
        </w:rPr>
        <w:t>城口乌皮香核桃</w:t>
      </w:r>
      <w:r>
        <w:rPr>
          <w:rFonts w:hint="eastAsia"/>
          <w:kern w:val="0"/>
          <w:sz w:val="28"/>
          <w:szCs w:val="28"/>
        </w:rPr>
        <w:t>”</w:t>
      </w:r>
      <w:r>
        <w:rPr>
          <w:kern w:val="0"/>
          <w:sz w:val="28"/>
          <w:szCs w:val="28"/>
        </w:rPr>
        <w:t>与</w:t>
      </w:r>
      <w:r>
        <w:rPr>
          <w:rFonts w:hint="eastAsia"/>
          <w:kern w:val="0"/>
          <w:sz w:val="28"/>
          <w:szCs w:val="28"/>
        </w:rPr>
        <w:t>“</w:t>
      </w:r>
      <w:r>
        <w:rPr>
          <w:kern w:val="0"/>
          <w:sz w:val="28"/>
          <w:szCs w:val="28"/>
        </w:rPr>
        <w:t>城口小香脆板栗</w:t>
      </w:r>
      <w:r>
        <w:rPr>
          <w:rFonts w:hint="eastAsia"/>
          <w:kern w:val="0"/>
          <w:sz w:val="28"/>
          <w:szCs w:val="28"/>
        </w:rPr>
        <w:t>”</w:t>
      </w:r>
      <w:r>
        <w:rPr>
          <w:kern w:val="0"/>
          <w:sz w:val="28"/>
          <w:szCs w:val="28"/>
        </w:rPr>
        <w:t>等地方优良品种，规模发展</w:t>
      </w:r>
      <w:r>
        <w:rPr>
          <w:rFonts w:hint="eastAsia"/>
          <w:kern w:val="0"/>
          <w:sz w:val="28"/>
          <w:szCs w:val="28"/>
        </w:rPr>
        <w:t>“</w:t>
      </w:r>
      <w:r>
        <w:rPr>
          <w:kern w:val="0"/>
          <w:sz w:val="28"/>
          <w:szCs w:val="28"/>
        </w:rPr>
        <w:t>渝城一号</w:t>
      </w:r>
      <w:r>
        <w:rPr>
          <w:rFonts w:hint="eastAsia"/>
          <w:kern w:val="0"/>
          <w:sz w:val="28"/>
          <w:szCs w:val="28"/>
        </w:rPr>
        <w:t>”</w:t>
      </w:r>
      <w:r>
        <w:rPr>
          <w:kern w:val="0"/>
          <w:sz w:val="28"/>
          <w:szCs w:val="28"/>
        </w:rPr>
        <w:t>优良品种，发展干果仓储和精深加工，延伸产业链和周边产品。</w:t>
      </w:r>
    </w:p>
    <w:p w14:paraId="37914E29">
      <w:pPr>
        <w:pStyle w:val="5"/>
        <w:spacing w:line="480" w:lineRule="exact"/>
        <w:jc w:val="center"/>
        <w:rPr>
          <w:rFonts w:eastAsia="方正黑体_GBK"/>
          <w:b w:val="0"/>
          <w:bCs w:val="0"/>
        </w:rPr>
      </w:pPr>
      <w:bookmarkStart w:id="67" w:name="_Toc365"/>
      <w:r>
        <w:rPr>
          <w:rFonts w:eastAsia="方正黑体_GBK"/>
          <w:b w:val="0"/>
          <w:bCs w:val="0"/>
        </w:rPr>
        <w:t>第二节  促进农业产业生态化转型</w:t>
      </w:r>
      <w:bookmarkEnd w:id="67"/>
    </w:p>
    <w:p w14:paraId="74B3FDB5">
      <w:pPr>
        <w:spacing w:line="480" w:lineRule="exact"/>
        <w:ind w:firstLine="570"/>
        <w:rPr>
          <w:kern w:val="0"/>
          <w:sz w:val="28"/>
          <w:szCs w:val="28"/>
        </w:rPr>
      </w:pPr>
      <w:r>
        <w:rPr>
          <w:kern w:val="0"/>
          <w:sz w:val="28"/>
          <w:szCs w:val="28"/>
        </w:rPr>
        <w:t>结合城口资源条件和环境优势，加大培育城口农产品生态价值，重点挖掘城口农产品富硒、有机、优质等内涵，完善城口优质农产品目录清单。依托海拔垂直分异，按照种养结合、高低搭配、生态有机的方式发展山地立体循环农业。推动农业生产方式全面转型，对高污染的种植和养殖项目进行整改或关停，加强全县生态种植和养殖技术培训推广，开展生态种植和养殖试点。实施全域十年禁渔。优化农产品品种，实施</w:t>
      </w:r>
      <w:r>
        <w:rPr>
          <w:rFonts w:hint="eastAsia"/>
          <w:kern w:val="0"/>
          <w:sz w:val="28"/>
          <w:szCs w:val="28"/>
        </w:rPr>
        <w:t>“</w:t>
      </w:r>
      <w:r>
        <w:rPr>
          <w:kern w:val="0"/>
          <w:sz w:val="28"/>
          <w:szCs w:val="28"/>
        </w:rPr>
        <w:t>巴山原种</w:t>
      </w:r>
      <w:r>
        <w:rPr>
          <w:rFonts w:hint="eastAsia"/>
          <w:kern w:val="0"/>
          <w:sz w:val="28"/>
          <w:szCs w:val="28"/>
        </w:rPr>
        <w:t>”</w:t>
      </w:r>
      <w:r>
        <w:rPr>
          <w:kern w:val="0"/>
          <w:sz w:val="28"/>
          <w:szCs w:val="28"/>
        </w:rPr>
        <w:t>工程，做好城口野生作物清查统计、保护留存，合理筛选优质野生作物开展驯化试验，建设一批本地特色动植物繁育基地，依托大巴山自然保护区建设大巴山区动植物基因库和标本馆，严格控制外来动植物品种引进。</w:t>
      </w: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63D9E08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3CA67166">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  农业转型升级工程</w:t>
            </w:r>
          </w:p>
        </w:tc>
      </w:tr>
      <w:tr w14:paraId="318DB60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7264C3AC">
            <w:pPr>
              <w:spacing w:line="480" w:lineRule="exact"/>
              <w:ind w:firstLine="560"/>
              <w:rPr>
                <w:spacing w:val="-4"/>
                <w:sz w:val="28"/>
                <w:szCs w:val="28"/>
              </w:rPr>
            </w:pPr>
            <w:r>
              <w:rPr>
                <w:rFonts w:eastAsia="方正楷体_GBK"/>
                <w:sz w:val="28"/>
                <w:szCs w:val="28"/>
              </w:rPr>
              <w:t>农业结构调整行动。</w:t>
            </w:r>
            <w:r>
              <w:rPr>
                <w:sz w:val="28"/>
                <w:szCs w:val="28"/>
              </w:rPr>
              <w:t>统筹调整种植业生产结构，调减普通籽粒玉米、小麦、薯类等低效粮食作物种植面积，重点发展特色高效农林经济作物，建设农林特色经济作物生产基地。</w:t>
            </w:r>
          </w:p>
          <w:p w14:paraId="105E2B56">
            <w:pPr>
              <w:spacing w:line="480" w:lineRule="exact"/>
              <w:ind w:firstLine="548" w:firstLineChars="196"/>
              <w:rPr>
                <w:rFonts w:eastAsia="方正楷体_GBK"/>
                <w:sz w:val="30"/>
                <w:szCs w:val="30"/>
              </w:rPr>
            </w:pPr>
            <w:r>
              <w:rPr>
                <w:rFonts w:eastAsia="方正楷体_GBK"/>
                <w:sz w:val="28"/>
                <w:szCs w:val="28"/>
              </w:rPr>
              <w:t>现代山地特色生态农业提升工程。</w:t>
            </w:r>
            <w:r>
              <w:rPr>
                <w:sz w:val="28"/>
                <w:szCs w:val="28"/>
              </w:rPr>
              <w:t>聚焦</w:t>
            </w:r>
            <w:r>
              <w:rPr>
                <w:rFonts w:hint="eastAsia"/>
                <w:sz w:val="28"/>
                <w:szCs w:val="28"/>
              </w:rPr>
              <w:t>“</w:t>
            </w:r>
            <w:r>
              <w:rPr>
                <w:sz w:val="28"/>
                <w:szCs w:val="28"/>
              </w:rPr>
              <w:t>两种两养</w:t>
            </w:r>
            <w:r>
              <w:rPr>
                <w:rFonts w:hint="eastAsia"/>
                <w:sz w:val="28"/>
                <w:szCs w:val="28"/>
              </w:rPr>
              <w:t>”</w:t>
            </w:r>
            <w:r>
              <w:rPr>
                <w:sz w:val="28"/>
                <w:szCs w:val="28"/>
              </w:rPr>
              <w:t>，大力发展城口山地鸡、城口老腊肉、食用菌、中草药产业，实施城口山地鸡资源保护及推广项目，实现适度规模养殖。加快生猪养殖业恢复发展。促进食用菌产业提质壮大，到2025年全县香菇种植规模稳定在5000万袋左右，其他菌类发展到700亩，食用菌总产量（鲜品）达到4万吨。</w:t>
            </w:r>
            <w:r>
              <w:rPr>
                <w:kern w:val="0"/>
                <w:sz w:val="28"/>
                <w:szCs w:val="28"/>
              </w:rPr>
              <w:t>中药材资源面积保持在36万亩以上。</w:t>
            </w:r>
            <w:r>
              <w:rPr>
                <w:sz w:val="28"/>
                <w:szCs w:val="28"/>
              </w:rPr>
              <w:t>培育和发展茶叶、中蜂、干果（板栗、核桃）等区域优势产业，创新发展大木漆、生态渔等特色产业。</w:t>
            </w:r>
          </w:p>
        </w:tc>
      </w:tr>
    </w:tbl>
    <w:p w14:paraId="47DD5DD5">
      <w:pPr>
        <w:pStyle w:val="5"/>
        <w:spacing w:line="480" w:lineRule="exact"/>
        <w:jc w:val="center"/>
        <w:rPr>
          <w:rFonts w:eastAsia="方正黑体_GBK"/>
          <w:b w:val="0"/>
          <w:bCs w:val="0"/>
        </w:rPr>
      </w:pPr>
      <w:bookmarkStart w:id="68" w:name="_Toc7051"/>
      <w:r>
        <w:rPr>
          <w:rFonts w:eastAsia="方正黑体_GBK"/>
          <w:b w:val="0"/>
          <w:bCs w:val="0"/>
        </w:rPr>
        <w:t>第三节  培育城口特色农产品品牌</w:t>
      </w:r>
      <w:bookmarkEnd w:id="68"/>
    </w:p>
    <w:p w14:paraId="03A1B4EB">
      <w:pPr>
        <w:spacing w:line="480" w:lineRule="exact"/>
        <w:ind w:firstLine="560" w:firstLineChars="200"/>
        <w:rPr>
          <w:rFonts w:eastAsia="宋体"/>
          <w:kern w:val="0"/>
          <w:sz w:val="28"/>
          <w:szCs w:val="28"/>
        </w:rPr>
      </w:pPr>
      <w:r>
        <w:rPr>
          <w:kern w:val="0"/>
          <w:sz w:val="28"/>
          <w:szCs w:val="28"/>
        </w:rPr>
        <w:t>打造全域生态农产品品牌。深入挖掘城口老腊肉、中蜂蜂蜜、城口山地鸡、本土核桃等农产品生态内涵，打造本地特色品牌，鼓励农户和企业进行农产品绿色到有机的阶梯认证。充分挖掘城口生态和健康要素，重点开发城口特色</w:t>
      </w:r>
      <w:r>
        <w:rPr>
          <w:rFonts w:hint="eastAsia"/>
          <w:kern w:val="0"/>
          <w:sz w:val="28"/>
          <w:szCs w:val="28"/>
        </w:rPr>
        <w:t>“</w:t>
      </w:r>
      <w:r>
        <w:rPr>
          <w:kern w:val="0"/>
          <w:sz w:val="28"/>
          <w:szCs w:val="28"/>
        </w:rPr>
        <w:t>功能食品</w:t>
      </w:r>
      <w:r>
        <w:rPr>
          <w:rFonts w:hint="eastAsia"/>
          <w:kern w:val="0"/>
          <w:sz w:val="28"/>
          <w:szCs w:val="28"/>
        </w:rPr>
        <w:t>”</w:t>
      </w:r>
      <w:r>
        <w:rPr>
          <w:kern w:val="0"/>
          <w:sz w:val="28"/>
          <w:szCs w:val="28"/>
        </w:rPr>
        <w:t>。深度参与大三峡区域生态绿色产品和地理标志产品的品牌建设，积极创建</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公共品牌，开展</w:t>
      </w:r>
      <w:r>
        <w:rPr>
          <w:rFonts w:hint="eastAsia"/>
          <w:kern w:val="0"/>
          <w:sz w:val="28"/>
          <w:szCs w:val="28"/>
        </w:rPr>
        <w:t>“</w:t>
      </w:r>
      <w:r>
        <w:rPr>
          <w:kern w:val="0"/>
          <w:sz w:val="28"/>
          <w:szCs w:val="28"/>
        </w:rPr>
        <w:t>城口独活</w:t>
      </w:r>
      <w:r>
        <w:rPr>
          <w:rFonts w:hint="eastAsia"/>
          <w:kern w:val="0"/>
          <w:sz w:val="28"/>
          <w:szCs w:val="28"/>
        </w:rPr>
        <w:t>”</w:t>
      </w:r>
      <w:r>
        <w:rPr>
          <w:kern w:val="0"/>
          <w:sz w:val="28"/>
          <w:szCs w:val="28"/>
        </w:rPr>
        <w:t>地理标志、道地药材认证。协同推进</w:t>
      </w:r>
      <w:r>
        <w:rPr>
          <w:rFonts w:hint="eastAsia"/>
          <w:kern w:val="0"/>
          <w:sz w:val="28"/>
          <w:szCs w:val="28"/>
        </w:rPr>
        <w:t>“</w:t>
      </w:r>
      <w:r>
        <w:rPr>
          <w:kern w:val="0"/>
          <w:sz w:val="28"/>
          <w:szCs w:val="28"/>
        </w:rPr>
        <w:t>三峡</w:t>
      </w:r>
      <w:r>
        <w:rPr>
          <w:rFonts w:hint="eastAsia"/>
          <w:kern w:val="0"/>
          <w:sz w:val="28"/>
          <w:szCs w:val="28"/>
        </w:rPr>
        <w:t>”</w:t>
      </w:r>
      <w:r>
        <w:rPr>
          <w:kern w:val="0"/>
          <w:sz w:val="28"/>
          <w:szCs w:val="28"/>
        </w:rPr>
        <w:t>系列农产品地方标准制定，推动</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品牌融入</w:t>
      </w:r>
      <w:r>
        <w:rPr>
          <w:rFonts w:hint="eastAsia"/>
          <w:kern w:val="0"/>
          <w:sz w:val="28"/>
          <w:szCs w:val="28"/>
        </w:rPr>
        <w:t>“</w:t>
      </w:r>
      <w:r>
        <w:rPr>
          <w:kern w:val="0"/>
          <w:sz w:val="28"/>
          <w:szCs w:val="28"/>
        </w:rPr>
        <w:t>巴味渝珍</w:t>
      </w:r>
      <w:r>
        <w:rPr>
          <w:rFonts w:hint="eastAsia"/>
          <w:kern w:val="0"/>
          <w:sz w:val="28"/>
          <w:szCs w:val="28"/>
        </w:rPr>
        <w:t>”</w:t>
      </w:r>
      <w:r>
        <w:rPr>
          <w:kern w:val="0"/>
          <w:sz w:val="28"/>
          <w:szCs w:val="28"/>
        </w:rPr>
        <w:t>区域公用品牌体系。打造城口全域生态农产品和功能食品公用品牌，做好</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公共品牌使用管理和营销推介，提高品牌的知名度和公信力。2025年完成城口优质农产品和品牌体系构建，到2035年打造具有竞争力的生态区域农产品品牌和产品体系。</w:t>
      </w:r>
    </w:p>
    <w:p w14:paraId="14B55ECE">
      <w:pPr>
        <w:pStyle w:val="5"/>
        <w:spacing w:line="480" w:lineRule="exact"/>
        <w:jc w:val="center"/>
        <w:rPr>
          <w:rFonts w:eastAsia="方正黑体_GBK"/>
          <w:b w:val="0"/>
          <w:bCs w:val="0"/>
        </w:rPr>
      </w:pPr>
      <w:bookmarkStart w:id="69" w:name="_Toc10769"/>
      <w:r>
        <w:rPr>
          <w:rFonts w:eastAsia="方正黑体_GBK"/>
          <w:b w:val="0"/>
          <w:bCs w:val="0"/>
        </w:rPr>
        <w:t>第四节 保障提升农产品安全质量</w:t>
      </w:r>
      <w:bookmarkEnd w:id="69"/>
    </w:p>
    <w:p w14:paraId="530154D8">
      <w:pPr>
        <w:spacing w:line="480" w:lineRule="exact"/>
        <w:ind w:firstLine="560" w:firstLineChars="200"/>
        <w:rPr>
          <w:kern w:val="0"/>
          <w:sz w:val="28"/>
          <w:szCs w:val="28"/>
        </w:rPr>
      </w:pPr>
      <w:r>
        <w:rPr>
          <w:kern w:val="0"/>
          <w:sz w:val="28"/>
          <w:szCs w:val="28"/>
        </w:rPr>
        <w:t>建立多层级、多形式和多方参与的农产品质量安全监管体系，加强农产品质量安全执法力度。预防先行，突出抓好生产者、经营者的农产品质量安全教育。重点强化农资市场、农产品市场跟踪管理力度。充分利用互联网、大数据等建立农产品质量安全追溯体系和生产经营主体信用档案。树立标准意识，加强城口特色农产品行业协会组织培育和相关标准制定。着力</w:t>
      </w:r>
      <w:r>
        <w:rPr>
          <w:rFonts w:hint="eastAsia"/>
          <w:kern w:val="0"/>
          <w:sz w:val="28"/>
          <w:szCs w:val="28"/>
        </w:rPr>
        <w:t>“</w:t>
      </w:r>
      <w:r>
        <w:rPr>
          <w:kern w:val="0"/>
          <w:sz w:val="28"/>
          <w:szCs w:val="28"/>
        </w:rPr>
        <w:t>城口山地鸡</w:t>
      </w:r>
      <w:r>
        <w:rPr>
          <w:rFonts w:hint="eastAsia"/>
          <w:kern w:val="0"/>
          <w:sz w:val="28"/>
          <w:szCs w:val="28"/>
        </w:rPr>
        <w:t>”“</w:t>
      </w:r>
      <w:r>
        <w:rPr>
          <w:kern w:val="0"/>
          <w:sz w:val="28"/>
          <w:szCs w:val="28"/>
        </w:rPr>
        <w:t>城口老腊肉</w:t>
      </w:r>
      <w:r>
        <w:rPr>
          <w:rFonts w:hint="eastAsia"/>
          <w:kern w:val="0"/>
          <w:sz w:val="28"/>
          <w:szCs w:val="28"/>
        </w:rPr>
        <w:t>”“</w:t>
      </w:r>
      <w:r>
        <w:rPr>
          <w:kern w:val="0"/>
          <w:sz w:val="28"/>
          <w:szCs w:val="28"/>
        </w:rPr>
        <w:t>城口中蜂</w:t>
      </w:r>
      <w:r>
        <w:rPr>
          <w:rFonts w:hint="eastAsia"/>
          <w:kern w:val="0"/>
          <w:sz w:val="28"/>
          <w:szCs w:val="28"/>
        </w:rPr>
        <w:t>”“</w:t>
      </w:r>
      <w:r>
        <w:rPr>
          <w:kern w:val="0"/>
          <w:sz w:val="28"/>
          <w:szCs w:val="28"/>
        </w:rPr>
        <w:t>城口核桃</w:t>
      </w:r>
      <w:r>
        <w:rPr>
          <w:rFonts w:hint="eastAsia"/>
          <w:kern w:val="0"/>
          <w:sz w:val="28"/>
          <w:szCs w:val="28"/>
        </w:rPr>
        <w:t>”</w:t>
      </w:r>
      <w:r>
        <w:rPr>
          <w:kern w:val="0"/>
          <w:sz w:val="28"/>
          <w:szCs w:val="28"/>
        </w:rPr>
        <w:t>等优质品牌保护，开展跨区域联合执法，严肃处理相关侵权违法行为。</w:t>
      </w:r>
    </w:p>
    <w:p w14:paraId="4F70C178">
      <w:pPr>
        <w:spacing w:line="480" w:lineRule="exact"/>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5025E29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48B0738C">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专栏2 农产品质量提升工程</w:t>
            </w:r>
          </w:p>
        </w:tc>
      </w:tr>
      <w:tr w14:paraId="32B3C8F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1FCCE699">
            <w:pPr>
              <w:spacing w:line="480" w:lineRule="exact"/>
              <w:ind w:firstLine="561"/>
              <w:rPr>
                <w:sz w:val="28"/>
                <w:szCs w:val="28"/>
              </w:rPr>
            </w:pPr>
            <w:r>
              <w:rPr>
                <w:rFonts w:eastAsia="方正楷体_GBK"/>
                <w:sz w:val="28"/>
                <w:szCs w:val="28"/>
              </w:rPr>
              <w:t>现代种业提升工程。</w:t>
            </w:r>
            <w:r>
              <w:rPr>
                <w:sz w:val="28"/>
                <w:szCs w:val="28"/>
              </w:rPr>
              <w:t>新建或改造标准化优势农作物良种生产基地1万亩，改扩建畜禽良种场1个。引进选育动植物新品种1个，引进研发农业新技术5项。抓好农业结构调整需要解决的紧迫技术难题攻关，创制新品种10个，示范推广新品种10个，优势产业新品种覆盖率超过60%，促进品种结构调整优化。</w:t>
            </w:r>
          </w:p>
          <w:p w14:paraId="50F9B0CB">
            <w:pPr>
              <w:spacing w:line="480" w:lineRule="exact"/>
              <w:ind w:firstLine="561"/>
              <w:rPr>
                <w:sz w:val="28"/>
                <w:szCs w:val="28"/>
              </w:rPr>
            </w:pPr>
            <w:r>
              <w:rPr>
                <w:rFonts w:eastAsia="方正楷体_GBK"/>
                <w:sz w:val="28"/>
                <w:szCs w:val="28"/>
              </w:rPr>
              <w:t>农产品质量提升工程。</w:t>
            </w:r>
            <w:r>
              <w:rPr>
                <w:sz w:val="28"/>
                <w:szCs w:val="28"/>
              </w:rPr>
              <w:t>到2025年，基本实现绿色食品、有机农产品、农产品地理标志和重庆名牌农产品追溯全覆盖，建立县乡村农产品质量安全三级监管体系。实施县农业综合执法能力建设专项。主要农产品总体抽检合格率稳定在97%以上。</w:t>
            </w:r>
          </w:p>
          <w:p w14:paraId="039F6B6D">
            <w:pPr>
              <w:spacing w:line="480" w:lineRule="exact"/>
              <w:ind w:firstLine="548" w:firstLineChars="196"/>
              <w:rPr>
                <w:sz w:val="30"/>
                <w:szCs w:val="30"/>
              </w:rPr>
            </w:pPr>
            <w:r>
              <w:rPr>
                <w:rFonts w:eastAsia="方正楷体_GBK"/>
                <w:sz w:val="28"/>
                <w:szCs w:val="28"/>
              </w:rPr>
              <w:t>农业品牌提升工程。</w:t>
            </w:r>
            <w:r>
              <w:rPr>
                <w:sz w:val="28"/>
                <w:szCs w:val="28"/>
              </w:rPr>
              <w:t>到2025年，实现打造国家地理标志产品申报认证6个，农产品品牌4个，绿色食品、有机农产品30个以上。制定</w:t>
            </w:r>
            <w:r>
              <w:rPr>
                <w:rFonts w:hint="eastAsia"/>
                <w:sz w:val="28"/>
                <w:szCs w:val="28"/>
              </w:rPr>
              <w:t>“</w:t>
            </w:r>
            <w:r>
              <w:rPr>
                <w:sz w:val="28"/>
                <w:szCs w:val="28"/>
              </w:rPr>
              <w:t>大巴山硒谷</w:t>
            </w:r>
            <w:r>
              <w:rPr>
                <w:rFonts w:hint="eastAsia"/>
                <w:sz w:val="28"/>
                <w:szCs w:val="28"/>
              </w:rPr>
              <w:t>”</w:t>
            </w:r>
            <w:r>
              <w:rPr>
                <w:sz w:val="28"/>
                <w:szCs w:val="28"/>
              </w:rPr>
              <w:t>区域公用品牌管理办法，完成</w:t>
            </w:r>
            <w:r>
              <w:rPr>
                <w:rFonts w:hint="eastAsia"/>
                <w:sz w:val="28"/>
                <w:szCs w:val="28"/>
              </w:rPr>
              <w:t>“</w:t>
            </w:r>
            <w:r>
              <w:rPr>
                <w:sz w:val="28"/>
                <w:szCs w:val="28"/>
              </w:rPr>
              <w:t>大巴山硒谷</w:t>
            </w:r>
            <w:r>
              <w:rPr>
                <w:rFonts w:hint="eastAsia"/>
                <w:sz w:val="28"/>
                <w:szCs w:val="28"/>
              </w:rPr>
              <w:t>”</w:t>
            </w:r>
            <w:r>
              <w:rPr>
                <w:sz w:val="28"/>
                <w:szCs w:val="28"/>
              </w:rPr>
              <w:t>区域公用品牌使用企业50家以上，产品量达到100吨以上。完成城口山地鸡、城口老腊肉、城口蜂蜜、食用菌（香菇）、鸡鸣茶叶标准制定。</w:t>
            </w:r>
          </w:p>
        </w:tc>
      </w:tr>
    </w:tbl>
    <w:p w14:paraId="0E66B0C8">
      <w:pPr>
        <w:spacing w:line="480" w:lineRule="exact"/>
      </w:pPr>
    </w:p>
    <w:p w14:paraId="0D88151C">
      <w:pPr>
        <w:pStyle w:val="4"/>
        <w:spacing w:line="480" w:lineRule="exact"/>
        <w:ind w:firstLine="0"/>
        <w:rPr>
          <w:bCs w:val="0"/>
          <w:sz w:val="36"/>
          <w:szCs w:val="36"/>
        </w:rPr>
      </w:pPr>
      <w:bookmarkStart w:id="70" w:name="_Toc23946"/>
      <w:r>
        <w:rPr>
          <w:bCs w:val="0"/>
          <w:sz w:val="36"/>
          <w:szCs w:val="36"/>
        </w:rPr>
        <w:t>第十一章  着力推动乡村多业态融合发展</w:t>
      </w:r>
      <w:bookmarkEnd w:id="70"/>
    </w:p>
    <w:p w14:paraId="30347BF7">
      <w:pPr>
        <w:spacing w:line="480" w:lineRule="exact"/>
      </w:pPr>
    </w:p>
    <w:p w14:paraId="4BDECC64">
      <w:pPr>
        <w:spacing w:line="480" w:lineRule="exact"/>
        <w:ind w:firstLine="560" w:firstLineChars="200"/>
        <w:rPr>
          <w:rFonts w:eastAsia="宋体"/>
          <w:kern w:val="0"/>
          <w:sz w:val="28"/>
          <w:szCs w:val="28"/>
        </w:rPr>
      </w:pPr>
      <w:r>
        <w:rPr>
          <w:kern w:val="0"/>
          <w:sz w:val="28"/>
          <w:szCs w:val="28"/>
        </w:rPr>
        <w:t>围绕功能拓展、产业链延伸、产城融合、多业态复合、新技术渗透五大模式，以市场需求为导向，以制度、技术和商业模式创新为动力，推进农产品精深加工、农业配套服务、乡村文化旅游、农村电商等多产业多业态融合发展，促进乡村产业兴旺，农民增收。</w:t>
      </w:r>
    </w:p>
    <w:p w14:paraId="5D9981B2">
      <w:pPr>
        <w:spacing w:line="480" w:lineRule="exact"/>
        <w:ind w:firstLine="560" w:firstLineChars="200"/>
        <w:rPr>
          <w:rFonts w:eastAsia="宋体"/>
          <w:kern w:val="0"/>
          <w:sz w:val="28"/>
          <w:szCs w:val="28"/>
        </w:rPr>
      </w:pPr>
    </w:p>
    <w:tbl>
      <w:tblPr>
        <w:tblStyle w:val="23"/>
        <w:tblW w:w="9094" w:type="dxa"/>
        <w:tblInd w:w="-34"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94"/>
      </w:tblGrid>
      <w:tr w14:paraId="68B1D1D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94" w:type="dxa"/>
            <w:noWrap/>
          </w:tcPr>
          <w:p w14:paraId="73BF98E5">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专栏3  农村产业融合工程</w:t>
            </w:r>
          </w:p>
        </w:tc>
      </w:tr>
      <w:tr w14:paraId="0F2135A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94" w:type="dxa"/>
            <w:noWrap/>
          </w:tcPr>
          <w:p w14:paraId="356CC5F5">
            <w:pPr>
              <w:spacing w:line="480" w:lineRule="exact"/>
              <w:ind w:firstLine="548" w:firstLineChars="196"/>
              <w:rPr>
                <w:sz w:val="28"/>
                <w:szCs w:val="28"/>
              </w:rPr>
            </w:pPr>
            <w:r>
              <w:rPr>
                <w:rFonts w:hint="eastAsia" w:eastAsia="方正楷体_GBK" w:cs="方正楷体_GBK"/>
                <w:sz w:val="28"/>
                <w:szCs w:val="28"/>
              </w:rPr>
              <w:t>林业全产业链融合发展工程。</w:t>
            </w:r>
            <w:r>
              <w:rPr>
                <w:sz w:val="28"/>
                <w:szCs w:val="28"/>
              </w:rPr>
              <w:t>实施</w:t>
            </w:r>
            <w:r>
              <w:rPr>
                <w:rFonts w:hint="eastAsia"/>
                <w:sz w:val="28"/>
                <w:szCs w:val="28"/>
              </w:rPr>
              <w:t>“</w:t>
            </w:r>
            <w:r>
              <w:rPr>
                <w:sz w:val="28"/>
                <w:szCs w:val="28"/>
              </w:rPr>
              <w:t>科技+</w:t>
            </w:r>
            <w:r>
              <w:rPr>
                <w:rFonts w:hint="eastAsia"/>
                <w:sz w:val="28"/>
                <w:szCs w:val="28"/>
              </w:rPr>
              <w:t>”</w:t>
            </w:r>
            <w:r>
              <w:rPr>
                <w:sz w:val="28"/>
                <w:szCs w:val="28"/>
              </w:rPr>
              <w:t>、</w:t>
            </w:r>
            <w:r>
              <w:rPr>
                <w:rFonts w:hint="eastAsia"/>
                <w:sz w:val="28"/>
                <w:szCs w:val="28"/>
              </w:rPr>
              <w:t>“</w:t>
            </w:r>
            <w:r>
              <w:rPr>
                <w:sz w:val="28"/>
                <w:szCs w:val="28"/>
              </w:rPr>
              <w:t>生态+</w:t>
            </w:r>
            <w:r>
              <w:rPr>
                <w:rFonts w:hint="eastAsia"/>
                <w:sz w:val="28"/>
                <w:szCs w:val="28"/>
              </w:rPr>
              <w:t>”</w:t>
            </w:r>
            <w:r>
              <w:rPr>
                <w:sz w:val="28"/>
                <w:szCs w:val="28"/>
              </w:rPr>
              <w:t>、</w:t>
            </w:r>
            <w:r>
              <w:rPr>
                <w:rFonts w:hint="eastAsia"/>
                <w:sz w:val="28"/>
                <w:szCs w:val="28"/>
              </w:rPr>
              <w:t>“</w:t>
            </w:r>
            <w:r>
              <w:rPr>
                <w:sz w:val="28"/>
                <w:szCs w:val="28"/>
              </w:rPr>
              <w:t>国家储备林+</w:t>
            </w:r>
            <w:r>
              <w:rPr>
                <w:rFonts w:hint="eastAsia"/>
                <w:sz w:val="28"/>
                <w:szCs w:val="28"/>
              </w:rPr>
              <w:t>”</w:t>
            </w:r>
            <w:r>
              <w:rPr>
                <w:sz w:val="28"/>
                <w:szCs w:val="28"/>
              </w:rPr>
              <w:t>行动，推进林业种养殖业、林产品加工制造业、林产品流通贸易业内部的绿色低碳循环以及相互之间的深度融合。建设林下经济基地、森林旅游地、品牌森林人家、森林康养基地、森林步道等产业与配套设施。打造一批</w:t>
            </w:r>
            <w:r>
              <w:rPr>
                <w:rFonts w:hint="eastAsia"/>
                <w:sz w:val="28"/>
                <w:szCs w:val="28"/>
              </w:rPr>
              <w:t>“</w:t>
            </w:r>
            <w:r>
              <w:rPr>
                <w:sz w:val="28"/>
                <w:szCs w:val="28"/>
              </w:rPr>
              <w:t>一村一品</w:t>
            </w:r>
            <w:r>
              <w:rPr>
                <w:rFonts w:hint="eastAsia"/>
                <w:sz w:val="28"/>
                <w:szCs w:val="28"/>
              </w:rPr>
              <w:t>”</w:t>
            </w:r>
            <w:r>
              <w:rPr>
                <w:sz w:val="28"/>
                <w:szCs w:val="28"/>
              </w:rPr>
              <w:t>示范村和</w:t>
            </w:r>
            <w:r>
              <w:rPr>
                <w:rFonts w:hint="eastAsia"/>
                <w:sz w:val="28"/>
                <w:szCs w:val="28"/>
              </w:rPr>
              <w:t>“</w:t>
            </w:r>
            <w:r>
              <w:rPr>
                <w:sz w:val="28"/>
                <w:szCs w:val="28"/>
              </w:rPr>
              <w:t>一乡一特</w:t>
            </w:r>
            <w:r>
              <w:rPr>
                <w:rFonts w:hint="eastAsia"/>
                <w:sz w:val="28"/>
                <w:szCs w:val="28"/>
              </w:rPr>
              <w:t>”</w:t>
            </w:r>
            <w:r>
              <w:rPr>
                <w:sz w:val="28"/>
                <w:szCs w:val="28"/>
              </w:rPr>
              <w:t>示范乡镇。</w:t>
            </w:r>
          </w:p>
          <w:p w14:paraId="5FEA5C6C">
            <w:pPr>
              <w:spacing w:line="480" w:lineRule="exact"/>
              <w:ind w:firstLine="548" w:firstLineChars="196"/>
              <w:rPr>
                <w:sz w:val="28"/>
                <w:szCs w:val="28"/>
              </w:rPr>
            </w:pPr>
            <w:r>
              <w:rPr>
                <w:rFonts w:hint="eastAsia" w:eastAsia="方正楷体_GBK" w:cs="方正楷体_GBK"/>
                <w:sz w:val="28"/>
                <w:szCs w:val="28"/>
              </w:rPr>
              <w:t>农产品加工提升工程。</w:t>
            </w:r>
            <w:r>
              <w:rPr>
                <w:sz w:val="28"/>
                <w:szCs w:val="28"/>
              </w:rPr>
              <w:t>培育发展市级农产品加工示范企业10户，打造5户年产值超千万元企业，创建1个产值超亿元的农产品加工基地（园区），形成十亿元级加工产业集群。着力打造国家级出口食品农产品质量安全示范区，优势农产品出口占比5%以上。</w:t>
            </w:r>
          </w:p>
          <w:p w14:paraId="11675575">
            <w:pPr>
              <w:spacing w:line="480" w:lineRule="exact"/>
              <w:ind w:firstLine="548" w:firstLineChars="196"/>
              <w:rPr>
                <w:sz w:val="28"/>
                <w:szCs w:val="28"/>
              </w:rPr>
            </w:pPr>
            <w:r>
              <w:rPr>
                <w:rFonts w:hint="eastAsia" w:eastAsia="方正楷体_GBK" w:cs="方正楷体_GBK"/>
                <w:sz w:val="28"/>
                <w:szCs w:val="28"/>
              </w:rPr>
              <w:t>休闲农业和乡村旅游精品工程。</w:t>
            </w:r>
            <w:r>
              <w:rPr>
                <w:sz w:val="28"/>
                <w:szCs w:val="28"/>
              </w:rPr>
              <w:t>加强农村环境综合整治和美丽乡村建设，以</w:t>
            </w:r>
            <w:r>
              <w:rPr>
                <w:rFonts w:hint="eastAsia"/>
                <w:sz w:val="28"/>
                <w:szCs w:val="28"/>
              </w:rPr>
              <w:t>“</w:t>
            </w:r>
            <w:r>
              <w:rPr>
                <w:sz w:val="28"/>
                <w:szCs w:val="28"/>
              </w:rPr>
              <w:t>巴山原乡，生态城口</w:t>
            </w:r>
            <w:r>
              <w:rPr>
                <w:rFonts w:hint="eastAsia"/>
                <w:sz w:val="28"/>
                <w:szCs w:val="28"/>
              </w:rPr>
              <w:t>”</w:t>
            </w:r>
            <w:r>
              <w:rPr>
                <w:sz w:val="28"/>
                <w:szCs w:val="28"/>
              </w:rPr>
              <w:t>为主题大力开发特色乡村旅游景点。打造一系列乡村旅游精品线，建设多个特色旅游镇和特色旅游村，培育一批乡村旅游示范主体。</w:t>
            </w:r>
          </w:p>
          <w:p w14:paraId="49A32C28">
            <w:pPr>
              <w:spacing w:line="480" w:lineRule="exact"/>
              <w:ind w:firstLine="548" w:firstLineChars="196"/>
              <w:rPr>
                <w:sz w:val="28"/>
                <w:szCs w:val="28"/>
              </w:rPr>
            </w:pPr>
            <w:r>
              <w:rPr>
                <w:rFonts w:hint="eastAsia" w:eastAsia="方正楷体_GBK" w:cs="方正楷体_GBK"/>
                <w:sz w:val="28"/>
                <w:szCs w:val="28"/>
              </w:rPr>
              <w:t>农商互联工程。</w:t>
            </w:r>
            <w:r>
              <w:rPr>
                <w:sz w:val="28"/>
                <w:szCs w:val="28"/>
              </w:rPr>
              <w:t>引导城乡物流、商贸、电商、邮政、供销等企业深度合作、对接和整合，打通电商包裹</w:t>
            </w:r>
            <w:r>
              <w:rPr>
                <w:rFonts w:hint="eastAsia"/>
                <w:sz w:val="28"/>
                <w:szCs w:val="28"/>
              </w:rPr>
              <w:t>进村入户</w:t>
            </w:r>
            <w:r>
              <w:rPr>
                <w:sz w:val="28"/>
                <w:szCs w:val="28"/>
              </w:rPr>
              <w:t>的</w:t>
            </w:r>
            <w:r>
              <w:rPr>
                <w:rFonts w:hint="eastAsia"/>
                <w:sz w:val="28"/>
                <w:szCs w:val="28"/>
              </w:rPr>
              <w:t>“</w:t>
            </w:r>
            <w:r>
              <w:rPr>
                <w:sz w:val="28"/>
                <w:szCs w:val="28"/>
              </w:rPr>
              <w:t>最后一公里</w:t>
            </w:r>
            <w:r>
              <w:rPr>
                <w:rFonts w:hint="eastAsia"/>
                <w:sz w:val="28"/>
                <w:szCs w:val="28"/>
              </w:rPr>
              <w:t>”</w:t>
            </w:r>
            <w:r>
              <w:rPr>
                <w:sz w:val="28"/>
                <w:szCs w:val="28"/>
              </w:rPr>
              <w:t>和特色农产品进城入市的</w:t>
            </w:r>
            <w:r>
              <w:rPr>
                <w:rFonts w:hint="eastAsia"/>
                <w:sz w:val="28"/>
                <w:szCs w:val="28"/>
              </w:rPr>
              <w:t>“</w:t>
            </w:r>
            <w:r>
              <w:rPr>
                <w:sz w:val="28"/>
                <w:szCs w:val="28"/>
              </w:rPr>
              <w:t>最初一公里</w:t>
            </w:r>
            <w:r>
              <w:rPr>
                <w:rFonts w:hint="eastAsia"/>
                <w:sz w:val="28"/>
                <w:szCs w:val="28"/>
              </w:rPr>
              <w:t>”</w:t>
            </w:r>
            <w:r>
              <w:rPr>
                <w:sz w:val="28"/>
                <w:szCs w:val="28"/>
              </w:rPr>
              <w:t>渠道，基本建立</w:t>
            </w:r>
            <w:r>
              <w:rPr>
                <w:rFonts w:hint="eastAsia"/>
                <w:sz w:val="28"/>
                <w:szCs w:val="28"/>
              </w:rPr>
              <w:t>“</w:t>
            </w:r>
            <w:r>
              <w:rPr>
                <w:sz w:val="28"/>
                <w:szCs w:val="28"/>
              </w:rPr>
              <w:t>布局合理、双向高效、种类丰富、服务便利</w:t>
            </w:r>
            <w:r>
              <w:rPr>
                <w:rFonts w:hint="eastAsia"/>
                <w:sz w:val="28"/>
                <w:szCs w:val="28"/>
              </w:rPr>
              <w:t>”</w:t>
            </w:r>
            <w:r>
              <w:rPr>
                <w:sz w:val="28"/>
                <w:szCs w:val="28"/>
              </w:rPr>
              <w:t>的农村物流配送体系。建设产地集配中心9个，农业规模化生产组织产销对接率达到35%以上，构建覆盖全面、便捷高效的农产品流通体系。全面推动农村电子商务发展，扶持电子商务扶贫示范网店25个以上，贫困乡镇和村的农产品网络零售额年均增长20%以上，到2022年，基本建成统一开放、竞争有序、诚信守法、安全可靠、绿色环保的农村电子商务市场体系，乡村电商物流配送覆盖率达到100%，全县农产品网络零售额达到3亿元，到2025年实现电子商务与农村市场的全面融合发展。</w:t>
            </w:r>
          </w:p>
          <w:p w14:paraId="6F421609">
            <w:pPr>
              <w:spacing w:line="480" w:lineRule="exact"/>
              <w:ind w:firstLine="548" w:firstLineChars="196"/>
              <w:rPr>
                <w:sz w:val="28"/>
                <w:szCs w:val="28"/>
              </w:rPr>
            </w:pPr>
            <w:r>
              <w:rPr>
                <w:rFonts w:hint="eastAsia" w:eastAsia="方正楷体_GBK" w:cs="方正楷体_GBK"/>
                <w:sz w:val="28"/>
                <w:szCs w:val="28"/>
              </w:rPr>
              <w:t>农村一二三产业融合发展示范工程。</w:t>
            </w:r>
            <w:r>
              <w:rPr>
                <w:sz w:val="28"/>
                <w:szCs w:val="28"/>
              </w:rPr>
              <w:t>深入推进城口建设国家级农村产业融合发展试点示范县，着力打造农村产业融合发展的示范样板和平台载体。</w:t>
            </w:r>
          </w:p>
          <w:p w14:paraId="5D6351D7">
            <w:pPr>
              <w:spacing w:line="480" w:lineRule="exact"/>
              <w:ind w:firstLine="548" w:firstLineChars="196"/>
              <w:rPr>
                <w:rFonts w:eastAsia="方正楷体_GBK"/>
                <w:sz w:val="28"/>
                <w:szCs w:val="28"/>
              </w:rPr>
            </w:pPr>
            <w:r>
              <w:rPr>
                <w:rFonts w:hint="eastAsia" w:eastAsia="方正楷体_GBK" w:cs="方正楷体_GBK"/>
                <w:sz w:val="28"/>
                <w:szCs w:val="28"/>
              </w:rPr>
              <w:t>产城融合示范工程。</w:t>
            </w:r>
            <w:r>
              <w:rPr>
                <w:sz w:val="28"/>
                <w:szCs w:val="28"/>
              </w:rPr>
              <w:t>支持有条件的乡村建设集循环农业、创意农业、农事体验于一体的田园综合体。推进现有产业和载体（农庄、农场、农业园区、农业特色小镇等）升级换代，着力打造一批农字号的特色小（城）镇。</w:t>
            </w:r>
          </w:p>
        </w:tc>
      </w:tr>
    </w:tbl>
    <w:p w14:paraId="489F2348">
      <w:pPr>
        <w:pStyle w:val="5"/>
        <w:spacing w:line="480" w:lineRule="exact"/>
        <w:jc w:val="center"/>
        <w:rPr>
          <w:rFonts w:eastAsia="方正黑体_GBK"/>
          <w:b w:val="0"/>
          <w:bCs w:val="0"/>
        </w:rPr>
      </w:pPr>
      <w:bookmarkStart w:id="71" w:name="_Toc1262"/>
      <w:r>
        <w:rPr>
          <w:rFonts w:eastAsia="方正黑体_GBK"/>
          <w:b w:val="0"/>
          <w:bCs w:val="0"/>
        </w:rPr>
        <w:t>第一节  做大做强农产品加工业</w:t>
      </w:r>
      <w:bookmarkEnd w:id="71"/>
    </w:p>
    <w:p w14:paraId="71F5C6BD">
      <w:pPr>
        <w:spacing w:line="480" w:lineRule="exact"/>
        <w:rPr>
          <w:kern w:val="0"/>
          <w:sz w:val="28"/>
          <w:szCs w:val="28"/>
        </w:rPr>
      </w:pPr>
      <w:r>
        <w:rPr>
          <w:rFonts w:eastAsia="宋体"/>
          <w:kern w:val="0"/>
          <w:sz w:val="28"/>
          <w:szCs w:val="28"/>
        </w:rPr>
        <w:t xml:space="preserve">    </w:t>
      </w:r>
      <w:r>
        <w:rPr>
          <w:kern w:val="0"/>
          <w:sz w:val="28"/>
          <w:szCs w:val="28"/>
        </w:rPr>
        <w:t xml:space="preserve"> 实施农产品加工企业</w:t>
      </w:r>
      <w:r>
        <w:rPr>
          <w:rFonts w:hint="eastAsia"/>
          <w:kern w:val="0"/>
          <w:sz w:val="28"/>
          <w:szCs w:val="28"/>
        </w:rPr>
        <w:t>“</w:t>
      </w:r>
      <w:r>
        <w:rPr>
          <w:kern w:val="0"/>
          <w:sz w:val="28"/>
          <w:szCs w:val="28"/>
        </w:rPr>
        <w:t>上规、上云、上市</w:t>
      </w:r>
      <w:r>
        <w:rPr>
          <w:rFonts w:hint="eastAsia"/>
          <w:kern w:val="0"/>
          <w:sz w:val="28"/>
          <w:szCs w:val="28"/>
        </w:rPr>
        <w:t>”</w:t>
      </w:r>
      <w:r>
        <w:rPr>
          <w:kern w:val="0"/>
          <w:sz w:val="28"/>
          <w:szCs w:val="28"/>
        </w:rPr>
        <w:t>行动，对农产品加工业实行财政专项扶持，重点支持经营效益好、吸纳就业多、税收贡献大、产业带动力强的农产品加工企业和</w:t>
      </w:r>
      <w:r>
        <w:rPr>
          <w:rFonts w:hint="eastAsia"/>
          <w:kern w:val="0"/>
          <w:sz w:val="28"/>
          <w:szCs w:val="28"/>
        </w:rPr>
        <w:t>“</w:t>
      </w:r>
      <w:r>
        <w:rPr>
          <w:kern w:val="0"/>
          <w:sz w:val="28"/>
          <w:szCs w:val="28"/>
        </w:rPr>
        <w:t>专精特新</w:t>
      </w:r>
      <w:r>
        <w:rPr>
          <w:rFonts w:hint="eastAsia"/>
          <w:kern w:val="0"/>
          <w:sz w:val="28"/>
          <w:szCs w:val="28"/>
        </w:rPr>
        <w:t>”</w:t>
      </w:r>
      <w:r>
        <w:rPr>
          <w:kern w:val="0"/>
          <w:sz w:val="28"/>
          <w:szCs w:val="28"/>
        </w:rPr>
        <w:t>农产品加工企业。聚焦城口山地鸡、城口老腊肉、食用菌和中药材四大优势特色产业，培育4家规模以上农业产业化龙头企业，打造4个农业产业化联合体，四大特色产业链综合产值达到20亿元</w:t>
      </w:r>
      <w:r>
        <w:rPr>
          <w:rFonts w:hint="eastAsia"/>
          <w:kern w:val="0"/>
          <w:sz w:val="28"/>
          <w:szCs w:val="28"/>
        </w:rPr>
        <w:t>。</w:t>
      </w:r>
      <w:r>
        <w:rPr>
          <w:kern w:val="0"/>
          <w:sz w:val="28"/>
          <w:szCs w:val="28"/>
        </w:rPr>
        <w:t>做优做精城口特色食品、工艺品等轻工业和手工业产业，重点发展城口山地鸡、老腊肉、大漆器、竹编雕刻等特色产品，到2022年农产品加工业发展取得明显进展，到2025年基本形成城口乡村系列轻（手）工业产品体系与品牌体系。</w:t>
      </w:r>
    </w:p>
    <w:p w14:paraId="088ED6A9">
      <w:pPr>
        <w:pStyle w:val="5"/>
        <w:spacing w:line="480" w:lineRule="exact"/>
        <w:jc w:val="center"/>
        <w:rPr>
          <w:rFonts w:eastAsia="方正黑体_GBK"/>
          <w:b w:val="0"/>
          <w:bCs w:val="0"/>
        </w:rPr>
      </w:pPr>
      <w:bookmarkStart w:id="72" w:name="_Toc27782"/>
      <w:r>
        <w:rPr>
          <w:rFonts w:eastAsia="方正黑体_GBK"/>
          <w:b w:val="0"/>
          <w:bCs w:val="0"/>
        </w:rPr>
        <w:t>第二节  健全城口农产品流通服务体系</w:t>
      </w:r>
      <w:bookmarkEnd w:id="72"/>
    </w:p>
    <w:p w14:paraId="2EE16F91">
      <w:pPr>
        <w:adjustRightInd w:val="0"/>
        <w:spacing w:line="480" w:lineRule="exact"/>
        <w:ind w:firstLine="560" w:firstLineChars="200"/>
        <w:rPr>
          <w:rFonts w:eastAsia="宋体"/>
          <w:kern w:val="0"/>
          <w:sz w:val="28"/>
          <w:szCs w:val="28"/>
        </w:rPr>
      </w:pPr>
      <w:r>
        <w:rPr>
          <w:kern w:val="0"/>
          <w:sz w:val="28"/>
          <w:szCs w:val="28"/>
        </w:rPr>
        <w:t>实施农产品供应链工程，加强冷链、仓储等物流设施建设，加快城乡物流高效衔接、一体化发展，重点对接重庆主城、万达开城市带、关中城市群大型农贸市场与商超。实施城口</w:t>
      </w:r>
      <w:r>
        <w:rPr>
          <w:rFonts w:hint="eastAsia"/>
          <w:kern w:val="0"/>
          <w:sz w:val="28"/>
          <w:szCs w:val="28"/>
        </w:rPr>
        <w:t>“</w:t>
      </w:r>
      <w:r>
        <w:rPr>
          <w:kern w:val="0"/>
          <w:sz w:val="28"/>
          <w:szCs w:val="28"/>
        </w:rPr>
        <w:t>生态农产品进社区</w:t>
      </w:r>
      <w:r>
        <w:rPr>
          <w:rFonts w:hint="eastAsia"/>
          <w:kern w:val="0"/>
          <w:sz w:val="28"/>
          <w:szCs w:val="28"/>
        </w:rPr>
        <w:t>”</w:t>
      </w:r>
      <w:r>
        <w:rPr>
          <w:kern w:val="0"/>
          <w:sz w:val="28"/>
          <w:szCs w:val="28"/>
        </w:rPr>
        <w:t>工程，鼓励城口本地企业、村庄、合作社以及家庭农场等主体与主城及周边大中城市机关事业单位、高校、大型企业、高档小区直接对接，打造从生产到消费全程</w:t>
      </w:r>
      <w:r>
        <w:rPr>
          <w:rFonts w:hint="eastAsia"/>
          <w:kern w:val="0"/>
          <w:sz w:val="28"/>
          <w:szCs w:val="28"/>
        </w:rPr>
        <w:t>“</w:t>
      </w:r>
      <w:r>
        <w:rPr>
          <w:kern w:val="0"/>
          <w:sz w:val="28"/>
          <w:szCs w:val="28"/>
        </w:rPr>
        <w:t>不断链</w:t>
      </w:r>
      <w:r>
        <w:rPr>
          <w:rFonts w:hint="eastAsia"/>
          <w:kern w:val="0"/>
          <w:sz w:val="28"/>
          <w:szCs w:val="28"/>
        </w:rPr>
        <w:t>”</w:t>
      </w:r>
      <w:r>
        <w:rPr>
          <w:kern w:val="0"/>
          <w:sz w:val="28"/>
          <w:szCs w:val="28"/>
        </w:rPr>
        <w:t>的农产品智慧物流系统。鼓励城口农产品加工销售企业到主城与周边城市开设直营店、加盟店、特色摊位、自营超市等，发展从</w:t>
      </w:r>
      <w:r>
        <w:rPr>
          <w:rFonts w:hint="eastAsia"/>
          <w:kern w:val="0"/>
          <w:sz w:val="28"/>
          <w:szCs w:val="28"/>
        </w:rPr>
        <w:t>“</w:t>
      </w:r>
      <w:r>
        <w:rPr>
          <w:kern w:val="0"/>
          <w:sz w:val="28"/>
          <w:szCs w:val="28"/>
        </w:rPr>
        <w:t>地头</w:t>
      </w:r>
      <w:r>
        <w:rPr>
          <w:rFonts w:hint="eastAsia"/>
          <w:kern w:val="0"/>
          <w:sz w:val="28"/>
          <w:szCs w:val="28"/>
        </w:rPr>
        <w:t>”</w:t>
      </w:r>
      <w:r>
        <w:rPr>
          <w:kern w:val="0"/>
          <w:sz w:val="28"/>
          <w:szCs w:val="28"/>
        </w:rPr>
        <w:t>到</w:t>
      </w:r>
      <w:r>
        <w:rPr>
          <w:rFonts w:hint="eastAsia"/>
          <w:kern w:val="0"/>
          <w:sz w:val="28"/>
          <w:szCs w:val="28"/>
        </w:rPr>
        <w:t>“</w:t>
      </w:r>
      <w:r>
        <w:rPr>
          <w:kern w:val="0"/>
          <w:sz w:val="28"/>
          <w:szCs w:val="28"/>
        </w:rPr>
        <w:t>灶头</w:t>
      </w:r>
      <w:r>
        <w:rPr>
          <w:rFonts w:hint="eastAsia"/>
          <w:kern w:val="0"/>
          <w:sz w:val="28"/>
          <w:szCs w:val="28"/>
        </w:rPr>
        <w:t>”</w:t>
      </w:r>
      <w:r>
        <w:rPr>
          <w:kern w:val="0"/>
          <w:sz w:val="28"/>
          <w:szCs w:val="28"/>
        </w:rPr>
        <w:t>的产销对接新型流通业态。支持做强</w:t>
      </w:r>
      <w:r>
        <w:rPr>
          <w:rFonts w:hint="eastAsia"/>
          <w:kern w:val="0"/>
          <w:sz w:val="28"/>
          <w:szCs w:val="28"/>
        </w:rPr>
        <w:t>“</w:t>
      </w:r>
      <w:r>
        <w:rPr>
          <w:kern w:val="0"/>
          <w:sz w:val="28"/>
          <w:szCs w:val="28"/>
        </w:rPr>
        <w:t>城口县农产品销售平台</w:t>
      </w:r>
      <w:r>
        <w:rPr>
          <w:rFonts w:hint="eastAsia"/>
          <w:kern w:val="0"/>
          <w:sz w:val="28"/>
          <w:szCs w:val="28"/>
        </w:rPr>
        <w:t>”“</w:t>
      </w:r>
      <w:r>
        <w:rPr>
          <w:kern w:val="0"/>
          <w:sz w:val="28"/>
          <w:szCs w:val="28"/>
        </w:rPr>
        <w:t>扶贫832</w:t>
      </w:r>
      <w:r>
        <w:rPr>
          <w:rFonts w:hint="eastAsia"/>
          <w:kern w:val="0"/>
          <w:sz w:val="28"/>
          <w:szCs w:val="28"/>
        </w:rPr>
        <w:t>”</w:t>
      </w:r>
      <w:r>
        <w:rPr>
          <w:kern w:val="0"/>
          <w:sz w:val="28"/>
          <w:szCs w:val="28"/>
        </w:rPr>
        <w:t>等特色平台，拓展农产品销售渠道。鼓励相关主体开展线上线下融合营销，重视微信、抖音等线上渠道的作用。支持高端优质农产品试点会员制生产配送模式，打造生产者、渠道商和消费者共建社群。依托城口良好的资源优势、区位条件、产业基础和未来潜力，培育大巴山区山珍和特色农产品商贸物流基地。到2025年，相对完备的农产品商贸物流体系得以建立。</w:t>
      </w:r>
    </w:p>
    <w:p w14:paraId="29091CD1">
      <w:pPr>
        <w:pStyle w:val="5"/>
        <w:spacing w:line="480" w:lineRule="exact"/>
        <w:jc w:val="center"/>
        <w:rPr>
          <w:rFonts w:eastAsia="方正黑体_GBK"/>
          <w:b w:val="0"/>
          <w:bCs w:val="0"/>
        </w:rPr>
      </w:pPr>
      <w:bookmarkStart w:id="73" w:name="_Toc29412"/>
      <w:r>
        <w:rPr>
          <w:rFonts w:eastAsia="方正黑体_GBK"/>
          <w:b w:val="0"/>
          <w:bCs w:val="0"/>
        </w:rPr>
        <w:t>第三节  促进农文旅多业态融合发展</w:t>
      </w:r>
      <w:bookmarkEnd w:id="73"/>
    </w:p>
    <w:p w14:paraId="5F5323C8">
      <w:pPr>
        <w:spacing w:line="480" w:lineRule="exact"/>
        <w:ind w:firstLine="560" w:firstLineChars="200"/>
        <w:rPr>
          <w:kern w:val="0"/>
          <w:sz w:val="28"/>
          <w:szCs w:val="28"/>
        </w:rPr>
      </w:pPr>
      <w:r>
        <w:rPr>
          <w:kern w:val="0"/>
          <w:sz w:val="28"/>
          <w:szCs w:val="28"/>
        </w:rPr>
        <w:t>以农文旅融合作为城口最大的潜力，坚持以</w:t>
      </w:r>
      <w:r>
        <w:rPr>
          <w:rFonts w:hint="eastAsia"/>
          <w:kern w:val="0"/>
          <w:sz w:val="28"/>
          <w:szCs w:val="28"/>
        </w:rPr>
        <w:t>“</w:t>
      </w:r>
      <w:r>
        <w:rPr>
          <w:kern w:val="0"/>
          <w:sz w:val="28"/>
          <w:szCs w:val="28"/>
        </w:rPr>
        <w:t>农</w:t>
      </w:r>
      <w:r>
        <w:rPr>
          <w:rFonts w:hint="eastAsia"/>
          <w:kern w:val="0"/>
          <w:sz w:val="28"/>
          <w:szCs w:val="28"/>
        </w:rPr>
        <w:t>”</w:t>
      </w:r>
      <w:r>
        <w:rPr>
          <w:kern w:val="0"/>
          <w:sz w:val="28"/>
          <w:szCs w:val="28"/>
        </w:rPr>
        <w:t>为基础、以</w:t>
      </w:r>
      <w:r>
        <w:rPr>
          <w:rFonts w:hint="eastAsia"/>
          <w:kern w:val="0"/>
          <w:sz w:val="28"/>
          <w:szCs w:val="28"/>
        </w:rPr>
        <w:t>“</w:t>
      </w:r>
      <w:r>
        <w:rPr>
          <w:kern w:val="0"/>
          <w:sz w:val="28"/>
          <w:szCs w:val="28"/>
        </w:rPr>
        <w:t>文</w:t>
      </w:r>
      <w:r>
        <w:rPr>
          <w:rFonts w:hint="eastAsia"/>
          <w:kern w:val="0"/>
          <w:sz w:val="28"/>
          <w:szCs w:val="28"/>
        </w:rPr>
        <w:t>”</w:t>
      </w:r>
      <w:r>
        <w:rPr>
          <w:kern w:val="0"/>
          <w:sz w:val="28"/>
          <w:szCs w:val="28"/>
        </w:rPr>
        <w:t>为灵魂、以</w:t>
      </w:r>
      <w:r>
        <w:rPr>
          <w:rFonts w:hint="eastAsia"/>
          <w:kern w:val="0"/>
          <w:sz w:val="28"/>
          <w:szCs w:val="28"/>
        </w:rPr>
        <w:t>“</w:t>
      </w:r>
      <w:r>
        <w:rPr>
          <w:kern w:val="0"/>
          <w:sz w:val="28"/>
          <w:szCs w:val="28"/>
        </w:rPr>
        <w:t>旅</w:t>
      </w:r>
      <w:r>
        <w:rPr>
          <w:rFonts w:hint="eastAsia"/>
          <w:kern w:val="0"/>
          <w:sz w:val="28"/>
          <w:szCs w:val="28"/>
        </w:rPr>
        <w:t>”</w:t>
      </w:r>
      <w:r>
        <w:rPr>
          <w:kern w:val="0"/>
          <w:sz w:val="28"/>
          <w:szCs w:val="28"/>
        </w:rPr>
        <w:t>为载体的农文旅融合发展思路，围绕</w:t>
      </w:r>
      <w:r>
        <w:rPr>
          <w:rFonts w:hint="eastAsia"/>
          <w:kern w:val="0"/>
          <w:sz w:val="28"/>
          <w:szCs w:val="28"/>
        </w:rPr>
        <w:t>“</w:t>
      </w:r>
      <w:r>
        <w:rPr>
          <w:kern w:val="0"/>
          <w:sz w:val="28"/>
          <w:szCs w:val="28"/>
        </w:rPr>
        <w:t>巴山原乡·生态城口</w:t>
      </w:r>
      <w:r>
        <w:rPr>
          <w:rFonts w:hint="eastAsia"/>
          <w:kern w:val="0"/>
          <w:sz w:val="28"/>
          <w:szCs w:val="28"/>
        </w:rPr>
        <w:t>”</w:t>
      </w:r>
      <w:r>
        <w:rPr>
          <w:kern w:val="0"/>
          <w:sz w:val="28"/>
          <w:szCs w:val="28"/>
        </w:rPr>
        <w:t>发展定位，坚持把农文旅融合发展作为推进生态产业发展的引领产业，实现农文旅融合高端化价值化发展。</w:t>
      </w:r>
    </w:p>
    <w:p w14:paraId="5C5491B9">
      <w:pPr>
        <w:spacing w:line="480" w:lineRule="exact"/>
        <w:ind w:firstLine="560" w:firstLineChars="200"/>
        <w:rPr>
          <w:kern w:val="0"/>
          <w:sz w:val="28"/>
          <w:szCs w:val="28"/>
        </w:rPr>
      </w:pPr>
      <w:r>
        <w:rPr>
          <w:kern w:val="0"/>
          <w:sz w:val="28"/>
          <w:szCs w:val="28"/>
        </w:rPr>
        <w:t>树立全域旅游观念，依托特色农业、自然生态、传统文化等资源，深入发掘农业农村在生态涵养、休闲观光、文化体验、养老服务等多种功能和多重价值，培育多样业态。构建以县城为核心、以</w:t>
      </w:r>
      <w:r>
        <w:rPr>
          <w:rFonts w:hint="eastAsia"/>
          <w:kern w:val="0"/>
          <w:sz w:val="28"/>
          <w:szCs w:val="28"/>
        </w:rPr>
        <w:t>“</w:t>
      </w:r>
      <w:r>
        <w:rPr>
          <w:kern w:val="0"/>
          <w:sz w:val="28"/>
          <w:szCs w:val="28"/>
        </w:rPr>
        <w:t>任河流域</w:t>
      </w:r>
      <w:r>
        <w:rPr>
          <w:rFonts w:hint="eastAsia"/>
          <w:kern w:val="0"/>
          <w:sz w:val="28"/>
          <w:szCs w:val="28"/>
        </w:rPr>
        <w:t>”</w:t>
      </w:r>
      <w:r>
        <w:rPr>
          <w:kern w:val="0"/>
          <w:sz w:val="28"/>
          <w:szCs w:val="28"/>
        </w:rPr>
        <w:t>和</w:t>
      </w:r>
      <w:r>
        <w:rPr>
          <w:rFonts w:hint="eastAsia"/>
          <w:kern w:val="0"/>
          <w:sz w:val="28"/>
          <w:szCs w:val="28"/>
        </w:rPr>
        <w:t>“</w:t>
      </w:r>
      <w:r>
        <w:rPr>
          <w:kern w:val="0"/>
          <w:sz w:val="28"/>
          <w:szCs w:val="28"/>
        </w:rPr>
        <w:t>两高通道</w:t>
      </w:r>
      <w:r>
        <w:rPr>
          <w:rFonts w:hint="eastAsia"/>
          <w:kern w:val="0"/>
          <w:sz w:val="28"/>
          <w:szCs w:val="28"/>
        </w:rPr>
        <w:t>”</w:t>
      </w:r>
      <w:r>
        <w:rPr>
          <w:kern w:val="0"/>
          <w:sz w:val="28"/>
          <w:szCs w:val="28"/>
        </w:rPr>
        <w:t>为农文旅融合发展带、以</w:t>
      </w:r>
      <w:r>
        <w:rPr>
          <w:rFonts w:hint="eastAsia"/>
          <w:kern w:val="0"/>
          <w:sz w:val="28"/>
          <w:szCs w:val="28"/>
        </w:rPr>
        <w:t>“</w:t>
      </w:r>
      <w:r>
        <w:rPr>
          <w:kern w:val="0"/>
          <w:sz w:val="28"/>
          <w:szCs w:val="28"/>
        </w:rPr>
        <w:t>大九重山</w:t>
      </w:r>
      <w:r>
        <w:rPr>
          <w:rFonts w:hint="eastAsia"/>
          <w:kern w:val="0"/>
          <w:sz w:val="28"/>
          <w:szCs w:val="28"/>
        </w:rPr>
        <w:t>”“</w:t>
      </w:r>
      <w:r>
        <w:rPr>
          <w:kern w:val="0"/>
          <w:sz w:val="28"/>
          <w:szCs w:val="28"/>
        </w:rPr>
        <w:t>亢谷—亢家寨</w:t>
      </w:r>
      <w:r>
        <w:rPr>
          <w:rFonts w:hint="eastAsia"/>
          <w:kern w:val="0"/>
          <w:sz w:val="28"/>
          <w:szCs w:val="28"/>
        </w:rPr>
        <w:t>”“</w:t>
      </w:r>
      <w:r>
        <w:rPr>
          <w:kern w:val="0"/>
          <w:sz w:val="28"/>
          <w:szCs w:val="28"/>
        </w:rPr>
        <w:t>大巴山湖</w:t>
      </w:r>
      <w:r>
        <w:rPr>
          <w:rFonts w:hint="eastAsia"/>
          <w:kern w:val="0"/>
          <w:sz w:val="28"/>
          <w:szCs w:val="28"/>
        </w:rPr>
        <w:t>”</w:t>
      </w:r>
      <w:r>
        <w:rPr>
          <w:kern w:val="0"/>
          <w:sz w:val="28"/>
          <w:szCs w:val="28"/>
        </w:rPr>
        <w:t>为农文旅融合发展带动片，以全县微田园综合体为农文旅融合点的</w:t>
      </w:r>
      <w:r>
        <w:rPr>
          <w:rFonts w:hint="eastAsia"/>
          <w:kern w:val="0"/>
          <w:sz w:val="28"/>
          <w:szCs w:val="28"/>
        </w:rPr>
        <w:t>“</w:t>
      </w:r>
      <w:r>
        <w:rPr>
          <w:kern w:val="0"/>
          <w:sz w:val="28"/>
          <w:szCs w:val="28"/>
        </w:rPr>
        <w:t>一核·两带·三片·多点</w:t>
      </w:r>
      <w:r>
        <w:rPr>
          <w:rFonts w:hint="eastAsia"/>
          <w:kern w:val="0"/>
          <w:sz w:val="28"/>
          <w:szCs w:val="28"/>
        </w:rPr>
        <w:t>”</w:t>
      </w:r>
      <w:r>
        <w:rPr>
          <w:kern w:val="0"/>
          <w:sz w:val="28"/>
          <w:szCs w:val="28"/>
        </w:rPr>
        <w:t>全域旅游格局。创建亢家寨国家5A级旅游景区、土城老街国家4A级旅游景区和亢谷国家级旅游度假区，高标准推进九重山国家5A级旅游景区建设。开发县城、庙坝、坪坝、双河、高燕红军村红色旅游精品线路。提档升级修齐神谷道、九重花岭、乡土岚天三大精品旅游景区。加快培育打造巴山湖旅游景区。</w:t>
      </w:r>
    </w:p>
    <w:p w14:paraId="1455B10D">
      <w:pPr>
        <w:spacing w:line="480" w:lineRule="exact"/>
        <w:ind w:firstLine="560" w:firstLineChars="200"/>
        <w:rPr>
          <w:kern w:val="0"/>
          <w:sz w:val="28"/>
          <w:szCs w:val="28"/>
        </w:rPr>
      </w:pPr>
      <w:r>
        <w:rPr>
          <w:kern w:val="0"/>
          <w:sz w:val="28"/>
          <w:szCs w:val="28"/>
        </w:rPr>
        <w:t>实施大巴山森林人家提质行动，建立标准化的运营管理体系，鼓励高端民宿、康养机构发展。依托独特的自然资源和文化资源，大力发展游学、自然教育等产业形态。重视文化创意产业发展，充分挖掘本地资源和工匠技术，结合外来人才和创意，建立乡村创业空间、创意工坊，开发高附加值文创产品。突出</w:t>
      </w:r>
      <w:r>
        <w:rPr>
          <w:rFonts w:hint="eastAsia"/>
          <w:kern w:val="0"/>
          <w:sz w:val="28"/>
          <w:szCs w:val="28"/>
        </w:rPr>
        <w:t>“</w:t>
      </w:r>
      <w:r>
        <w:rPr>
          <w:kern w:val="0"/>
          <w:sz w:val="28"/>
          <w:szCs w:val="28"/>
        </w:rPr>
        <w:t>巴山、生态、康养、原乡、人文、红色</w:t>
      </w:r>
      <w:r>
        <w:rPr>
          <w:rFonts w:hint="eastAsia"/>
          <w:kern w:val="0"/>
          <w:sz w:val="28"/>
          <w:szCs w:val="28"/>
        </w:rPr>
        <w:t>”</w:t>
      </w:r>
      <w:r>
        <w:rPr>
          <w:kern w:val="0"/>
          <w:sz w:val="28"/>
          <w:szCs w:val="28"/>
        </w:rPr>
        <w:t>特质，打造</w:t>
      </w:r>
      <w:r>
        <w:rPr>
          <w:rFonts w:hint="eastAsia"/>
          <w:kern w:val="0"/>
          <w:sz w:val="28"/>
          <w:szCs w:val="28"/>
        </w:rPr>
        <w:t>“</w:t>
      </w:r>
      <w:r>
        <w:rPr>
          <w:kern w:val="0"/>
          <w:sz w:val="28"/>
          <w:szCs w:val="28"/>
        </w:rPr>
        <w:t>巴山原乡</w:t>
      </w:r>
      <w:r>
        <w:rPr>
          <w:rFonts w:hint="eastAsia"/>
          <w:kern w:val="0"/>
          <w:sz w:val="28"/>
          <w:szCs w:val="28"/>
        </w:rPr>
        <w:t>”</w:t>
      </w:r>
      <w:r>
        <w:rPr>
          <w:kern w:val="0"/>
          <w:sz w:val="28"/>
          <w:szCs w:val="28"/>
        </w:rPr>
        <w:t>（观光）、</w:t>
      </w:r>
      <w:r>
        <w:rPr>
          <w:rFonts w:hint="eastAsia"/>
          <w:kern w:val="0"/>
          <w:sz w:val="28"/>
          <w:szCs w:val="28"/>
        </w:rPr>
        <w:t>“</w:t>
      </w:r>
      <w:r>
        <w:rPr>
          <w:kern w:val="0"/>
          <w:sz w:val="28"/>
          <w:szCs w:val="28"/>
        </w:rPr>
        <w:t>巴山原宿</w:t>
      </w:r>
      <w:r>
        <w:rPr>
          <w:rFonts w:hint="eastAsia"/>
          <w:kern w:val="0"/>
          <w:sz w:val="28"/>
          <w:szCs w:val="28"/>
        </w:rPr>
        <w:t>”</w:t>
      </w:r>
      <w:r>
        <w:rPr>
          <w:kern w:val="0"/>
          <w:sz w:val="28"/>
          <w:szCs w:val="28"/>
        </w:rPr>
        <w:t>（民宿）、</w:t>
      </w:r>
      <w:r>
        <w:rPr>
          <w:rFonts w:hint="eastAsia"/>
          <w:kern w:val="0"/>
          <w:sz w:val="28"/>
          <w:szCs w:val="28"/>
        </w:rPr>
        <w:t>“</w:t>
      </w:r>
      <w:r>
        <w:rPr>
          <w:kern w:val="0"/>
          <w:sz w:val="28"/>
          <w:szCs w:val="28"/>
        </w:rPr>
        <w:t>巴山原味</w:t>
      </w:r>
      <w:r>
        <w:rPr>
          <w:rFonts w:hint="eastAsia"/>
          <w:kern w:val="0"/>
          <w:sz w:val="28"/>
          <w:szCs w:val="28"/>
        </w:rPr>
        <w:t>”</w:t>
      </w:r>
      <w:r>
        <w:rPr>
          <w:kern w:val="0"/>
          <w:sz w:val="28"/>
          <w:szCs w:val="28"/>
        </w:rPr>
        <w:t>（餐饮）、</w:t>
      </w:r>
      <w:r>
        <w:rPr>
          <w:rFonts w:hint="eastAsia"/>
          <w:kern w:val="0"/>
          <w:sz w:val="28"/>
          <w:szCs w:val="28"/>
        </w:rPr>
        <w:t>“</w:t>
      </w:r>
      <w:r>
        <w:rPr>
          <w:kern w:val="0"/>
          <w:sz w:val="28"/>
          <w:szCs w:val="28"/>
        </w:rPr>
        <w:t>巴山工匠</w:t>
      </w:r>
      <w:r>
        <w:rPr>
          <w:rFonts w:hint="eastAsia"/>
          <w:kern w:val="0"/>
          <w:sz w:val="28"/>
          <w:szCs w:val="28"/>
        </w:rPr>
        <w:t>”</w:t>
      </w:r>
      <w:r>
        <w:rPr>
          <w:kern w:val="0"/>
          <w:sz w:val="28"/>
          <w:szCs w:val="28"/>
        </w:rPr>
        <w:t>（手工艺）特色名片，与</w:t>
      </w:r>
      <w:r>
        <w:rPr>
          <w:rFonts w:hint="eastAsia"/>
          <w:kern w:val="0"/>
          <w:sz w:val="28"/>
          <w:szCs w:val="28"/>
        </w:rPr>
        <w:t>“</w:t>
      </w:r>
      <w:r>
        <w:rPr>
          <w:kern w:val="0"/>
          <w:sz w:val="28"/>
          <w:szCs w:val="28"/>
        </w:rPr>
        <w:t>大巴山硒谷</w:t>
      </w:r>
      <w:r>
        <w:rPr>
          <w:rFonts w:hint="eastAsia"/>
          <w:kern w:val="0"/>
          <w:sz w:val="28"/>
          <w:szCs w:val="28"/>
        </w:rPr>
        <w:t>”</w:t>
      </w:r>
      <w:r>
        <w:rPr>
          <w:kern w:val="0"/>
          <w:sz w:val="28"/>
          <w:szCs w:val="28"/>
        </w:rPr>
        <w:t>生态农产品品牌和</w:t>
      </w:r>
      <w:r>
        <w:rPr>
          <w:rFonts w:hint="eastAsia"/>
          <w:kern w:val="0"/>
          <w:sz w:val="28"/>
          <w:szCs w:val="28"/>
        </w:rPr>
        <w:t>“</w:t>
      </w:r>
      <w:r>
        <w:rPr>
          <w:kern w:val="0"/>
          <w:sz w:val="28"/>
          <w:szCs w:val="28"/>
        </w:rPr>
        <w:t>大巴山药谷</w:t>
      </w:r>
      <w:r>
        <w:rPr>
          <w:rFonts w:hint="eastAsia"/>
          <w:kern w:val="0"/>
          <w:sz w:val="28"/>
          <w:szCs w:val="28"/>
        </w:rPr>
        <w:t>”</w:t>
      </w:r>
      <w:r>
        <w:rPr>
          <w:kern w:val="0"/>
          <w:sz w:val="28"/>
          <w:szCs w:val="28"/>
        </w:rPr>
        <w:t>道地中药材品牌一道，构建生态城口对外识别品牌体系。重视营销推介，充分利用互联网低成本营销渠道和口碑效应，形成</w:t>
      </w:r>
      <w:r>
        <w:rPr>
          <w:rFonts w:hint="eastAsia"/>
          <w:kern w:val="0"/>
          <w:sz w:val="28"/>
          <w:szCs w:val="28"/>
        </w:rPr>
        <w:t>“</w:t>
      </w:r>
      <w:r>
        <w:rPr>
          <w:kern w:val="0"/>
          <w:sz w:val="28"/>
          <w:szCs w:val="28"/>
        </w:rPr>
        <w:t>四季有赛事，月月有活动</w:t>
      </w:r>
      <w:r>
        <w:rPr>
          <w:rFonts w:hint="eastAsia"/>
          <w:kern w:val="0"/>
          <w:sz w:val="28"/>
          <w:szCs w:val="28"/>
        </w:rPr>
        <w:t>”</w:t>
      </w:r>
      <w:r>
        <w:rPr>
          <w:kern w:val="0"/>
          <w:sz w:val="28"/>
          <w:szCs w:val="28"/>
        </w:rPr>
        <w:t>的宣传态势。到2025年产业融合框架体系初步建立，乡村产业兴旺局面开始显现。</w:t>
      </w:r>
    </w:p>
    <w:p w14:paraId="671BA635">
      <w:pPr>
        <w:adjustRightInd w:val="0"/>
        <w:spacing w:line="480" w:lineRule="exact"/>
        <w:ind w:firstLine="624"/>
        <w:rPr>
          <w:rFonts w:eastAsia="宋体"/>
          <w:kern w:val="0"/>
          <w:sz w:val="28"/>
          <w:szCs w:val="28"/>
        </w:rPr>
      </w:pPr>
    </w:p>
    <w:p w14:paraId="70EC089E">
      <w:pPr>
        <w:pStyle w:val="4"/>
        <w:spacing w:line="480" w:lineRule="exact"/>
        <w:ind w:firstLine="0"/>
        <w:rPr>
          <w:bCs w:val="0"/>
          <w:sz w:val="36"/>
          <w:szCs w:val="36"/>
        </w:rPr>
      </w:pPr>
      <w:bookmarkStart w:id="74" w:name="_Toc25860"/>
      <w:r>
        <w:rPr>
          <w:bCs w:val="0"/>
          <w:sz w:val="36"/>
          <w:szCs w:val="36"/>
        </w:rPr>
        <w:t>第十二章  推进生态产品价值实现</w:t>
      </w:r>
      <w:bookmarkEnd w:id="74"/>
    </w:p>
    <w:p w14:paraId="453DE273">
      <w:pPr>
        <w:spacing w:line="480" w:lineRule="exact"/>
      </w:pPr>
    </w:p>
    <w:p w14:paraId="7E4E7FC4">
      <w:pPr>
        <w:spacing w:line="480" w:lineRule="exact"/>
        <w:ind w:firstLine="560" w:firstLineChars="200"/>
        <w:rPr>
          <w:kern w:val="0"/>
          <w:sz w:val="28"/>
          <w:szCs w:val="28"/>
        </w:rPr>
      </w:pPr>
      <w:r>
        <w:rPr>
          <w:kern w:val="0"/>
          <w:sz w:val="28"/>
          <w:szCs w:val="28"/>
        </w:rPr>
        <w:t>充分利用城口生态资源富集条件，变劣势为优势，发挥现代资本市场作用，借助承担市委全面深化改革委员会生态资源价值实现试点任务机遇，争取上位政策支持，实现从生态资源到生态资产再到生态资本的跃升。</w:t>
      </w:r>
    </w:p>
    <w:p w14:paraId="0E3BE14F">
      <w:pPr>
        <w:pStyle w:val="5"/>
        <w:spacing w:line="480" w:lineRule="exact"/>
        <w:jc w:val="center"/>
        <w:rPr>
          <w:rFonts w:eastAsia="方正黑体_GBK"/>
          <w:b w:val="0"/>
          <w:bCs w:val="0"/>
        </w:rPr>
      </w:pPr>
      <w:bookmarkStart w:id="75" w:name="_Toc2281"/>
      <w:r>
        <w:rPr>
          <w:rFonts w:eastAsia="方正黑体_GBK"/>
          <w:b w:val="0"/>
          <w:bCs w:val="0"/>
        </w:rPr>
        <w:t>第一节  完善生态资源相关指标体系</w:t>
      </w:r>
      <w:bookmarkEnd w:id="75"/>
    </w:p>
    <w:p w14:paraId="35A4DDF2">
      <w:pPr>
        <w:spacing w:line="480" w:lineRule="exact"/>
        <w:ind w:firstLine="560" w:firstLineChars="200"/>
        <w:rPr>
          <w:kern w:val="0"/>
          <w:sz w:val="28"/>
          <w:szCs w:val="28"/>
        </w:rPr>
      </w:pPr>
      <w:r>
        <w:rPr>
          <w:kern w:val="0"/>
          <w:sz w:val="28"/>
          <w:szCs w:val="28"/>
        </w:rPr>
        <w:t>加大城口县域生态资源调查，摸清动植物种类、数量等信息，建立全域生态资源动态数据库。开展生态产品价值评估，先期以森林资源统计和评估作为试点，建立全域森林资源数据库和指标，聘请专业机构对森林资源价值进行测算与评估。建立GEP（生态系统生产总值）指标与核算体系，并将相关体系应用于日常工作和国民经济统计工作之中。</w:t>
      </w:r>
    </w:p>
    <w:p w14:paraId="7EB83670">
      <w:pPr>
        <w:pStyle w:val="5"/>
        <w:spacing w:line="480" w:lineRule="exact"/>
        <w:jc w:val="center"/>
        <w:rPr>
          <w:rFonts w:eastAsia="方正黑体_GBK"/>
          <w:b w:val="0"/>
          <w:bCs w:val="0"/>
        </w:rPr>
      </w:pPr>
      <w:bookmarkStart w:id="76" w:name="_Toc20641"/>
      <w:r>
        <w:rPr>
          <w:rFonts w:eastAsia="方正黑体_GBK"/>
          <w:b w:val="0"/>
          <w:bCs w:val="0"/>
        </w:rPr>
        <w:t>第二节  建立生态指标交易市场</w:t>
      </w:r>
      <w:bookmarkEnd w:id="76"/>
    </w:p>
    <w:p w14:paraId="797A6ED0">
      <w:pPr>
        <w:spacing w:line="480" w:lineRule="exact"/>
        <w:rPr>
          <w:kern w:val="0"/>
          <w:sz w:val="28"/>
          <w:szCs w:val="28"/>
        </w:rPr>
      </w:pPr>
      <w:r>
        <w:rPr>
          <w:rFonts w:eastAsia="宋体"/>
          <w:kern w:val="0"/>
          <w:sz w:val="28"/>
          <w:szCs w:val="28"/>
        </w:rPr>
        <w:t xml:space="preserve">   </w:t>
      </w:r>
      <w:r>
        <w:rPr>
          <w:kern w:val="0"/>
          <w:sz w:val="28"/>
          <w:szCs w:val="28"/>
        </w:rPr>
        <w:t xml:space="preserve"> 积极利用政策形成的市场空间，争取中央和市级支持，开展域内以及跨区域横向生态补偿和交易试点，探索森林覆盖率指标、水生态、水资源和碳排放权等补偿交易。重点探索森林覆盖率指标在市域范围内各区县间的交易。推进生态资源资产产权确权、生态资产价值评估、生态资产市场定价三大制度改革，强化生态产品价值实现基础。积极争取标准化生态资源、资产在重庆联合产权交易所挂牌交易。</w:t>
      </w:r>
    </w:p>
    <w:p w14:paraId="5A0F0941">
      <w:pPr>
        <w:pStyle w:val="5"/>
        <w:spacing w:line="480" w:lineRule="exact"/>
        <w:jc w:val="center"/>
        <w:rPr>
          <w:rFonts w:eastAsia="方正黑体_GBK"/>
          <w:b w:val="0"/>
          <w:bCs w:val="0"/>
        </w:rPr>
      </w:pPr>
      <w:bookmarkStart w:id="77" w:name="_Toc14513"/>
      <w:r>
        <w:rPr>
          <w:rFonts w:eastAsia="方正黑体_GBK"/>
          <w:b w:val="0"/>
          <w:bCs w:val="0"/>
        </w:rPr>
        <w:t>第三节  开展生态资源资本化试点</w:t>
      </w:r>
      <w:bookmarkEnd w:id="77"/>
    </w:p>
    <w:p w14:paraId="5400B248">
      <w:pPr>
        <w:spacing w:line="480" w:lineRule="exact"/>
        <w:ind w:firstLine="560" w:firstLineChars="200"/>
        <w:rPr>
          <w:kern w:val="0"/>
          <w:sz w:val="28"/>
          <w:szCs w:val="28"/>
        </w:rPr>
      </w:pPr>
      <w:r>
        <w:rPr>
          <w:kern w:val="0"/>
          <w:sz w:val="28"/>
          <w:szCs w:val="28"/>
        </w:rPr>
        <w:t>探索建立</w:t>
      </w:r>
      <w:r>
        <w:rPr>
          <w:rFonts w:hint="eastAsia"/>
          <w:kern w:val="0"/>
          <w:sz w:val="28"/>
          <w:szCs w:val="28"/>
        </w:rPr>
        <w:t>“</w:t>
      </w:r>
      <w:r>
        <w:rPr>
          <w:kern w:val="0"/>
          <w:sz w:val="28"/>
          <w:szCs w:val="28"/>
        </w:rPr>
        <w:t>生态银行</w:t>
      </w:r>
      <w:r>
        <w:rPr>
          <w:rFonts w:hint="eastAsia"/>
          <w:kern w:val="0"/>
          <w:sz w:val="28"/>
          <w:szCs w:val="28"/>
        </w:rPr>
        <w:t>”</w:t>
      </w:r>
      <w:r>
        <w:rPr>
          <w:kern w:val="0"/>
          <w:sz w:val="28"/>
          <w:szCs w:val="28"/>
        </w:rPr>
        <w:t>，集中村民和村庄分散生态资源，依托重大项目实现整体开发和增值。开展</w:t>
      </w:r>
      <w:r>
        <w:rPr>
          <w:rFonts w:hint="eastAsia"/>
          <w:kern w:val="0"/>
          <w:sz w:val="28"/>
          <w:szCs w:val="28"/>
        </w:rPr>
        <w:t>“</w:t>
      </w:r>
      <w:r>
        <w:rPr>
          <w:kern w:val="0"/>
          <w:sz w:val="28"/>
          <w:szCs w:val="28"/>
        </w:rPr>
        <w:t>林票</w:t>
      </w:r>
      <w:r>
        <w:rPr>
          <w:rFonts w:hint="eastAsia"/>
          <w:kern w:val="0"/>
          <w:sz w:val="28"/>
          <w:szCs w:val="28"/>
        </w:rPr>
        <w:t>”</w:t>
      </w:r>
      <w:r>
        <w:rPr>
          <w:kern w:val="0"/>
          <w:sz w:val="28"/>
          <w:szCs w:val="28"/>
        </w:rPr>
        <w:t>、</w:t>
      </w:r>
      <w:r>
        <w:rPr>
          <w:rFonts w:hint="eastAsia"/>
          <w:kern w:val="0"/>
          <w:sz w:val="28"/>
          <w:szCs w:val="28"/>
        </w:rPr>
        <w:t>“</w:t>
      </w:r>
      <w:r>
        <w:rPr>
          <w:kern w:val="0"/>
          <w:sz w:val="28"/>
          <w:szCs w:val="28"/>
        </w:rPr>
        <w:t>地票</w:t>
      </w:r>
      <w:r>
        <w:rPr>
          <w:rFonts w:hint="eastAsia"/>
          <w:kern w:val="0"/>
          <w:sz w:val="28"/>
          <w:szCs w:val="28"/>
        </w:rPr>
        <w:t>”</w:t>
      </w:r>
      <w:r>
        <w:rPr>
          <w:kern w:val="0"/>
          <w:sz w:val="28"/>
          <w:szCs w:val="28"/>
        </w:rPr>
        <w:t>和</w:t>
      </w:r>
      <w:r>
        <w:rPr>
          <w:rFonts w:hint="eastAsia"/>
          <w:kern w:val="0"/>
          <w:sz w:val="28"/>
          <w:szCs w:val="28"/>
        </w:rPr>
        <w:t>“</w:t>
      </w:r>
      <w:r>
        <w:rPr>
          <w:kern w:val="0"/>
          <w:sz w:val="28"/>
          <w:szCs w:val="28"/>
        </w:rPr>
        <w:t>房票</w:t>
      </w:r>
      <w:r>
        <w:rPr>
          <w:rFonts w:hint="eastAsia"/>
          <w:kern w:val="0"/>
          <w:sz w:val="28"/>
          <w:szCs w:val="28"/>
        </w:rPr>
        <w:t>”</w:t>
      </w:r>
      <w:r>
        <w:rPr>
          <w:kern w:val="0"/>
          <w:sz w:val="28"/>
          <w:szCs w:val="28"/>
        </w:rPr>
        <w:t>试点。积极推进国家林业局、国家开发银行和重庆市共建500万亩国家储备林指标在城口落地，</w:t>
      </w:r>
      <w:r>
        <w:rPr>
          <w:sz w:val="28"/>
          <w:szCs w:val="28"/>
        </w:rPr>
        <w:t>创新搭建</w:t>
      </w:r>
      <w:r>
        <w:rPr>
          <w:rFonts w:hint="eastAsia"/>
          <w:sz w:val="28"/>
          <w:szCs w:val="28"/>
        </w:rPr>
        <w:t>“</w:t>
      </w:r>
      <w:r>
        <w:rPr>
          <w:sz w:val="28"/>
          <w:szCs w:val="28"/>
        </w:rPr>
        <w:t>国储林+N</w:t>
      </w:r>
      <w:r>
        <w:rPr>
          <w:rFonts w:hint="eastAsia"/>
          <w:sz w:val="28"/>
          <w:szCs w:val="28"/>
        </w:rPr>
        <w:t>”</w:t>
      </w:r>
      <w:r>
        <w:rPr>
          <w:sz w:val="28"/>
          <w:szCs w:val="28"/>
        </w:rPr>
        <w:t>全产业链发展平台</w:t>
      </w:r>
      <w:r>
        <w:rPr>
          <w:kern w:val="0"/>
          <w:sz w:val="28"/>
          <w:szCs w:val="28"/>
        </w:rPr>
        <w:t>。选择优质生态产品引入资本市场，研究建立特色生态资源与产品产权交易市场和平台，探索发展经济林、特色农产品期货产品和市场，解决生态建设和乡村振兴工作融资难问题。</w:t>
      </w:r>
    </w:p>
    <w:p w14:paraId="1DDDC1B5">
      <w:pPr>
        <w:spacing w:line="480" w:lineRule="exact"/>
        <w:jc w:val="center"/>
        <w:rPr>
          <w:rFonts w:eastAsia="黑体"/>
          <w:sz w:val="28"/>
          <w:szCs w:val="28"/>
        </w:rPr>
      </w:pPr>
    </w:p>
    <w:p w14:paraId="0EA85769">
      <w:pPr>
        <w:pStyle w:val="4"/>
        <w:spacing w:line="480" w:lineRule="exact"/>
        <w:ind w:firstLine="0"/>
        <w:rPr>
          <w:bCs w:val="0"/>
          <w:sz w:val="36"/>
          <w:szCs w:val="36"/>
        </w:rPr>
      </w:pPr>
      <w:bookmarkStart w:id="78" w:name="_Toc30341"/>
      <w:r>
        <w:rPr>
          <w:bCs w:val="0"/>
          <w:sz w:val="36"/>
          <w:szCs w:val="36"/>
        </w:rPr>
        <w:t>第十三章  建立完善现代农业经营体系</w:t>
      </w:r>
      <w:bookmarkEnd w:id="78"/>
    </w:p>
    <w:p w14:paraId="3F8AA454">
      <w:pPr>
        <w:spacing w:line="480" w:lineRule="exact"/>
        <w:ind w:firstLine="560" w:firstLineChars="200"/>
        <w:rPr>
          <w:kern w:val="0"/>
          <w:sz w:val="28"/>
          <w:szCs w:val="28"/>
        </w:rPr>
      </w:pPr>
      <w:r>
        <w:rPr>
          <w:kern w:val="0"/>
          <w:sz w:val="28"/>
          <w:szCs w:val="28"/>
        </w:rPr>
        <w:t>巩固和完善农村基本经营制度，建立健全以家庭经营为基础、合作与联合为纽带、社会化服务为支撑的立体式复合型现代农业经营体系，实现小农户与现代农业有效衔接。</w:t>
      </w:r>
    </w:p>
    <w:p w14:paraId="1CE9A7F0">
      <w:pPr>
        <w:pStyle w:val="5"/>
        <w:spacing w:line="480" w:lineRule="exact"/>
        <w:jc w:val="center"/>
        <w:rPr>
          <w:rFonts w:eastAsia="方正黑体_GBK"/>
          <w:b w:val="0"/>
          <w:bCs w:val="0"/>
        </w:rPr>
      </w:pPr>
      <w:bookmarkStart w:id="79" w:name="_Toc32749"/>
      <w:r>
        <w:rPr>
          <w:rFonts w:eastAsia="方正黑体_GBK"/>
          <w:b w:val="0"/>
          <w:bCs w:val="0"/>
        </w:rPr>
        <w:t>第一节  发展壮大新型农业经营主体</w:t>
      </w:r>
      <w:bookmarkEnd w:id="79"/>
    </w:p>
    <w:p w14:paraId="78541293">
      <w:pPr>
        <w:spacing w:line="480" w:lineRule="exact"/>
        <w:ind w:firstLine="560" w:firstLineChars="200"/>
        <w:rPr>
          <w:rFonts w:eastAsia="方正黑体_GBK"/>
        </w:rPr>
      </w:pPr>
      <w:r>
        <w:rPr>
          <w:kern w:val="0"/>
          <w:sz w:val="28"/>
          <w:szCs w:val="28"/>
        </w:rPr>
        <w:t>鼓励新型职业农民、农村经纪人、高校毕业生、退役军人、返乡创业农民工以及农业科技人员从事农业创业，采取流转土地、投资入股、合作经营等多种方式发展适度规模种养大户。鼓励和支持种养大户按照</w:t>
      </w:r>
      <w:r>
        <w:rPr>
          <w:rFonts w:hint="eastAsia"/>
          <w:kern w:val="0"/>
          <w:sz w:val="28"/>
          <w:szCs w:val="28"/>
        </w:rPr>
        <w:t>“</w:t>
      </w:r>
      <w:r>
        <w:rPr>
          <w:kern w:val="0"/>
          <w:sz w:val="28"/>
          <w:szCs w:val="28"/>
        </w:rPr>
        <w:t>家庭经营、一业为主、规模适度、集约生产</w:t>
      </w:r>
      <w:r>
        <w:rPr>
          <w:rFonts w:hint="eastAsia"/>
          <w:kern w:val="0"/>
          <w:sz w:val="28"/>
          <w:szCs w:val="28"/>
        </w:rPr>
        <w:t>”</w:t>
      </w:r>
      <w:r>
        <w:rPr>
          <w:kern w:val="0"/>
          <w:sz w:val="28"/>
          <w:szCs w:val="28"/>
        </w:rPr>
        <w:t>的要求成立家庭农场。大力发展专业合作、股份合作、社区合作、供销合作、信用合作等多种形式的农民合作社，推动生产合作、区域合作和同业联合发展。开展农民合作社示范社创建行动，鼓励</w:t>
      </w:r>
      <w:r>
        <w:rPr>
          <w:rFonts w:hint="eastAsia"/>
          <w:kern w:val="0"/>
          <w:sz w:val="28"/>
          <w:szCs w:val="28"/>
        </w:rPr>
        <w:t>“</w:t>
      </w:r>
      <w:r>
        <w:rPr>
          <w:kern w:val="0"/>
          <w:sz w:val="28"/>
          <w:szCs w:val="28"/>
        </w:rPr>
        <w:t>三社融合</w:t>
      </w:r>
      <w:r>
        <w:rPr>
          <w:rFonts w:hint="eastAsia"/>
          <w:kern w:val="0"/>
          <w:sz w:val="28"/>
          <w:szCs w:val="28"/>
        </w:rPr>
        <w:t>”</w:t>
      </w:r>
      <w:r>
        <w:rPr>
          <w:kern w:val="0"/>
          <w:sz w:val="28"/>
          <w:szCs w:val="28"/>
        </w:rPr>
        <w:t>发展，到2025年创建农村综合合作示范社20个。围绕核桃、山地鸡、老腊肉等特色产业，重点培育产业链条长、产品附加值高、品牌影响力大、带动性强的农业产业化龙头企业。鼓励农业企业、合作社、新型经营主体同业联合，成立行业协会和商会，引导相关主体集群式发展。扶持一批规模较大、成长性好、有发展潜力、有上市意愿的企业赴创业板、中小板或主板挂牌上市，争取2025年实现上市涉农企业零突破。</w:t>
      </w:r>
    </w:p>
    <w:p w14:paraId="108DF150">
      <w:pPr>
        <w:pStyle w:val="5"/>
        <w:spacing w:line="480" w:lineRule="exact"/>
        <w:jc w:val="center"/>
        <w:rPr>
          <w:rFonts w:eastAsia="方正黑体_GBK"/>
          <w:b w:val="0"/>
          <w:bCs w:val="0"/>
        </w:rPr>
      </w:pPr>
      <w:bookmarkStart w:id="80" w:name="_Toc521352257"/>
      <w:bookmarkStart w:id="81" w:name="_Toc522042992"/>
      <w:bookmarkStart w:id="82" w:name="_Toc521853531"/>
      <w:bookmarkStart w:id="83" w:name="_Toc27708"/>
      <w:bookmarkStart w:id="84" w:name="_Toc521865047"/>
      <w:bookmarkStart w:id="85" w:name="_Toc519079717"/>
      <w:r>
        <w:rPr>
          <w:rFonts w:eastAsia="方正黑体_GBK"/>
          <w:b w:val="0"/>
          <w:bCs w:val="0"/>
        </w:rPr>
        <w:t>第二节  发展新型农村集体经济</w:t>
      </w:r>
      <w:bookmarkEnd w:id="80"/>
      <w:bookmarkEnd w:id="81"/>
      <w:bookmarkEnd w:id="82"/>
      <w:bookmarkEnd w:id="83"/>
      <w:bookmarkEnd w:id="84"/>
      <w:bookmarkEnd w:id="85"/>
    </w:p>
    <w:p w14:paraId="267AA169">
      <w:pPr>
        <w:spacing w:line="480" w:lineRule="exact"/>
        <w:ind w:firstLine="560" w:firstLineChars="200"/>
        <w:rPr>
          <w:kern w:val="0"/>
          <w:sz w:val="28"/>
          <w:szCs w:val="28"/>
        </w:rPr>
      </w:pPr>
      <w:r>
        <w:rPr>
          <w:kern w:val="0"/>
          <w:sz w:val="28"/>
          <w:szCs w:val="28"/>
        </w:rPr>
        <w:t>做实农村集体经济组织，发展壮大农村集体经济。在全面完成农村集体经济组织登记赋码工作基础上，进一步明确集体经济组织的市场主体地位和权能。探索村民委员会事务和集体经济事务分离制度。鼓励农村集体经济组织以可支配的资源、资产、资金等要素为依托，组建股份公司和股份合作社、产业联合体、协会等各类合作经济组织。鼓励农村集体经济组织充分利用本集体拥有的林场、土地等资源，特别是未承包到户的集体</w:t>
      </w:r>
      <w:r>
        <w:rPr>
          <w:rFonts w:hint="eastAsia"/>
          <w:kern w:val="0"/>
          <w:sz w:val="28"/>
          <w:szCs w:val="28"/>
        </w:rPr>
        <w:t>“</w:t>
      </w:r>
      <w:r>
        <w:rPr>
          <w:kern w:val="0"/>
          <w:sz w:val="28"/>
          <w:szCs w:val="28"/>
        </w:rPr>
        <w:t>四荒</w:t>
      </w:r>
      <w:r>
        <w:rPr>
          <w:rFonts w:hint="eastAsia"/>
          <w:kern w:val="0"/>
          <w:sz w:val="28"/>
          <w:szCs w:val="28"/>
        </w:rPr>
        <w:t>”</w:t>
      </w:r>
      <w:r>
        <w:rPr>
          <w:kern w:val="0"/>
          <w:sz w:val="28"/>
          <w:szCs w:val="28"/>
        </w:rPr>
        <w:t>地、果园、养殖水面等资源，积极稳妥发展现代农业、休闲农业、乡村旅游、田园综合体和国家储备林等。支持农村集体经济组织承担财政投资的小投入、低技术农村基础设施建设项目。全面落实支持农村集体产权制度改革有关税收政策，探索制定农村集体经济组织从事经营活动的用水用电用地、贷款融资、收费优惠等政策。完善集体经济运营管理制度，发挥村党组织对集体经济组织的领导核心作用，防止内部少数人控制和外部资本侵占集体资产。支持农村股权多样化设置和民主动态管理，探索设立贡献股、农龄股等股份类型，根据客观需要允许集体经济组织在相关部门指导下依照民主原则对股份设置、股权分配和管理制度进行适当调整。支持有需求有条件的乡镇探索成立集体经济组织联合组织，允许政府在集体经济组织中适当持股。探索成立县级集体资产经营管理平台，鼓励县乡（镇、街道）政府成立支持集体经济发展专项基金。</w:t>
      </w:r>
    </w:p>
    <w:p w14:paraId="40FBA52F">
      <w:pPr>
        <w:pStyle w:val="5"/>
        <w:spacing w:line="480" w:lineRule="exact"/>
        <w:jc w:val="center"/>
        <w:rPr>
          <w:rFonts w:eastAsia="方正黑体_GBK"/>
          <w:b w:val="0"/>
          <w:bCs w:val="0"/>
        </w:rPr>
      </w:pPr>
      <w:bookmarkStart w:id="86" w:name="_Toc521352258"/>
      <w:bookmarkStart w:id="87" w:name="_Toc519079719"/>
      <w:bookmarkStart w:id="88" w:name="_Toc23078"/>
      <w:bookmarkStart w:id="89" w:name="_Toc521853532"/>
      <w:bookmarkStart w:id="90" w:name="_Toc521865048"/>
      <w:bookmarkStart w:id="91" w:name="_Toc522042993"/>
      <w:r>
        <w:rPr>
          <w:rFonts w:eastAsia="方正黑体_GBK"/>
          <w:b w:val="0"/>
          <w:bCs w:val="0"/>
        </w:rPr>
        <w:t>第三节  创新农业社会化服务</w:t>
      </w:r>
      <w:bookmarkEnd w:id="86"/>
      <w:bookmarkEnd w:id="87"/>
      <w:bookmarkEnd w:id="88"/>
      <w:bookmarkEnd w:id="89"/>
      <w:bookmarkEnd w:id="90"/>
      <w:bookmarkEnd w:id="91"/>
    </w:p>
    <w:p w14:paraId="1228C077">
      <w:pPr>
        <w:spacing w:line="480" w:lineRule="exact"/>
        <w:ind w:firstLine="560" w:firstLineChars="200"/>
        <w:rPr>
          <w:rFonts w:eastAsia="宋体"/>
          <w:kern w:val="0"/>
          <w:sz w:val="28"/>
          <w:szCs w:val="28"/>
        </w:rPr>
      </w:pPr>
      <w:r>
        <w:rPr>
          <w:kern w:val="0"/>
          <w:sz w:val="28"/>
          <w:szCs w:val="28"/>
        </w:rPr>
        <w:t>加快培育农业经营性服务组织，积极发展农资配送、良种繁育、病虫害防治、农机作业、农业废弃物处理、信息咨询、农业全程社会化服务等生产服务业。重点培育一批服务功能全、组织能力强、运行管理规范的综合性服务组织，开展覆盖产前、产中、产后全过程的农业社会化服务，重点加强农业金融保险服务供给。建立完善农业社会化服务标准体系，探索打造农业社会化服务公共品牌，整合各方面要素，建设农业社会化服务云平台。创新服务机制，延伸服务产业链，按照</w:t>
      </w:r>
      <w:r>
        <w:rPr>
          <w:rFonts w:hint="eastAsia"/>
          <w:kern w:val="0"/>
          <w:sz w:val="28"/>
          <w:szCs w:val="28"/>
        </w:rPr>
        <w:t>“</w:t>
      </w:r>
      <w:r>
        <w:rPr>
          <w:kern w:val="0"/>
          <w:sz w:val="28"/>
          <w:szCs w:val="28"/>
        </w:rPr>
        <w:t>风险共担、利益共享</w:t>
      </w:r>
      <w:r>
        <w:rPr>
          <w:rFonts w:hint="eastAsia"/>
          <w:kern w:val="0"/>
          <w:sz w:val="28"/>
          <w:szCs w:val="28"/>
        </w:rPr>
        <w:t>”</w:t>
      </w:r>
      <w:r>
        <w:rPr>
          <w:kern w:val="0"/>
          <w:sz w:val="28"/>
          <w:szCs w:val="28"/>
        </w:rPr>
        <w:t>的原则，建立服务对象与服务主体之间紧密合作关系和利益联结机制。</w:t>
      </w:r>
      <w:bookmarkStart w:id="92" w:name="_Toc519079718"/>
      <w:bookmarkStart w:id="93" w:name="_Toc521352259"/>
      <w:bookmarkStart w:id="94" w:name="_Toc521853533"/>
      <w:bookmarkStart w:id="95" w:name="_Toc522042994"/>
      <w:bookmarkStart w:id="96" w:name="_Toc521865049"/>
    </w:p>
    <w:p w14:paraId="5DF45DB4">
      <w:pPr>
        <w:pStyle w:val="5"/>
        <w:spacing w:line="480" w:lineRule="exact"/>
        <w:jc w:val="center"/>
        <w:rPr>
          <w:rFonts w:eastAsia="方正黑体_GBK"/>
          <w:b w:val="0"/>
          <w:bCs w:val="0"/>
        </w:rPr>
      </w:pPr>
      <w:bookmarkStart w:id="97" w:name="_Toc21140"/>
      <w:r>
        <w:rPr>
          <w:rFonts w:eastAsia="方正黑体_GBK"/>
          <w:b w:val="0"/>
          <w:bCs w:val="0"/>
        </w:rPr>
        <w:t>第四节</w:t>
      </w:r>
      <w:bookmarkEnd w:id="92"/>
      <w:r>
        <w:rPr>
          <w:rFonts w:eastAsia="方正黑体_GBK"/>
          <w:b w:val="0"/>
          <w:bCs w:val="0"/>
        </w:rPr>
        <w:t xml:space="preserve">  促进小农户和现代农业有效衔接</w:t>
      </w:r>
      <w:bookmarkEnd w:id="93"/>
      <w:bookmarkEnd w:id="94"/>
      <w:bookmarkEnd w:id="95"/>
      <w:bookmarkEnd w:id="96"/>
      <w:bookmarkEnd w:id="97"/>
    </w:p>
    <w:p w14:paraId="083EA2FE">
      <w:pPr>
        <w:spacing w:line="480" w:lineRule="exact"/>
        <w:ind w:firstLine="560" w:firstLineChars="200"/>
        <w:rPr>
          <w:kern w:val="0"/>
          <w:sz w:val="28"/>
          <w:szCs w:val="28"/>
        </w:rPr>
      </w:pPr>
      <w:r>
        <w:rPr>
          <w:kern w:val="0"/>
          <w:sz w:val="28"/>
          <w:szCs w:val="28"/>
        </w:rPr>
        <w:t>鼓励发展新型农业经营主体，完善利益联结机制，把小农生产引入现代农业发展轨道。稳妥推进土地入股、土地流转、土地托管、联耕联种等多种经营方式，推动家庭经营、集体经营、合作经营、企业经营共同发展。发展多样化的联合与合作，提升小农户组织化程度，带动小农户专业化、标准化、集约化生产。推动政策性农业保险增品、扩面、提标，大力推广农产品目标价格保险、收益保险，有效分散小农户农业生产经营风险。大力开展财政购买农业生产社会化服务试点，推广合作式、托管式、订单式等农业生产性服务。</w:t>
      </w:r>
    </w:p>
    <w:tbl>
      <w:tblPr>
        <w:tblStyle w:val="23"/>
        <w:tblpPr w:leftFromText="180" w:rightFromText="180" w:vertAnchor="text" w:horzAnchor="page" w:tblpX="1817" w:tblpY="273"/>
        <w:tblOverlap w:val="never"/>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160D403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0B7FBDF8">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专栏4  现代农业经营体系培育工程</w:t>
            </w:r>
          </w:p>
        </w:tc>
      </w:tr>
      <w:tr w14:paraId="5DF962A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9060" w:type="dxa"/>
            <w:noWrap/>
          </w:tcPr>
          <w:p w14:paraId="37F22BEC">
            <w:pPr>
              <w:spacing w:line="480" w:lineRule="exact"/>
              <w:ind w:firstLine="548" w:firstLineChars="196"/>
              <w:rPr>
                <w:sz w:val="28"/>
                <w:szCs w:val="28"/>
              </w:rPr>
            </w:pPr>
            <w:r>
              <w:rPr>
                <w:rFonts w:eastAsia="方正楷体_GBK"/>
                <w:sz w:val="28"/>
                <w:szCs w:val="28"/>
              </w:rPr>
              <w:t>新型经营主体培育工程。</w:t>
            </w:r>
            <w:r>
              <w:rPr>
                <w:sz w:val="28"/>
                <w:szCs w:val="28"/>
              </w:rPr>
              <w:t>大力发展新型农业经营主体，到2025年各类新型农业经营主体达到1000个，培养一批示范农民专业合作社、家庭农场、龙头企业。将重点放在示范农民专业合作社培育。引进一批有实力的林产企业，发展市级林业龙头企业5家以上，创建国家级林业龙头企业2家，到2025年各类林业新型经营主体达到100个。到2025年，新发展农村微型企业750户，新建微企村8个。培育1家具有上市潜力和意愿的农业龙头企业。打造一批有影响力的农村</w:t>
            </w:r>
            <w:r>
              <w:rPr>
                <w:rFonts w:hint="eastAsia"/>
                <w:sz w:val="28"/>
                <w:szCs w:val="28"/>
              </w:rPr>
              <w:t>经济</w:t>
            </w:r>
            <w:r>
              <w:rPr>
                <w:sz w:val="28"/>
                <w:szCs w:val="28"/>
              </w:rPr>
              <w:t>龙头企业。</w:t>
            </w:r>
          </w:p>
          <w:p w14:paraId="3886ED83">
            <w:pPr>
              <w:spacing w:line="480" w:lineRule="exact"/>
              <w:ind w:firstLine="548" w:firstLineChars="196"/>
              <w:rPr>
                <w:sz w:val="28"/>
                <w:szCs w:val="28"/>
              </w:rPr>
            </w:pPr>
            <w:r>
              <w:rPr>
                <w:rFonts w:eastAsia="方正楷体_GBK"/>
                <w:sz w:val="28"/>
                <w:szCs w:val="28"/>
              </w:rPr>
              <w:t>发展壮大农村集体经济工程。</w:t>
            </w:r>
            <w:r>
              <w:rPr>
                <w:sz w:val="28"/>
                <w:szCs w:val="28"/>
              </w:rPr>
              <w:t>健全完善集体经济组织章程和管理制度，基本实现所有村建立农村集体经济组织，全县村集体经济组织年平均经营收入达5万元以上。建立县级集体经济综合服务平台，支持部分乡镇探索建立集体经济联合组织。</w:t>
            </w:r>
          </w:p>
          <w:p w14:paraId="4B02B7E5">
            <w:pPr>
              <w:spacing w:line="480" w:lineRule="exact"/>
              <w:ind w:firstLine="548" w:firstLineChars="196"/>
              <w:rPr>
                <w:sz w:val="30"/>
                <w:szCs w:val="30"/>
              </w:rPr>
            </w:pPr>
            <w:r>
              <w:rPr>
                <w:rFonts w:eastAsia="方正楷体_GBK"/>
                <w:sz w:val="28"/>
                <w:szCs w:val="28"/>
              </w:rPr>
              <w:t>农业社会化服务发展工程。</w:t>
            </w:r>
            <w:r>
              <w:rPr>
                <w:sz w:val="28"/>
                <w:szCs w:val="28"/>
              </w:rPr>
              <w:t>大力培育农业社会化服务组织，支持开展测土配肥、病虫害统防统治、土地代耕代种、农村面源环境污染整治等农业社会化服务。加快农村综合服务社建设，畅通农村居民生产生活服务</w:t>
            </w:r>
            <w:r>
              <w:rPr>
                <w:rFonts w:hint="eastAsia"/>
                <w:sz w:val="28"/>
                <w:szCs w:val="28"/>
              </w:rPr>
              <w:t>“</w:t>
            </w:r>
            <w:r>
              <w:rPr>
                <w:sz w:val="28"/>
                <w:szCs w:val="28"/>
              </w:rPr>
              <w:t>最后一公里</w:t>
            </w:r>
            <w:r>
              <w:rPr>
                <w:rFonts w:hint="eastAsia"/>
                <w:sz w:val="28"/>
                <w:szCs w:val="28"/>
              </w:rPr>
              <w:t>”</w:t>
            </w:r>
            <w:r>
              <w:rPr>
                <w:sz w:val="28"/>
                <w:szCs w:val="28"/>
              </w:rPr>
              <w:t>。</w:t>
            </w:r>
          </w:p>
        </w:tc>
      </w:tr>
    </w:tbl>
    <w:p w14:paraId="515993CD">
      <w:r>
        <w:br w:type="page"/>
      </w:r>
    </w:p>
    <w:p w14:paraId="2DAB14FA">
      <w:pPr>
        <w:pStyle w:val="3"/>
        <w:spacing w:line="480" w:lineRule="exact"/>
        <w:jc w:val="center"/>
        <w:rPr>
          <w:rFonts w:ascii="Times New Roman" w:hAnsi="Times New Roman" w:eastAsia="宋体"/>
          <w:b w:val="0"/>
          <w:bCs w:val="0"/>
          <w:kern w:val="0"/>
          <w:sz w:val="28"/>
          <w:szCs w:val="28"/>
        </w:rPr>
      </w:pPr>
      <w:bookmarkStart w:id="98" w:name="_Toc21176"/>
      <w:r>
        <w:rPr>
          <w:rFonts w:ascii="Times New Roman" w:hAnsi="Times New Roman" w:eastAsia="方正黑体_GBK"/>
          <w:b w:val="0"/>
          <w:bCs w:val="0"/>
          <w:kern w:val="2"/>
        </w:rPr>
        <w:t>第五篇  培养</w:t>
      </w:r>
      <w:r>
        <w:rPr>
          <w:rFonts w:hint="eastAsia" w:ascii="Times New Roman" w:hAnsi="Times New Roman" w:eastAsia="方正黑体_GBK"/>
          <w:b w:val="0"/>
          <w:bCs w:val="0"/>
          <w:kern w:val="2"/>
        </w:rPr>
        <w:t>“</w:t>
      </w:r>
      <w:r>
        <w:rPr>
          <w:rFonts w:ascii="Times New Roman" w:hAnsi="Times New Roman" w:eastAsia="方正黑体_GBK"/>
          <w:b w:val="0"/>
          <w:bCs w:val="0"/>
          <w:kern w:val="2"/>
        </w:rPr>
        <w:t>一懂两爱</w:t>
      </w:r>
      <w:r>
        <w:rPr>
          <w:rFonts w:hint="eastAsia" w:ascii="Times New Roman" w:hAnsi="Times New Roman" w:eastAsia="方正黑体_GBK"/>
          <w:b w:val="0"/>
          <w:bCs w:val="0"/>
          <w:kern w:val="2"/>
        </w:rPr>
        <w:t>”</w:t>
      </w:r>
      <w:r>
        <w:rPr>
          <w:rFonts w:ascii="Times New Roman" w:hAnsi="Times New Roman" w:eastAsia="方正黑体_GBK"/>
          <w:b w:val="0"/>
          <w:bCs w:val="0"/>
          <w:kern w:val="2"/>
        </w:rPr>
        <w:t>乡村振兴人才</w:t>
      </w:r>
      <w:bookmarkEnd w:id="98"/>
    </w:p>
    <w:p w14:paraId="347132C2">
      <w:pPr>
        <w:adjustRightInd w:val="0"/>
        <w:spacing w:line="480" w:lineRule="exact"/>
        <w:ind w:firstLine="560" w:firstLineChars="200"/>
        <w:rPr>
          <w:rFonts w:eastAsia="宋体"/>
          <w:kern w:val="0"/>
          <w:sz w:val="28"/>
          <w:szCs w:val="28"/>
        </w:rPr>
      </w:pPr>
      <w:r>
        <w:rPr>
          <w:kern w:val="0"/>
          <w:sz w:val="28"/>
          <w:szCs w:val="28"/>
        </w:rPr>
        <w:t>强化乡村振兴人才支撑，坚持在营造</w:t>
      </w:r>
      <w:r>
        <w:rPr>
          <w:rFonts w:hint="eastAsia"/>
          <w:kern w:val="0"/>
          <w:sz w:val="28"/>
          <w:szCs w:val="28"/>
        </w:rPr>
        <w:t>“</w:t>
      </w:r>
      <w:r>
        <w:rPr>
          <w:kern w:val="0"/>
          <w:sz w:val="28"/>
          <w:szCs w:val="28"/>
        </w:rPr>
        <w:t>近悦远来</w:t>
      </w:r>
      <w:r>
        <w:rPr>
          <w:rFonts w:hint="eastAsia"/>
          <w:kern w:val="0"/>
          <w:sz w:val="28"/>
          <w:szCs w:val="28"/>
        </w:rPr>
        <w:t>”</w:t>
      </w:r>
      <w:r>
        <w:rPr>
          <w:kern w:val="0"/>
          <w:sz w:val="28"/>
          <w:szCs w:val="28"/>
        </w:rPr>
        <w:t>环境上精准发力，鼓励和引导各类人才特别是青年群体投身乡村振兴，建设多层次复合型的</w:t>
      </w:r>
      <w:r>
        <w:rPr>
          <w:rFonts w:hint="eastAsia"/>
          <w:kern w:val="0"/>
          <w:sz w:val="28"/>
          <w:szCs w:val="28"/>
        </w:rPr>
        <w:t>“</w:t>
      </w:r>
      <w:r>
        <w:rPr>
          <w:kern w:val="0"/>
          <w:sz w:val="28"/>
          <w:szCs w:val="28"/>
        </w:rPr>
        <w:t>懂农业、爱农村、爱农民</w:t>
      </w:r>
      <w:r>
        <w:rPr>
          <w:rFonts w:hint="eastAsia"/>
          <w:kern w:val="0"/>
          <w:sz w:val="28"/>
          <w:szCs w:val="28"/>
        </w:rPr>
        <w:t>”</w:t>
      </w:r>
      <w:r>
        <w:rPr>
          <w:kern w:val="0"/>
          <w:sz w:val="28"/>
          <w:szCs w:val="28"/>
        </w:rPr>
        <w:t>的乡村振兴人才体系。</w:t>
      </w:r>
    </w:p>
    <w:p w14:paraId="181D753C">
      <w:pPr>
        <w:spacing w:line="480" w:lineRule="exact"/>
      </w:pPr>
      <w:r>
        <w:t xml:space="preserve">      </w:t>
      </w:r>
    </w:p>
    <w:p w14:paraId="0B6B26CD">
      <w:pPr>
        <w:pStyle w:val="4"/>
        <w:spacing w:line="480" w:lineRule="exact"/>
        <w:ind w:firstLine="0"/>
        <w:rPr>
          <w:bCs w:val="0"/>
          <w:sz w:val="36"/>
          <w:szCs w:val="36"/>
        </w:rPr>
      </w:pPr>
      <w:bookmarkStart w:id="99" w:name="_Toc17969"/>
      <w:r>
        <w:rPr>
          <w:bCs w:val="0"/>
          <w:sz w:val="36"/>
          <w:szCs w:val="36"/>
        </w:rPr>
        <w:t>第十四章   强化乡村多层次人才队伍建设</w:t>
      </w:r>
      <w:bookmarkEnd w:id="99"/>
    </w:p>
    <w:p w14:paraId="7CA497D5">
      <w:pPr>
        <w:spacing w:line="480" w:lineRule="exact"/>
        <w:ind w:firstLine="641"/>
        <w:rPr>
          <w:rFonts w:eastAsia="宋体"/>
          <w:kern w:val="0"/>
          <w:sz w:val="36"/>
          <w:szCs w:val="36"/>
        </w:rPr>
      </w:pPr>
    </w:p>
    <w:p w14:paraId="5637D49C">
      <w:pPr>
        <w:spacing w:line="480" w:lineRule="exact"/>
        <w:ind w:firstLine="560" w:firstLineChars="200"/>
        <w:rPr>
          <w:kern w:val="0"/>
          <w:sz w:val="28"/>
          <w:szCs w:val="28"/>
        </w:rPr>
      </w:pPr>
      <w:r>
        <w:rPr>
          <w:kern w:val="0"/>
          <w:sz w:val="28"/>
          <w:szCs w:val="28"/>
        </w:rPr>
        <w:t>乡村振兴是综合性战略工程，需要包括职业农民、专业技术人员、社会服务人员、行政管理人员在内的各种人才，特别需要培养和发掘本土青年人才。</w:t>
      </w:r>
    </w:p>
    <w:p w14:paraId="641ED88D">
      <w:pPr>
        <w:pStyle w:val="5"/>
        <w:spacing w:line="480" w:lineRule="exact"/>
        <w:jc w:val="center"/>
        <w:rPr>
          <w:rFonts w:eastAsia="方正黑体_GBK"/>
          <w:b w:val="0"/>
          <w:bCs w:val="0"/>
        </w:rPr>
      </w:pPr>
      <w:bookmarkStart w:id="100" w:name="_Toc16263"/>
      <w:r>
        <w:rPr>
          <w:rFonts w:eastAsia="方正黑体_GBK"/>
          <w:b w:val="0"/>
          <w:bCs w:val="0"/>
        </w:rPr>
        <w:t>第一节  着力新型职业农民培育</w:t>
      </w:r>
      <w:bookmarkEnd w:id="100"/>
    </w:p>
    <w:p w14:paraId="4F1DBFF4">
      <w:pPr>
        <w:spacing w:line="480" w:lineRule="exact"/>
        <w:ind w:firstLine="560" w:firstLineChars="200"/>
        <w:rPr>
          <w:kern w:val="0"/>
          <w:sz w:val="28"/>
          <w:szCs w:val="28"/>
        </w:rPr>
      </w:pPr>
      <w:r>
        <w:rPr>
          <w:kern w:val="0"/>
          <w:sz w:val="28"/>
          <w:szCs w:val="28"/>
        </w:rPr>
        <w:t>实施</w:t>
      </w:r>
      <w:r>
        <w:rPr>
          <w:rFonts w:hint="eastAsia"/>
          <w:kern w:val="0"/>
          <w:sz w:val="28"/>
          <w:szCs w:val="28"/>
        </w:rPr>
        <w:t>“</w:t>
      </w:r>
      <w:r>
        <w:rPr>
          <w:kern w:val="0"/>
          <w:sz w:val="28"/>
          <w:szCs w:val="28"/>
        </w:rPr>
        <w:t>新农人</w:t>
      </w:r>
      <w:r>
        <w:rPr>
          <w:rFonts w:hint="eastAsia"/>
          <w:kern w:val="0"/>
          <w:sz w:val="28"/>
          <w:szCs w:val="28"/>
        </w:rPr>
        <w:t>”</w:t>
      </w:r>
      <w:r>
        <w:rPr>
          <w:kern w:val="0"/>
          <w:sz w:val="28"/>
          <w:szCs w:val="28"/>
        </w:rPr>
        <w:t>培养计划，重视从本土农民、返乡农民工和返乡大学生中培养新型职业农民。发挥好县农广校作用，加强与西南大学、重庆师范大学、市农科院、市林科院等高等院校和科研院所合作，更好发挥政府农技部门职能，定期开展新型职业农民培训和送技术下乡活动。注重农民生态种养殖技术培养和生态观念教育，提高农产品质量。强化生产管理、互助合作、市场营销、物流信息等方面技术知识培训。建立新型职业农民教育培训、评选认证、管理服务、扶持激励等制度体系，促进新型职业农民培育工作走上制度化、规范化轨道。开展职业农民职称评定试点，制定新型职业农民分级分类认定标准，对达到规定标准的新型职业农民按等级颁发资格证书并实行动态管理。出台新型职业农民培育补助办法，按等级和规范条件对新型职业农民给予补贴。将专家型新型职业农民纳入到党政人才工作范畴并享受政府津贴或奖励。完善新型农民社会保障制度与激励机制。每年定期组织评选全县</w:t>
      </w:r>
      <w:r>
        <w:rPr>
          <w:rFonts w:hint="eastAsia"/>
          <w:kern w:val="0"/>
          <w:sz w:val="28"/>
          <w:szCs w:val="28"/>
        </w:rPr>
        <w:t>“</w:t>
      </w:r>
      <w:r>
        <w:rPr>
          <w:kern w:val="0"/>
          <w:sz w:val="28"/>
          <w:szCs w:val="28"/>
        </w:rPr>
        <w:t>十佳农民</w:t>
      </w:r>
      <w:r>
        <w:rPr>
          <w:rFonts w:hint="eastAsia"/>
          <w:kern w:val="0"/>
          <w:sz w:val="28"/>
          <w:szCs w:val="28"/>
        </w:rPr>
        <w:t>”</w:t>
      </w:r>
      <w:r>
        <w:rPr>
          <w:kern w:val="0"/>
          <w:sz w:val="28"/>
          <w:szCs w:val="28"/>
        </w:rPr>
        <w:t>和</w:t>
      </w:r>
      <w:r>
        <w:rPr>
          <w:rFonts w:hint="eastAsia"/>
          <w:kern w:val="0"/>
          <w:sz w:val="28"/>
          <w:szCs w:val="28"/>
        </w:rPr>
        <w:t>“</w:t>
      </w:r>
      <w:r>
        <w:rPr>
          <w:kern w:val="0"/>
          <w:sz w:val="28"/>
          <w:szCs w:val="28"/>
        </w:rPr>
        <w:t>农业劳动模范</w:t>
      </w:r>
      <w:r>
        <w:rPr>
          <w:rFonts w:hint="eastAsia"/>
          <w:kern w:val="0"/>
          <w:sz w:val="28"/>
          <w:szCs w:val="28"/>
        </w:rPr>
        <w:t>”</w:t>
      </w:r>
      <w:r>
        <w:rPr>
          <w:kern w:val="0"/>
          <w:sz w:val="28"/>
          <w:szCs w:val="28"/>
        </w:rPr>
        <w:t>并给予表彰。到2025年培养一批懂农业、爱农村、爱农民的年轻新型农民队伍和一批专家型农民。大力培育具有农副产品流通、农业技术推广、农业信息传播、农村人力资源转移、农村土地流转等功能的农村经纪人。</w:t>
      </w:r>
    </w:p>
    <w:p w14:paraId="26767715">
      <w:pPr>
        <w:pStyle w:val="5"/>
        <w:spacing w:line="480" w:lineRule="exact"/>
        <w:jc w:val="center"/>
        <w:rPr>
          <w:rFonts w:eastAsia="方正黑体_GBK"/>
          <w:b w:val="0"/>
          <w:bCs w:val="0"/>
        </w:rPr>
      </w:pPr>
      <w:bookmarkStart w:id="101" w:name="_Toc2546"/>
      <w:r>
        <w:rPr>
          <w:rFonts w:eastAsia="方正黑体_GBK"/>
          <w:b w:val="0"/>
          <w:bCs w:val="0"/>
        </w:rPr>
        <w:t>第二节  加强农村专业人才队伍建设</w:t>
      </w:r>
      <w:bookmarkEnd w:id="101"/>
    </w:p>
    <w:p w14:paraId="7AE663F2">
      <w:pPr>
        <w:spacing w:line="480" w:lineRule="exact"/>
        <w:ind w:firstLine="560" w:firstLineChars="200"/>
        <w:rPr>
          <w:kern w:val="0"/>
          <w:sz w:val="28"/>
          <w:szCs w:val="28"/>
        </w:rPr>
      </w:pPr>
      <w:r>
        <w:rPr>
          <w:kern w:val="0"/>
          <w:sz w:val="28"/>
          <w:szCs w:val="28"/>
        </w:rPr>
        <w:t>加强农村各类专业人才培养。包括农村治理人员、劳务经纪人、乡村工匠、公共服务和社会工作提供者、农业技术人员、风俗文化引导和传承者等，将其全部纳入乡村实用人才体系中，提供支持和资助，加大培训力度，提升农村实用技术人才服务乡村振兴的能力和水平。完善科技特派员制度，引进培养一批农业领域科技带头人，打造一支既有水平又</w:t>
      </w:r>
      <w:r>
        <w:rPr>
          <w:rFonts w:hint="eastAsia"/>
          <w:kern w:val="0"/>
          <w:sz w:val="28"/>
          <w:szCs w:val="28"/>
        </w:rPr>
        <w:t>“</w:t>
      </w:r>
      <w:r>
        <w:rPr>
          <w:kern w:val="0"/>
          <w:sz w:val="28"/>
          <w:szCs w:val="28"/>
        </w:rPr>
        <w:t>接地气</w:t>
      </w:r>
      <w:r>
        <w:rPr>
          <w:rFonts w:hint="eastAsia"/>
          <w:kern w:val="0"/>
          <w:sz w:val="28"/>
          <w:szCs w:val="28"/>
        </w:rPr>
        <w:t>”</w:t>
      </w:r>
      <w:r>
        <w:rPr>
          <w:kern w:val="0"/>
          <w:sz w:val="28"/>
          <w:szCs w:val="28"/>
        </w:rPr>
        <w:t>的乡村科技人才队伍。实施</w:t>
      </w:r>
      <w:r>
        <w:rPr>
          <w:rFonts w:hint="eastAsia"/>
          <w:kern w:val="0"/>
          <w:sz w:val="28"/>
          <w:szCs w:val="28"/>
        </w:rPr>
        <w:t>“</w:t>
      </w:r>
      <w:r>
        <w:rPr>
          <w:kern w:val="0"/>
          <w:sz w:val="28"/>
          <w:szCs w:val="28"/>
        </w:rPr>
        <w:t>巴山工匠</w:t>
      </w:r>
      <w:r>
        <w:rPr>
          <w:rFonts w:hint="eastAsia"/>
          <w:kern w:val="0"/>
          <w:sz w:val="28"/>
          <w:szCs w:val="28"/>
        </w:rPr>
        <w:t>”</w:t>
      </w:r>
      <w:r>
        <w:rPr>
          <w:kern w:val="0"/>
          <w:sz w:val="28"/>
          <w:szCs w:val="28"/>
        </w:rPr>
        <w:t>计划，以乡村手工业、建筑业、民间工艺和技艺为重点，组织实施非遗传承人群研修培训，培育一批技艺精湛、扎根农村、热爱乡土的乡村工匠。大力推进政府购买农村公共服务工作，引入和培育社区工作机构和民间公益组织，到2025年建设50个社会服务与社区工作示范村。突出乡村治理人才培养，重视基层干部队伍培训，健全老中青干部队伍梯次，推进基层干部跨区域挂职交流，积极发挥老干部作用，完善大学生村官制度。</w:t>
      </w:r>
    </w:p>
    <w:p w14:paraId="5EE26F46">
      <w:pPr>
        <w:spacing w:line="480" w:lineRule="exact"/>
      </w:pPr>
    </w:p>
    <w:p w14:paraId="2375457E">
      <w:pPr>
        <w:pStyle w:val="4"/>
        <w:spacing w:line="480" w:lineRule="exact"/>
        <w:ind w:firstLine="0"/>
        <w:rPr>
          <w:bCs w:val="0"/>
          <w:sz w:val="36"/>
          <w:szCs w:val="36"/>
        </w:rPr>
      </w:pPr>
      <w:bookmarkStart w:id="102" w:name="_Toc12888"/>
      <w:r>
        <w:rPr>
          <w:bCs w:val="0"/>
          <w:sz w:val="36"/>
          <w:szCs w:val="36"/>
        </w:rPr>
        <w:t>第十五章  鼓励社会各界投身城口乡村建设</w:t>
      </w:r>
      <w:bookmarkEnd w:id="102"/>
    </w:p>
    <w:p w14:paraId="65E7609F">
      <w:pPr>
        <w:spacing w:line="480" w:lineRule="exact"/>
        <w:ind w:firstLine="641"/>
        <w:rPr>
          <w:rFonts w:eastAsia="宋体"/>
          <w:kern w:val="0"/>
          <w:sz w:val="36"/>
          <w:szCs w:val="36"/>
        </w:rPr>
      </w:pPr>
    </w:p>
    <w:p w14:paraId="3B3820AA">
      <w:pPr>
        <w:spacing w:line="480" w:lineRule="exact"/>
        <w:ind w:firstLine="560" w:firstLineChars="200"/>
        <w:rPr>
          <w:kern w:val="0"/>
          <w:sz w:val="28"/>
          <w:szCs w:val="28"/>
        </w:rPr>
      </w:pPr>
      <w:r>
        <w:rPr>
          <w:kern w:val="0"/>
          <w:sz w:val="28"/>
          <w:szCs w:val="28"/>
        </w:rPr>
        <w:t>鼓励人才返乡、市民下乡和乡贤兴乡，强化乡村发展对人才的向心力、吸引力和凝聚力。营造社会各界关心支持城口乡村振兴的氛围，引导各种社会资源服务好城口乡村振兴工作。</w:t>
      </w:r>
    </w:p>
    <w:p w14:paraId="2128A265">
      <w:pPr>
        <w:pStyle w:val="5"/>
        <w:spacing w:line="480" w:lineRule="exact"/>
        <w:jc w:val="center"/>
        <w:rPr>
          <w:rFonts w:eastAsia="方正黑体_GBK"/>
          <w:b w:val="0"/>
          <w:bCs w:val="0"/>
        </w:rPr>
      </w:pPr>
      <w:bookmarkStart w:id="103" w:name="_Toc24932"/>
      <w:r>
        <w:rPr>
          <w:rFonts w:eastAsia="方正黑体_GBK"/>
          <w:b w:val="0"/>
          <w:bCs w:val="0"/>
        </w:rPr>
        <w:t>第一节  吸引县内外优秀人才返乡</w:t>
      </w:r>
      <w:bookmarkEnd w:id="103"/>
    </w:p>
    <w:p w14:paraId="14B4C0F8">
      <w:pPr>
        <w:spacing w:line="480" w:lineRule="exact"/>
        <w:ind w:firstLine="560" w:firstLineChars="200"/>
        <w:rPr>
          <w:kern w:val="0"/>
          <w:sz w:val="28"/>
          <w:szCs w:val="28"/>
        </w:rPr>
      </w:pPr>
      <w:r>
        <w:rPr>
          <w:kern w:val="0"/>
          <w:sz w:val="28"/>
          <w:szCs w:val="28"/>
        </w:rPr>
        <w:t>回引外出本土人才返乡创业兴业，支持农民工、中高等院校毕业生、退役士兵和科技人员等返乡下乡人员到农村创业创新，创办领办农民合作社、农业企业、农业社会化服务组织等新型农业经营主体。支持符合条件的企事业单位专业技术人才返乡下乡领办农民合作社。建立农村资源资产、人力资源、社会化服务、金融保险、信息和技术咨询等供需信息发布与交易平台，为返乡下乡人员提供各类公共服务和专业服务。大力弘扬创业创新精神，广泛开展创业大赛、创业大讲堂等活动，营造良好氛围。积极开展</w:t>
      </w:r>
      <w:r>
        <w:rPr>
          <w:rFonts w:hint="eastAsia"/>
          <w:kern w:val="0"/>
          <w:sz w:val="28"/>
          <w:szCs w:val="28"/>
        </w:rPr>
        <w:t>“</w:t>
      </w:r>
      <w:r>
        <w:rPr>
          <w:kern w:val="0"/>
          <w:sz w:val="28"/>
          <w:szCs w:val="28"/>
        </w:rPr>
        <w:t>城商大会</w:t>
      </w:r>
      <w:r>
        <w:rPr>
          <w:rFonts w:hint="eastAsia"/>
          <w:kern w:val="0"/>
          <w:sz w:val="28"/>
          <w:szCs w:val="28"/>
        </w:rPr>
        <w:t>”</w:t>
      </w:r>
      <w:r>
        <w:rPr>
          <w:kern w:val="0"/>
          <w:sz w:val="28"/>
          <w:szCs w:val="28"/>
        </w:rPr>
        <w:t>、恳亲会等活动，凝聚乡情和乡愁。重视城口籍在外乡友的</w:t>
      </w:r>
      <w:r>
        <w:rPr>
          <w:rFonts w:hint="eastAsia"/>
          <w:kern w:val="0"/>
          <w:sz w:val="28"/>
          <w:szCs w:val="28"/>
        </w:rPr>
        <w:t>“</w:t>
      </w:r>
      <w:r>
        <w:rPr>
          <w:kern w:val="0"/>
          <w:sz w:val="28"/>
          <w:szCs w:val="28"/>
        </w:rPr>
        <w:t>飞地人才</w:t>
      </w:r>
      <w:r>
        <w:rPr>
          <w:rFonts w:hint="eastAsia"/>
          <w:kern w:val="0"/>
          <w:sz w:val="28"/>
          <w:szCs w:val="28"/>
        </w:rPr>
        <w:t>”</w:t>
      </w:r>
      <w:r>
        <w:rPr>
          <w:kern w:val="0"/>
          <w:sz w:val="28"/>
          <w:szCs w:val="28"/>
        </w:rPr>
        <w:t>作用，发挥乡友</w:t>
      </w:r>
      <w:r>
        <w:rPr>
          <w:rFonts w:hint="eastAsia"/>
          <w:kern w:val="0"/>
          <w:sz w:val="28"/>
          <w:szCs w:val="28"/>
        </w:rPr>
        <w:t>“</w:t>
      </w:r>
      <w:r>
        <w:rPr>
          <w:kern w:val="0"/>
          <w:sz w:val="28"/>
          <w:szCs w:val="28"/>
        </w:rPr>
        <w:t>引入资源</w:t>
      </w:r>
      <w:r>
        <w:rPr>
          <w:rFonts w:hint="eastAsia"/>
          <w:kern w:val="0"/>
          <w:sz w:val="28"/>
          <w:szCs w:val="28"/>
        </w:rPr>
        <w:t>”</w:t>
      </w:r>
      <w:r>
        <w:rPr>
          <w:kern w:val="0"/>
          <w:sz w:val="28"/>
          <w:szCs w:val="28"/>
        </w:rPr>
        <w:t>和</w:t>
      </w:r>
      <w:r>
        <w:rPr>
          <w:rFonts w:hint="eastAsia"/>
          <w:kern w:val="0"/>
          <w:sz w:val="28"/>
          <w:szCs w:val="28"/>
        </w:rPr>
        <w:t>“</w:t>
      </w:r>
      <w:r>
        <w:rPr>
          <w:kern w:val="0"/>
          <w:sz w:val="28"/>
          <w:szCs w:val="28"/>
        </w:rPr>
        <w:t>对外推介</w:t>
      </w:r>
      <w:r>
        <w:rPr>
          <w:rFonts w:hint="eastAsia"/>
          <w:kern w:val="0"/>
          <w:sz w:val="28"/>
          <w:szCs w:val="28"/>
        </w:rPr>
        <w:t>”</w:t>
      </w:r>
      <w:r>
        <w:rPr>
          <w:kern w:val="0"/>
          <w:sz w:val="28"/>
          <w:szCs w:val="28"/>
        </w:rPr>
        <w:t>作用。</w:t>
      </w:r>
    </w:p>
    <w:p w14:paraId="33F31159">
      <w:pPr>
        <w:pStyle w:val="5"/>
        <w:spacing w:line="480" w:lineRule="exact"/>
        <w:jc w:val="center"/>
        <w:rPr>
          <w:rFonts w:eastAsia="方正黑体_GBK"/>
          <w:b w:val="0"/>
          <w:bCs w:val="0"/>
        </w:rPr>
      </w:pPr>
      <w:bookmarkStart w:id="104" w:name="_Toc24054"/>
      <w:r>
        <w:rPr>
          <w:rFonts w:eastAsia="方正黑体_GBK"/>
          <w:b w:val="0"/>
          <w:bCs w:val="0"/>
        </w:rPr>
        <w:t>第二节  鼓励社会人才下乡支农</w:t>
      </w:r>
      <w:bookmarkEnd w:id="104"/>
    </w:p>
    <w:p w14:paraId="599DD9F2">
      <w:pPr>
        <w:spacing w:line="480" w:lineRule="exact"/>
        <w:ind w:firstLine="560" w:firstLineChars="200"/>
        <w:rPr>
          <w:kern w:val="0"/>
          <w:sz w:val="28"/>
          <w:szCs w:val="28"/>
        </w:rPr>
      </w:pPr>
      <w:r>
        <w:rPr>
          <w:kern w:val="0"/>
          <w:sz w:val="28"/>
          <w:szCs w:val="28"/>
        </w:rPr>
        <w:t>开展新时代的</w:t>
      </w:r>
      <w:r>
        <w:rPr>
          <w:rFonts w:hint="eastAsia"/>
          <w:kern w:val="0"/>
          <w:sz w:val="28"/>
          <w:szCs w:val="28"/>
        </w:rPr>
        <w:t>“</w:t>
      </w:r>
      <w:r>
        <w:rPr>
          <w:kern w:val="0"/>
          <w:sz w:val="28"/>
          <w:szCs w:val="28"/>
        </w:rPr>
        <w:t>上山下乡</w:t>
      </w:r>
      <w:r>
        <w:rPr>
          <w:rFonts w:hint="eastAsia"/>
          <w:kern w:val="0"/>
          <w:sz w:val="28"/>
          <w:szCs w:val="28"/>
        </w:rPr>
        <w:t>”</w:t>
      </w:r>
      <w:r>
        <w:rPr>
          <w:kern w:val="0"/>
          <w:sz w:val="28"/>
          <w:szCs w:val="28"/>
        </w:rPr>
        <w:t>运动，支持企业家、党政干部、专家学者、医生教师、规划师、建筑师、律师、技能人才等，通过投资兴业、包村包项目、行医办学、捐资捐物、法律咨询等方式，服务乡村振兴。实施</w:t>
      </w:r>
      <w:r>
        <w:rPr>
          <w:rFonts w:hint="eastAsia"/>
          <w:kern w:val="0"/>
          <w:sz w:val="28"/>
          <w:szCs w:val="28"/>
        </w:rPr>
        <w:t>“</w:t>
      </w:r>
      <w:r>
        <w:rPr>
          <w:kern w:val="0"/>
          <w:sz w:val="28"/>
          <w:szCs w:val="28"/>
        </w:rPr>
        <w:t>市民下乡</w:t>
      </w:r>
      <w:r>
        <w:rPr>
          <w:rFonts w:hint="eastAsia"/>
          <w:kern w:val="0"/>
          <w:sz w:val="28"/>
          <w:szCs w:val="28"/>
        </w:rPr>
        <w:t>”</w:t>
      </w:r>
      <w:r>
        <w:rPr>
          <w:kern w:val="0"/>
          <w:sz w:val="28"/>
          <w:szCs w:val="28"/>
        </w:rPr>
        <w:t>五年计划，鼓励和支持主城及其他城市市民到城口就业、创业、投资、常住。到2025年，吸引千名外地优秀高校毕业生到城口就业和创业，吸引万名主城和周边城市居民到城口投资、就业和常住。鼓励市民与农民共同创业，破除相关体制机制障碍。引入相关专家、官员、企业家及社会贤达人士成立城口乡村振兴顾问委员会，定期召开会议。与知名高校和相关科研院所合作，</w:t>
      </w:r>
      <w:bookmarkStart w:id="105" w:name="_Toc521865064"/>
      <w:bookmarkStart w:id="106" w:name="_Toc521352273"/>
      <w:bookmarkStart w:id="107" w:name="_Toc522043009"/>
      <w:bookmarkStart w:id="108" w:name="_Toc521853548"/>
      <w:bookmarkStart w:id="109" w:name="_Toc519079731"/>
      <w:r>
        <w:rPr>
          <w:kern w:val="0"/>
          <w:sz w:val="28"/>
          <w:szCs w:val="28"/>
        </w:rPr>
        <w:t>按照一个乡镇试点村一个团队的目标有针对性地柔性引进专家团队，实施包村辅导。建好用好西南大学乡村振兴战略研究院城口分院（城口县乡村振兴战略研究院），并依托其成立城口</w:t>
      </w:r>
      <w:r>
        <w:rPr>
          <w:rFonts w:hint="eastAsia"/>
          <w:kern w:val="0"/>
          <w:sz w:val="28"/>
          <w:szCs w:val="28"/>
        </w:rPr>
        <w:t>“</w:t>
      </w:r>
      <w:r>
        <w:rPr>
          <w:kern w:val="0"/>
          <w:sz w:val="28"/>
          <w:szCs w:val="28"/>
        </w:rPr>
        <w:t>两山学院</w:t>
      </w:r>
      <w:r>
        <w:rPr>
          <w:rFonts w:hint="eastAsia"/>
          <w:kern w:val="0"/>
          <w:sz w:val="28"/>
          <w:szCs w:val="28"/>
        </w:rPr>
        <w:t>”</w:t>
      </w:r>
      <w:r>
        <w:rPr>
          <w:kern w:val="0"/>
          <w:sz w:val="28"/>
          <w:szCs w:val="28"/>
        </w:rPr>
        <w:t>，将其建设成为具有城口特色、全国影响的生态文明与乡村振兴智库平台，发挥学院智库优势，打造大巴山生态文化教育基地。</w:t>
      </w:r>
    </w:p>
    <w:p w14:paraId="4D200B0C">
      <w:pPr>
        <w:pStyle w:val="5"/>
        <w:spacing w:line="480" w:lineRule="exact"/>
        <w:jc w:val="center"/>
        <w:rPr>
          <w:rFonts w:eastAsia="方正黑体_GBK"/>
          <w:b w:val="0"/>
          <w:bCs w:val="0"/>
        </w:rPr>
      </w:pPr>
      <w:bookmarkStart w:id="110" w:name="_Toc974"/>
      <w:r>
        <w:rPr>
          <w:rFonts w:eastAsia="方正黑体_GBK"/>
          <w:b w:val="0"/>
          <w:bCs w:val="0"/>
        </w:rPr>
        <w:t>第三节  培育壮大新乡贤队伍</w:t>
      </w:r>
      <w:bookmarkEnd w:id="105"/>
      <w:bookmarkEnd w:id="106"/>
      <w:bookmarkEnd w:id="107"/>
      <w:bookmarkEnd w:id="108"/>
      <w:bookmarkEnd w:id="109"/>
      <w:bookmarkEnd w:id="110"/>
    </w:p>
    <w:p w14:paraId="4E3F2B27">
      <w:pPr>
        <w:spacing w:line="480" w:lineRule="exact"/>
        <w:ind w:firstLine="560" w:firstLineChars="200"/>
        <w:rPr>
          <w:kern w:val="0"/>
          <w:sz w:val="28"/>
          <w:szCs w:val="28"/>
        </w:rPr>
      </w:pPr>
      <w:r>
        <w:rPr>
          <w:kern w:val="0"/>
          <w:sz w:val="28"/>
          <w:szCs w:val="28"/>
        </w:rPr>
        <w:t>实施新乡贤培育示范工程，建立完善新乡贤吸纳机制，引导城市党员干部、知识分子、商业人才、经济文化能人等群体扎根本土，发现、培养和壮大新乡贤队伍。鼓励离退休老党员、老干部、人大代表、政协委员、工商界人士</w:t>
      </w:r>
      <w:r>
        <w:rPr>
          <w:rFonts w:hint="eastAsia"/>
          <w:kern w:val="0"/>
          <w:sz w:val="28"/>
          <w:szCs w:val="28"/>
        </w:rPr>
        <w:t>“</w:t>
      </w:r>
      <w:r>
        <w:rPr>
          <w:kern w:val="0"/>
          <w:sz w:val="28"/>
          <w:szCs w:val="28"/>
        </w:rPr>
        <w:t>告老还乡</w:t>
      </w:r>
      <w:r>
        <w:rPr>
          <w:rFonts w:hint="eastAsia"/>
          <w:kern w:val="0"/>
          <w:sz w:val="28"/>
          <w:szCs w:val="28"/>
        </w:rPr>
        <w:t>”</w:t>
      </w:r>
      <w:r>
        <w:rPr>
          <w:kern w:val="0"/>
          <w:sz w:val="28"/>
          <w:szCs w:val="28"/>
        </w:rPr>
        <w:t>，到乡村发挥余热、施展才能，实现宝贵人才资源从乡村流出再到返回乡村的良性循环。探索区县政协界别机制创新，设立新乡贤界别，引导新乡贤为乡村振兴建言献策。鼓励各乡镇、村社挖掘整理乡贤资源，研究制定吸引新乡贤的支持政策。</w:t>
      </w:r>
    </w:p>
    <w:p w14:paraId="1F4213A9">
      <w:pPr>
        <w:spacing w:line="480" w:lineRule="exact"/>
        <w:rPr>
          <w:rFonts w:eastAsia="黑体"/>
          <w:sz w:val="36"/>
          <w:szCs w:val="36"/>
        </w:rPr>
      </w:pPr>
    </w:p>
    <w:p w14:paraId="7D92245F">
      <w:pPr>
        <w:pStyle w:val="4"/>
        <w:spacing w:line="480" w:lineRule="exact"/>
        <w:ind w:firstLine="0"/>
        <w:rPr>
          <w:bCs w:val="0"/>
          <w:sz w:val="36"/>
          <w:szCs w:val="36"/>
        </w:rPr>
      </w:pPr>
      <w:bookmarkStart w:id="111" w:name="_Toc21904"/>
      <w:r>
        <w:rPr>
          <w:bCs w:val="0"/>
          <w:sz w:val="36"/>
          <w:szCs w:val="36"/>
        </w:rPr>
        <w:t>第十六章  完善乡村振兴人才支持体制机制</w:t>
      </w:r>
      <w:bookmarkEnd w:id="111"/>
    </w:p>
    <w:p w14:paraId="5A6ADA79">
      <w:pPr>
        <w:spacing w:line="480" w:lineRule="exact"/>
        <w:ind w:firstLine="641"/>
        <w:rPr>
          <w:rFonts w:eastAsia="宋体"/>
          <w:kern w:val="0"/>
          <w:sz w:val="36"/>
          <w:szCs w:val="36"/>
        </w:rPr>
      </w:pPr>
    </w:p>
    <w:p w14:paraId="11260F74">
      <w:pPr>
        <w:spacing w:line="480" w:lineRule="exact"/>
        <w:ind w:firstLine="560" w:firstLineChars="200"/>
        <w:rPr>
          <w:kern w:val="0"/>
          <w:sz w:val="28"/>
          <w:szCs w:val="28"/>
        </w:rPr>
      </w:pPr>
      <w:r>
        <w:rPr>
          <w:kern w:val="0"/>
          <w:sz w:val="28"/>
          <w:szCs w:val="28"/>
        </w:rPr>
        <w:t>优化农村政策环境，完善服务供给体系，建立推动各类人才</w:t>
      </w:r>
      <w:r>
        <w:rPr>
          <w:rFonts w:hint="eastAsia"/>
          <w:kern w:val="0"/>
          <w:sz w:val="28"/>
          <w:szCs w:val="28"/>
        </w:rPr>
        <w:t>“</w:t>
      </w:r>
      <w:r>
        <w:rPr>
          <w:kern w:val="0"/>
          <w:sz w:val="28"/>
          <w:szCs w:val="28"/>
        </w:rPr>
        <w:t>上山下乡</w:t>
      </w:r>
      <w:r>
        <w:rPr>
          <w:rFonts w:hint="eastAsia"/>
          <w:kern w:val="0"/>
          <w:sz w:val="28"/>
          <w:szCs w:val="28"/>
        </w:rPr>
        <w:t>”</w:t>
      </w:r>
      <w:r>
        <w:rPr>
          <w:kern w:val="0"/>
          <w:sz w:val="28"/>
          <w:szCs w:val="28"/>
        </w:rPr>
        <w:t>有效激励机制，引导各类人才资源向农村流动。</w:t>
      </w:r>
    </w:p>
    <w:p w14:paraId="1E232858">
      <w:pPr>
        <w:pStyle w:val="5"/>
        <w:spacing w:line="480" w:lineRule="exact"/>
        <w:jc w:val="center"/>
        <w:rPr>
          <w:rFonts w:eastAsia="方正黑体_GBK"/>
          <w:b w:val="0"/>
          <w:bCs w:val="0"/>
        </w:rPr>
      </w:pPr>
      <w:bookmarkStart w:id="112" w:name="_Toc519079737"/>
      <w:bookmarkStart w:id="113" w:name="_Toc521865066"/>
      <w:bookmarkStart w:id="114" w:name="_Toc522043011"/>
      <w:bookmarkStart w:id="115" w:name="_Toc521853550"/>
      <w:bookmarkStart w:id="116" w:name="_Toc5276"/>
      <w:bookmarkStart w:id="117" w:name="_Toc521352275"/>
      <w:r>
        <w:rPr>
          <w:rFonts w:eastAsia="方正黑体_GBK"/>
          <w:b w:val="0"/>
          <w:bCs w:val="0"/>
        </w:rPr>
        <w:t>第一节  创新培养机制</w:t>
      </w:r>
      <w:bookmarkEnd w:id="112"/>
      <w:bookmarkEnd w:id="113"/>
      <w:bookmarkEnd w:id="114"/>
      <w:bookmarkEnd w:id="115"/>
      <w:bookmarkEnd w:id="116"/>
      <w:bookmarkEnd w:id="117"/>
    </w:p>
    <w:p w14:paraId="56585893">
      <w:pPr>
        <w:spacing w:line="480" w:lineRule="exact"/>
        <w:ind w:firstLine="560" w:firstLineChars="200"/>
        <w:rPr>
          <w:kern w:val="0"/>
          <w:sz w:val="28"/>
          <w:szCs w:val="28"/>
        </w:rPr>
      </w:pPr>
      <w:r>
        <w:rPr>
          <w:kern w:val="0"/>
          <w:sz w:val="28"/>
          <w:szCs w:val="28"/>
        </w:rPr>
        <w:t>探索多样化人才培养模式，建立自主培养与人才引进相结合，学历教育、技能培训、实践锻炼、异地交流等多措并举的农村人力资源开发机制。依托西南大学建立城口乡村振兴战略研究平台，推动新型经营主体、涉农高等院校、农业科研单位、农技推广机构组成职教联盟，联合培养乡村振兴人才。重视协同创新，推进城口本地企业、政府部门与相关科研院所组建专业领域协同创新中心。与高校定向合作开展相关紧缺型人才定制化培养和引进，到2025年与高校联合定向培养1000名乡村振兴人才，同时开展基层干部专题轮训。建立农村就业创业者陪伴式支持体系，制定农村人才培养和评价标准，因材施教进行课程设定，开展人才评价与认定工作。运用移动互联网等信息化手段，创新在线培训、手机客户端管理考核等新型人才培养和服务方式。</w:t>
      </w:r>
    </w:p>
    <w:p w14:paraId="461669A7">
      <w:pPr>
        <w:pStyle w:val="5"/>
        <w:spacing w:line="480" w:lineRule="exact"/>
        <w:jc w:val="center"/>
        <w:rPr>
          <w:rFonts w:eastAsia="方正黑体_GBK"/>
          <w:b w:val="0"/>
          <w:bCs w:val="0"/>
        </w:rPr>
      </w:pPr>
      <w:bookmarkStart w:id="118" w:name="_Toc521853551"/>
      <w:bookmarkStart w:id="119" w:name="_Toc522043012"/>
      <w:bookmarkStart w:id="120" w:name="_Toc519079738"/>
      <w:bookmarkStart w:id="121" w:name="_Toc32753"/>
      <w:bookmarkStart w:id="122" w:name="_Toc521352276"/>
      <w:bookmarkStart w:id="123" w:name="_Toc521865067"/>
      <w:r>
        <w:rPr>
          <w:rFonts w:eastAsia="方正黑体_GBK"/>
          <w:b w:val="0"/>
          <w:bCs w:val="0"/>
        </w:rPr>
        <w:t>第二节  完善服务体系</w:t>
      </w:r>
      <w:bookmarkEnd w:id="118"/>
      <w:bookmarkEnd w:id="119"/>
      <w:bookmarkEnd w:id="120"/>
      <w:bookmarkEnd w:id="121"/>
      <w:bookmarkEnd w:id="122"/>
      <w:bookmarkEnd w:id="123"/>
    </w:p>
    <w:p w14:paraId="312FF642">
      <w:pPr>
        <w:spacing w:line="480" w:lineRule="exact"/>
        <w:ind w:firstLine="560" w:firstLineChars="200"/>
        <w:rPr>
          <w:rFonts w:eastAsia="宋体"/>
          <w:kern w:val="0"/>
          <w:sz w:val="28"/>
          <w:szCs w:val="28"/>
        </w:rPr>
      </w:pPr>
      <w:r>
        <w:rPr>
          <w:kern w:val="0"/>
          <w:sz w:val="28"/>
          <w:szCs w:val="28"/>
        </w:rPr>
        <w:t>加快创业平台建设，依托各类园区、闲置厂房、废弃民居、空置学校等存量资源，支持和引导发展一批</w:t>
      </w:r>
      <w:r>
        <w:rPr>
          <w:rFonts w:hint="eastAsia"/>
          <w:kern w:val="0"/>
          <w:sz w:val="28"/>
          <w:szCs w:val="28"/>
        </w:rPr>
        <w:t>“</w:t>
      </w:r>
      <w:r>
        <w:rPr>
          <w:kern w:val="0"/>
          <w:sz w:val="28"/>
          <w:szCs w:val="28"/>
        </w:rPr>
        <w:t>乡村车间</w:t>
      </w:r>
      <w:r>
        <w:rPr>
          <w:rFonts w:hint="eastAsia"/>
          <w:kern w:val="0"/>
          <w:sz w:val="28"/>
          <w:szCs w:val="28"/>
        </w:rPr>
        <w:t>”</w:t>
      </w:r>
      <w:r>
        <w:rPr>
          <w:kern w:val="0"/>
          <w:sz w:val="28"/>
          <w:szCs w:val="28"/>
        </w:rPr>
        <w:t>、创业空间、创业咖啡等乡村创新创业、返乡创业孵化基地。积极培育电子商务平台和电商物流渠道，带动返乡人员网络创业。优化创业担保贷款政策，支持重点群体创办的高成长性企业发展。实施农民工等人员返乡创业培训五年行动计划和农村青年创业致富</w:t>
      </w:r>
      <w:r>
        <w:rPr>
          <w:rFonts w:hint="eastAsia"/>
          <w:kern w:val="0"/>
          <w:sz w:val="28"/>
          <w:szCs w:val="28"/>
        </w:rPr>
        <w:t>“</w:t>
      </w:r>
      <w:r>
        <w:rPr>
          <w:kern w:val="0"/>
          <w:sz w:val="28"/>
          <w:szCs w:val="28"/>
        </w:rPr>
        <w:t>领头雁</w:t>
      </w:r>
      <w:r>
        <w:rPr>
          <w:rFonts w:hint="eastAsia"/>
          <w:kern w:val="0"/>
          <w:sz w:val="28"/>
          <w:szCs w:val="28"/>
        </w:rPr>
        <w:t>”</w:t>
      </w:r>
      <w:r>
        <w:rPr>
          <w:kern w:val="0"/>
          <w:sz w:val="28"/>
          <w:szCs w:val="28"/>
        </w:rPr>
        <w:t>计划、贫困村创业致富带头人培训工程，开展农村妇女创业创新培训。培育和壮大专业化市场中介服务机构，形成专业化、社会化、网络化的市场中介服务体系。针对返乡农民工和大中专毕业生等重点人群，推进实施农村经纪人免费培训工程，加大法律法规、市场营销、农业技术、乡村旅游等培训力度。</w:t>
      </w:r>
    </w:p>
    <w:p w14:paraId="2C6EE569">
      <w:pPr>
        <w:pStyle w:val="5"/>
        <w:spacing w:line="480" w:lineRule="exact"/>
        <w:jc w:val="center"/>
        <w:rPr>
          <w:rFonts w:eastAsia="方正黑体_GBK"/>
          <w:b w:val="0"/>
          <w:bCs w:val="0"/>
        </w:rPr>
      </w:pPr>
      <w:bookmarkStart w:id="124" w:name="_Toc13368"/>
      <w:bookmarkStart w:id="125" w:name="_Toc519079739"/>
      <w:bookmarkStart w:id="126" w:name="_Toc522043013"/>
      <w:bookmarkStart w:id="127" w:name="_Toc521865068"/>
      <w:bookmarkStart w:id="128" w:name="_Toc521853552"/>
      <w:bookmarkStart w:id="129" w:name="_Toc521352277"/>
      <w:r>
        <w:rPr>
          <w:rFonts w:eastAsia="方正黑体_GBK"/>
          <w:b w:val="0"/>
          <w:bCs w:val="0"/>
        </w:rPr>
        <w:t>第三节  建立激励机制</w:t>
      </w:r>
      <w:bookmarkEnd w:id="124"/>
      <w:bookmarkEnd w:id="125"/>
      <w:bookmarkEnd w:id="126"/>
      <w:bookmarkEnd w:id="127"/>
      <w:bookmarkEnd w:id="128"/>
      <w:bookmarkEnd w:id="129"/>
    </w:p>
    <w:p w14:paraId="166278CB">
      <w:pPr>
        <w:spacing w:line="480" w:lineRule="exact"/>
        <w:ind w:firstLine="560" w:firstLineChars="200"/>
        <w:rPr>
          <w:kern w:val="0"/>
          <w:sz w:val="28"/>
          <w:szCs w:val="28"/>
        </w:rPr>
      </w:pPr>
      <w:r>
        <w:rPr>
          <w:kern w:val="0"/>
          <w:sz w:val="28"/>
          <w:szCs w:val="28"/>
        </w:rPr>
        <w:t>完善人才和事业发展公共服务体系，健全乡村振兴人才支持体系，在财政、金融以及政策上予以合理倾斜。研究制定吸引城市市民和专业人才参与城口乡村振兴的政策。制定符合县域实际的人才认定及评价体系，推动人才认定及评价工作公开化、透明化，真正形成发展引才、人尽其才的良性发展。推动专业技术职称评聘，以专业素养为基础，以工作实绩论才干，构建充分体现知识、技术、实绩等要素价值的职称评聘机制。建立创业风险防范机制，设立城口乡村创新创业基金，为市民下乡和能人返乡创业提供支持。按规定将符合条件的返乡创业人员纳入就业援助、社会保险和救助体系，使返乡创业有后盾、能致富。</w:t>
      </w:r>
    </w:p>
    <w:p w14:paraId="2D57A56B">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7AA94F7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37F822AD">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专栏5  乡村人才振兴工程</w:t>
            </w:r>
          </w:p>
        </w:tc>
      </w:tr>
      <w:tr w14:paraId="42BF88A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7D39EDA3">
            <w:pPr>
              <w:spacing w:line="480" w:lineRule="exact"/>
              <w:ind w:firstLine="560"/>
              <w:rPr>
                <w:spacing w:val="-4"/>
                <w:sz w:val="28"/>
                <w:szCs w:val="28"/>
              </w:rPr>
            </w:pPr>
            <w:r>
              <w:rPr>
                <w:rFonts w:eastAsia="方正楷体_GBK"/>
                <w:spacing w:val="-6"/>
                <w:sz w:val="28"/>
                <w:szCs w:val="28"/>
              </w:rPr>
              <w:t>农村人才培育工程。</w:t>
            </w:r>
            <w:r>
              <w:rPr>
                <w:spacing w:val="-6"/>
                <w:sz w:val="28"/>
                <w:szCs w:val="28"/>
              </w:rPr>
              <w:t>招录一批应届优秀大学毕业生到基层工作，招募</w:t>
            </w:r>
            <w:r>
              <w:rPr>
                <w:rFonts w:hint="eastAsia"/>
                <w:spacing w:val="-6"/>
                <w:sz w:val="28"/>
                <w:szCs w:val="28"/>
              </w:rPr>
              <w:t>“</w:t>
            </w:r>
            <w:r>
              <w:rPr>
                <w:spacing w:val="-6"/>
                <w:sz w:val="28"/>
                <w:szCs w:val="28"/>
              </w:rPr>
              <w:t>三</w:t>
            </w:r>
            <w:r>
              <w:rPr>
                <w:spacing w:val="-4"/>
                <w:sz w:val="28"/>
                <w:szCs w:val="28"/>
              </w:rPr>
              <w:t>支一扶</w:t>
            </w:r>
            <w:r>
              <w:rPr>
                <w:rFonts w:hint="eastAsia"/>
                <w:spacing w:val="-4"/>
                <w:sz w:val="28"/>
                <w:szCs w:val="28"/>
              </w:rPr>
              <w:t>”</w:t>
            </w:r>
            <w:r>
              <w:rPr>
                <w:spacing w:val="-4"/>
                <w:sz w:val="28"/>
                <w:szCs w:val="28"/>
              </w:rPr>
              <w:t>人员和大学生志愿者。定向培养学前教育免费师范生、农村小学全科教师和订单定向医学生，到2025年培养一批乡村振兴骨干人才。</w:t>
            </w:r>
          </w:p>
          <w:p w14:paraId="49CBD82F">
            <w:pPr>
              <w:spacing w:line="480" w:lineRule="exact"/>
              <w:ind w:firstLine="560"/>
              <w:rPr>
                <w:spacing w:val="-4"/>
                <w:sz w:val="28"/>
                <w:szCs w:val="28"/>
              </w:rPr>
            </w:pPr>
            <w:r>
              <w:rPr>
                <w:spacing w:val="-4"/>
                <w:sz w:val="28"/>
                <w:szCs w:val="28"/>
              </w:rPr>
              <w:t>新型职业农民培育工程。继续实施新型职业农民培育工程，到2022年培育新型职业农民5000人，到2025年新型职业农民稳定在6000人左右。</w:t>
            </w:r>
          </w:p>
          <w:p w14:paraId="41A84D40">
            <w:pPr>
              <w:spacing w:line="480" w:lineRule="exact"/>
              <w:ind w:firstLine="560"/>
              <w:rPr>
                <w:sz w:val="28"/>
                <w:szCs w:val="28"/>
              </w:rPr>
            </w:pPr>
            <w:r>
              <w:rPr>
                <w:rFonts w:eastAsia="方正楷体_GBK"/>
                <w:sz w:val="28"/>
                <w:szCs w:val="28"/>
              </w:rPr>
              <w:t>农村专业人才队伍建设工程。</w:t>
            </w:r>
            <w:r>
              <w:rPr>
                <w:sz w:val="28"/>
                <w:szCs w:val="28"/>
              </w:rPr>
              <w:t>优化专业技术岗位比例结构。与西南大学、四川美术学院等高校合作组织实施非遗传承人群研修培训。到2025年，农村实用人才队伍稳定在2000人，实施农村本土人才培养1500人，完成农村建筑工匠培训250名。</w:t>
            </w:r>
          </w:p>
          <w:p w14:paraId="3FFC1B17">
            <w:pPr>
              <w:spacing w:line="480" w:lineRule="exact"/>
              <w:ind w:firstLine="548" w:firstLineChars="196"/>
              <w:rPr>
                <w:sz w:val="28"/>
                <w:szCs w:val="28"/>
              </w:rPr>
            </w:pPr>
            <w:r>
              <w:rPr>
                <w:rFonts w:eastAsia="方正楷体_GBK"/>
                <w:sz w:val="28"/>
                <w:szCs w:val="28"/>
              </w:rPr>
              <w:t>科技特派员工程。</w:t>
            </w:r>
            <w:r>
              <w:rPr>
                <w:sz w:val="28"/>
                <w:szCs w:val="28"/>
              </w:rPr>
              <w:t>深化和完善科技特派员制度，建立对派出单位的考核激励机制，拓展科技特派员选派范围和服务领域，每年保持25名以上科技特派员下乡入园进企开展服务。成立农业全产业链服务和乡村全领域服务的科技特派团，每年培训县和乡镇级科技特派员50人次以上，到2025累计选派科技特派员300名。</w:t>
            </w:r>
          </w:p>
          <w:p w14:paraId="078D5BF3">
            <w:pPr>
              <w:spacing w:line="480" w:lineRule="exact"/>
              <w:ind w:firstLine="548" w:firstLineChars="196"/>
              <w:rPr>
                <w:sz w:val="28"/>
                <w:szCs w:val="28"/>
              </w:rPr>
            </w:pPr>
            <w:r>
              <w:rPr>
                <w:rFonts w:eastAsia="方正楷体_GBK"/>
                <w:sz w:val="28"/>
                <w:szCs w:val="28"/>
              </w:rPr>
              <w:t>农村</w:t>
            </w:r>
            <w:r>
              <w:rPr>
                <w:rFonts w:hint="eastAsia" w:eastAsia="方正楷体_GBK"/>
                <w:sz w:val="28"/>
                <w:szCs w:val="28"/>
              </w:rPr>
              <w:t>“</w:t>
            </w:r>
            <w:r>
              <w:rPr>
                <w:rFonts w:eastAsia="方正楷体_GBK"/>
                <w:sz w:val="28"/>
                <w:szCs w:val="28"/>
              </w:rPr>
              <w:t>星创天地</w:t>
            </w:r>
            <w:r>
              <w:rPr>
                <w:rFonts w:hint="eastAsia" w:eastAsia="方正楷体_GBK"/>
                <w:sz w:val="28"/>
                <w:szCs w:val="28"/>
              </w:rPr>
              <w:t>”</w:t>
            </w:r>
            <w:r>
              <w:rPr>
                <w:rFonts w:eastAsia="方正楷体_GBK"/>
                <w:sz w:val="28"/>
                <w:szCs w:val="28"/>
              </w:rPr>
              <w:t>培育工程。</w:t>
            </w:r>
            <w:r>
              <w:rPr>
                <w:sz w:val="28"/>
                <w:szCs w:val="28"/>
              </w:rPr>
              <w:t>依托农业科技园区、高校、科技型企业、农民合作社等载体，面向科技特派员、大学生、返乡农民工、职业农民等打造融合科技示范、融资孵化、创新创业、平台服务于一体的创业基地。</w:t>
            </w:r>
          </w:p>
          <w:p w14:paraId="199F8DAE">
            <w:pPr>
              <w:spacing w:line="480" w:lineRule="exact"/>
              <w:ind w:firstLine="548" w:firstLineChars="196"/>
              <w:rPr>
                <w:sz w:val="30"/>
                <w:szCs w:val="30"/>
              </w:rPr>
            </w:pPr>
            <w:r>
              <w:rPr>
                <w:rFonts w:eastAsia="方正楷体_GBK"/>
                <w:sz w:val="28"/>
                <w:szCs w:val="28"/>
              </w:rPr>
              <w:t>乡村就业创业促进工程。</w:t>
            </w:r>
            <w:r>
              <w:rPr>
                <w:sz w:val="28"/>
                <w:szCs w:val="28"/>
              </w:rPr>
              <w:t>加强市县两级充分就业村创建，到2025年打造市级充分就业村（社区）50个，力争创建市级充分就业村（社区）2个。每年回引农村劳动力返乡就业创业200人。充分发挥职业学校、社区学校、劳务企业的培训功能，开展对农民和农民工进行技能培训，力争达到每年培训2500人次。每年遴选一批高校毕业生、登记失业人员、返乡农民工、复员退伍军人创办的优质企业开展跟踪扶持。建立全县劳动力台账，有针对性地确定培训项目，实施精准创业培训，提升其就业创业能力。</w:t>
            </w:r>
          </w:p>
        </w:tc>
      </w:tr>
    </w:tbl>
    <w:p w14:paraId="5DE34D42">
      <w:pPr>
        <w:tabs>
          <w:tab w:val="left" w:pos="978"/>
        </w:tabs>
        <w:spacing w:line="480" w:lineRule="exact"/>
        <w:rPr>
          <w:rFonts w:eastAsia="宋体"/>
          <w:kern w:val="0"/>
          <w:sz w:val="28"/>
          <w:szCs w:val="28"/>
        </w:rPr>
      </w:pPr>
    </w:p>
    <w:p w14:paraId="20E413CF">
      <w:pPr>
        <w:tabs>
          <w:tab w:val="left" w:pos="978"/>
        </w:tabs>
        <w:spacing w:line="480" w:lineRule="exact"/>
        <w:rPr>
          <w:rFonts w:eastAsia="宋体"/>
          <w:kern w:val="0"/>
          <w:sz w:val="28"/>
          <w:szCs w:val="28"/>
        </w:rPr>
      </w:pPr>
    </w:p>
    <w:p w14:paraId="3FAB328D">
      <w:pPr>
        <w:pStyle w:val="3"/>
        <w:spacing w:line="480" w:lineRule="exact"/>
        <w:jc w:val="center"/>
        <w:rPr>
          <w:rStyle w:val="30"/>
          <w:rFonts w:ascii="Times New Roman" w:hAnsi="Times New Roman" w:eastAsia="黑体"/>
          <w:b w:val="0"/>
          <w:bCs w:val="0"/>
        </w:rPr>
      </w:pPr>
      <w:r>
        <w:rPr>
          <w:rFonts w:ascii="Times New Roman" w:hAnsi="Times New Roman" w:eastAsia="宋体"/>
          <w:b w:val="0"/>
          <w:bCs w:val="0"/>
          <w:kern w:val="0"/>
          <w:sz w:val="28"/>
          <w:szCs w:val="28"/>
        </w:rPr>
        <w:br w:type="page"/>
      </w:r>
      <w:bookmarkStart w:id="130" w:name="_Toc9597"/>
      <w:r>
        <w:rPr>
          <w:rFonts w:ascii="Times New Roman" w:hAnsi="Times New Roman" w:eastAsia="方正黑体_GBK"/>
          <w:b w:val="0"/>
          <w:bCs w:val="0"/>
          <w:kern w:val="2"/>
        </w:rPr>
        <w:t>第六篇 繁荣发展乡村优秀文化</w:t>
      </w:r>
      <w:bookmarkEnd w:id="130"/>
    </w:p>
    <w:p w14:paraId="2A9121EE">
      <w:pPr>
        <w:spacing w:line="480" w:lineRule="exact"/>
        <w:rPr>
          <w:kern w:val="0"/>
          <w:sz w:val="28"/>
          <w:szCs w:val="28"/>
        </w:rPr>
      </w:pPr>
      <w:r>
        <w:rPr>
          <w:rFonts w:eastAsia="宋体"/>
          <w:kern w:val="0"/>
          <w:sz w:val="28"/>
          <w:szCs w:val="28"/>
        </w:rPr>
        <w:tab/>
      </w:r>
      <w:r>
        <w:rPr>
          <w:rFonts w:eastAsia="宋体"/>
          <w:kern w:val="0"/>
          <w:sz w:val="28"/>
          <w:szCs w:val="28"/>
        </w:rPr>
        <w:t xml:space="preserve"> </w:t>
      </w:r>
      <w:r>
        <w:rPr>
          <w:kern w:val="0"/>
          <w:sz w:val="28"/>
          <w:szCs w:val="28"/>
        </w:rPr>
        <w:t xml:space="preserve"> </w:t>
      </w:r>
      <w:r>
        <w:rPr>
          <w:rFonts w:hint="eastAsia"/>
          <w:kern w:val="0"/>
          <w:sz w:val="28"/>
          <w:szCs w:val="28"/>
          <w:lang w:eastAsia="zh-CN"/>
        </w:rPr>
        <w:t>深入开展学习贯彻习近平新时代中国特色社会主义思想主题教育</w:t>
      </w:r>
      <w:r>
        <w:rPr>
          <w:kern w:val="0"/>
          <w:sz w:val="28"/>
          <w:szCs w:val="28"/>
        </w:rPr>
        <w:t>，加强社会主义精神文明建设，推动形成适应新时代要求的思想观念、精神面貌、文明风尚、行为规范。形成具有时代特色和城口特点的社会主义乡村新文化，提振农村精气神。</w:t>
      </w:r>
    </w:p>
    <w:p w14:paraId="2CD174A9">
      <w:pPr>
        <w:spacing w:line="480" w:lineRule="exact"/>
        <w:rPr>
          <w:rFonts w:eastAsia="宋体"/>
          <w:kern w:val="0"/>
          <w:sz w:val="28"/>
          <w:szCs w:val="28"/>
        </w:rPr>
      </w:pPr>
    </w:p>
    <w:p w14:paraId="6AC826C8">
      <w:pPr>
        <w:pStyle w:val="4"/>
        <w:spacing w:line="480" w:lineRule="exact"/>
        <w:ind w:firstLine="0"/>
        <w:rPr>
          <w:rFonts w:eastAsia="黑体"/>
          <w:bCs w:val="0"/>
          <w:sz w:val="36"/>
          <w:szCs w:val="36"/>
        </w:rPr>
      </w:pPr>
      <w:bookmarkStart w:id="131" w:name="_Toc5265"/>
      <w:r>
        <w:rPr>
          <w:bCs w:val="0"/>
          <w:sz w:val="36"/>
          <w:szCs w:val="36"/>
        </w:rPr>
        <w:t>第十七章 加强农村思想道德建设</w:t>
      </w:r>
      <w:bookmarkEnd w:id="131"/>
    </w:p>
    <w:p w14:paraId="1595B256">
      <w:pPr>
        <w:spacing w:line="480" w:lineRule="exact"/>
        <w:ind w:firstLine="641"/>
        <w:rPr>
          <w:rFonts w:eastAsia="宋体"/>
          <w:kern w:val="0"/>
          <w:sz w:val="28"/>
          <w:szCs w:val="28"/>
        </w:rPr>
      </w:pPr>
    </w:p>
    <w:p w14:paraId="0FC8E5F1">
      <w:pPr>
        <w:spacing w:line="480" w:lineRule="exact"/>
        <w:ind w:firstLine="560" w:firstLineChars="200"/>
        <w:rPr>
          <w:kern w:val="0"/>
          <w:sz w:val="28"/>
          <w:szCs w:val="28"/>
        </w:rPr>
      </w:pPr>
      <w:r>
        <w:rPr>
          <w:kern w:val="0"/>
          <w:sz w:val="28"/>
          <w:szCs w:val="28"/>
        </w:rPr>
        <w:t>在经济社会发展的新时代，持续推进农村精神文明建设，提高农民综合素质，倡导文明新风，提升农村社会文明水平，奠定乡村振兴下乡风文明的思想道德基础。</w:t>
      </w:r>
    </w:p>
    <w:p w14:paraId="25C35909">
      <w:pPr>
        <w:pStyle w:val="5"/>
        <w:spacing w:line="480" w:lineRule="exact"/>
        <w:jc w:val="center"/>
        <w:rPr>
          <w:rFonts w:eastAsia="方正黑体_GBK"/>
          <w:b w:val="0"/>
          <w:bCs w:val="0"/>
          <w:sz w:val="28"/>
          <w:szCs w:val="28"/>
        </w:rPr>
      </w:pPr>
      <w:bookmarkStart w:id="132" w:name="_Toc30492"/>
      <w:r>
        <w:rPr>
          <w:rFonts w:eastAsia="方正黑体_GBK"/>
          <w:b w:val="0"/>
          <w:bCs w:val="0"/>
          <w:sz w:val="28"/>
          <w:szCs w:val="28"/>
        </w:rPr>
        <w:t>第一节  践行社会主义核心价值观</w:t>
      </w:r>
      <w:bookmarkEnd w:id="132"/>
    </w:p>
    <w:p w14:paraId="52398514">
      <w:pPr>
        <w:spacing w:line="480" w:lineRule="exact"/>
        <w:ind w:firstLine="560" w:firstLineChars="200"/>
        <w:rPr>
          <w:kern w:val="0"/>
          <w:sz w:val="28"/>
          <w:szCs w:val="28"/>
        </w:rPr>
      </w:pPr>
      <w:r>
        <w:rPr>
          <w:kern w:val="0"/>
          <w:sz w:val="28"/>
          <w:szCs w:val="28"/>
        </w:rPr>
        <w:t>围绕中国共产党为什么</w:t>
      </w:r>
      <w:r>
        <w:rPr>
          <w:rFonts w:hint="eastAsia"/>
          <w:kern w:val="0"/>
          <w:sz w:val="28"/>
          <w:szCs w:val="28"/>
        </w:rPr>
        <w:t>“</w:t>
      </w:r>
      <w:r>
        <w:rPr>
          <w:kern w:val="0"/>
          <w:sz w:val="28"/>
          <w:szCs w:val="28"/>
        </w:rPr>
        <w:t>能</w:t>
      </w:r>
      <w:r>
        <w:rPr>
          <w:rFonts w:hint="eastAsia"/>
          <w:kern w:val="0"/>
          <w:sz w:val="28"/>
          <w:szCs w:val="28"/>
        </w:rPr>
        <w:t>”</w:t>
      </w:r>
      <w:r>
        <w:rPr>
          <w:kern w:val="0"/>
          <w:sz w:val="28"/>
          <w:szCs w:val="28"/>
        </w:rPr>
        <w:t>、马克思主义为什么</w:t>
      </w:r>
      <w:r>
        <w:rPr>
          <w:rFonts w:hint="eastAsia"/>
          <w:kern w:val="0"/>
          <w:sz w:val="28"/>
          <w:szCs w:val="28"/>
        </w:rPr>
        <w:t>“</w:t>
      </w:r>
      <w:r>
        <w:rPr>
          <w:kern w:val="0"/>
          <w:sz w:val="28"/>
          <w:szCs w:val="28"/>
        </w:rPr>
        <w:t>行</w:t>
      </w:r>
      <w:r>
        <w:rPr>
          <w:rFonts w:hint="eastAsia"/>
          <w:kern w:val="0"/>
          <w:sz w:val="28"/>
          <w:szCs w:val="28"/>
        </w:rPr>
        <w:t>”</w:t>
      </w:r>
      <w:r>
        <w:rPr>
          <w:kern w:val="0"/>
          <w:sz w:val="28"/>
          <w:szCs w:val="28"/>
        </w:rPr>
        <w:t>、中国特色社会主义为什么</w:t>
      </w:r>
      <w:r>
        <w:rPr>
          <w:rFonts w:hint="eastAsia"/>
          <w:kern w:val="0"/>
          <w:sz w:val="28"/>
          <w:szCs w:val="28"/>
        </w:rPr>
        <w:t>“</w:t>
      </w:r>
      <w:r>
        <w:rPr>
          <w:kern w:val="0"/>
          <w:sz w:val="28"/>
          <w:szCs w:val="28"/>
        </w:rPr>
        <w:t>好</w:t>
      </w:r>
      <w:r>
        <w:rPr>
          <w:rFonts w:hint="eastAsia"/>
          <w:kern w:val="0"/>
          <w:sz w:val="28"/>
          <w:szCs w:val="28"/>
        </w:rPr>
        <w:t>”</w:t>
      </w:r>
      <w:r>
        <w:rPr>
          <w:kern w:val="0"/>
          <w:sz w:val="28"/>
          <w:szCs w:val="28"/>
        </w:rPr>
        <w:t>等重大问题，加强理论学习、宣传普及、研究阐释。推进理想信念教育常态化制度化，加强党史、新中国史、改革开放史、社会主义发展史教育，加强爱国主义、集体主义、社会主义教育，弘扬党和人民在各个历史时期奋斗中形成的伟大精神。以习近平新时代中国特色社会主义思想为指导，在农村、社区、企业、学校、机关开展各具特色的社会主义核心价值观教育实践活动，用先进文化凝聚人心力量，改善基层文化风貌，形成良好社会风尚。抓好《城口县贯彻落实〈重庆市《新时代爱国主义教育实施纲要》具体措施〉任务清单》和《重庆市贯彻落实〈新时代公民道德建设实施纲要〉工作方案》的贯彻落实。深入学习宣传贯彻《重庆市文明行为促进条例》，推动社会主义核心价值观融入法治建设，坚持德法兼治。以</w:t>
      </w:r>
      <w:r>
        <w:rPr>
          <w:rFonts w:hint="eastAsia"/>
          <w:kern w:val="0"/>
          <w:sz w:val="28"/>
          <w:szCs w:val="28"/>
        </w:rPr>
        <w:t>“</w:t>
      </w:r>
      <w:r>
        <w:rPr>
          <w:kern w:val="0"/>
          <w:sz w:val="28"/>
          <w:szCs w:val="28"/>
        </w:rPr>
        <w:t>互联网+</w:t>
      </w:r>
      <w:r>
        <w:rPr>
          <w:rFonts w:hint="eastAsia"/>
          <w:kern w:val="0"/>
          <w:sz w:val="28"/>
          <w:szCs w:val="28"/>
        </w:rPr>
        <w:t>”</w:t>
      </w:r>
      <w:r>
        <w:rPr>
          <w:kern w:val="0"/>
          <w:sz w:val="28"/>
          <w:szCs w:val="28"/>
        </w:rPr>
        <w:t>创新文化供给方式，推动社会主义核心价值观宣传全覆盖。</w:t>
      </w:r>
    </w:p>
    <w:p w14:paraId="2F8C2C2E">
      <w:pPr>
        <w:pStyle w:val="5"/>
        <w:spacing w:line="480" w:lineRule="exact"/>
        <w:jc w:val="center"/>
        <w:rPr>
          <w:rFonts w:eastAsia="方正黑体_GBK"/>
          <w:b w:val="0"/>
          <w:bCs w:val="0"/>
          <w:sz w:val="28"/>
          <w:szCs w:val="28"/>
        </w:rPr>
      </w:pPr>
      <w:bookmarkStart w:id="133" w:name="_Toc5848"/>
      <w:r>
        <w:rPr>
          <w:rFonts w:eastAsia="方正黑体_GBK"/>
          <w:b w:val="0"/>
          <w:bCs w:val="0"/>
          <w:sz w:val="28"/>
          <w:szCs w:val="28"/>
        </w:rPr>
        <w:t>第二节  提高农村社会文明程度</w:t>
      </w:r>
      <w:bookmarkEnd w:id="133"/>
    </w:p>
    <w:p w14:paraId="15F50224">
      <w:pPr>
        <w:spacing w:line="480" w:lineRule="exact"/>
        <w:rPr>
          <w:kern w:val="0"/>
          <w:sz w:val="28"/>
          <w:szCs w:val="28"/>
        </w:rPr>
      </w:pPr>
      <w:r>
        <w:rPr>
          <w:rFonts w:eastAsia="宋体"/>
          <w:kern w:val="0"/>
          <w:sz w:val="28"/>
          <w:szCs w:val="28"/>
        </w:rPr>
        <w:t xml:space="preserve">    </w:t>
      </w:r>
      <w:r>
        <w:rPr>
          <w:kern w:val="0"/>
          <w:sz w:val="28"/>
          <w:szCs w:val="28"/>
        </w:rPr>
        <w:t xml:space="preserve"> 建立和完善县乡村三级新时代文明实践体系。切实加强农村群众性思想政治工作，举办各类主题宣讲活动，组织相关人员前往各村开展院坝会、大讲堂，开展德治法治宣传教育。持续深化移风易俗促进乡风文明行动，采取人民群众喜闻乐见的形式传递乡风文明理念，营造良好氛围。积极发挥</w:t>
      </w:r>
      <w:r>
        <w:rPr>
          <w:rFonts w:hint="eastAsia"/>
          <w:kern w:val="0"/>
          <w:sz w:val="28"/>
          <w:szCs w:val="28"/>
        </w:rPr>
        <w:t>“</w:t>
      </w:r>
      <w:r>
        <w:rPr>
          <w:kern w:val="0"/>
          <w:sz w:val="28"/>
          <w:szCs w:val="28"/>
        </w:rPr>
        <w:t>一约四会</w:t>
      </w:r>
      <w:r>
        <w:rPr>
          <w:rFonts w:hint="eastAsia"/>
          <w:kern w:val="0"/>
          <w:sz w:val="28"/>
          <w:szCs w:val="28"/>
        </w:rPr>
        <w:t>”</w:t>
      </w:r>
      <w:r>
        <w:rPr>
          <w:kern w:val="0"/>
          <w:sz w:val="28"/>
          <w:szCs w:val="28"/>
        </w:rPr>
        <w:t>作用，常态化开展移风易俗</w:t>
      </w:r>
      <w:r>
        <w:rPr>
          <w:rFonts w:hint="eastAsia"/>
          <w:kern w:val="0"/>
          <w:sz w:val="28"/>
          <w:szCs w:val="28"/>
        </w:rPr>
        <w:t>“</w:t>
      </w:r>
      <w:r>
        <w:rPr>
          <w:kern w:val="0"/>
          <w:sz w:val="28"/>
          <w:szCs w:val="28"/>
        </w:rPr>
        <w:t>十抵制十提倡</w:t>
      </w:r>
      <w:r>
        <w:rPr>
          <w:rFonts w:hint="eastAsia"/>
          <w:kern w:val="0"/>
          <w:sz w:val="28"/>
          <w:szCs w:val="28"/>
        </w:rPr>
        <w:t>”</w:t>
      </w:r>
      <w:r>
        <w:rPr>
          <w:kern w:val="0"/>
          <w:sz w:val="28"/>
          <w:szCs w:val="28"/>
        </w:rPr>
        <w:t>，持续抓实大操大办、不孝父母等专项整治，积极倡导婚事新办、丧事简办，提倡勤劳节俭美德。充分发挥好社会组织作用，鼓励本地培育和</w:t>
      </w:r>
      <w:r>
        <w:rPr>
          <w:rFonts w:hint="eastAsia"/>
          <w:kern w:val="0"/>
          <w:sz w:val="28"/>
          <w:szCs w:val="28"/>
        </w:rPr>
        <w:t>“</w:t>
      </w:r>
      <w:r>
        <w:rPr>
          <w:kern w:val="0"/>
          <w:sz w:val="28"/>
          <w:szCs w:val="28"/>
        </w:rPr>
        <w:t>引进</w:t>
      </w:r>
      <w:r>
        <w:rPr>
          <w:rFonts w:hint="eastAsia"/>
          <w:kern w:val="0"/>
          <w:sz w:val="28"/>
          <w:szCs w:val="28"/>
        </w:rPr>
        <w:t>”</w:t>
      </w:r>
      <w:r>
        <w:rPr>
          <w:kern w:val="0"/>
          <w:sz w:val="28"/>
          <w:szCs w:val="28"/>
        </w:rPr>
        <w:t>社会服务，在乡村探索建立</w:t>
      </w:r>
      <w:r>
        <w:rPr>
          <w:rFonts w:hint="eastAsia"/>
          <w:kern w:val="0"/>
          <w:sz w:val="28"/>
          <w:szCs w:val="28"/>
        </w:rPr>
        <w:t>“</w:t>
      </w:r>
      <w:r>
        <w:rPr>
          <w:kern w:val="0"/>
          <w:sz w:val="28"/>
          <w:szCs w:val="28"/>
        </w:rPr>
        <w:t>心理疏导+思想政治工作</w:t>
      </w:r>
      <w:r>
        <w:rPr>
          <w:rFonts w:hint="eastAsia"/>
          <w:kern w:val="0"/>
          <w:sz w:val="28"/>
          <w:szCs w:val="28"/>
        </w:rPr>
        <w:t>”</w:t>
      </w:r>
      <w:r>
        <w:rPr>
          <w:kern w:val="0"/>
          <w:sz w:val="28"/>
          <w:szCs w:val="28"/>
        </w:rPr>
        <w:t>服务网点，将思想政治工作融入农村生产生活和社会服务。加强农村精神文明建设，深化文明村镇创建，积极开展科技文化卫生</w:t>
      </w:r>
      <w:r>
        <w:rPr>
          <w:rFonts w:hint="eastAsia"/>
          <w:kern w:val="0"/>
          <w:sz w:val="28"/>
          <w:szCs w:val="28"/>
        </w:rPr>
        <w:t>“</w:t>
      </w:r>
      <w:r>
        <w:rPr>
          <w:kern w:val="0"/>
          <w:sz w:val="28"/>
          <w:szCs w:val="28"/>
        </w:rPr>
        <w:t>三下乡</w:t>
      </w:r>
      <w:r>
        <w:rPr>
          <w:rFonts w:hint="eastAsia"/>
          <w:kern w:val="0"/>
          <w:sz w:val="28"/>
          <w:szCs w:val="28"/>
        </w:rPr>
        <w:t>”</w:t>
      </w:r>
      <w:r>
        <w:rPr>
          <w:kern w:val="0"/>
          <w:sz w:val="28"/>
          <w:szCs w:val="28"/>
        </w:rPr>
        <w:t>活动，持续开展星级文明户、整洁户、文明家庭、身边好人等评选活动，到2022年建成100个乡风文明示范村，到2025年全县文明村镇创建率达到50%以上，乡风文明美丽乡村建成率力争达到90％以上。</w:t>
      </w:r>
    </w:p>
    <w:p w14:paraId="1AFAED38">
      <w:pPr>
        <w:pStyle w:val="5"/>
        <w:spacing w:line="480" w:lineRule="exact"/>
        <w:jc w:val="center"/>
        <w:rPr>
          <w:rFonts w:eastAsia="方正黑体_GBK"/>
          <w:b w:val="0"/>
          <w:bCs w:val="0"/>
          <w:sz w:val="28"/>
          <w:szCs w:val="28"/>
        </w:rPr>
      </w:pPr>
      <w:bookmarkStart w:id="134" w:name="_Toc7545"/>
      <w:r>
        <w:rPr>
          <w:rFonts w:eastAsia="方正黑体_GBK"/>
          <w:b w:val="0"/>
          <w:bCs w:val="0"/>
          <w:sz w:val="28"/>
          <w:szCs w:val="28"/>
        </w:rPr>
        <w:t>第三节  倡导良好道德规范</w:t>
      </w:r>
      <w:bookmarkEnd w:id="134"/>
    </w:p>
    <w:p w14:paraId="0585514C">
      <w:pPr>
        <w:spacing w:line="480" w:lineRule="exact"/>
        <w:ind w:firstLine="560" w:firstLineChars="200"/>
        <w:rPr>
          <w:rFonts w:eastAsia="宋体"/>
          <w:kern w:val="0"/>
          <w:sz w:val="28"/>
          <w:szCs w:val="28"/>
        </w:rPr>
      </w:pPr>
      <w:r>
        <w:rPr>
          <w:kern w:val="0"/>
          <w:sz w:val="28"/>
          <w:szCs w:val="28"/>
        </w:rPr>
        <w:t>深入实施公民道德建设工程，深入推进公民道德建设，加强社会公德、职业道德、家庭美德、个人品德建设，引导农民群众争做时代新人。在广大农村地区大力选树和学习宣传道德模范、身边好人、新时代好少年、最美志愿者等先进典型，营造德者有得、好人好报的浓厚氛围。充分挖掘传统文化内涵，大力弘扬传统美德。加强农村未成年人思想道德建设，推进</w:t>
      </w:r>
      <w:r>
        <w:rPr>
          <w:rFonts w:hint="eastAsia"/>
          <w:kern w:val="0"/>
          <w:sz w:val="28"/>
          <w:szCs w:val="28"/>
        </w:rPr>
        <w:t>“</w:t>
      </w:r>
      <w:r>
        <w:rPr>
          <w:kern w:val="0"/>
          <w:sz w:val="28"/>
          <w:szCs w:val="28"/>
        </w:rPr>
        <w:t>德育工作规范化学校</w:t>
      </w:r>
      <w:r>
        <w:rPr>
          <w:rFonts w:hint="eastAsia"/>
          <w:kern w:val="0"/>
          <w:sz w:val="28"/>
          <w:szCs w:val="28"/>
        </w:rPr>
        <w:t>”</w:t>
      </w:r>
      <w:r>
        <w:rPr>
          <w:kern w:val="0"/>
          <w:sz w:val="28"/>
          <w:szCs w:val="28"/>
        </w:rPr>
        <w:t>创建。强化农民的社会责任意识、规则意识、集体意识和主人翁意识。积极开展</w:t>
      </w:r>
      <w:r>
        <w:rPr>
          <w:rFonts w:hint="eastAsia"/>
          <w:kern w:val="0"/>
          <w:sz w:val="28"/>
          <w:szCs w:val="28"/>
        </w:rPr>
        <w:t>“</w:t>
      </w:r>
      <w:r>
        <w:rPr>
          <w:kern w:val="0"/>
          <w:sz w:val="28"/>
          <w:szCs w:val="28"/>
        </w:rPr>
        <w:t>四德</w:t>
      </w:r>
      <w:r>
        <w:rPr>
          <w:rFonts w:hint="eastAsia"/>
          <w:kern w:val="0"/>
          <w:sz w:val="28"/>
          <w:szCs w:val="28"/>
        </w:rPr>
        <w:t>”</w:t>
      </w:r>
      <w:r>
        <w:rPr>
          <w:kern w:val="0"/>
          <w:sz w:val="28"/>
          <w:szCs w:val="28"/>
        </w:rPr>
        <w:t>建设评比活动，弘扬传统优良品德，培育社会良好风气。积极开展</w:t>
      </w:r>
      <w:r>
        <w:rPr>
          <w:rFonts w:hint="eastAsia"/>
          <w:kern w:val="0"/>
          <w:sz w:val="28"/>
          <w:szCs w:val="28"/>
        </w:rPr>
        <w:t>“</w:t>
      </w:r>
      <w:r>
        <w:rPr>
          <w:kern w:val="0"/>
          <w:sz w:val="28"/>
          <w:szCs w:val="28"/>
        </w:rPr>
        <w:t>家风润万家</w:t>
      </w:r>
      <w:r>
        <w:rPr>
          <w:rFonts w:hint="eastAsia"/>
          <w:kern w:val="0"/>
          <w:sz w:val="28"/>
          <w:szCs w:val="28"/>
        </w:rPr>
        <w:t>”</w:t>
      </w:r>
      <w:r>
        <w:rPr>
          <w:kern w:val="0"/>
          <w:sz w:val="28"/>
          <w:szCs w:val="28"/>
        </w:rPr>
        <w:t>主题活动，指导各农村家庭订立家训家规。开展</w:t>
      </w:r>
      <w:r>
        <w:rPr>
          <w:rFonts w:hint="eastAsia"/>
          <w:kern w:val="0"/>
          <w:sz w:val="28"/>
          <w:szCs w:val="28"/>
        </w:rPr>
        <w:t>“</w:t>
      </w:r>
      <w:r>
        <w:rPr>
          <w:kern w:val="0"/>
          <w:sz w:val="28"/>
          <w:szCs w:val="28"/>
        </w:rPr>
        <w:t>优秀党员家庭</w:t>
      </w:r>
      <w:r>
        <w:rPr>
          <w:rFonts w:hint="eastAsia"/>
          <w:kern w:val="0"/>
          <w:sz w:val="28"/>
          <w:szCs w:val="28"/>
        </w:rPr>
        <w:t>”“</w:t>
      </w:r>
      <w:r>
        <w:rPr>
          <w:kern w:val="0"/>
          <w:sz w:val="28"/>
          <w:szCs w:val="28"/>
        </w:rPr>
        <w:t>文明家庭</w:t>
      </w:r>
      <w:r>
        <w:rPr>
          <w:rFonts w:hint="eastAsia"/>
          <w:kern w:val="0"/>
          <w:sz w:val="28"/>
          <w:szCs w:val="28"/>
        </w:rPr>
        <w:t>”“</w:t>
      </w:r>
      <w:r>
        <w:rPr>
          <w:kern w:val="0"/>
          <w:sz w:val="28"/>
          <w:szCs w:val="28"/>
        </w:rPr>
        <w:t>好婆媳</w:t>
      </w:r>
      <w:r>
        <w:rPr>
          <w:rFonts w:hint="eastAsia"/>
          <w:kern w:val="0"/>
          <w:sz w:val="28"/>
          <w:szCs w:val="28"/>
        </w:rPr>
        <w:t>”</w:t>
      </w:r>
      <w:r>
        <w:rPr>
          <w:kern w:val="0"/>
          <w:sz w:val="28"/>
          <w:szCs w:val="28"/>
        </w:rPr>
        <w:t>等评选，表彰先进党员、具有良好传统美德的村民以及家风良好的家庭。在农村营造勤劳致富、孝老爱亲、诚信友善、和和美美的良好氛围。充分发挥好农村老党员、老干部、老战士、老教师、老模范等农村</w:t>
      </w:r>
      <w:r>
        <w:rPr>
          <w:rFonts w:hint="eastAsia"/>
          <w:kern w:val="0"/>
          <w:sz w:val="28"/>
          <w:szCs w:val="28"/>
        </w:rPr>
        <w:t>“</w:t>
      </w:r>
      <w:r>
        <w:rPr>
          <w:kern w:val="0"/>
          <w:sz w:val="28"/>
          <w:szCs w:val="28"/>
        </w:rPr>
        <w:t>五老</w:t>
      </w:r>
      <w:r>
        <w:rPr>
          <w:rFonts w:hint="eastAsia"/>
          <w:kern w:val="0"/>
          <w:sz w:val="28"/>
          <w:szCs w:val="28"/>
        </w:rPr>
        <w:t>”</w:t>
      </w:r>
      <w:r>
        <w:rPr>
          <w:kern w:val="0"/>
          <w:sz w:val="28"/>
          <w:szCs w:val="28"/>
        </w:rPr>
        <w:t>队伍和农村优秀基层干部、道德模范、返乡成功人士的作用，大力培育乡贤文化，凝聚道德力量、传播主流价值。</w:t>
      </w: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13E2139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1834889B">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专栏6  乡村文明提升工程</w:t>
            </w:r>
          </w:p>
        </w:tc>
      </w:tr>
      <w:tr w14:paraId="4DED28F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7CBAD369">
            <w:pPr>
              <w:spacing w:line="480" w:lineRule="exact"/>
              <w:ind w:firstLine="548" w:firstLineChars="196"/>
              <w:rPr>
                <w:sz w:val="28"/>
                <w:szCs w:val="28"/>
              </w:rPr>
            </w:pPr>
            <w:r>
              <w:rPr>
                <w:rFonts w:eastAsia="方正楷体_GBK"/>
                <w:sz w:val="28"/>
                <w:szCs w:val="28"/>
              </w:rPr>
              <w:t>社会主义核心价值观引领工程。</w:t>
            </w:r>
            <w:r>
              <w:rPr>
                <w:sz w:val="28"/>
                <w:szCs w:val="28"/>
              </w:rPr>
              <w:t>每年开展</w:t>
            </w:r>
            <w:r>
              <w:rPr>
                <w:rFonts w:hint="eastAsia" w:cs="方正仿宋_GBK"/>
                <w:sz w:val="28"/>
                <w:szCs w:val="28"/>
              </w:rPr>
              <w:t>“家风润万家”</w:t>
            </w:r>
            <w:r>
              <w:rPr>
                <w:sz w:val="28"/>
                <w:szCs w:val="28"/>
              </w:rPr>
              <w:t>活动500场次、</w:t>
            </w:r>
            <w:r>
              <w:rPr>
                <w:rFonts w:hint="eastAsia" w:cs="方正仿宋_GBK"/>
                <w:sz w:val="28"/>
                <w:szCs w:val="28"/>
              </w:rPr>
              <w:t>“</w:t>
            </w:r>
            <w:r>
              <w:rPr>
                <w:sz w:val="28"/>
                <w:szCs w:val="28"/>
              </w:rPr>
              <w:t>我们的乡贤我们评、评好乡贤我们学</w:t>
            </w:r>
            <w:r>
              <w:rPr>
                <w:rFonts w:hint="eastAsia" w:cs="方正仿宋_GBK"/>
                <w:sz w:val="28"/>
                <w:szCs w:val="28"/>
              </w:rPr>
              <w:t>”</w:t>
            </w:r>
            <w:r>
              <w:rPr>
                <w:sz w:val="28"/>
                <w:szCs w:val="28"/>
              </w:rPr>
              <w:t>活动200场次、</w:t>
            </w:r>
            <w:r>
              <w:rPr>
                <w:rFonts w:hint="eastAsia" w:cs="方正仿宋_GBK"/>
                <w:sz w:val="28"/>
                <w:szCs w:val="28"/>
              </w:rPr>
              <w:t>“榜样面对面”</w:t>
            </w:r>
            <w:r>
              <w:rPr>
                <w:sz w:val="28"/>
                <w:szCs w:val="28"/>
              </w:rPr>
              <w:t>宣讲活动600场次。</w:t>
            </w:r>
          </w:p>
          <w:p w14:paraId="390CB134">
            <w:pPr>
              <w:spacing w:line="480" w:lineRule="exact"/>
              <w:ind w:firstLine="548" w:firstLineChars="196"/>
              <w:rPr>
                <w:sz w:val="28"/>
                <w:szCs w:val="28"/>
              </w:rPr>
            </w:pPr>
            <w:r>
              <w:rPr>
                <w:rFonts w:eastAsia="方正楷体_GBK"/>
                <w:sz w:val="28"/>
                <w:szCs w:val="28"/>
              </w:rPr>
              <w:t>诚信道德示范建设工程。</w:t>
            </w:r>
            <w:r>
              <w:rPr>
                <w:sz w:val="28"/>
                <w:szCs w:val="28"/>
              </w:rPr>
              <w:t>建立统一的诚信数据库，完善诚信信息披露机制。加快推进对失信被执行人信用监督、警示和惩戒建设，完善失信被执行人名单制度，建立健全跨部门协同监管和联合惩戒机制，推进社会诚信体系建设，构建</w:t>
            </w:r>
            <w:r>
              <w:rPr>
                <w:rFonts w:hint="eastAsia" w:cs="方正仿宋_GBK"/>
                <w:sz w:val="28"/>
                <w:szCs w:val="28"/>
              </w:rPr>
              <w:t>“一处失信、处处受限”</w:t>
            </w:r>
            <w:r>
              <w:rPr>
                <w:sz w:val="28"/>
                <w:szCs w:val="28"/>
              </w:rPr>
              <w:t>的信用惩戒大格局。</w:t>
            </w:r>
          </w:p>
          <w:p w14:paraId="194134F9">
            <w:pPr>
              <w:spacing w:line="480" w:lineRule="exact"/>
              <w:ind w:firstLine="548" w:firstLineChars="196"/>
              <w:rPr>
                <w:rFonts w:eastAsia="方正楷体_GBK"/>
                <w:sz w:val="28"/>
                <w:szCs w:val="28"/>
              </w:rPr>
            </w:pPr>
            <w:r>
              <w:rPr>
                <w:rFonts w:eastAsia="方正楷体_GBK"/>
                <w:sz w:val="28"/>
                <w:szCs w:val="28"/>
              </w:rPr>
              <w:t>新农村新风尚引领工程。</w:t>
            </w:r>
            <w:r>
              <w:rPr>
                <w:sz w:val="28"/>
                <w:szCs w:val="28"/>
              </w:rPr>
              <w:t>开展</w:t>
            </w:r>
            <w:r>
              <w:rPr>
                <w:rFonts w:hint="eastAsia" w:cs="方正仿宋_GBK"/>
                <w:sz w:val="28"/>
                <w:szCs w:val="28"/>
              </w:rPr>
              <w:t>“文明生活进乡村”</w:t>
            </w:r>
            <w:r>
              <w:rPr>
                <w:sz w:val="28"/>
                <w:szCs w:val="28"/>
              </w:rPr>
              <w:t>活动，推动文明风尚进农家。深入开展文明村镇、星级文明户、五好文明家庭、最美家庭等群众性精神文明创建活动，广泛开展清洁户评选，开展</w:t>
            </w:r>
            <w:r>
              <w:rPr>
                <w:rFonts w:hint="eastAsia" w:cs="方正仿宋_GBK"/>
                <w:sz w:val="28"/>
                <w:szCs w:val="28"/>
              </w:rPr>
              <w:t>“孝善立德”主</w:t>
            </w:r>
            <w:r>
              <w:rPr>
                <w:sz w:val="28"/>
                <w:szCs w:val="28"/>
              </w:rPr>
              <w:t>题活动，组织举办生活技能大赛、文明礼仪竞赛和文化体育活动。每年开展梦想课堂300场。建立健全村规民约和村民议事会、红白理事会、道德评议会、老年人协会等</w:t>
            </w:r>
            <w:r>
              <w:rPr>
                <w:rFonts w:hint="eastAsia" w:cs="方正仿宋_GBK"/>
                <w:sz w:val="28"/>
                <w:szCs w:val="28"/>
              </w:rPr>
              <w:t>“一约四会”</w:t>
            </w:r>
            <w:r>
              <w:rPr>
                <w:sz w:val="28"/>
                <w:szCs w:val="28"/>
              </w:rPr>
              <w:t>，建立健全村社义务监督员制度，开展大操大办专项整治，开展“黄赌毒”、封建迷信和非法宗教等治理。</w:t>
            </w:r>
          </w:p>
          <w:p w14:paraId="126B981D">
            <w:pPr>
              <w:spacing w:line="480" w:lineRule="exact"/>
              <w:ind w:firstLine="548" w:firstLineChars="196"/>
              <w:rPr>
                <w:rFonts w:eastAsia="方正楷体_GBK"/>
                <w:sz w:val="28"/>
                <w:szCs w:val="28"/>
              </w:rPr>
            </w:pPr>
            <w:r>
              <w:rPr>
                <w:rFonts w:eastAsia="方正楷体_GBK"/>
                <w:sz w:val="28"/>
                <w:szCs w:val="28"/>
              </w:rPr>
              <w:t>文明村镇创建工程。</w:t>
            </w:r>
            <w:r>
              <w:rPr>
                <w:sz w:val="28"/>
                <w:szCs w:val="28"/>
              </w:rPr>
              <w:t>深化</w:t>
            </w:r>
            <w:r>
              <w:rPr>
                <w:rFonts w:hint="eastAsia" w:cs="方正仿宋_GBK"/>
                <w:sz w:val="28"/>
                <w:szCs w:val="28"/>
              </w:rPr>
              <w:t>“美丽乡村 善美巴渝”主</w:t>
            </w:r>
            <w:r>
              <w:rPr>
                <w:sz w:val="28"/>
                <w:szCs w:val="28"/>
              </w:rPr>
              <w:t>题活动，深入推进“纯美农民、洁美农家、和美农村、富美农业”四大行动，加大文明村镇创建力度，全县县级以上文明村镇创建率达到50%以上。大力推进新时代文明实践乡村振兴志愿服务行动，围绕</w:t>
            </w:r>
            <w:r>
              <w:rPr>
                <w:rFonts w:hint="eastAsia" w:cs="方正仿宋_GBK"/>
                <w:sz w:val="28"/>
                <w:szCs w:val="28"/>
              </w:rPr>
              <w:t>“五个振兴”</w:t>
            </w:r>
            <w:r>
              <w:rPr>
                <w:sz w:val="28"/>
                <w:szCs w:val="28"/>
              </w:rPr>
              <w:t>精准实施系列志愿服务项目，依托新时代文明实践站（所），发展乡村特色志愿服务队伍，全面提升乡村志愿服务承接力。</w:t>
            </w:r>
          </w:p>
        </w:tc>
      </w:tr>
    </w:tbl>
    <w:p w14:paraId="222C55E1">
      <w:pPr>
        <w:spacing w:line="480" w:lineRule="exact"/>
        <w:ind w:firstLine="560" w:firstLineChars="200"/>
        <w:rPr>
          <w:rFonts w:eastAsia="宋体"/>
          <w:kern w:val="0"/>
          <w:sz w:val="28"/>
          <w:szCs w:val="28"/>
        </w:rPr>
      </w:pPr>
    </w:p>
    <w:p w14:paraId="7A338279">
      <w:pPr>
        <w:spacing w:line="480" w:lineRule="exact"/>
        <w:ind w:firstLine="641"/>
        <w:jc w:val="center"/>
        <w:outlineLvl w:val="1"/>
        <w:rPr>
          <w:rFonts w:eastAsia="方正黑体_GBK"/>
          <w:sz w:val="36"/>
          <w:szCs w:val="36"/>
        </w:rPr>
      </w:pPr>
    </w:p>
    <w:p w14:paraId="40BFC307">
      <w:pPr>
        <w:spacing w:line="480" w:lineRule="exact"/>
        <w:jc w:val="center"/>
        <w:outlineLvl w:val="1"/>
        <w:rPr>
          <w:rFonts w:eastAsia="黑体"/>
          <w:sz w:val="36"/>
          <w:szCs w:val="36"/>
        </w:rPr>
      </w:pPr>
      <w:bookmarkStart w:id="135" w:name="_Toc25670"/>
      <w:r>
        <w:rPr>
          <w:rFonts w:eastAsia="方正黑体_GBK"/>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方正黑体_GBK"/>
          <w:sz w:val="36"/>
          <w:szCs w:val="36"/>
        </w:rPr>
        <w:instrText xml:space="preserve">ADDIN CNKISM.UserStyle</w:instrText>
      </w:r>
      <w:r>
        <w:rPr>
          <w:rFonts w:eastAsia="方正黑体_GBK"/>
          <w:sz w:val="36"/>
          <w:szCs w:val="36"/>
        </w:rPr>
        <w:fldChar w:fldCharType="end"/>
      </w:r>
      <w:r>
        <w:rPr>
          <w:rFonts w:eastAsia="方正黑体_GBK"/>
          <w:sz w:val="36"/>
          <w:szCs w:val="36"/>
        </w:rPr>
        <w:t>第十八章  保护和传承优秀传统文化</w:t>
      </w:r>
      <w:bookmarkEnd w:id="135"/>
    </w:p>
    <w:p w14:paraId="5C288BE9">
      <w:pPr>
        <w:spacing w:line="480" w:lineRule="exact"/>
        <w:ind w:firstLine="641"/>
        <w:rPr>
          <w:rFonts w:eastAsia="宋体"/>
          <w:kern w:val="0"/>
          <w:sz w:val="28"/>
          <w:szCs w:val="28"/>
        </w:rPr>
      </w:pPr>
    </w:p>
    <w:p w14:paraId="037E0328">
      <w:pPr>
        <w:adjustRightInd w:val="0"/>
        <w:spacing w:line="480" w:lineRule="exact"/>
        <w:ind w:firstLine="560" w:firstLineChars="200"/>
        <w:rPr>
          <w:rFonts w:eastAsia="宋体"/>
          <w:kern w:val="0"/>
          <w:sz w:val="28"/>
          <w:szCs w:val="28"/>
        </w:rPr>
      </w:pPr>
      <w:r>
        <w:rPr>
          <w:kern w:val="0"/>
          <w:sz w:val="28"/>
          <w:szCs w:val="28"/>
        </w:rPr>
        <w:t>城口历史悠久，人文荟萃。充分利用好城口独特文化资源优势，深入挖掘好、传承好、发展好传统文化，创造性转化和发展优秀传统乡土文化，吸收城市文明和外来优秀文化成果，以现代理念、优秀文化引领乡村振兴新文化。</w:t>
      </w:r>
    </w:p>
    <w:p w14:paraId="6B16F584">
      <w:pPr>
        <w:keepNext/>
        <w:keepLines/>
        <w:spacing w:before="260" w:after="260" w:line="480" w:lineRule="exact"/>
        <w:jc w:val="center"/>
        <w:outlineLvl w:val="2"/>
        <w:rPr>
          <w:rFonts w:eastAsia="方正黑体_GBK"/>
          <w:sz w:val="28"/>
          <w:szCs w:val="28"/>
        </w:rPr>
      </w:pPr>
      <w:bookmarkStart w:id="136" w:name="_Toc6977"/>
      <w:r>
        <w:rPr>
          <w:rFonts w:eastAsia="方正黑体_GBK"/>
          <w:sz w:val="28"/>
          <w:szCs w:val="28"/>
        </w:rPr>
        <w:t>第一节  保护城口优秀传统文化</w:t>
      </w:r>
      <w:bookmarkEnd w:id="136"/>
    </w:p>
    <w:p w14:paraId="539389D1">
      <w:pPr>
        <w:spacing w:line="480" w:lineRule="exact"/>
        <w:ind w:firstLine="560" w:firstLineChars="200"/>
        <w:rPr>
          <w:kern w:val="0"/>
          <w:sz w:val="28"/>
          <w:szCs w:val="28"/>
        </w:rPr>
      </w:pPr>
      <w:r>
        <w:rPr>
          <w:kern w:val="0"/>
          <w:sz w:val="28"/>
          <w:szCs w:val="28"/>
        </w:rPr>
        <w:t>充分挖掘和保护城口历史文化、红色文化等传统文化。加强非物质文化遗产申报，重视非物质文化遗产传承人培训和支持。注重文物保护修缮工作，启动长征文物旧址修缮和长征战斗遗址保护工作。强化非遗文化传承，力争实现城口国家级非遗的零突破。加强物质文化遗产的清查、申报、保护工作。重视历史文化和文物资源的系统梳理和整体包装，夯实城口历史文化底蕴，明确城口历史文化名片。</w:t>
      </w:r>
    </w:p>
    <w:p w14:paraId="770A7C0A">
      <w:pPr>
        <w:keepNext/>
        <w:keepLines/>
        <w:spacing w:before="260" w:after="260" w:line="480" w:lineRule="exact"/>
        <w:jc w:val="center"/>
        <w:outlineLvl w:val="2"/>
        <w:rPr>
          <w:rFonts w:eastAsia="方正黑体_GBK"/>
          <w:sz w:val="28"/>
          <w:szCs w:val="28"/>
        </w:rPr>
      </w:pPr>
      <w:bookmarkStart w:id="137" w:name="_Toc16864"/>
      <w:r>
        <w:rPr>
          <w:rFonts w:eastAsia="方正黑体_GBK"/>
          <w:sz w:val="28"/>
          <w:szCs w:val="28"/>
        </w:rPr>
        <w:t>第二节  活化历史文化资源</w:t>
      </w:r>
      <w:bookmarkEnd w:id="137"/>
    </w:p>
    <w:p w14:paraId="745A0549">
      <w:pPr>
        <w:spacing w:line="480" w:lineRule="exact"/>
        <w:ind w:firstLine="560" w:firstLineChars="200"/>
        <w:rPr>
          <w:kern w:val="0"/>
          <w:sz w:val="28"/>
          <w:szCs w:val="28"/>
          <w:u w:val="single"/>
        </w:rPr>
      </w:pPr>
      <w:r>
        <w:rPr>
          <w:kern w:val="0"/>
          <w:sz w:val="28"/>
          <w:szCs w:val="28"/>
        </w:rPr>
        <w:t>加大非物质文化遗产项目挖掘打造力度，引导其进行非遗文创产业园区、特色街区、特色小镇建设，利用艺术文创空间、非遗扶贫就业工坊、艺术家村落、民间非遗节庆舞台等形式实现钱棍舞、老腊肉制作技艺等非遗文化活化创新。以红色文化和原乡民俗文化为重点，深入挖掘红色文化内涵，构建以城口县苏维埃政权纪念公园（川陕苏区城口纪念馆）为中心，坪坝、庙坝、高燕、双河、沿河等乡镇为辐射的红色旅游环线，并布局做好红色教育培训路线。挖掘乡村特色文化符号，鼓励有条件的乡镇和村庄建设农耕文化陈列室（展）、村史馆，建设一批民俗旅游特色村。打造</w:t>
      </w:r>
      <w:r>
        <w:rPr>
          <w:rFonts w:hint="eastAsia"/>
          <w:kern w:val="0"/>
          <w:sz w:val="28"/>
          <w:szCs w:val="28"/>
        </w:rPr>
        <w:t>“</w:t>
      </w:r>
      <w:r>
        <w:rPr>
          <w:kern w:val="0"/>
          <w:sz w:val="28"/>
          <w:szCs w:val="28"/>
        </w:rPr>
        <w:t>城口大礼包</w:t>
      </w:r>
      <w:r>
        <w:rPr>
          <w:rFonts w:hint="eastAsia"/>
          <w:kern w:val="0"/>
          <w:sz w:val="28"/>
          <w:szCs w:val="28"/>
        </w:rPr>
        <w:t>”</w:t>
      </w:r>
      <w:r>
        <w:rPr>
          <w:kern w:val="0"/>
          <w:sz w:val="28"/>
          <w:szCs w:val="28"/>
        </w:rPr>
        <w:t>文创系列产品，以文化创意助推产业振兴。依托城口丰富历史文化和自然资源发展乡村游学、课外拓展等业态，策划乡村游学线路，建设乡村游学示范点。面向城市中产、文艺青年、专业人才发展文化创意产业，鼓励</w:t>
      </w:r>
      <w:r>
        <w:rPr>
          <w:rFonts w:hint="eastAsia"/>
          <w:kern w:val="0"/>
          <w:sz w:val="28"/>
          <w:szCs w:val="28"/>
        </w:rPr>
        <w:t>“</w:t>
      </w:r>
      <w:r>
        <w:rPr>
          <w:kern w:val="0"/>
          <w:sz w:val="28"/>
          <w:szCs w:val="28"/>
        </w:rPr>
        <w:t>外来时尚设计+本地传统工艺</w:t>
      </w:r>
      <w:r>
        <w:rPr>
          <w:rFonts w:hint="eastAsia"/>
          <w:kern w:val="0"/>
          <w:sz w:val="28"/>
          <w:szCs w:val="28"/>
        </w:rPr>
        <w:t>”</w:t>
      </w:r>
      <w:r>
        <w:rPr>
          <w:kern w:val="0"/>
          <w:sz w:val="28"/>
          <w:szCs w:val="28"/>
        </w:rPr>
        <w:t>模式，到2025年建成一批乡村文化创意空间（工坊）。构建城乡融合的乡村文明生态，在全县探索推进城乡文化融合示范村试点，到2025年建立一批示范村。</w:t>
      </w:r>
    </w:p>
    <w:p w14:paraId="37CEBF27">
      <w:pPr>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1B0C899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1D7FD4ED">
            <w:pPr>
              <w:keepNext/>
              <w:keepLines/>
              <w:snapToGrid w:val="0"/>
              <w:spacing w:before="280" w:after="290" w:line="480" w:lineRule="exact"/>
              <w:jc w:val="center"/>
              <w:outlineLvl w:val="3"/>
              <w:rPr>
                <w:rFonts w:eastAsia="方正黑体_GBK"/>
                <w:sz w:val="28"/>
                <w:szCs w:val="28"/>
              </w:rPr>
            </w:pPr>
            <w:r>
              <w:rPr>
                <w:rFonts w:eastAsia="方正黑体_GBK"/>
                <w:sz w:val="28"/>
                <w:szCs w:val="28"/>
              </w:rPr>
              <w:t>专栏7  乡村优秀文化传承工程</w:t>
            </w:r>
          </w:p>
        </w:tc>
      </w:tr>
      <w:tr w14:paraId="5958F7B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10F882E0">
            <w:pPr>
              <w:spacing w:line="480" w:lineRule="exact"/>
              <w:ind w:firstLine="548" w:firstLineChars="196"/>
              <w:rPr>
                <w:sz w:val="28"/>
                <w:szCs w:val="28"/>
              </w:rPr>
            </w:pPr>
            <w:r>
              <w:rPr>
                <w:rFonts w:eastAsia="方正楷体_GBK"/>
                <w:sz w:val="28"/>
                <w:szCs w:val="28"/>
              </w:rPr>
              <w:t>非遗传承工程。</w:t>
            </w:r>
            <w:r>
              <w:rPr>
                <w:rFonts w:hint="eastAsia" w:cs="方正仿宋_GBK"/>
                <w:sz w:val="28"/>
                <w:szCs w:val="28"/>
              </w:rPr>
              <w:t>依据实际情况有序申报国家级非遗名录、市级非遗名录、新增县级非遗名录、国家级代表性传承人、市级代表性传承人，县级代表性传承人，新增县级</w:t>
            </w:r>
            <w:r>
              <w:rPr>
                <w:sz w:val="28"/>
                <w:szCs w:val="28"/>
              </w:rPr>
              <w:t>非遗传承教育基地，各门类非遗项目结构更加优化。依托广大农村学校，特别是乡村学校少年宫，在未成年人中广泛开展以非遗传承、乡土乡情、农耕文化为主要内容的记住乡情、寻根乡愁等系列活动。</w:t>
            </w:r>
          </w:p>
          <w:p w14:paraId="461C4F32">
            <w:pPr>
              <w:spacing w:line="480" w:lineRule="exact"/>
              <w:ind w:firstLine="548" w:firstLineChars="196"/>
              <w:rPr>
                <w:sz w:val="28"/>
                <w:szCs w:val="28"/>
              </w:rPr>
            </w:pPr>
            <w:r>
              <w:rPr>
                <w:rFonts w:eastAsia="方正楷体_GBK"/>
                <w:sz w:val="28"/>
                <w:szCs w:val="28"/>
              </w:rPr>
              <w:t>乡村特色文化产业发展工程。</w:t>
            </w:r>
            <w:r>
              <w:rPr>
                <w:sz w:val="28"/>
                <w:szCs w:val="28"/>
              </w:rPr>
              <w:t>突出乡村记忆，感受乡村技艺，支持有条件的乡村挖掘展示特色农艺，发展农耕体验游、民俗体验游、乡土文化游、民族文化游等特色旅游业态。全面实施传统工艺振兴计划，有序建成国家级传统工艺工作站、市级传统工艺工作站、县级传统工艺工作站。支持非遗和民间技艺发展旅游体验，鼓励开发竹编、木（根、竹）雕、石雕、漆器等各具特色的民俗手工艺旅游商品。</w:t>
            </w:r>
          </w:p>
        </w:tc>
      </w:tr>
    </w:tbl>
    <w:p w14:paraId="683CAFF7">
      <w:pPr>
        <w:spacing w:line="480" w:lineRule="exact"/>
        <w:rPr>
          <w:rFonts w:eastAsia="等线"/>
          <w:sz w:val="21"/>
          <w:szCs w:val="22"/>
        </w:rPr>
      </w:pPr>
    </w:p>
    <w:p w14:paraId="07EEF69F">
      <w:pPr>
        <w:spacing w:line="480" w:lineRule="exact"/>
        <w:rPr>
          <w:rFonts w:eastAsia="宋体"/>
          <w:kern w:val="0"/>
          <w:sz w:val="28"/>
          <w:szCs w:val="28"/>
        </w:rPr>
      </w:pPr>
    </w:p>
    <w:p w14:paraId="0D33D781">
      <w:pPr>
        <w:pStyle w:val="4"/>
        <w:spacing w:line="480" w:lineRule="exact"/>
        <w:ind w:firstLine="0"/>
        <w:rPr>
          <w:rFonts w:eastAsia="宋体"/>
          <w:bCs w:val="0"/>
          <w:kern w:val="0"/>
        </w:rPr>
      </w:pPr>
      <w:bookmarkStart w:id="138" w:name="_Toc25152"/>
      <w:r>
        <w:rPr>
          <w:bCs w:val="0"/>
          <w:sz w:val="36"/>
          <w:szCs w:val="36"/>
        </w:rPr>
        <w:t>第十九章  加强乡村文化公共服务</w:t>
      </w:r>
      <w:bookmarkEnd w:id="138"/>
    </w:p>
    <w:p w14:paraId="15CF2014">
      <w:pPr>
        <w:spacing w:line="480" w:lineRule="exact"/>
        <w:ind w:firstLine="560" w:firstLineChars="200"/>
        <w:rPr>
          <w:rFonts w:eastAsia="宋体"/>
          <w:kern w:val="0"/>
          <w:sz w:val="28"/>
          <w:szCs w:val="28"/>
        </w:rPr>
      </w:pPr>
    </w:p>
    <w:p w14:paraId="388B65C7">
      <w:pPr>
        <w:spacing w:line="480" w:lineRule="exact"/>
        <w:ind w:firstLine="560" w:firstLineChars="200"/>
        <w:rPr>
          <w:kern w:val="0"/>
          <w:sz w:val="28"/>
          <w:szCs w:val="28"/>
        </w:rPr>
      </w:pPr>
      <w:r>
        <w:rPr>
          <w:kern w:val="0"/>
          <w:sz w:val="28"/>
          <w:szCs w:val="28"/>
        </w:rPr>
        <w:t>丰富乡村文化生活，健全农村公共文化服务体系，增加优秀乡村文化产品和服务供给，广泛开展群众文化活动，为广大农民提供高质量的精神营养，保障农民群众文化权益，增强农民群众幸福感。</w:t>
      </w:r>
    </w:p>
    <w:p w14:paraId="5CB94693">
      <w:pPr>
        <w:pStyle w:val="5"/>
        <w:spacing w:line="480" w:lineRule="exact"/>
        <w:jc w:val="center"/>
        <w:rPr>
          <w:rFonts w:eastAsia="方正黑体_GBK"/>
          <w:b w:val="0"/>
          <w:bCs w:val="0"/>
          <w:sz w:val="28"/>
          <w:szCs w:val="28"/>
        </w:rPr>
      </w:pPr>
      <w:bookmarkStart w:id="139" w:name="_Toc8088"/>
      <w:r>
        <w:rPr>
          <w:rFonts w:eastAsia="方正黑体_GBK"/>
          <w:b w:val="0"/>
          <w:bCs w:val="0"/>
          <w:sz w:val="28"/>
          <w:szCs w:val="28"/>
        </w:rPr>
        <w:t>第一节  健全公共文化服务体系</w:t>
      </w:r>
      <w:bookmarkEnd w:id="139"/>
    </w:p>
    <w:p w14:paraId="180EE4DE">
      <w:pPr>
        <w:spacing w:line="480" w:lineRule="exact"/>
        <w:ind w:firstLine="560" w:firstLineChars="200"/>
        <w:rPr>
          <w:kern w:val="0"/>
          <w:sz w:val="28"/>
          <w:szCs w:val="28"/>
        </w:rPr>
      </w:pPr>
      <w:r>
        <w:rPr>
          <w:kern w:val="0"/>
          <w:sz w:val="28"/>
          <w:szCs w:val="28"/>
        </w:rPr>
        <w:t>加强乡村公共文化阵地建设。充分利用广场等公共设施开展老百姓喜闻乐见的文化活动，坚持一院多能、一室多用，统筹建设各类活动场所。推进乡村综合性公共文化服务中心建设，制定建设标准，打造资源充足、设备齐全、服务规范、群众满意度较高的基层综合性公共文化设施和场所。加强统筹整合，全面推进乡镇综合文化站、村级文化活动室、农家书屋标准化建设。加强文化礼堂、乡风家风馆、农家书屋、文体广场等文化阵地建设。到2022年实现宽带村村通和5G同步覆盖，2025年实现基本文化公共服务和基础设施高质量全覆盖，2035年实现文化公共服务体系现代化。</w:t>
      </w:r>
    </w:p>
    <w:p w14:paraId="0C4F64B7">
      <w:pPr>
        <w:pStyle w:val="5"/>
        <w:spacing w:line="480" w:lineRule="exact"/>
        <w:jc w:val="center"/>
        <w:rPr>
          <w:rFonts w:eastAsia="方正黑体_GBK"/>
          <w:b w:val="0"/>
          <w:bCs w:val="0"/>
          <w:sz w:val="28"/>
          <w:szCs w:val="28"/>
        </w:rPr>
      </w:pPr>
      <w:bookmarkStart w:id="140" w:name="_Toc14997"/>
      <w:r>
        <w:rPr>
          <w:rFonts w:eastAsia="方正黑体_GBK"/>
          <w:b w:val="0"/>
          <w:bCs w:val="0"/>
          <w:sz w:val="28"/>
          <w:szCs w:val="28"/>
        </w:rPr>
        <w:t>第二节  增加公共文化产品和服务供给</w:t>
      </w:r>
      <w:bookmarkEnd w:id="140"/>
    </w:p>
    <w:p w14:paraId="1640EB36">
      <w:pPr>
        <w:spacing w:line="480" w:lineRule="exact"/>
        <w:ind w:firstLine="560" w:firstLineChars="200"/>
        <w:rPr>
          <w:kern w:val="0"/>
          <w:sz w:val="28"/>
          <w:szCs w:val="28"/>
        </w:rPr>
      </w:pPr>
      <w:r>
        <w:rPr>
          <w:kern w:val="0"/>
          <w:sz w:val="28"/>
          <w:szCs w:val="28"/>
        </w:rPr>
        <w:t>增加公共文化产品和服务供给，坚持</w:t>
      </w:r>
      <w:r>
        <w:rPr>
          <w:rFonts w:hint="eastAsia"/>
          <w:kern w:val="0"/>
          <w:sz w:val="28"/>
          <w:szCs w:val="28"/>
        </w:rPr>
        <w:t>“</w:t>
      </w:r>
      <w:r>
        <w:rPr>
          <w:kern w:val="0"/>
          <w:sz w:val="28"/>
          <w:szCs w:val="28"/>
        </w:rPr>
        <w:t>引进来</w:t>
      </w:r>
      <w:r>
        <w:rPr>
          <w:rFonts w:hint="eastAsia"/>
          <w:kern w:val="0"/>
          <w:sz w:val="28"/>
          <w:szCs w:val="28"/>
        </w:rPr>
        <w:t>”</w:t>
      </w:r>
      <w:r>
        <w:rPr>
          <w:kern w:val="0"/>
          <w:sz w:val="28"/>
          <w:szCs w:val="28"/>
        </w:rPr>
        <w:t>和</w:t>
      </w:r>
      <w:r>
        <w:rPr>
          <w:rFonts w:hint="eastAsia"/>
          <w:kern w:val="0"/>
          <w:sz w:val="28"/>
          <w:szCs w:val="28"/>
        </w:rPr>
        <w:t>“</w:t>
      </w:r>
      <w:r>
        <w:rPr>
          <w:kern w:val="0"/>
          <w:sz w:val="28"/>
          <w:szCs w:val="28"/>
        </w:rPr>
        <w:t>走出去</w:t>
      </w:r>
      <w:r>
        <w:rPr>
          <w:rFonts w:hint="eastAsia"/>
          <w:kern w:val="0"/>
          <w:sz w:val="28"/>
          <w:szCs w:val="28"/>
        </w:rPr>
        <w:t>”</w:t>
      </w:r>
      <w:r>
        <w:rPr>
          <w:kern w:val="0"/>
          <w:sz w:val="28"/>
          <w:szCs w:val="28"/>
        </w:rPr>
        <w:t>相结合的原则，开展城乡文艺交流互动。一方面优秀的公共文化产品要</w:t>
      </w:r>
      <w:r>
        <w:rPr>
          <w:rFonts w:hint="eastAsia"/>
          <w:kern w:val="0"/>
          <w:sz w:val="28"/>
          <w:szCs w:val="28"/>
        </w:rPr>
        <w:t>“</w:t>
      </w:r>
      <w:r>
        <w:rPr>
          <w:kern w:val="0"/>
          <w:sz w:val="28"/>
          <w:szCs w:val="28"/>
        </w:rPr>
        <w:t>引</w:t>
      </w:r>
      <w:r>
        <w:rPr>
          <w:rFonts w:hint="eastAsia"/>
          <w:kern w:val="0"/>
          <w:sz w:val="28"/>
          <w:szCs w:val="28"/>
        </w:rPr>
        <w:t>”</w:t>
      </w:r>
      <w:r>
        <w:rPr>
          <w:kern w:val="0"/>
          <w:sz w:val="28"/>
          <w:szCs w:val="28"/>
        </w:rPr>
        <w:t>进村。政府文化部门要以群众基本文化需求为导向，开展健康文明的群众性文化活动，增强群众参与度，提升服务影响力和文化形象，提高全民文艺素养和整体素质，丰富群众精神文化生活。同时在乡镇培育壮大乡村文化队伍，充分发挥老百姓的艺术创造性，推动优秀作品积极走出村。在公共文化服务设施完善的基础上，着力打造</w:t>
      </w:r>
      <w:r>
        <w:rPr>
          <w:rFonts w:hint="eastAsia"/>
          <w:kern w:val="0"/>
          <w:sz w:val="28"/>
          <w:szCs w:val="28"/>
        </w:rPr>
        <w:t>一批</w:t>
      </w:r>
      <w:r>
        <w:rPr>
          <w:kern w:val="0"/>
          <w:sz w:val="28"/>
          <w:szCs w:val="28"/>
        </w:rPr>
        <w:t>乡镇一支特色文艺队伍，一支特色文化活动队，一个特色文化活动品牌。鼓励乡村文化队伍积极弘扬本土文化，开拓创新，创作反映乡村变化的优秀作品，同时将本土传统文化艺术向外传播，打造属于城口的特色文化名片。</w:t>
      </w:r>
    </w:p>
    <w:p w14:paraId="1B11AD5F">
      <w:pPr>
        <w:pStyle w:val="5"/>
        <w:spacing w:line="480" w:lineRule="exact"/>
        <w:jc w:val="center"/>
        <w:rPr>
          <w:rFonts w:eastAsia="方正黑体_GBK"/>
          <w:b w:val="0"/>
          <w:bCs w:val="0"/>
          <w:sz w:val="28"/>
          <w:szCs w:val="28"/>
        </w:rPr>
      </w:pPr>
      <w:bookmarkStart w:id="141" w:name="_Toc9535"/>
      <w:r>
        <w:rPr>
          <w:rFonts w:eastAsia="方正黑体_GBK"/>
          <w:b w:val="0"/>
          <w:bCs w:val="0"/>
          <w:sz w:val="28"/>
          <w:szCs w:val="28"/>
        </w:rPr>
        <w:t>第三节  广泛开展群众文化活动</w:t>
      </w:r>
      <w:bookmarkEnd w:id="141"/>
    </w:p>
    <w:p w14:paraId="57F17784">
      <w:pPr>
        <w:spacing w:line="480" w:lineRule="exact"/>
        <w:ind w:firstLine="560" w:firstLineChars="200"/>
        <w:rPr>
          <w:rFonts w:eastAsia="宋体"/>
          <w:kern w:val="0"/>
          <w:sz w:val="28"/>
          <w:szCs w:val="28"/>
        </w:rPr>
      </w:pPr>
      <w:r>
        <w:rPr>
          <w:kern w:val="0"/>
          <w:sz w:val="28"/>
          <w:szCs w:val="28"/>
        </w:rPr>
        <w:t>充分调动群众参与文化活动的积极性，广泛开展群众性文化活动。积极鼓励依托集体组织、社会组织等在农村地区开展文化活动。鼓励广泛开展群众性节日民俗活动，利用春节、元宵节、中秋节等传统节日和重要纪念日，举办农民艺术节民间技艺大赛、乡村读书节、农民文化大院技能展示、农民运动会、易地扶贫搬迁聚居点妇女非遗技艺培训班等面向农村地区的文体活动，丰富农民文体生活。鼓励社会力量参与公共文化服务体系建设，推动公共文化服务社会化发展，活跃繁荣农村文化市场，推动农村文化市场转型升级，增加农村文化生活多样性、趣味性。</w:t>
      </w:r>
    </w:p>
    <w:p w14:paraId="607C9F36">
      <w:pPr>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0807883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2132780C">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专栏8  乡村公共文化产品和服务提升工程</w:t>
            </w:r>
          </w:p>
        </w:tc>
      </w:tr>
      <w:tr w14:paraId="79995A6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30E6C60A">
            <w:pPr>
              <w:spacing w:line="480" w:lineRule="exact"/>
              <w:ind w:firstLine="548" w:firstLineChars="196"/>
              <w:rPr>
                <w:sz w:val="28"/>
                <w:szCs w:val="28"/>
              </w:rPr>
            </w:pPr>
            <w:r>
              <w:rPr>
                <w:rFonts w:eastAsia="方正楷体_GBK"/>
                <w:sz w:val="28"/>
                <w:szCs w:val="28"/>
              </w:rPr>
              <w:t>文化阵地建设提升工程。</w:t>
            </w:r>
            <w:r>
              <w:rPr>
                <w:sz w:val="28"/>
                <w:szCs w:val="28"/>
              </w:rPr>
              <w:t>提档升级乡镇（街道）、村（社区）综合文化服务中心建设，实现全覆盖。建设信息共享、分级负责、反应快捷、安全可靠的全县应急广播体系。</w:t>
            </w:r>
          </w:p>
          <w:p w14:paraId="24992CE3">
            <w:pPr>
              <w:spacing w:line="480" w:lineRule="exact"/>
              <w:ind w:firstLine="548" w:firstLineChars="196"/>
              <w:rPr>
                <w:sz w:val="28"/>
                <w:szCs w:val="28"/>
              </w:rPr>
            </w:pPr>
            <w:r>
              <w:rPr>
                <w:rFonts w:eastAsia="方正楷体_GBK"/>
                <w:sz w:val="28"/>
                <w:szCs w:val="28"/>
              </w:rPr>
              <w:t>乡镇农村综合文化服务中心建设工程。</w:t>
            </w:r>
            <w:r>
              <w:rPr>
                <w:sz w:val="28"/>
                <w:szCs w:val="28"/>
              </w:rPr>
              <w:t>采取新建、改建、扩建方式，进行乡镇综合文化服务中心达标建设，因地制宜建设文体广场、宣传栏、简易舞台，建设室内固定放映厅，同时满足讲座、培训、会议、小型演出等功能需求。</w:t>
            </w:r>
          </w:p>
          <w:p w14:paraId="57BEF157">
            <w:pPr>
              <w:spacing w:line="480" w:lineRule="exact"/>
              <w:ind w:firstLine="548" w:firstLineChars="196"/>
              <w:rPr>
                <w:sz w:val="30"/>
                <w:szCs w:val="30"/>
              </w:rPr>
            </w:pPr>
            <w:r>
              <w:rPr>
                <w:rFonts w:eastAsia="方正楷体_GBK"/>
                <w:sz w:val="28"/>
                <w:szCs w:val="28"/>
              </w:rPr>
              <w:t>公共文化产品服务提升工程。</w:t>
            </w:r>
            <w:r>
              <w:rPr>
                <w:sz w:val="28"/>
                <w:szCs w:val="28"/>
              </w:rPr>
              <w:t>着力打造一批基层公共文化人才队伍。深化文化科技卫生</w:t>
            </w:r>
            <w:r>
              <w:rPr>
                <w:rFonts w:hint="eastAsia"/>
                <w:sz w:val="28"/>
                <w:szCs w:val="28"/>
              </w:rPr>
              <w:t>“</w:t>
            </w:r>
            <w:r>
              <w:rPr>
                <w:sz w:val="28"/>
                <w:szCs w:val="28"/>
              </w:rPr>
              <w:t>三下乡</w:t>
            </w:r>
            <w:r>
              <w:rPr>
                <w:rFonts w:hint="eastAsia"/>
                <w:sz w:val="28"/>
                <w:szCs w:val="28"/>
              </w:rPr>
              <w:t>”</w:t>
            </w:r>
            <w:r>
              <w:rPr>
                <w:sz w:val="28"/>
                <w:szCs w:val="28"/>
              </w:rPr>
              <w:t>活动，流动文化进基层200场次。</w:t>
            </w:r>
          </w:p>
        </w:tc>
      </w:tr>
    </w:tbl>
    <w:p w14:paraId="082E7C0E">
      <w:pPr>
        <w:spacing w:line="480" w:lineRule="exact"/>
      </w:pPr>
    </w:p>
    <w:p w14:paraId="11EF4DFF">
      <w:pPr>
        <w:pStyle w:val="3"/>
        <w:spacing w:line="480" w:lineRule="exact"/>
        <w:jc w:val="center"/>
        <w:rPr>
          <w:rFonts w:ascii="Times New Roman" w:hAnsi="Times New Roman" w:eastAsia="方正黑体_GBK"/>
          <w:b w:val="0"/>
          <w:bCs w:val="0"/>
          <w:kern w:val="2"/>
        </w:rPr>
      </w:pPr>
      <w:bookmarkStart w:id="142" w:name="_Toc21586"/>
      <w:r>
        <w:rPr>
          <w:rFonts w:ascii="Times New Roman" w:hAnsi="Times New Roman" w:eastAsia="方正黑体_GBK"/>
          <w:b w:val="0"/>
          <w:bCs w:val="0"/>
          <w:kern w:val="2"/>
        </w:rPr>
        <w:t>第七篇 建设山清水秀美丽城口</w:t>
      </w:r>
      <w:bookmarkEnd w:id="142"/>
    </w:p>
    <w:p w14:paraId="24E2D888">
      <w:pPr>
        <w:spacing w:line="480" w:lineRule="exact"/>
      </w:pPr>
    </w:p>
    <w:p w14:paraId="0B2A1B73">
      <w:pPr>
        <w:spacing w:line="480" w:lineRule="exact"/>
        <w:ind w:firstLine="560" w:firstLineChars="200"/>
        <w:rPr>
          <w:kern w:val="0"/>
          <w:sz w:val="28"/>
          <w:szCs w:val="28"/>
        </w:rPr>
      </w:pPr>
      <w:r>
        <w:rPr>
          <w:kern w:val="0"/>
          <w:sz w:val="28"/>
          <w:szCs w:val="28"/>
        </w:rPr>
        <w:t>深入实践绿水青山就是金山银山理念，按照共抓大保护、不搞大开发要求，建设山清水秀美丽之地和大巴山区生态文明高地。乡村生态振兴主要是围绕生活生态化、生产生态化、环境生态化三个方面，以城乡融合为基础，以生态产业化为持久动力，推进全域生态综合体建设。</w:t>
      </w:r>
    </w:p>
    <w:p w14:paraId="2C769B13">
      <w:pPr>
        <w:pStyle w:val="4"/>
        <w:spacing w:line="480" w:lineRule="exact"/>
        <w:ind w:firstLine="0"/>
        <w:rPr>
          <w:bCs w:val="0"/>
          <w:sz w:val="36"/>
          <w:szCs w:val="36"/>
        </w:rPr>
      </w:pPr>
      <w:bookmarkStart w:id="143" w:name="_Toc21527"/>
      <w:r>
        <w:rPr>
          <w:bCs w:val="0"/>
          <w:sz w:val="36"/>
          <w:szCs w:val="36"/>
        </w:rPr>
        <w:t>第二十章  持续改善农村人居环境</w:t>
      </w:r>
      <w:bookmarkEnd w:id="143"/>
    </w:p>
    <w:p w14:paraId="384128A2">
      <w:pPr>
        <w:spacing w:line="480" w:lineRule="exact"/>
        <w:ind w:firstLine="641"/>
        <w:rPr>
          <w:rFonts w:eastAsia="黑体"/>
          <w:sz w:val="36"/>
          <w:szCs w:val="36"/>
        </w:rPr>
      </w:pPr>
    </w:p>
    <w:p w14:paraId="072FCEE5">
      <w:pPr>
        <w:spacing w:line="480" w:lineRule="exact"/>
        <w:ind w:firstLine="560" w:firstLineChars="200"/>
        <w:rPr>
          <w:kern w:val="0"/>
          <w:sz w:val="28"/>
          <w:szCs w:val="28"/>
        </w:rPr>
      </w:pPr>
      <w:r>
        <w:rPr>
          <w:kern w:val="0"/>
          <w:sz w:val="28"/>
          <w:szCs w:val="28"/>
        </w:rPr>
        <w:t>实施</w:t>
      </w:r>
      <w:r>
        <w:rPr>
          <w:rFonts w:hint="eastAsia"/>
          <w:kern w:val="0"/>
          <w:sz w:val="28"/>
          <w:szCs w:val="28"/>
        </w:rPr>
        <w:t>“</w:t>
      </w:r>
      <w:r>
        <w:rPr>
          <w:kern w:val="0"/>
          <w:sz w:val="28"/>
          <w:szCs w:val="28"/>
        </w:rPr>
        <w:t>千村示范、万村整治</w:t>
      </w:r>
      <w:r>
        <w:rPr>
          <w:rFonts w:hint="eastAsia"/>
          <w:kern w:val="0"/>
          <w:sz w:val="28"/>
          <w:szCs w:val="28"/>
        </w:rPr>
        <w:t>”</w:t>
      </w:r>
      <w:r>
        <w:rPr>
          <w:kern w:val="0"/>
          <w:sz w:val="28"/>
          <w:szCs w:val="28"/>
        </w:rPr>
        <w:t>工程，加大农村垃圾治理、厕所革命、污水治理、村容村貌提升力度，加快推进农村人居环境整治，提升农村人居环境水平，建设宜居宜游美丽乡村。</w:t>
      </w:r>
    </w:p>
    <w:p w14:paraId="1D316134">
      <w:pPr>
        <w:pStyle w:val="5"/>
        <w:spacing w:line="480" w:lineRule="exact"/>
        <w:jc w:val="center"/>
        <w:rPr>
          <w:rFonts w:eastAsia="方正黑体_GBK"/>
          <w:b w:val="0"/>
          <w:bCs w:val="0"/>
          <w:sz w:val="28"/>
          <w:szCs w:val="28"/>
        </w:rPr>
      </w:pPr>
      <w:bookmarkStart w:id="144" w:name="_Toc24381"/>
      <w:r>
        <w:rPr>
          <w:rFonts w:eastAsia="方正黑体_GBK"/>
          <w:b w:val="0"/>
          <w:bCs w:val="0"/>
          <w:sz w:val="28"/>
          <w:szCs w:val="28"/>
        </w:rPr>
        <w:t>第一节 加快补齐人居环境短板</w:t>
      </w:r>
      <w:bookmarkEnd w:id="144"/>
    </w:p>
    <w:p w14:paraId="7AF9C7D5">
      <w:pPr>
        <w:tabs>
          <w:tab w:val="left" w:pos="736"/>
        </w:tabs>
        <w:spacing w:line="480" w:lineRule="exact"/>
        <w:ind w:firstLine="560" w:firstLineChars="200"/>
        <w:rPr>
          <w:rFonts w:eastAsia="宋体"/>
          <w:kern w:val="0"/>
          <w:sz w:val="28"/>
          <w:szCs w:val="28"/>
        </w:rPr>
      </w:pPr>
      <w:r>
        <w:rPr>
          <w:kern w:val="0"/>
          <w:sz w:val="28"/>
          <w:szCs w:val="28"/>
        </w:rPr>
        <w:t>全面推进农村垃圾治理，大力整治非正规垃圾堆放点，推行简便易行的农村生活垃圾分类方式，建立健全</w:t>
      </w:r>
      <w:r>
        <w:rPr>
          <w:rFonts w:hint="eastAsia"/>
          <w:kern w:val="0"/>
          <w:sz w:val="28"/>
          <w:szCs w:val="28"/>
        </w:rPr>
        <w:t>“</w:t>
      </w:r>
      <w:r>
        <w:rPr>
          <w:kern w:val="0"/>
          <w:sz w:val="28"/>
          <w:szCs w:val="28"/>
        </w:rPr>
        <w:t>户——集中点——村——乡镇</w:t>
      </w:r>
      <w:r>
        <w:rPr>
          <w:rFonts w:hint="eastAsia"/>
          <w:kern w:val="0"/>
          <w:sz w:val="28"/>
          <w:szCs w:val="28"/>
        </w:rPr>
        <w:t>”</w:t>
      </w:r>
      <w:r>
        <w:rPr>
          <w:kern w:val="0"/>
          <w:sz w:val="28"/>
          <w:szCs w:val="28"/>
        </w:rPr>
        <w:t>四级垃圾收运处置体系，完善村庄保洁制度，探索建立村庄环保</w:t>
      </w:r>
      <w:r>
        <w:rPr>
          <w:rFonts w:hint="eastAsia"/>
          <w:kern w:val="0"/>
          <w:sz w:val="28"/>
          <w:szCs w:val="28"/>
        </w:rPr>
        <w:t>自治</w:t>
      </w:r>
      <w:r>
        <w:rPr>
          <w:kern w:val="0"/>
          <w:sz w:val="28"/>
          <w:szCs w:val="28"/>
        </w:rPr>
        <w:t>组织。持续推进厕所革命，统筹推进农村户厕改造，加快推进农村公共厕所新建和改建，因地制宜治理厕所粪污。梯次推进农村生活污水治理，推动城镇污水管网向城郊型村庄延伸，加快农村污水处理设施建设，探索农村小规模湿地污水处理系统建设，促进农村污水就地就近处理。加强河塘沟渠疏浚和农村黑臭水体治理，管控乡村客栈、民宿、农家乐等污水排放，引导群众形成良好用水习惯。加快推进农业生产废弃物资源化利用。倡导简约、生态、环保生活方式。</w:t>
      </w:r>
      <w:bookmarkStart w:id="145" w:name="_Toc519079756"/>
      <w:bookmarkStart w:id="146" w:name="_Toc522043032"/>
      <w:bookmarkStart w:id="147" w:name="_Toc521865087"/>
      <w:bookmarkStart w:id="148" w:name="_Toc521352294"/>
      <w:bookmarkStart w:id="149" w:name="_Toc521853571"/>
    </w:p>
    <w:p w14:paraId="171D4D77">
      <w:pPr>
        <w:pStyle w:val="5"/>
        <w:spacing w:line="480" w:lineRule="exact"/>
        <w:jc w:val="center"/>
        <w:rPr>
          <w:rFonts w:eastAsia="方正黑体_GBK"/>
          <w:b w:val="0"/>
          <w:bCs w:val="0"/>
          <w:sz w:val="28"/>
          <w:szCs w:val="28"/>
        </w:rPr>
      </w:pPr>
      <w:bookmarkStart w:id="150" w:name="_Toc18968"/>
      <w:r>
        <w:rPr>
          <w:rFonts w:eastAsia="方正黑体_GBK"/>
          <w:b w:val="0"/>
          <w:bCs w:val="0"/>
          <w:sz w:val="28"/>
          <w:szCs w:val="28"/>
        </w:rPr>
        <w:t>第二节</w:t>
      </w:r>
      <w:bookmarkEnd w:id="145"/>
      <w:r>
        <w:rPr>
          <w:rFonts w:eastAsia="方正黑体_GBK"/>
          <w:b w:val="0"/>
          <w:bCs w:val="0"/>
          <w:sz w:val="28"/>
          <w:szCs w:val="28"/>
        </w:rPr>
        <w:t xml:space="preserve">  大力提升村容村貌</w:t>
      </w:r>
      <w:bookmarkEnd w:id="146"/>
      <w:bookmarkEnd w:id="147"/>
      <w:bookmarkEnd w:id="148"/>
      <w:bookmarkEnd w:id="149"/>
      <w:bookmarkEnd w:id="150"/>
    </w:p>
    <w:p w14:paraId="25A88757">
      <w:pPr>
        <w:spacing w:line="480" w:lineRule="exact"/>
        <w:ind w:firstLine="560" w:firstLineChars="200"/>
        <w:rPr>
          <w:kern w:val="0"/>
          <w:sz w:val="28"/>
          <w:szCs w:val="28"/>
        </w:rPr>
      </w:pPr>
      <w:r>
        <w:rPr>
          <w:kern w:val="0"/>
          <w:sz w:val="28"/>
          <w:szCs w:val="28"/>
        </w:rPr>
        <w:t>根据城口地域气候、经济、文化和社会发展特点，将全域乡村建设融入到山水自然中，重塑望得见山、看得见水、留得住乡愁的美丽乡村。突出乡村的地域文化和民族特色，适应大巴山区建筑特色和气候环境需要，注重村庄的布局与周边自然空间的协调，促进村庄发展形态和模式多样化。实施乡村净化工程，深入开展城乡环境卫生整洁行动，整治公共空间和庭院环境，清理存量生活垃圾、农业废弃物、畜禽粪便、漂浮垃圾、无序堆放物，净化公共环境。实施乡村绿化工程，重点推进村内道路、坑塘河道、闲置空地和公共场所绿化，实现房前屋后和庭院基本绿化，建设微景观小品。实施乡村美化工程，加强公共空间管控，消除私搭乱建、乱堆乱放现象，持续推进农村危房改造。实施乡村亮化工程，完善公共照明设施，提高农村公共照明建设管理水平。实施乡村文化工程，着力弘扬优秀建筑文化、农耕文化、风俗文化等，传承乡愁记忆，延续历史文脉。探索开展规划师、设计师、建筑师</w:t>
      </w:r>
      <w:r>
        <w:rPr>
          <w:rFonts w:hint="eastAsia"/>
          <w:kern w:val="0"/>
          <w:sz w:val="28"/>
          <w:szCs w:val="28"/>
        </w:rPr>
        <w:t>“</w:t>
      </w:r>
      <w:r>
        <w:rPr>
          <w:kern w:val="0"/>
          <w:sz w:val="28"/>
          <w:szCs w:val="28"/>
        </w:rPr>
        <w:t>三师下乡</w:t>
      </w:r>
      <w:r>
        <w:rPr>
          <w:rFonts w:hint="eastAsia"/>
          <w:kern w:val="0"/>
          <w:sz w:val="28"/>
          <w:szCs w:val="28"/>
        </w:rPr>
        <w:t>”</w:t>
      </w:r>
      <w:r>
        <w:rPr>
          <w:kern w:val="0"/>
          <w:sz w:val="28"/>
          <w:szCs w:val="28"/>
        </w:rPr>
        <w:t>活动，鼓励村内建筑整体设计，建筑功能实现本地化，指导村容村貌提升工作，鼓励乡村闲置民房变民宿。</w:t>
      </w:r>
      <w:bookmarkStart w:id="151" w:name="_Toc522043033"/>
      <w:bookmarkStart w:id="152" w:name="_Toc521853572"/>
      <w:bookmarkStart w:id="153" w:name="_Toc521865088"/>
      <w:bookmarkStart w:id="154" w:name="_Toc519079757"/>
      <w:bookmarkStart w:id="155" w:name="_Toc521352295"/>
      <w:r>
        <w:rPr>
          <w:kern w:val="0"/>
          <w:sz w:val="28"/>
          <w:szCs w:val="28"/>
        </w:rPr>
        <w:t xml:space="preserve"> </w:t>
      </w:r>
    </w:p>
    <w:p w14:paraId="742E66F8">
      <w:pPr>
        <w:pStyle w:val="5"/>
        <w:spacing w:line="480" w:lineRule="exact"/>
        <w:jc w:val="center"/>
        <w:rPr>
          <w:rFonts w:eastAsia="方正黑体_GBK"/>
          <w:b w:val="0"/>
          <w:bCs w:val="0"/>
          <w:sz w:val="28"/>
          <w:szCs w:val="28"/>
        </w:rPr>
      </w:pPr>
      <w:bookmarkStart w:id="156" w:name="_Toc8600"/>
      <w:r>
        <w:rPr>
          <w:rFonts w:eastAsia="方正黑体_GBK"/>
          <w:b w:val="0"/>
          <w:bCs w:val="0"/>
          <w:sz w:val="28"/>
          <w:szCs w:val="28"/>
        </w:rPr>
        <w:t>第三节  建立健全整治长效机制</w:t>
      </w:r>
      <w:bookmarkEnd w:id="151"/>
      <w:bookmarkEnd w:id="152"/>
      <w:bookmarkEnd w:id="153"/>
      <w:bookmarkEnd w:id="154"/>
      <w:bookmarkEnd w:id="155"/>
      <w:bookmarkEnd w:id="156"/>
    </w:p>
    <w:p w14:paraId="18E70DCB">
      <w:pPr>
        <w:spacing w:line="480" w:lineRule="exact"/>
        <w:ind w:firstLine="560" w:firstLineChars="200"/>
        <w:rPr>
          <w:kern w:val="0"/>
          <w:sz w:val="28"/>
          <w:szCs w:val="28"/>
        </w:rPr>
      </w:pPr>
      <w:r>
        <w:rPr>
          <w:kern w:val="0"/>
          <w:sz w:val="28"/>
          <w:szCs w:val="28"/>
        </w:rPr>
        <w:t>探索政府支持与村民自治、市场化运作相结合的管理体制，将管理主体、经费保障、人员配备等内容制度化、规范化，确保村容村貌长效维护。在农村垃圾污水治理等具备条件的领域创新投融资模式，探索建立专业化市场化监管机制，采取特许经营、政府购买服务、投资补助、担保补贴、贷款贴息等多种方式，吸引支持专业化市场主体等各类社会资本参与农村人居环境项目投、建、管、运。引导有条件的地区将农村人居环境整治与特色产业、休闲农业、乡村旅游等有机结合，实现农村产业融合发展与人居环境改善互促共进。</w:t>
      </w:r>
    </w:p>
    <w:p w14:paraId="47A2B788">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158B96C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17A6534F">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专栏9  农村人居环境整治工程</w:t>
            </w:r>
          </w:p>
        </w:tc>
      </w:tr>
      <w:tr w14:paraId="17B7410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1F7A483F">
            <w:pPr>
              <w:spacing w:line="480" w:lineRule="exact"/>
              <w:ind w:firstLine="548" w:firstLineChars="196"/>
              <w:rPr>
                <w:sz w:val="28"/>
                <w:szCs w:val="28"/>
              </w:rPr>
            </w:pPr>
            <w:r>
              <w:rPr>
                <w:rFonts w:eastAsia="方正楷体_GBK"/>
                <w:sz w:val="28"/>
                <w:szCs w:val="28"/>
              </w:rPr>
              <w:t>农村垃圾治理工程。</w:t>
            </w:r>
            <w:r>
              <w:rPr>
                <w:sz w:val="28"/>
                <w:szCs w:val="28"/>
              </w:rPr>
              <w:t>整治非正规垃圾堆放点，基本完成农村生活垃圾、建筑垃圾、漂浮垃圾和一般工业固废垃圾等非正规垃圾堆放点清理整治任务。开展农村生活垃圾分类和资源化利用，推行简便易行的农村生活垃圾分类方式，开展农村生活垃圾分类与资源化利用示范县创建，加强生活垃圾分类示范村建设。</w:t>
            </w:r>
          </w:p>
          <w:p w14:paraId="250FB9AC">
            <w:pPr>
              <w:spacing w:line="480" w:lineRule="exact"/>
              <w:ind w:firstLine="548" w:firstLineChars="196"/>
              <w:rPr>
                <w:sz w:val="28"/>
                <w:szCs w:val="28"/>
              </w:rPr>
            </w:pPr>
            <w:r>
              <w:rPr>
                <w:rFonts w:eastAsia="方正楷体_GBK"/>
                <w:sz w:val="28"/>
                <w:szCs w:val="28"/>
              </w:rPr>
              <w:t>厕所革命。</w:t>
            </w:r>
            <w:r>
              <w:rPr>
                <w:sz w:val="28"/>
                <w:szCs w:val="28"/>
              </w:rPr>
              <w:t>大力开展农村户厕改造，实施农村户厕改造3000户。加强农村公共厕所的改造和新建。以农村学校、卫生站（室）所、便民服务中心、商业网点、交易市场、交通集散点和旅游线路沿线等人口较集中的公共区域为重点，每年改造或新建农村无害化公厕5座。</w:t>
            </w:r>
          </w:p>
          <w:p w14:paraId="65F527C1">
            <w:pPr>
              <w:spacing w:line="480" w:lineRule="exact"/>
              <w:ind w:firstLine="548" w:firstLineChars="196"/>
              <w:rPr>
                <w:sz w:val="28"/>
                <w:szCs w:val="28"/>
              </w:rPr>
            </w:pPr>
            <w:r>
              <w:rPr>
                <w:rFonts w:eastAsia="方正楷体_GBK"/>
                <w:sz w:val="28"/>
                <w:szCs w:val="28"/>
              </w:rPr>
              <w:t>农村生活污水治理工程。</w:t>
            </w:r>
            <w:r>
              <w:rPr>
                <w:sz w:val="28"/>
                <w:szCs w:val="28"/>
              </w:rPr>
              <w:t>推动城镇污水管网向周边乡村延伸覆盖，针对集中居住院落、易地搬迁安置点、农家乐、乡村客栈、民宿等人口密集地区，完成10座集中污水处理设施技术改造，分类推进农村生活污水治理，基本完成常住人口200户或500人以上的农村聚居点污水处理设施建设</w:t>
            </w:r>
            <w:r>
              <w:rPr>
                <w:rFonts w:hint="eastAsia"/>
                <w:sz w:val="28"/>
                <w:szCs w:val="28"/>
              </w:rPr>
              <w:t>。</w:t>
            </w:r>
            <w:r>
              <w:rPr>
                <w:sz w:val="28"/>
                <w:szCs w:val="28"/>
              </w:rPr>
              <w:t>因地制宜建设分散型、生态型的小型垃圾污水处理点，通过人工湿地、农村改厕、户用沼气、化粪池以及储粪还田等多种形式治理分散污水。</w:t>
            </w:r>
          </w:p>
          <w:p w14:paraId="50EF6DF6">
            <w:pPr>
              <w:spacing w:line="480" w:lineRule="exact"/>
              <w:ind w:firstLine="548" w:firstLineChars="196"/>
              <w:rPr>
                <w:sz w:val="30"/>
                <w:szCs w:val="30"/>
              </w:rPr>
            </w:pPr>
            <w:r>
              <w:rPr>
                <w:rFonts w:eastAsia="方正楷体_GBK"/>
                <w:sz w:val="28"/>
                <w:szCs w:val="28"/>
              </w:rPr>
              <w:t>农业废弃物资源化利用</w:t>
            </w:r>
            <w:r>
              <w:rPr>
                <w:sz w:val="28"/>
                <w:szCs w:val="28"/>
              </w:rPr>
              <w:t>工程。持续推进畜禽废弃物资源化利用，构建种养循环的可持续发展模式。加强农作物秸秆综合利用，突出肥料化、饲料化、基料化为重点利用方向，开展秸秆还田利用，到2022年，全县农作物秸秆综合利用率达到88.5%。推进农资废弃物回收利用，建立农资包装、农膜</w:t>
            </w:r>
            <w:r>
              <w:rPr>
                <w:rFonts w:hint="eastAsia"/>
                <w:sz w:val="28"/>
                <w:szCs w:val="28"/>
              </w:rPr>
              <w:t>回收</w:t>
            </w:r>
            <w:r>
              <w:rPr>
                <w:sz w:val="28"/>
                <w:szCs w:val="28"/>
              </w:rPr>
              <w:t>利用网点，全县农膜回收率达到80%。</w:t>
            </w:r>
          </w:p>
        </w:tc>
      </w:tr>
    </w:tbl>
    <w:p w14:paraId="7A65CE08">
      <w:pPr>
        <w:adjustRightInd w:val="0"/>
        <w:spacing w:line="480" w:lineRule="exact"/>
        <w:rPr>
          <w:rFonts w:eastAsia="宋体"/>
          <w:kern w:val="0"/>
          <w:sz w:val="28"/>
          <w:szCs w:val="28"/>
        </w:rPr>
      </w:pPr>
    </w:p>
    <w:p w14:paraId="3334D7BD">
      <w:pPr>
        <w:pStyle w:val="4"/>
        <w:spacing w:line="480" w:lineRule="exact"/>
        <w:ind w:firstLine="0"/>
        <w:rPr>
          <w:bCs w:val="0"/>
          <w:sz w:val="36"/>
          <w:szCs w:val="36"/>
        </w:rPr>
      </w:pPr>
      <w:bookmarkStart w:id="157" w:name="_Toc23574"/>
      <w:r>
        <w:rPr>
          <w:bCs w:val="0"/>
          <w:sz w:val="36"/>
          <w:szCs w:val="36"/>
        </w:rPr>
        <w:t>第二十一章  加大乡村生态保护与修复力度</w:t>
      </w:r>
      <w:bookmarkEnd w:id="157"/>
    </w:p>
    <w:p w14:paraId="3BFCAE46">
      <w:pPr>
        <w:spacing w:line="480" w:lineRule="exact"/>
        <w:ind w:firstLine="641"/>
        <w:rPr>
          <w:rFonts w:eastAsia="黑体"/>
          <w:sz w:val="36"/>
          <w:szCs w:val="36"/>
        </w:rPr>
      </w:pPr>
    </w:p>
    <w:p w14:paraId="12004CCE">
      <w:pPr>
        <w:spacing w:line="480" w:lineRule="exact"/>
        <w:ind w:firstLine="560" w:firstLineChars="200"/>
        <w:rPr>
          <w:kern w:val="0"/>
          <w:sz w:val="28"/>
          <w:szCs w:val="28"/>
        </w:rPr>
      </w:pPr>
      <w:r>
        <w:rPr>
          <w:rFonts w:hint="eastAsia"/>
          <w:kern w:val="0"/>
          <w:sz w:val="28"/>
          <w:szCs w:val="28"/>
        </w:rPr>
        <w:t>建设健康稳定田园生态系统、实施生态修复重大工程、全面推行林长制、全面落实河长制、加强重要生态系统保护恢复。</w:t>
      </w:r>
    </w:p>
    <w:p w14:paraId="338C689D">
      <w:pPr>
        <w:pStyle w:val="5"/>
        <w:spacing w:line="480" w:lineRule="exact"/>
        <w:jc w:val="center"/>
        <w:rPr>
          <w:rFonts w:eastAsia="方正黑体_GBK"/>
          <w:b w:val="0"/>
          <w:bCs w:val="0"/>
          <w:sz w:val="28"/>
          <w:szCs w:val="28"/>
        </w:rPr>
      </w:pPr>
      <w:bookmarkStart w:id="158" w:name="_Toc519079759"/>
      <w:bookmarkStart w:id="159" w:name="_Toc521352297"/>
      <w:bookmarkStart w:id="160" w:name="_Toc521865090"/>
      <w:bookmarkStart w:id="161" w:name="_Toc3600"/>
      <w:bookmarkStart w:id="162" w:name="_Toc522043035"/>
      <w:bookmarkStart w:id="163" w:name="_Toc521853574"/>
      <w:r>
        <w:rPr>
          <w:rFonts w:eastAsia="方正黑体_GBK"/>
          <w:b w:val="0"/>
          <w:bCs w:val="0"/>
          <w:sz w:val="28"/>
          <w:szCs w:val="28"/>
        </w:rPr>
        <w:t>第一节  建设健康稳定田园生态系统</w:t>
      </w:r>
      <w:bookmarkEnd w:id="158"/>
      <w:bookmarkEnd w:id="159"/>
      <w:bookmarkEnd w:id="160"/>
      <w:bookmarkEnd w:id="161"/>
      <w:bookmarkEnd w:id="162"/>
      <w:bookmarkEnd w:id="163"/>
    </w:p>
    <w:p w14:paraId="631D6264">
      <w:pPr>
        <w:spacing w:line="480" w:lineRule="exact"/>
        <w:ind w:firstLine="560" w:firstLineChars="200"/>
        <w:rPr>
          <w:rFonts w:eastAsia="宋体"/>
          <w:kern w:val="0"/>
          <w:sz w:val="28"/>
          <w:szCs w:val="28"/>
        </w:rPr>
      </w:pPr>
      <w:r>
        <w:rPr>
          <w:kern w:val="0"/>
          <w:sz w:val="28"/>
          <w:szCs w:val="28"/>
        </w:rPr>
        <w:t>坚持系统性、整体性原则，牢固树立</w:t>
      </w:r>
      <w:r>
        <w:rPr>
          <w:rFonts w:hint="eastAsia"/>
          <w:kern w:val="0"/>
          <w:sz w:val="28"/>
          <w:szCs w:val="28"/>
        </w:rPr>
        <w:t>“</w:t>
      </w:r>
      <w:r>
        <w:rPr>
          <w:kern w:val="0"/>
          <w:sz w:val="28"/>
          <w:szCs w:val="28"/>
        </w:rPr>
        <w:t>山水林田湖草是一个生命共同体</w:t>
      </w:r>
      <w:r>
        <w:rPr>
          <w:rFonts w:hint="eastAsia"/>
          <w:kern w:val="0"/>
          <w:sz w:val="28"/>
          <w:szCs w:val="28"/>
        </w:rPr>
        <w:t>”</w:t>
      </w:r>
      <w:r>
        <w:rPr>
          <w:kern w:val="0"/>
          <w:sz w:val="28"/>
          <w:szCs w:val="28"/>
        </w:rPr>
        <w:t>的理念，更加注重生态保育。立足环境容量和产业基础，探索与山地特色生态经济体系相适应的田园生态系统保护与修复模式，坚持宜农则农、宜林则林、宜牧则牧、宜渔则渔，科学配置农作物品种、种植耕作方式，推动农林牧渔融合循环发展，打造种养结合、生态循环、环境优美的田园生产体系。加快恢复田园生态系统空间整体性，着力修复自然生态系统、涵养水源、保持水土、净化水质、保护生物多样性等功能，逐步恢复田间生物群落和生态链。</w:t>
      </w:r>
      <w:bookmarkStart w:id="164" w:name="_Toc521865091"/>
      <w:bookmarkStart w:id="165" w:name="_Toc519079760"/>
      <w:bookmarkStart w:id="166" w:name="_Toc521352298"/>
      <w:bookmarkStart w:id="167" w:name="_Toc522043036"/>
      <w:bookmarkStart w:id="168" w:name="_Toc521853575"/>
    </w:p>
    <w:p w14:paraId="24970967">
      <w:pPr>
        <w:pStyle w:val="5"/>
        <w:spacing w:line="480" w:lineRule="exact"/>
        <w:jc w:val="center"/>
        <w:rPr>
          <w:rFonts w:eastAsia="方正黑体_GBK"/>
          <w:b w:val="0"/>
          <w:bCs w:val="0"/>
          <w:sz w:val="28"/>
          <w:szCs w:val="28"/>
        </w:rPr>
      </w:pPr>
      <w:bookmarkStart w:id="169" w:name="_Toc9842"/>
      <w:r>
        <w:rPr>
          <w:rFonts w:eastAsia="方正黑体_GBK"/>
          <w:b w:val="0"/>
          <w:bCs w:val="0"/>
          <w:sz w:val="28"/>
          <w:szCs w:val="28"/>
        </w:rPr>
        <w:t>第二节  实施生态修复重大工程</w:t>
      </w:r>
      <w:bookmarkEnd w:id="164"/>
      <w:bookmarkEnd w:id="165"/>
      <w:bookmarkEnd w:id="166"/>
      <w:bookmarkEnd w:id="167"/>
      <w:bookmarkEnd w:id="168"/>
      <w:bookmarkEnd w:id="169"/>
    </w:p>
    <w:p w14:paraId="28FA284B">
      <w:pPr>
        <w:spacing w:line="480" w:lineRule="exact"/>
        <w:ind w:firstLine="560" w:firstLineChars="200"/>
        <w:rPr>
          <w:kern w:val="0"/>
          <w:sz w:val="28"/>
          <w:szCs w:val="28"/>
        </w:rPr>
      </w:pPr>
      <w:r>
        <w:rPr>
          <w:kern w:val="0"/>
          <w:sz w:val="28"/>
          <w:szCs w:val="28"/>
        </w:rPr>
        <w:t>把修复流域生态环境摆在压倒性位置，大力实施天然林修复、长江防护林、国家储备林等重点工程，</w:t>
      </w:r>
      <w:r>
        <w:rPr>
          <w:sz w:val="28"/>
          <w:szCs w:val="28"/>
        </w:rPr>
        <w:t>开展新一轮退耕还林质量提升行动，</w:t>
      </w:r>
      <w:r>
        <w:rPr>
          <w:kern w:val="0"/>
          <w:sz w:val="28"/>
          <w:szCs w:val="28"/>
        </w:rPr>
        <w:t>推进全域国土绿化。全面开展农村</w:t>
      </w:r>
      <w:r>
        <w:rPr>
          <w:rFonts w:hint="eastAsia"/>
          <w:kern w:val="0"/>
          <w:sz w:val="28"/>
          <w:szCs w:val="28"/>
        </w:rPr>
        <w:t>“</w:t>
      </w:r>
      <w:r>
        <w:rPr>
          <w:kern w:val="0"/>
          <w:sz w:val="28"/>
          <w:szCs w:val="28"/>
        </w:rPr>
        <w:t>四旁</w:t>
      </w:r>
      <w:r>
        <w:rPr>
          <w:rFonts w:hint="eastAsia"/>
          <w:kern w:val="0"/>
          <w:sz w:val="28"/>
          <w:szCs w:val="28"/>
        </w:rPr>
        <w:t>”</w:t>
      </w:r>
      <w:r>
        <w:rPr>
          <w:kern w:val="0"/>
          <w:sz w:val="28"/>
          <w:szCs w:val="28"/>
        </w:rPr>
        <w:t>植树，形成</w:t>
      </w:r>
      <w:r>
        <w:rPr>
          <w:rFonts w:hint="eastAsia"/>
          <w:kern w:val="0"/>
          <w:sz w:val="28"/>
          <w:szCs w:val="28"/>
        </w:rPr>
        <w:t>“</w:t>
      </w:r>
      <w:r>
        <w:rPr>
          <w:kern w:val="0"/>
          <w:sz w:val="28"/>
          <w:szCs w:val="28"/>
        </w:rPr>
        <w:t>绿带、绿廓、绿楔、绿心</w:t>
      </w:r>
      <w:r>
        <w:rPr>
          <w:rFonts w:hint="eastAsia"/>
          <w:kern w:val="0"/>
          <w:sz w:val="28"/>
          <w:szCs w:val="28"/>
        </w:rPr>
        <w:t>”</w:t>
      </w:r>
      <w:r>
        <w:rPr>
          <w:kern w:val="0"/>
          <w:sz w:val="28"/>
          <w:szCs w:val="28"/>
        </w:rPr>
        <w:t>等城乡空间结构，</w:t>
      </w:r>
      <w:r>
        <w:rPr>
          <w:sz w:val="28"/>
          <w:szCs w:val="28"/>
        </w:rPr>
        <w:t>启动我县国家森林城市创建，建成50个国家森林乡村</w:t>
      </w:r>
      <w:r>
        <w:rPr>
          <w:kern w:val="0"/>
          <w:sz w:val="28"/>
          <w:szCs w:val="28"/>
        </w:rPr>
        <w:t>。加强生态退化区保护和建设，推进水土流失治理，科学修复生态敏感区、脆弱区、退化区。深入整治</w:t>
      </w:r>
      <w:r>
        <w:rPr>
          <w:rFonts w:hint="eastAsia"/>
          <w:kern w:val="0"/>
          <w:sz w:val="28"/>
          <w:szCs w:val="28"/>
        </w:rPr>
        <w:t>非法采砂</w:t>
      </w:r>
      <w:r>
        <w:rPr>
          <w:kern w:val="0"/>
          <w:sz w:val="28"/>
          <w:szCs w:val="28"/>
        </w:rPr>
        <w:t>、非法占用岸线、非法污染排放，坚持水污染治理、水生态修复、水资源保护</w:t>
      </w:r>
      <w:r>
        <w:rPr>
          <w:rFonts w:hint="eastAsia"/>
          <w:kern w:val="0"/>
          <w:sz w:val="28"/>
          <w:szCs w:val="28"/>
        </w:rPr>
        <w:t>“</w:t>
      </w:r>
      <w:r>
        <w:rPr>
          <w:kern w:val="0"/>
          <w:sz w:val="28"/>
          <w:szCs w:val="28"/>
        </w:rPr>
        <w:t>三水共治</w:t>
      </w:r>
      <w:r>
        <w:rPr>
          <w:rFonts w:hint="eastAsia"/>
          <w:kern w:val="0"/>
          <w:sz w:val="28"/>
          <w:szCs w:val="28"/>
        </w:rPr>
        <w:t>”</w:t>
      </w:r>
      <w:r>
        <w:rPr>
          <w:kern w:val="0"/>
          <w:sz w:val="28"/>
          <w:szCs w:val="28"/>
        </w:rPr>
        <w:t>。系统推进工业、农业、生活、河道污染源</w:t>
      </w:r>
      <w:r>
        <w:rPr>
          <w:rFonts w:hint="eastAsia"/>
          <w:kern w:val="0"/>
          <w:sz w:val="28"/>
          <w:szCs w:val="28"/>
        </w:rPr>
        <w:t>“</w:t>
      </w:r>
      <w:r>
        <w:rPr>
          <w:kern w:val="0"/>
          <w:sz w:val="28"/>
          <w:szCs w:val="28"/>
        </w:rPr>
        <w:t>四源齐控</w:t>
      </w:r>
      <w:r>
        <w:rPr>
          <w:rFonts w:hint="eastAsia"/>
          <w:kern w:val="0"/>
          <w:sz w:val="28"/>
          <w:szCs w:val="28"/>
        </w:rPr>
        <w:t>”</w:t>
      </w:r>
      <w:r>
        <w:rPr>
          <w:kern w:val="0"/>
          <w:sz w:val="28"/>
          <w:szCs w:val="28"/>
        </w:rPr>
        <w:t>，严厉打击生活污水、工业废水直排散排，分级分类精准管控。按照</w:t>
      </w:r>
      <w:r>
        <w:rPr>
          <w:rFonts w:hint="eastAsia"/>
          <w:kern w:val="0"/>
          <w:sz w:val="28"/>
          <w:szCs w:val="28"/>
        </w:rPr>
        <w:t>“</w:t>
      </w:r>
      <w:r>
        <w:rPr>
          <w:kern w:val="0"/>
          <w:sz w:val="28"/>
          <w:szCs w:val="28"/>
        </w:rPr>
        <w:t>宜农则农、宜林则林、宜园则园、宜水则水</w:t>
      </w:r>
      <w:r>
        <w:rPr>
          <w:rFonts w:hint="eastAsia"/>
          <w:kern w:val="0"/>
          <w:sz w:val="28"/>
          <w:szCs w:val="28"/>
        </w:rPr>
        <w:t>”</w:t>
      </w:r>
      <w:r>
        <w:rPr>
          <w:kern w:val="0"/>
          <w:sz w:val="28"/>
          <w:szCs w:val="28"/>
        </w:rPr>
        <w:t>等原则，分步推进全县历史遗留、关闭矿山和崩塌滑坡地质环境治理与植被恢复工作，自然保护区、森林公园、生态保护红线范围优先实施，持续推进矿山地下水治理和矿山</w:t>
      </w:r>
      <w:r>
        <w:rPr>
          <w:rFonts w:hint="eastAsia"/>
          <w:kern w:val="0"/>
          <w:sz w:val="28"/>
          <w:szCs w:val="28"/>
        </w:rPr>
        <w:t>“</w:t>
      </w:r>
      <w:r>
        <w:rPr>
          <w:kern w:val="0"/>
          <w:sz w:val="28"/>
          <w:szCs w:val="28"/>
        </w:rPr>
        <w:t>三废</w:t>
      </w:r>
      <w:r>
        <w:rPr>
          <w:rFonts w:hint="eastAsia"/>
          <w:kern w:val="0"/>
          <w:sz w:val="28"/>
          <w:szCs w:val="28"/>
        </w:rPr>
        <w:t>”</w:t>
      </w:r>
      <w:r>
        <w:rPr>
          <w:kern w:val="0"/>
          <w:sz w:val="28"/>
          <w:szCs w:val="28"/>
        </w:rPr>
        <w:t>污染治理。实施生态搬迁工程，稳步推进自然保护区、森林公园、地质公园、风景名胜区、重要湿地、重要饮用水源地、地质灾害区、水土流失严重地区、采煤沉陷区等生态极度脆弱和重点保护区域生态搬迁，减少人为活动影响，促进生态自然修复。</w:t>
      </w:r>
      <w:bookmarkStart w:id="170" w:name="_Toc521853576"/>
      <w:bookmarkStart w:id="171" w:name="_Toc522043037"/>
      <w:bookmarkStart w:id="172" w:name="_Toc521352299"/>
      <w:bookmarkStart w:id="173" w:name="_Toc521865092"/>
      <w:bookmarkStart w:id="174" w:name="_Toc519079761"/>
    </w:p>
    <w:p w14:paraId="7CCE8C23">
      <w:pPr>
        <w:pStyle w:val="5"/>
        <w:numPr>
          <w:ilvl w:val="0"/>
          <w:numId w:val="1"/>
        </w:numPr>
        <w:spacing w:line="480" w:lineRule="exact"/>
        <w:jc w:val="center"/>
        <w:rPr>
          <w:rFonts w:eastAsia="方正黑体_GBK"/>
          <w:b w:val="0"/>
          <w:bCs w:val="0"/>
          <w:sz w:val="28"/>
          <w:szCs w:val="28"/>
        </w:rPr>
      </w:pPr>
      <w:bookmarkStart w:id="175" w:name="_Toc6729"/>
      <w:r>
        <w:rPr>
          <w:rFonts w:eastAsia="方正黑体_GBK"/>
          <w:b w:val="0"/>
          <w:bCs w:val="0"/>
          <w:sz w:val="28"/>
          <w:szCs w:val="28"/>
        </w:rPr>
        <w:t>全面推行林长制</w:t>
      </w:r>
      <w:bookmarkEnd w:id="175"/>
    </w:p>
    <w:p w14:paraId="678F7006">
      <w:pPr>
        <w:spacing w:line="480" w:lineRule="exact"/>
        <w:ind w:firstLine="560" w:firstLineChars="200"/>
        <w:rPr>
          <w:sz w:val="28"/>
          <w:szCs w:val="28"/>
        </w:rPr>
      </w:pPr>
      <w:r>
        <w:rPr>
          <w:sz w:val="28"/>
          <w:szCs w:val="28"/>
        </w:rPr>
        <w:t>全面推行林长制，按照</w:t>
      </w:r>
      <w:r>
        <w:rPr>
          <w:rFonts w:hint="eastAsia"/>
          <w:sz w:val="28"/>
          <w:szCs w:val="28"/>
        </w:rPr>
        <w:t>“</w:t>
      </w:r>
      <w:r>
        <w:rPr>
          <w:sz w:val="28"/>
          <w:szCs w:val="28"/>
        </w:rPr>
        <w:t>分级负责</w:t>
      </w:r>
      <w:r>
        <w:rPr>
          <w:rFonts w:hint="eastAsia"/>
          <w:sz w:val="28"/>
          <w:szCs w:val="28"/>
        </w:rPr>
        <w:t>”</w:t>
      </w:r>
      <w:r>
        <w:rPr>
          <w:sz w:val="28"/>
          <w:szCs w:val="28"/>
        </w:rPr>
        <w:t>的原则，建立县、乡镇（街道）、村（社区）三级林长制组织体系，建立县、乡镇（街道）、村（社区）和网格护林员的</w:t>
      </w:r>
      <w:r>
        <w:rPr>
          <w:rFonts w:hint="eastAsia"/>
          <w:sz w:val="28"/>
          <w:szCs w:val="28"/>
        </w:rPr>
        <w:t>“</w:t>
      </w:r>
      <w:r>
        <w:rPr>
          <w:sz w:val="28"/>
          <w:szCs w:val="28"/>
        </w:rPr>
        <w:t>3+1</w:t>
      </w:r>
      <w:r>
        <w:rPr>
          <w:rFonts w:hint="eastAsia"/>
          <w:sz w:val="28"/>
          <w:szCs w:val="28"/>
        </w:rPr>
        <w:t>”</w:t>
      </w:r>
      <w:r>
        <w:rPr>
          <w:sz w:val="28"/>
          <w:szCs w:val="28"/>
        </w:rPr>
        <w:t>林长制管护责任体系，实现全县林长制管理责任全覆盖。建立完善</w:t>
      </w:r>
      <w:r>
        <w:rPr>
          <w:rFonts w:hint="eastAsia"/>
          <w:sz w:val="28"/>
          <w:szCs w:val="28"/>
        </w:rPr>
        <w:t>“</w:t>
      </w:r>
      <w:r>
        <w:rPr>
          <w:sz w:val="28"/>
          <w:szCs w:val="28"/>
        </w:rPr>
        <w:t>5+1</w:t>
      </w:r>
      <w:r>
        <w:rPr>
          <w:rFonts w:hint="eastAsia"/>
          <w:sz w:val="28"/>
          <w:szCs w:val="28"/>
        </w:rPr>
        <w:t>”</w:t>
      </w:r>
      <w:r>
        <w:rPr>
          <w:sz w:val="28"/>
          <w:szCs w:val="28"/>
        </w:rPr>
        <w:t>林长制制度体系（生态保护责任落实机制、生态问题发现机制、生态问题整改机制、生态建设发展机制、生态保护考核机制及规划引领机制）。充分运用北斗导航、大数据智能化、现代通讯技术等手段，建立各级林长与网格护林员之间指挥网络，实现实时监控，提高预警预报和应急处置能力。</w:t>
      </w:r>
    </w:p>
    <w:p w14:paraId="7BA23098">
      <w:pPr>
        <w:pStyle w:val="5"/>
        <w:spacing w:line="480" w:lineRule="exact"/>
        <w:jc w:val="center"/>
        <w:rPr>
          <w:rFonts w:eastAsia="方正黑体_GBK"/>
          <w:b w:val="0"/>
          <w:bCs w:val="0"/>
          <w:sz w:val="28"/>
          <w:szCs w:val="28"/>
        </w:rPr>
      </w:pPr>
      <w:bookmarkStart w:id="176" w:name="_Toc28670"/>
      <w:r>
        <w:rPr>
          <w:rFonts w:eastAsia="方正黑体_GBK"/>
          <w:b w:val="0"/>
          <w:bCs w:val="0"/>
          <w:sz w:val="28"/>
          <w:szCs w:val="28"/>
        </w:rPr>
        <w:t>第四节  全面落实河长制</w:t>
      </w:r>
      <w:bookmarkEnd w:id="170"/>
      <w:bookmarkEnd w:id="171"/>
      <w:bookmarkEnd w:id="172"/>
      <w:bookmarkEnd w:id="173"/>
      <w:bookmarkEnd w:id="176"/>
    </w:p>
    <w:p w14:paraId="5AFF52B3">
      <w:pPr>
        <w:spacing w:line="480" w:lineRule="exact"/>
        <w:ind w:firstLine="560" w:firstLineChars="200"/>
        <w:rPr>
          <w:kern w:val="0"/>
          <w:sz w:val="28"/>
          <w:szCs w:val="28"/>
        </w:rPr>
      </w:pPr>
      <w:r>
        <w:rPr>
          <w:kern w:val="0"/>
          <w:sz w:val="28"/>
          <w:szCs w:val="28"/>
        </w:rPr>
        <w:t>加强统筹协调，进一步完善县乡（镇、街道）双总河长制以及县乡（镇、街道）村（社区）三级河长制，抓好用好民间参与平台，着力构筑政府和社会共治格局，形成共治合力。通过常态化巡河、目标化治污、长效化管水等措施履行河长职责，做到履河长之责、行河长之实、管河长之用，突出抓好任何、前河两大出境河道干流河长制工作。开展河流调查，以流域为单位编制和修订一河一策方案。健全河长制工作机制，建立完善河长牵头负责、部门齐抓共管的协同推进机制，强化河道源头治理，加强上下游、左右岸、跨区域联防联动，逐步构建权责明确、协调有序、监管严格、保护有力的制度体系，为全面深入推进河长制提供制度保障。</w:t>
      </w:r>
      <w:bookmarkStart w:id="177" w:name="_Toc522043038"/>
      <w:bookmarkStart w:id="178" w:name="_Toc521865093"/>
      <w:bookmarkStart w:id="179" w:name="_Toc521853577"/>
      <w:bookmarkStart w:id="180" w:name="_Toc521352300"/>
    </w:p>
    <w:p w14:paraId="256462B2">
      <w:pPr>
        <w:pStyle w:val="5"/>
        <w:spacing w:line="480" w:lineRule="exact"/>
        <w:jc w:val="center"/>
        <w:rPr>
          <w:rFonts w:eastAsia="方正黑体_GBK"/>
          <w:b w:val="0"/>
          <w:bCs w:val="0"/>
          <w:sz w:val="28"/>
          <w:szCs w:val="28"/>
        </w:rPr>
      </w:pPr>
      <w:bookmarkStart w:id="181" w:name="_Toc25247"/>
      <w:r>
        <w:rPr>
          <w:rFonts w:eastAsia="方正黑体_GBK"/>
          <w:b w:val="0"/>
          <w:bCs w:val="0"/>
          <w:sz w:val="28"/>
          <w:szCs w:val="28"/>
        </w:rPr>
        <w:t>第五节  加强重要生态系统保护恢复</w:t>
      </w:r>
      <w:bookmarkEnd w:id="174"/>
      <w:bookmarkEnd w:id="177"/>
      <w:bookmarkEnd w:id="178"/>
      <w:bookmarkEnd w:id="179"/>
      <w:bookmarkEnd w:id="180"/>
      <w:bookmarkEnd w:id="181"/>
    </w:p>
    <w:p w14:paraId="65EF234E">
      <w:pPr>
        <w:adjustRightInd w:val="0"/>
        <w:spacing w:line="480" w:lineRule="exact"/>
        <w:ind w:firstLine="560" w:firstLineChars="200"/>
        <w:rPr>
          <w:rFonts w:eastAsia="宋体"/>
          <w:kern w:val="0"/>
          <w:sz w:val="28"/>
          <w:szCs w:val="28"/>
        </w:rPr>
      </w:pPr>
      <w:r>
        <w:rPr>
          <w:kern w:val="0"/>
          <w:sz w:val="28"/>
          <w:szCs w:val="28"/>
        </w:rPr>
        <w:t>划定并严守生态保护红线，建立生态保护红线评价、考核机制，严格县域三大国家级生态功能区红线设定，实现一条红线管控重要生态空间。加快建立</w:t>
      </w:r>
      <w:r>
        <w:rPr>
          <w:rFonts w:hint="eastAsia"/>
          <w:kern w:val="0"/>
          <w:sz w:val="28"/>
          <w:szCs w:val="28"/>
        </w:rPr>
        <w:t>“</w:t>
      </w:r>
      <w:r>
        <w:rPr>
          <w:kern w:val="0"/>
          <w:sz w:val="28"/>
          <w:szCs w:val="28"/>
        </w:rPr>
        <w:t>三线一单</w:t>
      </w:r>
      <w:r>
        <w:rPr>
          <w:rFonts w:hint="eastAsia"/>
          <w:kern w:val="0"/>
          <w:sz w:val="28"/>
          <w:szCs w:val="28"/>
        </w:rPr>
        <w:t>”</w:t>
      </w:r>
      <w:r>
        <w:rPr>
          <w:kern w:val="0"/>
          <w:sz w:val="28"/>
          <w:szCs w:val="28"/>
        </w:rPr>
        <w:t>环境管控体系。在保护基础上探索可持续开发利用的方式，改变长期粗放的</w:t>
      </w:r>
      <w:r>
        <w:rPr>
          <w:rFonts w:hint="eastAsia"/>
          <w:kern w:val="0"/>
          <w:sz w:val="28"/>
          <w:szCs w:val="28"/>
        </w:rPr>
        <w:t>“</w:t>
      </w:r>
      <w:r>
        <w:rPr>
          <w:kern w:val="0"/>
          <w:sz w:val="28"/>
          <w:szCs w:val="28"/>
        </w:rPr>
        <w:t>一禁了之</w:t>
      </w:r>
      <w:r>
        <w:rPr>
          <w:rFonts w:hint="eastAsia"/>
          <w:kern w:val="0"/>
          <w:sz w:val="28"/>
          <w:szCs w:val="28"/>
        </w:rPr>
        <w:t>”</w:t>
      </w:r>
      <w:r>
        <w:rPr>
          <w:kern w:val="0"/>
          <w:sz w:val="28"/>
          <w:szCs w:val="28"/>
        </w:rPr>
        <w:t>的保护策略，实现生态、生产和生计的有机统一。完善天然林保护制度，全面停止天然林商业性采伐。加快实施森林质量精准提升工程，大力调整优化树种、龄组、林层等系统结构，提升森林生态系统稳定性。加强湿地生态系统保护与恢复，对重要水源地、典型河流湿地、水生野生动物和重要经济水产种质资源划定保护范围，推进已破坏湿地生态系统的功能重建与恢复。加强自然保护体系建设，逐步推进自然保护区改革，优化自然保护区范围及功能区划，建立完善自然保护区管理制度，推动大巴山国家级自然保护区、九重山国家森林公园和巴山湖国家湿地公园整合建设大巴山国家公园。</w:t>
      </w:r>
      <w:r>
        <w:rPr>
          <w:sz w:val="28"/>
          <w:szCs w:val="28"/>
        </w:rPr>
        <w:t>加强特色珍稀动植物保护力度，建设大巴山生物多样性保护系统工程。</w:t>
      </w:r>
      <w:r>
        <w:rPr>
          <w:kern w:val="0"/>
          <w:sz w:val="28"/>
          <w:szCs w:val="28"/>
        </w:rPr>
        <w:t>推进自然保护地之间生态廊道建设，促进不同海拔梯度、不同区域内物种基因的有效交流，提高动植物适应环境能力。</w:t>
      </w:r>
    </w:p>
    <w:p w14:paraId="054DB1FE">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24DBEC7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09EAD079">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专栏10  农村生态保护与修复工程</w:t>
            </w:r>
          </w:p>
        </w:tc>
      </w:tr>
      <w:tr w14:paraId="557ABF3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0F09644B">
            <w:pPr>
              <w:spacing w:line="480" w:lineRule="exact"/>
              <w:ind w:firstLine="550"/>
              <w:rPr>
                <w:sz w:val="28"/>
                <w:szCs w:val="28"/>
              </w:rPr>
            </w:pPr>
            <w:r>
              <w:rPr>
                <w:rFonts w:hint="eastAsia" w:eastAsia="方正楷体_GBK" w:cs="方正楷体_GBK"/>
                <w:sz w:val="28"/>
                <w:szCs w:val="28"/>
              </w:rPr>
              <w:t>国土绿化行动。</w:t>
            </w:r>
            <w:r>
              <w:rPr>
                <w:sz w:val="28"/>
                <w:szCs w:val="28"/>
              </w:rPr>
              <w:t>实施天然林修复、长江防护林、森林抚育等工程，加强森林生态系统、湿地生态系统修复和山系、水系、城市、廊道生态修复，形成人与自然和谐共生的格局。构建以任河、前河为主体，其他支流、水库为支撑的绿色生态廊道。依托自然保护地体系建设，实施森林生态系统休养生息，共筑绿色生态屏障。重点推进城周森林质量提升工程建设，强化</w:t>
            </w:r>
            <w:r>
              <w:rPr>
                <w:rFonts w:hint="eastAsia"/>
                <w:sz w:val="28"/>
                <w:szCs w:val="28"/>
              </w:rPr>
              <w:t>“四好农村路”</w:t>
            </w:r>
            <w:r>
              <w:rPr>
                <w:sz w:val="28"/>
                <w:szCs w:val="28"/>
              </w:rPr>
              <w:t>损毁林地的生态修复。到2025年，全县森林覆盖率达到7</w:t>
            </w:r>
            <w:r>
              <w:rPr>
                <w:rFonts w:hint="eastAsia"/>
                <w:sz w:val="28"/>
                <w:szCs w:val="28"/>
              </w:rPr>
              <w:t>2.8</w:t>
            </w:r>
            <w:r>
              <w:rPr>
                <w:sz w:val="28"/>
                <w:szCs w:val="28"/>
              </w:rPr>
              <w:t>%。</w:t>
            </w:r>
          </w:p>
          <w:p w14:paraId="32CB76D0">
            <w:pPr>
              <w:spacing w:line="480" w:lineRule="exact"/>
              <w:ind w:firstLine="550"/>
              <w:rPr>
                <w:sz w:val="28"/>
                <w:szCs w:val="28"/>
              </w:rPr>
            </w:pPr>
            <w:r>
              <w:rPr>
                <w:rFonts w:eastAsia="方正楷体_GBK"/>
                <w:sz w:val="28"/>
                <w:szCs w:val="28"/>
              </w:rPr>
              <w:t>湿地保护修复工程。</w:t>
            </w:r>
            <w:r>
              <w:rPr>
                <w:sz w:val="28"/>
                <w:szCs w:val="28"/>
              </w:rPr>
              <w:t>自然修复和人工修复相结合，重点对集中连片、功能退化的自然湿地进行修复和综合整治。通过污染清理、自然湿地岸线维护、植被恢复、野生动植物栖息地恢复、湿地有害生物防治等手段，重点开展巴山湖国家湿地公园保护与修复工程，湿地保有量不低于6.2万亩。</w:t>
            </w:r>
          </w:p>
          <w:p w14:paraId="2AF0CF4A">
            <w:pPr>
              <w:spacing w:line="480" w:lineRule="exact"/>
              <w:ind w:firstLine="560" w:firstLineChars="200"/>
              <w:rPr>
                <w:sz w:val="28"/>
                <w:szCs w:val="28"/>
              </w:rPr>
            </w:pPr>
            <w:r>
              <w:rPr>
                <w:rFonts w:eastAsia="方正楷体_GBK"/>
                <w:sz w:val="28"/>
                <w:szCs w:val="28"/>
              </w:rPr>
              <w:t>石漠化、水土流失综合治理工程。</w:t>
            </w:r>
            <w:r>
              <w:rPr>
                <w:sz w:val="28"/>
                <w:szCs w:val="28"/>
              </w:rPr>
              <w:t>综合运用自然修复、植被恢复和工程措施相结合的方式，持续推进岩溶石漠化和水土流失综合治理，新增水土流失治理面积13平方公里。</w:t>
            </w:r>
          </w:p>
          <w:p w14:paraId="4B39FACE">
            <w:pPr>
              <w:spacing w:line="480" w:lineRule="exact"/>
              <w:ind w:firstLine="560" w:firstLineChars="200"/>
              <w:rPr>
                <w:rFonts w:eastAsia="方正楷体_GBK"/>
                <w:sz w:val="28"/>
                <w:szCs w:val="28"/>
              </w:rPr>
            </w:pPr>
            <w:r>
              <w:rPr>
                <w:rFonts w:eastAsia="方正楷体_GBK"/>
                <w:sz w:val="28"/>
                <w:szCs w:val="28"/>
              </w:rPr>
              <w:t>国土整治和重大地灾隐患治理工程。</w:t>
            </w:r>
            <w:r>
              <w:rPr>
                <w:sz w:val="28"/>
                <w:szCs w:val="28"/>
              </w:rPr>
              <w:t>以农村土地综合整治为平台，进行山水林田湖草整体规划设计，突出农村产业培育、生态环境保护，综合实施矿山地质环境恢复治理、损毁土地修复、水土保持工程、园地、水域</w:t>
            </w:r>
            <w:r>
              <w:rPr>
                <w:spacing w:val="-4"/>
                <w:sz w:val="28"/>
                <w:szCs w:val="28"/>
              </w:rPr>
              <w:t>和低效废弃建设用地整理，落实山体修复，着力打造山水林田湖草综合整治示范样板。加大地质灾害治理力度，对威胁场镇、学校、居民集中居住区等重大地质灾害隐患点实施工程措施，每年通过治理消除安全隐患约200处。</w:t>
            </w:r>
          </w:p>
          <w:p w14:paraId="6045C24B">
            <w:pPr>
              <w:spacing w:line="480" w:lineRule="exact"/>
              <w:ind w:firstLine="560" w:firstLineChars="200"/>
              <w:rPr>
                <w:sz w:val="30"/>
                <w:szCs w:val="30"/>
              </w:rPr>
            </w:pPr>
            <w:r>
              <w:rPr>
                <w:rFonts w:eastAsia="方正楷体_GBK"/>
                <w:sz w:val="28"/>
                <w:szCs w:val="28"/>
              </w:rPr>
              <w:t>生物多样性保护工程。</w:t>
            </w:r>
            <w:r>
              <w:rPr>
                <w:sz w:val="28"/>
                <w:szCs w:val="28"/>
              </w:rPr>
              <w:t>协助完成大巴山生物多样性保护与利用系统工程规划纲要编制。以规划为引领，有序推进大巴山智慧生态监测系统、大巴山生态廊道建设、高等植物多样性动态调查及监测网络构建、大巴山重大林业有害生物监测预警与持续防控、大巴山生物种质基因库建设、大巴山道地中药材产业标准示范园区建设等项目建设，建成秦巴山地生物多样性保护基地，为其它地区生物多样性抢救、保护及利用提供示范。</w:t>
            </w:r>
          </w:p>
        </w:tc>
      </w:tr>
    </w:tbl>
    <w:p w14:paraId="34DDE42F">
      <w:pPr>
        <w:pStyle w:val="4"/>
        <w:spacing w:line="480" w:lineRule="exact"/>
        <w:ind w:firstLine="0"/>
        <w:rPr>
          <w:bCs w:val="0"/>
          <w:sz w:val="36"/>
          <w:szCs w:val="36"/>
        </w:rPr>
      </w:pPr>
      <w:bookmarkStart w:id="182" w:name="_Toc22833"/>
      <w:bookmarkStart w:id="183" w:name="_Toc522043039"/>
      <w:bookmarkStart w:id="184" w:name="_Toc521865094"/>
      <w:bookmarkStart w:id="185" w:name="_Toc521853578"/>
      <w:r>
        <w:rPr>
          <w:bCs w:val="0"/>
          <w:sz w:val="36"/>
          <w:szCs w:val="36"/>
        </w:rPr>
        <w:t>第二十二章  推进农业绿色发展</w:t>
      </w:r>
      <w:bookmarkEnd w:id="182"/>
      <w:bookmarkEnd w:id="183"/>
      <w:bookmarkEnd w:id="184"/>
      <w:bookmarkEnd w:id="185"/>
    </w:p>
    <w:p w14:paraId="66261DEC">
      <w:pPr>
        <w:spacing w:line="480" w:lineRule="exact"/>
        <w:ind w:firstLine="641"/>
        <w:rPr>
          <w:rFonts w:eastAsia="宋体"/>
          <w:kern w:val="0"/>
          <w:sz w:val="36"/>
          <w:szCs w:val="36"/>
        </w:rPr>
      </w:pPr>
    </w:p>
    <w:p w14:paraId="60689BF8">
      <w:pPr>
        <w:spacing w:line="480" w:lineRule="exact"/>
        <w:ind w:firstLine="560" w:firstLineChars="200"/>
        <w:rPr>
          <w:kern w:val="0"/>
          <w:sz w:val="28"/>
          <w:szCs w:val="28"/>
        </w:rPr>
      </w:pPr>
      <w:r>
        <w:rPr>
          <w:kern w:val="0"/>
          <w:sz w:val="28"/>
          <w:szCs w:val="28"/>
        </w:rPr>
        <w:t>以生态环境友好和资源永续利用为导向，践行新发展理念，推动形成绿色生产方式，发展社会化生态农业，提高农业可持续发展能力。</w:t>
      </w:r>
    </w:p>
    <w:p w14:paraId="69E3DB96">
      <w:pPr>
        <w:pStyle w:val="5"/>
        <w:spacing w:line="480" w:lineRule="exact"/>
        <w:jc w:val="center"/>
        <w:rPr>
          <w:rFonts w:eastAsia="方正黑体_GBK"/>
          <w:b w:val="0"/>
          <w:bCs w:val="0"/>
          <w:sz w:val="28"/>
          <w:szCs w:val="28"/>
        </w:rPr>
      </w:pPr>
      <w:bookmarkStart w:id="186" w:name="_Toc522043040"/>
      <w:bookmarkStart w:id="187" w:name="_Toc19727"/>
      <w:bookmarkStart w:id="188" w:name="_Toc521853579"/>
      <w:bookmarkStart w:id="189" w:name="_Toc519079763"/>
      <w:bookmarkStart w:id="190" w:name="_Toc521352302"/>
      <w:bookmarkStart w:id="191" w:name="_Toc521865095"/>
      <w:r>
        <w:rPr>
          <w:rFonts w:eastAsia="方正黑体_GBK"/>
          <w:b w:val="0"/>
          <w:bCs w:val="0"/>
          <w:sz w:val="28"/>
          <w:szCs w:val="28"/>
        </w:rPr>
        <w:t>第一节  强化资源保护与节约利用</w:t>
      </w:r>
      <w:bookmarkEnd w:id="186"/>
      <w:bookmarkEnd w:id="187"/>
      <w:bookmarkEnd w:id="188"/>
      <w:bookmarkEnd w:id="189"/>
      <w:bookmarkEnd w:id="190"/>
      <w:bookmarkEnd w:id="191"/>
    </w:p>
    <w:p w14:paraId="0A30A8CA">
      <w:pPr>
        <w:spacing w:line="480" w:lineRule="exact"/>
        <w:ind w:firstLine="560" w:firstLineChars="200"/>
        <w:rPr>
          <w:kern w:val="0"/>
          <w:sz w:val="28"/>
          <w:szCs w:val="28"/>
        </w:rPr>
      </w:pPr>
      <w:r>
        <w:rPr>
          <w:kern w:val="0"/>
          <w:sz w:val="28"/>
          <w:szCs w:val="28"/>
        </w:rPr>
        <w:t>落实生态保护红线、永久基本农田、城镇开发边界线</w:t>
      </w:r>
      <w:r>
        <w:rPr>
          <w:rFonts w:hint="eastAsia"/>
          <w:kern w:val="0"/>
          <w:sz w:val="28"/>
          <w:szCs w:val="28"/>
        </w:rPr>
        <w:t>“</w:t>
      </w:r>
      <w:r>
        <w:rPr>
          <w:kern w:val="0"/>
          <w:sz w:val="28"/>
          <w:szCs w:val="28"/>
        </w:rPr>
        <w:t>三条控制线</w:t>
      </w:r>
      <w:r>
        <w:rPr>
          <w:rFonts w:hint="eastAsia"/>
          <w:kern w:val="0"/>
          <w:sz w:val="28"/>
          <w:szCs w:val="28"/>
        </w:rPr>
        <w:t>”</w:t>
      </w:r>
      <w:r>
        <w:rPr>
          <w:kern w:val="0"/>
          <w:sz w:val="28"/>
          <w:szCs w:val="28"/>
        </w:rPr>
        <w:t>，实施</w:t>
      </w:r>
      <w:r>
        <w:rPr>
          <w:rFonts w:hint="eastAsia"/>
          <w:kern w:val="0"/>
          <w:sz w:val="28"/>
          <w:szCs w:val="28"/>
        </w:rPr>
        <w:t>“</w:t>
      </w:r>
      <w:r>
        <w:rPr>
          <w:kern w:val="0"/>
          <w:sz w:val="28"/>
          <w:szCs w:val="28"/>
        </w:rPr>
        <w:t>三线一单</w:t>
      </w:r>
      <w:r>
        <w:rPr>
          <w:rFonts w:hint="eastAsia"/>
          <w:kern w:val="0"/>
          <w:sz w:val="28"/>
          <w:szCs w:val="28"/>
        </w:rPr>
        <w:t>”</w:t>
      </w:r>
      <w:r>
        <w:rPr>
          <w:kern w:val="0"/>
          <w:sz w:val="28"/>
          <w:szCs w:val="28"/>
        </w:rPr>
        <w:t>生态环境分区管控。加强重点区域耕地保护，降低耕地开发利用强度。加强旱地农田、果园、菜园等农田生态系统的保育以及退化农田的改良修复，实施耕地保护示范工程，建立一批农田保护性耕作示范区。严守水资源开发利用红线，实施水资源消耗总量和强度双控行动，防止不合理新增取水。严守用水效率控制红线，加大农业节水力度，加强灌区渠系节水改造、农业用水管理，积极推广高效节水灌溉技术，探索灌溉用水总量控制和定额管理，提高农业灌溉用水效率。</w:t>
      </w:r>
      <w:bookmarkStart w:id="192" w:name="_Toc521865096"/>
      <w:bookmarkStart w:id="193" w:name="_Toc522043041"/>
      <w:bookmarkStart w:id="194" w:name="_Toc521853580"/>
      <w:bookmarkStart w:id="195" w:name="_Toc519079764"/>
      <w:bookmarkStart w:id="196" w:name="_Toc521352303"/>
    </w:p>
    <w:p w14:paraId="7A0A8E41">
      <w:pPr>
        <w:pStyle w:val="5"/>
        <w:spacing w:line="480" w:lineRule="exact"/>
        <w:jc w:val="center"/>
        <w:rPr>
          <w:rFonts w:eastAsia="方正黑体_GBK"/>
          <w:b w:val="0"/>
          <w:bCs w:val="0"/>
          <w:sz w:val="28"/>
          <w:szCs w:val="28"/>
        </w:rPr>
      </w:pPr>
      <w:bookmarkStart w:id="197" w:name="_Toc25064"/>
      <w:r>
        <w:rPr>
          <w:rFonts w:eastAsia="方正黑体_GBK"/>
          <w:b w:val="0"/>
          <w:bCs w:val="0"/>
          <w:sz w:val="28"/>
          <w:szCs w:val="28"/>
        </w:rPr>
        <w:t>第二节  推进农业清洁生产</w:t>
      </w:r>
      <w:bookmarkEnd w:id="192"/>
      <w:bookmarkEnd w:id="193"/>
      <w:bookmarkEnd w:id="194"/>
      <w:bookmarkEnd w:id="195"/>
      <w:bookmarkEnd w:id="196"/>
      <w:bookmarkEnd w:id="197"/>
    </w:p>
    <w:p w14:paraId="6F000897">
      <w:pPr>
        <w:spacing w:line="480" w:lineRule="exact"/>
        <w:ind w:firstLine="560" w:firstLineChars="200"/>
        <w:rPr>
          <w:kern w:val="0"/>
          <w:sz w:val="28"/>
          <w:szCs w:val="28"/>
        </w:rPr>
      </w:pPr>
      <w:r>
        <w:rPr>
          <w:kern w:val="0"/>
          <w:sz w:val="28"/>
          <w:szCs w:val="28"/>
        </w:rPr>
        <w:t>逐步推进全域化肥农药减禁工程。严格化肥农药使用管理；开展绿色种植和养殖宣传，重视相关种养殖技术培训，不搞过度规模种植和养殖；优化种养业空间布局，限养区实现畜禽养殖总量控制，适养区实现种养协调发展，促进粪污就地就近消纳；开展绿色生产理念宣传和绿色生产技术推广；结合地势起伏发展立体循环农业，推广</w:t>
      </w:r>
      <w:r>
        <w:rPr>
          <w:rFonts w:hint="eastAsia"/>
          <w:kern w:val="0"/>
          <w:sz w:val="28"/>
          <w:szCs w:val="28"/>
        </w:rPr>
        <w:t>“</w:t>
      </w:r>
      <w:r>
        <w:rPr>
          <w:kern w:val="0"/>
          <w:sz w:val="28"/>
          <w:szCs w:val="28"/>
        </w:rPr>
        <w:t>稻虾</w:t>
      </w:r>
      <w:r>
        <w:rPr>
          <w:rFonts w:hint="eastAsia"/>
          <w:kern w:val="0"/>
          <w:sz w:val="28"/>
          <w:szCs w:val="28"/>
        </w:rPr>
        <w:t>”</w:t>
      </w:r>
      <w:r>
        <w:rPr>
          <w:kern w:val="0"/>
          <w:sz w:val="28"/>
          <w:szCs w:val="28"/>
        </w:rPr>
        <w:t>、</w:t>
      </w:r>
      <w:r>
        <w:rPr>
          <w:rFonts w:hint="eastAsia"/>
          <w:kern w:val="0"/>
          <w:sz w:val="28"/>
          <w:szCs w:val="28"/>
        </w:rPr>
        <w:t>“</w:t>
      </w:r>
      <w:r>
        <w:rPr>
          <w:kern w:val="0"/>
          <w:sz w:val="28"/>
          <w:szCs w:val="28"/>
        </w:rPr>
        <w:t>稻鸭</w:t>
      </w:r>
      <w:r>
        <w:rPr>
          <w:rFonts w:hint="eastAsia"/>
          <w:kern w:val="0"/>
          <w:sz w:val="28"/>
          <w:szCs w:val="28"/>
        </w:rPr>
        <w:t>”</w:t>
      </w:r>
      <w:r>
        <w:rPr>
          <w:kern w:val="0"/>
          <w:sz w:val="28"/>
          <w:szCs w:val="28"/>
        </w:rPr>
        <w:t>等</w:t>
      </w:r>
      <w:r>
        <w:rPr>
          <w:rFonts w:hint="eastAsia"/>
          <w:kern w:val="0"/>
          <w:sz w:val="28"/>
          <w:szCs w:val="28"/>
        </w:rPr>
        <w:t>“</w:t>
      </w:r>
      <w:r>
        <w:rPr>
          <w:kern w:val="0"/>
          <w:sz w:val="28"/>
          <w:szCs w:val="28"/>
        </w:rPr>
        <w:t>稻+N</w:t>
      </w:r>
      <w:r>
        <w:rPr>
          <w:rFonts w:hint="eastAsia"/>
          <w:kern w:val="0"/>
          <w:sz w:val="28"/>
          <w:szCs w:val="28"/>
        </w:rPr>
        <w:t>”</w:t>
      </w:r>
      <w:r>
        <w:rPr>
          <w:kern w:val="0"/>
          <w:sz w:val="28"/>
          <w:szCs w:val="28"/>
        </w:rPr>
        <w:t>共养生态种养方式，促进废弃物的再生利用和生态系统的综合平衡；加强全域生态农产品品牌和地理标志公用品牌建设。推进</w:t>
      </w:r>
      <w:r>
        <w:rPr>
          <w:rFonts w:hint="eastAsia"/>
          <w:kern w:val="0"/>
          <w:sz w:val="28"/>
          <w:szCs w:val="28"/>
        </w:rPr>
        <w:t>“</w:t>
      </w:r>
      <w:r>
        <w:rPr>
          <w:kern w:val="0"/>
          <w:sz w:val="28"/>
          <w:szCs w:val="28"/>
        </w:rPr>
        <w:t>一控两减三基本</w:t>
      </w:r>
      <w:r>
        <w:rPr>
          <w:rFonts w:hint="eastAsia"/>
          <w:kern w:val="0"/>
          <w:sz w:val="28"/>
          <w:szCs w:val="28"/>
        </w:rPr>
        <w:t>”</w:t>
      </w:r>
      <w:r>
        <w:rPr>
          <w:kern w:val="0"/>
          <w:sz w:val="28"/>
          <w:szCs w:val="28"/>
        </w:rPr>
        <w:t>治理农业污染，实现投入品减量化、生产清洁化、废弃物资源化、生产模式生态化。从2021年起，分区域推进减少农药、化肥、除草剂等的使用工作，在销售源头上进行扼制，确保到2022年主要农作物化肥、农药有效利用率达到40%，化肥、农药用量实现</w:t>
      </w:r>
      <w:r>
        <w:rPr>
          <w:rFonts w:hint="eastAsia"/>
          <w:kern w:val="0"/>
          <w:sz w:val="28"/>
          <w:szCs w:val="28"/>
        </w:rPr>
        <w:t>“</w:t>
      </w:r>
      <w:r>
        <w:rPr>
          <w:kern w:val="0"/>
          <w:sz w:val="28"/>
          <w:szCs w:val="28"/>
        </w:rPr>
        <w:t>双下降20%</w:t>
      </w:r>
      <w:r>
        <w:rPr>
          <w:rFonts w:hint="eastAsia"/>
          <w:kern w:val="0"/>
          <w:sz w:val="28"/>
          <w:szCs w:val="28"/>
        </w:rPr>
        <w:t>”</w:t>
      </w:r>
      <w:r>
        <w:rPr>
          <w:kern w:val="0"/>
          <w:sz w:val="28"/>
          <w:szCs w:val="28"/>
        </w:rPr>
        <w:t>，全域生态有机品牌打造初见成效。</w:t>
      </w:r>
      <w:bookmarkStart w:id="198" w:name="_Toc519079765"/>
      <w:bookmarkStart w:id="199" w:name="_Toc521865097"/>
      <w:bookmarkStart w:id="200" w:name="_Toc521853581"/>
      <w:bookmarkStart w:id="201" w:name="_Toc521352304"/>
      <w:bookmarkStart w:id="202" w:name="_Toc522043042"/>
    </w:p>
    <w:p w14:paraId="044E9310">
      <w:pPr>
        <w:pStyle w:val="5"/>
        <w:spacing w:line="480" w:lineRule="exact"/>
        <w:jc w:val="center"/>
        <w:rPr>
          <w:rFonts w:eastAsia="方正黑体_GBK"/>
          <w:b w:val="0"/>
          <w:bCs w:val="0"/>
          <w:sz w:val="28"/>
          <w:szCs w:val="28"/>
        </w:rPr>
      </w:pPr>
      <w:bookmarkStart w:id="203" w:name="_Toc11378"/>
      <w:r>
        <w:rPr>
          <w:rFonts w:eastAsia="方正黑体_GBK"/>
          <w:b w:val="0"/>
          <w:bCs w:val="0"/>
          <w:sz w:val="28"/>
          <w:szCs w:val="28"/>
        </w:rPr>
        <w:t>第三节  集中治理农业环境突出问题</w:t>
      </w:r>
      <w:bookmarkEnd w:id="198"/>
      <w:bookmarkEnd w:id="199"/>
      <w:bookmarkEnd w:id="200"/>
      <w:bookmarkEnd w:id="201"/>
      <w:bookmarkEnd w:id="202"/>
      <w:bookmarkEnd w:id="203"/>
    </w:p>
    <w:p w14:paraId="32BCA6DB">
      <w:pPr>
        <w:spacing w:line="480" w:lineRule="exact"/>
        <w:ind w:firstLine="560" w:firstLineChars="200"/>
        <w:rPr>
          <w:kern w:val="0"/>
          <w:sz w:val="28"/>
          <w:szCs w:val="28"/>
        </w:rPr>
      </w:pPr>
      <w:r>
        <w:rPr>
          <w:kern w:val="0"/>
          <w:sz w:val="28"/>
          <w:szCs w:val="28"/>
        </w:rPr>
        <w:t>加强畜禽养殖污染治理，扎实推进规模化养殖场粪污防治配套设施建设，科学编制种养循环发展规划，搭建畜禽养殖</w:t>
      </w:r>
      <w:r>
        <w:rPr>
          <w:rFonts w:hint="eastAsia"/>
          <w:kern w:val="0"/>
          <w:sz w:val="28"/>
          <w:szCs w:val="28"/>
        </w:rPr>
        <w:t>“</w:t>
      </w:r>
      <w:r>
        <w:rPr>
          <w:kern w:val="0"/>
          <w:sz w:val="28"/>
          <w:szCs w:val="28"/>
        </w:rPr>
        <w:t>一场一档</w:t>
      </w:r>
      <w:r>
        <w:rPr>
          <w:rFonts w:hint="eastAsia"/>
          <w:kern w:val="0"/>
          <w:sz w:val="28"/>
          <w:szCs w:val="28"/>
        </w:rPr>
        <w:t>”</w:t>
      </w:r>
      <w:r>
        <w:rPr>
          <w:kern w:val="0"/>
          <w:sz w:val="28"/>
          <w:szCs w:val="28"/>
        </w:rPr>
        <w:t>信息化管理平台。开展农业环境突出问题综合治理，推动兽药（抗菌药）综合治理五年行动，采取源头控制、中端拦截、末端治理的方式进行综合防控，推进高毒高残留禁止销售试点和低毒低残留、生物农药推广补助计划，减少农业投入品流失对水体的污染。严禁工业和城镇污染向农业农村转移，加强农业面源污染防控点监测，启动实施耕地土壤污染治理与修复试点，推进农村面源污染治理。加强产地环境源头防控。</w:t>
      </w:r>
      <w:bookmarkStart w:id="204" w:name="_Toc521853582"/>
      <w:bookmarkStart w:id="205" w:name="_Toc522043043"/>
      <w:bookmarkStart w:id="206" w:name="_Toc521865098"/>
    </w:p>
    <w:p w14:paraId="01F2BB6D">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7856CE4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0BF0AAAF">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专栏11  农业绿色发展工程</w:t>
            </w:r>
          </w:p>
        </w:tc>
      </w:tr>
      <w:tr w14:paraId="6B4B4D0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4DC2968C">
            <w:pPr>
              <w:spacing w:line="480" w:lineRule="exact"/>
              <w:ind w:firstLine="548" w:firstLineChars="196"/>
              <w:rPr>
                <w:sz w:val="28"/>
                <w:szCs w:val="28"/>
              </w:rPr>
            </w:pPr>
            <w:r>
              <w:rPr>
                <w:rFonts w:eastAsia="方正楷体_GBK"/>
                <w:sz w:val="28"/>
                <w:szCs w:val="28"/>
              </w:rPr>
              <w:t>耕地质量改造和提升工程。</w:t>
            </w:r>
            <w:r>
              <w:rPr>
                <w:sz w:val="28"/>
                <w:szCs w:val="28"/>
              </w:rPr>
              <w:t>牢牢守住耕地红线，确保到2025年全县耕地保有量不少于30万亩。全面推进建设占用耕地耕作层剥离再利用，加强生产建设项目土地复垦，统筹推进耕地休养生息，加强耕地质量调查评价与监测，到2025年耕地基础地力平均提升1个等级以上。</w:t>
            </w:r>
          </w:p>
          <w:p w14:paraId="4D4A445B">
            <w:pPr>
              <w:spacing w:line="480" w:lineRule="exact"/>
              <w:ind w:firstLine="548" w:firstLineChars="196"/>
              <w:rPr>
                <w:sz w:val="28"/>
                <w:szCs w:val="28"/>
              </w:rPr>
            </w:pPr>
            <w:r>
              <w:rPr>
                <w:rFonts w:eastAsia="方正楷体_GBK"/>
                <w:sz w:val="28"/>
                <w:szCs w:val="28"/>
              </w:rPr>
              <w:t>农业节水工程。</w:t>
            </w:r>
            <w:r>
              <w:rPr>
                <w:sz w:val="28"/>
                <w:szCs w:val="28"/>
              </w:rPr>
              <w:t>加强灌区监测与管理信息系统建设，发展高效节水灌溉面积300亩。</w:t>
            </w:r>
          </w:p>
          <w:p w14:paraId="53D961CA">
            <w:pPr>
              <w:spacing w:line="480" w:lineRule="exact"/>
              <w:ind w:firstLine="548" w:firstLineChars="196"/>
              <w:rPr>
                <w:rFonts w:eastAsia="方正楷体_GBK"/>
                <w:sz w:val="28"/>
                <w:szCs w:val="28"/>
              </w:rPr>
            </w:pPr>
            <w:r>
              <w:rPr>
                <w:rFonts w:eastAsia="方正楷体_GBK"/>
                <w:sz w:val="28"/>
                <w:szCs w:val="28"/>
              </w:rPr>
              <w:t>动植物种质资源保护利用工程。</w:t>
            </w:r>
            <w:r>
              <w:rPr>
                <w:spacing w:val="6"/>
                <w:sz w:val="28"/>
                <w:szCs w:val="28"/>
              </w:rPr>
              <w:t>开展全县野生植物种</w:t>
            </w:r>
            <w:r>
              <w:rPr>
                <w:sz w:val="28"/>
                <w:szCs w:val="28"/>
              </w:rPr>
              <w:t>质资源调查与收集，到2022年收集各类种质资源350份。建立城口县大巴山种质资源数据库、中期库和种质资源圃，绘制城口县农业野生植物资源分布图，建立种质资源保护与可持续利用长效机制。</w:t>
            </w:r>
          </w:p>
          <w:p w14:paraId="2C3B8B7B">
            <w:pPr>
              <w:spacing w:line="480" w:lineRule="exact"/>
              <w:ind w:firstLine="548" w:firstLineChars="196"/>
              <w:rPr>
                <w:sz w:val="28"/>
                <w:szCs w:val="28"/>
              </w:rPr>
            </w:pPr>
            <w:r>
              <w:rPr>
                <w:rFonts w:eastAsia="方正楷体_GBK"/>
                <w:sz w:val="28"/>
                <w:szCs w:val="28"/>
              </w:rPr>
              <w:t>农业循环经济示范工程。</w:t>
            </w:r>
            <w:r>
              <w:rPr>
                <w:sz w:val="28"/>
                <w:szCs w:val="28"/>
              </w:rPr>
              <w:t>测土配方施肥技术覆盖率达到91%，农作物病虫害统防统治覆盖率达到40%以上。</w:t>
            </w:r>
          </w:p>
          <w:p w14:paraId="1263D9FD">
            <w:pPr>
              <w:spacing w:line="480" w:lineRule="exact"/>
              <w:ind w:firstLine="548" w:firstLineChars="196"/>
              <w:rPr>
                <w:rFonts w:eastAsia="方正楷体_GBK"/>
                <w:sz w:val="28"/>
                <w:szCs w:val="28"/>
              </w:rPr>
            </w:pPr>
            <w:r>
              <w:rPr>
                <w:rFonts w:hint="eastAsia" w:eastAsia="方正楷体_GBK" w:cs="方正楷体_GBK"/>
                <w:sz w:val="28"/>
                <w:szCs w:val="28"/>
              </w:rPr>
              <w:t>农业环境突出问题治理工程</w:t>
            </w:r>
            <w:r>
              <w:rPr>
                <w:sz w:val="28"/>
                <w:szCs w:val="28"/>
              </w:rPr>
              <w:t>。每年完成0.4万头生猪当量畜禽养殖污染治理配套设施整改，持续推进受污染耕地治理与修复。</w:t>
            </w:r>
          </w:p>
        </w:tc>
      </w:tr>
    </w:tbl>
    <w:p w14:paraId="73CD3B0B">
      <w:pPr>
        <w:spacing w:line="480" w:lineRule="exact"/>
      </w:pPr>
    </w:p>
    <w:p w14:paraId="79ACEB91">
      <w:pPr>
        <w:pStyle w:val="4"/>
        <w:spacing w:line="480" w:lineRule="exact"/>
        <w:ind w:firstLine="0"/>
        <w:rPr>
          <w:bCs w:val="0"/>
          <w:sz w:val="36"/>
          <w:szCs w:val="36"/>
        </w:rPr>
      </w:pPr>
      <w:bookmarkStart w:id="207" w:name="_Toc25157"/>
      <w:r>
        <w:rPr>
          <w:bCs w:val="0"/>
          <w:sz w:val="36"/>
          <w:szCs w:val="36"/>
        </w:rPr>
        <w:t>第二十三章  推动生态资源价值</w:t>
      </w:r>
      <w:bookmarkEnd w:id="204"/>
      <w:bookmarkEnd w:id="205"/>
      <w:bookmarkEnd w:id="206"/>
      <w:r>
        <w:rPr>
          <w:bCs w:val="0"/>
          <w:sz w:val="36"/>
          <w:szCs w:val="36"/>
        </w:rPr>
        <w:t>实现</w:t>
      </w:r>
      <w:bookmarkEnd w:id="207"/>
    </w:p>
    <w:p w14:paraId="386446EF">
      <w:pPr>
        <w:adjustRightInd w:val="0"/>
        <w:spacing w:line="480" w:lineRule="exact"/>
        <w:ind w:firstLine="560" w:firstLineChars="200"/>
        <w:rPr>
          <w:rFonts w:eastAsia="宋体"/>
          <w:kern w:val="0"/>
          <w:sz w:val="28"/>
          <w:szCs w:val="28"/>
        </w:rPr>
      </w:pPr>
    </w:p>
    <w:p w14:paraId="68CD7B7E">
      <w:pPr>
        <w:spacing w:line="480" w:lineRule="exact"/>
        <w:ind w:firstLine="560" w:firstLineChars="200"/>
        <w:rPr>
          <w:kern w:val="0"/>
          <w:sz w:val="28"/>
          <w:szCs w:val="28"/>
        </w:rPr>
      </w:pPr>
      <w:r>
        <w:rPr>
          <w:kern w:val="0"/>
          <w:sz w:val="28"/>
          <w:szCs w:val="28"/>
        </w:rPr>
        <w:t>认真贯彻落实市委全面深化改革委员会赋予城口的改革试点任务，全面推进城口</w:t>
      </w:r>
      <w:r>
        <w:rPr>
          <w:rFonts w:hint="eastAsia"/>
          <w:kern w:val="0"/>
          <w:sz w:val="28"/>
          <w:szCs w:val="28"/>
        </w:rPr>
        <w:t>“</w:t>
      </w:r>
      <w:r>
        <w:rPr>
          <w:kern w:val="0"/>
          <w:sz w:val="28"/>
          <w:szCs w:val="28"/>
        </w:rPr>
        <w:t>两山</w:t>
      </w:r>
      <w:r>
        <w:rPr>
          <w:rFonts w:hint="eastAsia"/>
          <w:kern w:val="0"/>
          <w:sz w:val="28"/>
          <w:szCs w:val="28"/>
        </w:rPr>
        <w:t>”</w:t>
      </w:r>
      <w:r>
        <w:rPr>
          <w:kern w:val="0"/>
          <w:sz w:val="28"/>
          <w:szCs w:val="28"/>
        </w:rPr>
        <w:t>、</w:t>
      </w:r>
      <w:r>
        <w:rPr>
          <w:rFonts w:hint="eastAsia"/>
          <w:kern w:val="0"/>
          <w:sz w:val="28"/>
          <w:szCs w:val="28"/>
        </w:rPr>
        <w:t>“</w:t>
      </w:r>
      <w:r>
        <w:rPr>
          <w:kern w:val="0"/>
          <w:sz w:val="28"/>
          <w:szCs w:val="28"/>
        </w:rPr>
        <w:t>两化</w:t>
      </w:r>
      <w:r>
        <w:rPr>
          <w:rFonts w:hint="eastAsia"/>
          <w:kern w:val="0"/>
          <w:sz w:val="28"/>
          <w:szCs w:val="28"/>
        </w:rPr>
        <w:t>”</w:t>
      </w:r>
      <w:r>
        <w:rPr>
          <w:kern w:val="0"/>
          <w:sz w:val="28"/>
          <w:szCs w:val="28"/>
        </w:rPr>
        <w:t>先行示范区建设。进一步健全生态保护补偿机制，盘活自然资源资产，提高自然资源的科学利用水平，推动城乡自然资本加快增值，提高生态保护与修复综合效益。</w:t>
      </w:r>
      <w:bookmarkStart w:id="208" w:name="_Toc521352306"/>
      <w:bookmarkStart w:id="209" w:name="_Toc519079767"/>
      <w:bookmarkStart w:id="210" w:name="_Toc521853583"/>
      <w:bookmarkStart w:id="211" w:name="_Toc521865099"/>
      <w:bookmarkStart w:id="212" w:name="_Toc522043044"/>
    </w:p>
    <w:p w14:paraId="0E1F8232">
      <w:pPr>
        <w:pStyle w:val="5"/>
        <w:spacing w:line="480" w:lineRule="exact"/>
        <w:jc w:val="center"/>
        <w:rPr>
          <w:rFonts w:eastAsia="方正黑体_GBK"/>
          <w:b w:val="0"/>
          <w:bCs w:val="0"/>
          <w:sz w:val="28"/>
          <w:szCs w:val="28"/>
        </w:rPr>
      </w:pPr>
      <w:bookmarkStart w:id="213" w:name="_Toc11878"/>
      <w:r>
        <w:rPr>
          <w:rFonts w:eastAsia="方正黑体_GBK"/>
          <w:b w:val="0"/>
          <w:bCs w:val="0"/>
          <w:sz w:val="28"/>
          <w:szCs w:val="28"/>
        </w:rPr>
        <w:t>第一节  健全生态保护补偿机制</w:t>
      </w:r>
      <w:bookmarkEnd w:id="208"/>
      <w:bookmarkEnd w:id="209"/>
      <w:bookmarkEnd w:id="210"/>
      <w:bookmarkEnd w:id="211"/>
      <w:bookmarkEnd w:id="212"/>
      <w:bookmarkEnd w:id="213"/>
    </w:p>
    <w:p w14:paraId="578A6C19">
      <w:pPr>
        <w:spacing w:line="480" w:lineRule="exact"/>
        <w:ind w:firstLine="560" w:firstLineChars="200"/>
        <w:rPr>
          <w:kern w:val="0"/>
          <w:sz w:val="28"/>
          <w:szCs w:val="28"/>
        </w:rPr>
      </w:pPr>
      <w:r>
        <w:rPr>
          <w:kern w:val="0"/>
          <w:sz w:val="28"/>
          <w:szCs w:val="28"/>
        </w:rPr>
        <w:t>积极开展生态补偿示范区建设，探索流域横向生态补偿机制，推动城乡之间资源流与资金流的协调融合。建立健全生态保护成效与资金分配挂钩的激励约束机制。积极鼓励各类资本参与污染治理，加大政府购买环保服务力度，建立健全用能权、用水权、排污权、碳排放权初始分配制度和交易配套制度。按照</w:t>
      </w:r>
      <w:r>
        <w:rPr>
          <w:rFonts w:hint="eastAsia"/>
          <w:kern w:val="0"/>
          <w:sz w:val="28"/>
          <w:szCs w:val="28"/>
        </w:rPr>
        <w:t>“</w:t>
      </w:r>
      <w:r>
        <w:rPr>
          <w:kern w:val="0"/>
          <w:sz w:val="28"/>
          <w:szCs w:val="28"/>
        </w:rPr>
        <w:t>谁收益、谁补偿，谁保护、谁受偿</w:t>
      </w:r>
      <w:r>
        <w:rPr>
          <w:rFonts w:hint="eastAsia"/>
          <w:kern w:val="0"/>
          <w:sz w:val="28"/>
          <w:szCs w:val="28"/>
        </w:rPr>
        <w:t>”</w:t>
      </w:r>
      <w:r>
        <w:rPr>
          <w:kern w:val="0"/>
          <w:sz w:val="28"/>
          <w:szCs w:val="28"/>
        </w:rPr>
        <w:t>的原则，进一步完善森林资源有偿使用制度，提高森林生态补偿标准。</w:t>
      </w:r>
      <w:r>
        <w:rPr>
          <w:sz w:val="28"/>
          <w:szCs w:val="28"/>
        </w:rPr>
        <w:t>深化生态区位重要、脆弱敏感地区非国有林赎买机制。</w:t>
      </w:r>
      <w:r>
        <w:rPr>
          <w:kern w:val="0"/>
          <w:sz w:val="28"/>
          <w:szCs w:val="28"/>
        </w:rPr>
        <w:t>探索推进湿地保护补偿机制。拓展</w:t>
      </w:r>
      <w:r>
        <w:rPr>
          <w:rFonts w:hint="eastAsia"/>
          <w:kern w:val="0"/>
          <w:sz w:val="28"/>
          <w:szCs w:val="28"/>
        </w:rPr>
        <w:t>“</w:t>
      </w:r>
      <w:r>
        <w:rPr>
          <w:kern w:val="0"/>
          <w:sz w:val="28"/>
          <w:szCs w:val="28"/>
        </w:rPr>
        <w:t>地票</w:t>
      </w:r>
      <w:r>
        <w:rPr>
          <w:rFonts w:hint="eastAsia"/>
          <w:kern w:val="0"/>
          <w:sz w:val="28"/>
          <w:szCs w:val="28"/>
        </w:rPr>
        <w:t>”</w:t>
      </w:r>
      <w:r>
        <w:rPr>
          <w:kern w:val="0"/>
          <w:sz w:val="28"/>
          <w:szCs w:val="28"/>
        </w:rPr>
        <w:t>生态功能，对位于地质灾害点、生态保护红线区、林区、已退耕还林区域、25°以上坡耕地、饮用水源保护地等不宜复垦为耕地的，主要引导复垦为林地等兼具生态功能的其他农用地。</w:t>
      </w:r>
      <w:bookmarkStart w:id="214" w:name="_Toc522043045"/>
      <w:bookmarkStart w:id="215" w:name="_Toc521853584"/>
      <w:bookmarkStart w:id="216" w:name="_Toc519079768"/>
      <w:bookmarkStart w:id="217" w:name="_Toc521352307"/>
      <w:bookmarkStart w:id="218" w:name="_Toc521865100"/>
    </w:p>
    <w:p w14:paraId="124851E5">
      <w:pPr>
        <w:pStyle w:val="5"/>
        <w:spacing w:line="480" w:lineRule="exact"/>
        <w:jc w:val="center"/>
        <w:rPr>
          <w:rFonts w:eastAsia="方正黑体_GBK"/>
          <w:b w:val="0"/>
          <w:bCs w:val="0"/>
          <w:sz w:val="28"/>
          <w:szCs w:val="28"/>
        </w:rPr>
      </w:pPr>
      <w:bookmarkStart w:id="219" w:name="_Toc14186"/>
      <w:r>
        <w:rPr>
          <w:rFonts w:eastAsia="方正黑体_GBK"/>
          <w:b w:val="0"/>
          <w:bCs w:val="0"/>
          <w:sz w:val="28"/>
          <w:szCs w:val="28"/>
        </w:rPr>
        <w:t xml:space="preserve">第二节  </w:t>
      </w:r>
      <w:bookmarkEnd w:id="214"/>
      <w:bookmarkEnd w:id="215"/>
      <w:bookmarkEnd w:id="216"/>
      <w:bookmarkEnd w:id="217"/>
      <w:bookmarkEnd w:id="218"/>
      <w:r>
        <w:rPr>
          <w:rFonts w:eastAsia="方正黑体_GBK"/>
          <w:b w:val="0"/>
          <w:bCs w:val="0"/>
          <w:sz w:val="28"/>
          <w:szCs w:val="28"/>
        </w:rPr>
        <w:t>积极推进生态产业化</w:t>
      </w:r>
      <w:bookmarkEnd w:id="219"/>
    </w:p>
    <w:p w14:paraId="01C6F719">
      <w:pPr>
        <w:adjustRightInd w:val="0"/>
        <w:spacing w:line="480" w:lineRule="exact"/>
        <w:ind w:firstLine="560" w:firstLineChars="200"/>
        <w:rPr>
          <w:rFonts w:eastAsia="宋体"/>
          <w:kern w:val="0"/>
          <w:sz w:val="28"/>
          <w:szCs w:val="28"/>
        </w:rPr>
      </w:pPr>
      <w:r>
        <w:rPr>
          <w:kern w:val="0"/>
          <w:sz w:val="28"/>
          <w:szCs w:val="28"/>
        </w:rPr>
        <w:t>着力推动生态产品产业化，将乡村良好生态优势转化为生态经济发展优势，提供更多更好的绿色生态产品和服务，促进生态和经济良性循环。加快发展森林康养旅游、河湖生态观光、避暑度假疗养、农耕文化体验、游学自然教育等产业，大力推广</w:t>
      </w:r>
      <w:r>
        <w:rPr>
          <w:rFonts w:hint="eastAsia"/>
          <w:kern w:val="0"/>
          <w:sz w:val="28"/>
          <w:szCs w:val="28"/>
        </w:rPr>
        <w:t>“</w:t>
      </w:r>
      <w:r>
        <w:rPr>
          <w:kern w:val="0"/>
          <w:sz w:val="28"/>
          <w:szCs w:val="28"/>
        </w:rPr>
        <w:t>生态+</w:t>
      </w:r>
      <w:r>
        <w:rPr>
          <w:rFonts w:hint="eastAsia"/>
          <w:kern w:val="0"/>
          <w:sz w:val="28"/>
          <w:szCs w:val="28"/>
        </w:rPr>
        <w:t>”“</w:t>
      </w:r>
      <w:r>
        <w:rPr>
          <w:kern w:val="0"/>
          <w:sz w:val="28"/>
          <w:szCs w:val="28"/>
        </w:rPr>
        <w:t>+生态</w:t>
      </w:r>
      <w:r>
        <w:rPr>
          <w:rFonts w:hint="eastAsia"/>
          <w:kern w:val="0"/>
          <w:sz w:val="28"/>
          <w:szCs w:val="28"/>
        </w:rPr>
        <w:t>”</w:t>
      </w:r>
      <w:r>
        <w:rPr>
          <w:kern w:val="0"/>
          <w:sz w:val="28"/>
          <w:szCs w:val="28"/>
        </w:rPr>
        <w:t>业态，打造一批特色乡村生态旅游康养示范村镇和精品路线。积极发展市场需求旺盛、经济价值较高的特色林果、野生动植物繁育利用、林下经济、花卉等生态产业，加快推广生态种养模式和标准化生产技术。积极推行绿色产品标准、认证、标识体系，加大对绿色产品的研发生产、运输配送、购买使用等环节的支持力度。</w:t>
      </w:r>
      <w:bookmarkStart w:id="220" w:name="_Toc519079769"/>
      <w:bookmarkStart w:id="221" w:name="_Toc521865101"/>
      <w:bookmarkStart w:id="222" w:name="_Toc522043046"/>
      <w:bookmarkStart w:id="223" w:name="_Toc521352308"/>
      <w:bookmarkStart w:id="224" w:name="_Toc521853585"/>
    </w:p>
    <w:p w14:paraId="5E2A7D03">
      <w:pPr>
        <w:pStyle w:val="5"/>
        <w:spacing w:line="480" w:lineRule="exact"/>
        <w:jc w:val="center"/>
        <w:rPr>
          <w:rFonts w:eastAsia="方正黑体_GBK"/>
          <w:b w:val="0"/>
          <w:bCs w:val="0"/>
          <w:sz w:val="28"/>
          <w:szCs w:val="28"/>
        </w:rPr>
      </w:pPr>
      <w:bookmarkStart w:id="225" w:name="_Toc29077"/>
      <w:r>
        <w:rPr>
          <w:rFonts w:eastAsia="方正黑体_GBK"/>
          <w:b w:val="0"/>
          <w:bCs w:val="0"/>
          <w:sz w:val="28"/>
          <w:szCs w:val="28"/>
        </w:rPr>
        <w:t>第三节  发挥自然资源多重效益</w:t>
      </w:r>
      <w:bookmarkEnd w:id="220"/>
      <w:bookmarkEnd w:id="221"/>
      <w:bookmarkEnd w:id="222"/>
      <w:bookmarkEnd w:id="223"/>
      <w:bookmarkEnd w:id="224"/>
      <w:bookmarkEnd w:id="225"/>
    </w:p>
    <w:p w14:paraId="219C3AEF">
      <w:pPr>
        <w:spacing w:line="480" w:lineRule="exact"/>
        <w:ind w:firstLine="560" w:firstLineChars="200"/>
        <w:rPr>
          <w:kern w:val="0"/>
          <w:sz w:val="28"/>
          <w:szCs w:val="28"/>
        </w:rPr>
      </w:pPr>
      <w:r>
        <w:rPr>
          <w:kern w:val="0"/>
          <w:sz w:val="28"/>
          <w:szCs w:val="28"/>
        </w:rPr>
        <w:t>建立自然资源资产产权制度，对水流、森林、山岭、草原、荒地、滩涂以及探明储量的矿产资源等自然资源的所有权统一进行确权登记，建立权责明确的自然资源产权体系，编制生态资源资产负债表，建立生态资源离任审计制度，逐步将GEP（生态系统生产总值）纳入日常行政管理和考核体系。进一步盘活森林、湿地等生态资源，允许集体经济组织灵活利用现有生产服务设施用地开展相关经营活动，对集中建设生态保护与修复工程达到一定规模的经营主体，允许占用1%—3%治理面积依法从事旅游、康养、设施农业等相关产业开发。积极推动绿色金融改革创新，开展生态资产证券化试点，推进绿色资源交易和融资，实现绿色资源资本化。构建自然资源产品进入市场交易的渠道，增加农民财产性收入。鼓励各类社会资本通过租赁、转让等方式取得林地经营权，建立林权收储担保补助政策，支持开展林权收储担保业务。鼓励金融机构将企业参与生态保护修复情况纳入信用评级体系。</w:t>
      </w:r>
    </w:p>
    <w:p w14:paraId="6773601A">
      <w:pPr>
        <w:rPr>
          <w:rFonts w:eastAsia="方正黑体_GBK"/>
        </w:rPr>
      </w:pPr>
      <w:bookmarkStart w:id="226" w:name="_Toc11041"/>
      <w:r>
        <w:rPr>
          <w:rFonts w:eastAsia="方正黑体_GBK"/>
        </w:rPr>
        <w:br w:type="page"/>
      </w:r>
    </w:p>
    <w:p w14:paraId="137E810E">
      <w:pPr>
        <w:pStyle w:val="3"/>
        <w:spacing w:line="480" w:lineRule="exact"/>
        <w:jc w:val="center"/>
        <w:rPr>
          <w:rFonts w:ascii="Times New Roman" w:hAnsi="Times New Roman" w:eastAsia="方正黑体_GBK"/>
          <w:b w:val="0"/>
          <w:bCs w:val="0"/>
          <w:kern w:val="2"/>
        </w:rPr>
      </w:pPr>
      <w:r>
        <w:rPr>
          <w:rFonts w:ascii="Times New Roman" w:hAnsi="Times New Roman" w:eastAsia="方正黑体_GBK"/>
          <w:b w:val="0"/>
          <w:bCs w:val="0"/>
          <w:kern w:val="2"/>
        </w:rPr>
        <w:t>第八篇 构建高效乡村治理体系</w:t>
      </w:r>
      <w:bookmarkEnd w:id="226"/>
    </w:p>
    <w:p w14:paraId="63A0FE9B">
      <w:pPr>
        <w:spacing w:line="480" w:lineRule="exact"/>
        <w:ind w:firstLine="560" w:firstLineChars="200"/>
        <w:rPr>
          <w:rFonts w:eastAsia="宋体"/>
          <w:kern w:val="0"/>
          <w:sz w:val="28"/>
          <w:szCs w:val="28"/>
        </w:rPr>
      </w:pPr>
    </w:p>
    <w:p w14:paraId="39D10F96">
      <w:pPr>
        <w:spacing w:line="480" w:lineRule="exact"/>
        <w:ind w:firstLine="560" w:firstLineChars="200"/>
        <w:rPr>
          <w:kern w:val="0"/>
          <w:sz w:val="28"/>
          <w:szCs w:val="28"/>
        </w:rPr>
      </w:pPr>
      <w:r>
        <w:rPr>
          <w:kern w:val="0"/>
          <w:sz w:val="28"/>
          <w:szCs w:val="28"/>
        </w:rPr>
        <w:t>健全党委领导、政府负责、社会协同、公众参与、法治保障的现代乡村社会治理体制。坚持农村基层党组织领导下的村民自治组织、集体经济组织和多样社会组织</w:t>
      </w:r>
      <w:r>
        <w:rPr>
          <w:rFonts w:hint="eastAsia"/>
          <w:kern w:val="0"/>
          <w:sz w:val="28"/>
          <w:szCs w:val="28"/>
        </w:rPr>
        <w:t>“</w:t>
      </w:r>
      <w:r>
        <w:rPr>
          <w:kern w:val="0"/>
          <w:sz w:val="28"/>
          <w:szCs w:val="28"/>
        </w:rPr>
        <w:t>三位一体</w:t>
      </w:r>
      <w:r>
        <w:rPr>
          <w:rFonts w:hint="eastAsia"/>
          <w:kern w:val="0"/>
          <w:sz w:val="28"/>
          <w:szCs w:val="28"/>
        </w:rPr>
        <w:t>”</w:t>
      </w:r>
      <w:r>
        <w:rPr>
          <w:kern w:val="0"/>
          <w:sz w:val="28"/>
          <w:szCs w:val="28"/>
        </w:rPr>
        <w:t>协调发展。以农民组织化为基本切入点，重点培育和壮大集体经济组织，发育多种多样的社会组织，按照自治、法治和德治合一的要求，以党组织为引领，降低治理成本，改善治理绩效，实现乡村良治。</w:t>
      </w:r>
    </w:p>
    <w:p w14:paraId="2783FD6C">
      <w:pPr>
        <w:spacing w:line="480" w:lineRule="exact"/>
        <w:ind w:firstLine="560" w:firstLineChars="200"/>
        <w:rPr>
          <w:rFonts w:eastAsia="宋体"/>
          <w:kern w:val="0"/>
          <w:sz w:val="28"/>
          <w:szCs w:val="28"/>
        </w:rPr>
      </w:pPr>
    </w:p>
    <w:p w14:paraId="34DE9A40">
      <w:pPr>
        <w:pStyle w:val="4"/>
        <w:spacing w:line="480" w:lineRule="exact"/>
        <w:ind w:firstLine="0"/>
        <w:rPr>
          <w:bCs w:val="0"/>
          <w:sz w:val="36"/>
          <w:szCs w:val="36"/>
        </w:rPr>
      </w:pPr>
      <w:bookmarkStart w:id="227" w:name="_Toc20293"/>
      <w:r>
        <w:rPr>
          <w:bCs w:val="0"/>
          <w:sz w:val="36"/>
          <w:szCs w:val="36"/>
        </w:rPr>
        <w:t>第二十四章  加强农村基层党组织建设</w:t>
      </w:r>
      <w:bookmarkEnd w:id="227"/>
    </w:p>
    <w:p w14:paraId="36A32BF0">
      <w:pPr>
        <w:spacing w:line="480" w:lineRule="exact"/>
      </w:pPr>
    </w:p>
    <w:p w14:paraId="54661876">
      <w:pPr>
        <w:spacing w:line="480" w:lineRule="exact"/>
        <w:ind w:firstLine="560" w:firstLineChars="200"/>
        <w:rPr>
          <w:kern w:val="0"/>
          <w:sz w:val="28"/>
          <w:szCs w:val="28"/>
        </w:rPr>
      </w:pPr>
      <w:r>
        <w:rPr>
          <w:kern w:val="0"/>
          <w:sz w:val="28"/>
          <w:szCs w:val="28"/>
        </w:rPr>
        <w:t>坚持政治引领，发挥农村基层党组织战斗堡垒作用，提高组织动员能力，加强农村基层党组织建设，为乡村振兴提供坚强的政治保证和组织保证。</w:t>
      </w:r>
    </w:p>
    <w:p w14:paraId="76AFA0C2">
      <w:pPr>
        <w:pStyle w:val="5"/>
        <w:spacing w:line="480" w:lineRule="exact"/>
        <w:jc w:val="center"/>
        <w:rPr>
          <w:rFonts w:eastAsia="方正黑体_GBK"/>
          <w:b w:val="0"/>
          <w:bCs w:val="0"/>
          <w:sz w:val="28"/>
          <w:szCs w:val="28"/>
        </w:rPr>
      </w:pPr>
      <w:bookmarkStart w:id="228" w:name="_Toc5552"/>
      <w:r>
        <w:rPr>
          <w:rFonts w:eastAsia="方正黑体_GBK"/>
          <w:b w:val="0"/>
          <w:bCs w:val="0"/>
          <w:sz w:val="28"/>
          <w:szCs w:val="28"/>
        </w:rPr>
        <w:t>第一节  强化农村基层党组织领导核心作用</w:t>
      </w:r>
      <w:bookmarkEnd w:id="228"/>
    </w:p>
    <w:p w14:paraId="5FA3DA6F">
      <w:pPr>
        <w:spacing w:line="480" w:lineRule="exact"/>
        <w:ind w:firstLine="560" w:firstLineChars="200"/>
        <w:rPr>
          <w:kern w:val="0"/>
          <w:sz w:val="28"/>
          <w:szCs w:val="28"/>
        </w:rPr>
      </w:pPr>
      <w:r>
        <w:rPr>
          <w:kern w:val="0"/>
          <w:sz w:val="28"/>
          <w:szCs w:val="28"/>
        </w:rPr>
        <w:t>深入贯彻落实《中国共产党农村基层组织工作条例》，扎实推进抓党建促乡村振兴，强化乡镇党委对本地实施乡村振兴战略的统一领导。优化乡镇党政机构设置和事业站所结构布局，设立党建工作办公室，保证党务力量。加强村级党组织建设，打造坚强有力的农村基层党组织。滚动整顿后进村党组织，实行</w:t>
      </w:r>
      <w:r>
        <w:rPr>
          <w:rFonts w:hint="eastAsia"/>
          <w:kern w:val="0"/>
          <w:sz w:val="28"/>
          <w:szCs w:val="28"/>
        </w:rPr>
        <w:t>“</w:t>
      </w:r>
      <w:r>
        <w:rPr>
          <w:kern w:val="0"/>
          <w:sz w:val="28"/>
          <w:szCs w:val="28"/>
        </w:rPr>
        <w:t>一支一策</w:t>
      </w:r>
      <w:r>
        <w:rPr>
          <w:rFonts w:hint="eastAsia"/>
          <w:kern w:val="0"/>
          <w:sz w:val="28"/>
          <w:szCs w:val="28"/>
        </w:rPr>
        <w:t>”</w:t>
      </w:r>
      <w:r>
        <w:rPr>
          <w:kern w:val="0"/>
          <w:sz w:val="28"/>
          <w:szCs w:val="28"/>
        </w:rPr>
        <w:t>，挂单整改。坚持政治标准，突出</w:t>
      </w:r>
      <w:r>
        <w:rPr>
          <w:rFonts w:hint="eastAsia"/>
          <w:kern w:val="0"/>
          <w:sz w:val="28"/>
          <w:szCs w:val="28"/>
        </w:rPr>
        <w:t>“</w:t>
      </w:r>
      <w:r>
        <w:rPr>
          <w:kern w:val="0"/>
          <w:sz w:val="28"/>
          <w:szCs w:val="28"/>
        </w:rPr>
        <w:t>双好双强</w:t>
      </w:r>
      <w:r>
        <w:rPr>
          <w:rFonts w:hint="eastAsia"/>
          <w:kern w:val="0"/>
          <w:sz w:val="28"/>
          <w:szCs w:val="28"/>
        </w:rPr>
        <w:t>”</w:t>
      </w:r>
      <w:r>
        <w:rPr>
          <w:kern w:val="0"/>
          <w:sz w:val="28"/>
          <w:szCs w:val="28"/>
        </w:rPr>
        <w:t>，选优配强村党组织书记。实施农村带头人队伍整体优化提升行动，加大从本村致富能手、外出务工经商返乡人员、本乡本土大学毕业生、退役军人、外来优秀人才中的党员中培养选拔村党组织书记力度，严格村党组织书记县级备案管理，全力打造思想政治素质好、道德品行好、带富能力强、协调能力强、遵纪守法、敢闯敢拼的带头人队伍。建立落实选派第一书记长效机制，持续向贫困村、软弱涣散村、集体经济薄弱村和乡村振兴示范村派驻第一书记，采取适当方式选派乡村振兴指导员。加强党组织对农村各种组织统一领导，建立村级各类组织向党组织报告工作制度，村党组织定期听取相关工作汇报，切实把各类组织和各项工作领起来、统起来。加大在农民合作社、农村企业、农村社会化服务组织、农民工聚居地中建立党组织力度，及时调整优化合并村组、村改社区、跨村经济联合体党组织设置。</w:t>
      </w:r>
    </w:p>
    <w:p w14:paraId="36634354">
      <w:pPr>
        <w:pStyle w:val="5"/>
        <w:spacing w:line="480" w:lineRule="exact"/>
        <w:jc w:val="center"/>
        <w:rPr>
          <w:rFonts w:eastAsia="方正黑体_GBK"/>
          <w:b w:val="0"/>
          <w:bCs w:val="0"/>
          <w:sz w:val="28"/>
          <w:szCs w:val="28"/>
        </w:rPr>
      </w:pPr>
      <w:bookmarkStart w:id="229" w:name="_Toc31316"/>
      <w:r>
        <w:rPr>
          <w:rFonts w:eastAsia="方正黑体_GBK"/>
          <w:b w:val="0"/>
          <w:bCs w:val="0"/>
          <w:sz w:val="28"/>
          <w:szCs w:val="28"/>
        </w:rPr>
        <w:t>第二节  加强农村基层党员队伍建设</w:t>
      </w:r>
      <w:bookmarkEnd w:id="229"/>
    </w:p>
    <w:p w14:paraId="4D32C015">
      <w:pPr>
        <w:spacing w:line="480" w:lineRule="exact"/>
        <w:ind w:firstLine="560" w:firstLineChars="200"/>
        <w:rPr>
          <w:rFonts w:eastAsia="宋体"/>
          <w:kern w:val="0"/>
          <w:sz w:val="28"/>
          <w:szCs w:val="28"/>
        </w:rPr>
      </w:pPr>
      <w:r>
        <w:rPr>
          <w:kern w:val="0"/>
          <w:sz w:val="28"/>
          <w:szCs w:val="28"/>
        </w:rPr>
        <w:t>滚动实施农村发展党员三年规划，大力发展农村优秀青年入党，每村每三年至少发展1名党员，不断优化党员年龄文化结构。组织开展形式多样的党员教育活动，加强党的基本理论、基本路线、基本方略和党的宗旨、党性、党纪、党史、党的基本知识教育，建设政治合格、执行纪律合格、品德合格、发挥作用合格的农村党员队伍。健全落实农村党员集中培训制度，突出党性教育和技能培训。健全党员岗位创先争优长效机制。通过开展党员挂牌、设立党员责任区、结对帮扶、党员承诺践诺和志愿服务等活动，强化党员意识，发挥先锋模范作用，树立先进典型，真正做到一个党员就是一面旗帜。加大农村干部学历教育和发现培养选拔优秀年轻干部力度，大力培养储备村级后备干部，确保每村保持1名以上在村挂职、储备至少2名后备力量。推动农村基层党员干部素质提升长效化，提高农村党员干部综合素质和致富带富能力。</w:t>
      </w:r>
    </w:p>
    <w:p w14:paraId="280D2103">
      <w:pPr>
        <w:pStyle w:val="5"/>
        <w:spacing w:line="480" w:lineRule="exact"/>
        <w:jc w:val="center"/>
        <w:rPr>
          <w:rFonts w:eastAsia="方正黑体_GBK"/>
          <w:b w:val="0"/>
          <w:bCs w:val="0"/>
          <w:sz w:val="28"/>
          <w:szCs w:val="28"/>
        </w:rPr>
      </w:pPr>
      <w:bookmarkStart w:id="230" w:name="_Toc29550"/>
      <w:r>
        <w:rPr>
          <w:rFonts w:eastAsia="方正黑体_GBK"/>
          <w:b w:val="0"/>
          <w:bCs w:val="0"/>
          <w:sz w:val="28"/>
          <w:szCs w:val="28"/>
        </w:rPr>
        <w:t>第三节  推进农村基层党组织制度和作风建设</w:t>
      </w:r>
      <w:bookmarkEnd w:id="230"/>
    </w:p>
    <w:p w14:paraId="7ED4EF2E">
      <w:pPr>
        <w:spacing w:line="480" w:lineRule="exact"/>
        <w:ind w:firstLine="560" w:firstLineChars="200"/>
        <w:rPr>
          <w:kern w:val="0"/>
          <w:sz w:val="28"/>
          <w:szCs w:val="28"/>
        </w:rPr>
      </w:pPr>
      <w:r>
        <w:rPr>
          <w:kern w:val="0"/>
          <w:sz w:val="28"/>
          <w:szCs w:val="28"/>
        </w:rPr>
        <w:t>落实好全面从严治党要求，严格党内政治生活，以</w:t>
      </w:r>
      <w:r>
        <w:rPr>
          <w:rFonts w:hint="eastAsia"/>
          <w:kern w:val="0"/>
          <w:sz w:val="28"/>
          <w:szCs w:val="28"/>
        </w:rPr>
        <w:t>“</w:t>
      </w:r>
      <w:r>
        <w:rPr>
          <w:kern w:val="0"/>
          <w:sz w:val="28"/>
          <w:szCs w:val="28"/>
        </w:rPr>
        <w:t>支部主题党日</w:t>
      </w:r>
      <w:r>
        <w:rPr>
          <w:rFonts w:hint="eastAsia"/>
          <w:kern w:val="0"/>
          <w:sz w:val="28"/>
          <w:szCs w:val="28"/>
        </w:rPr>
        <w:t>”</w:t>
      </w:r>
      <w:r>
        <w:rPr>
          <w:kern w:val="0"/>
          <w:sz w:val="28"/>
          <w:szCs w:val="28"/>
        </w:rPr>
        <w:t>为载体，抓严抓实</w:t>
      </w:r>
      <w:r>
        <w:rPr>
          <w:rFonts w:hint="eastAsia"/>
          <w:kern w:val="0"/>
          <w:sz w:val="28"/>
          <w:szCs w:val="28"/>
        </w:rPr>
        <w:t>“</w:t>
      </w:r>
      <w:r>
        <w:rPr>
          <w:kern w:val="0"/>
          <w:sz w:val="28"/>
          <w:szCs w:val="28"/>
        </w:rPr>
        <w:t>三会一课</w:t>
      </w:r>
      <w:r>
        <w:rPr>
          <w:rFonts w:hint="eastAsia"/>
          <w:kern w:val="0"/>
          <w:sz w:val="28"/>
          <w:szCs w:val="28"/>
        </w:rPr>
        <w:t>”</w:t>
      </w:r>
      <w:r>
        <w:rPr>
          <w:kern w:val="0"/>
          <w:sz w:val="28"/>
          <w:szCs w:val="28"/>
        </w:rPr>
        <w:t>、组织生活会、民主评议党员等基本制度，探索提升党的组织生活活力途径和办法。落实村干部</w:t>
      </w:r>
      <w:r>
        <w:rPr>
          <w:rFonts w:hint="eastAsia"/>
          <w:kern w:val="0"/>
          <w:sz w:val="28"/>
          <w:szCs w:val="28"/>
        </w:rPr>
        <w:t>“</w:t>
      </w:r>
      <w:r>
        <w:rPr>
          <w:kern w:val="0"/>
          <w:sz w:val="28"/>
          <w:szCs w:val="28"/>
        </w:rPr>
        <w:t>一人多岗、轮流值班</w:t>
      </w:r>
      <w:r>
        <w:rPr>
          <w:rFonts w:hint="eastAsia"/>
          <w:kern w:val="0"/>
          <w:sz w:val="28"/>
          <w:szCs w:val="28"/>
        </w:rPr>
        <w:t>”</w:t>
      </w:r>
      <w:r>
        <w:rPr>
          <w:kern w:val="0"/>
          <w:sz w:val="28"/>
          <w:szCs w:val="28"/>
        </w:rPr>
        <w:t>、上门服务、民事代办等制度，提高服务能力和服务水平。积极推进</w:t>
      </w:r>
      <w:r>
        <w:rPr>
          <w:rFonts w:hint="eastAsia"/>
          <w:kern w:val="0"/>
          <w:sz w:val="28"/>
          <w:szCs w:val="28"/>
        </w:rPr>
        <w:t>“</w:t>
      </w:r>
      <w:r>
        <w:rPr>
          <w:kern w:val="0"/>
          <w:sz w:val="28"/>
          <w:szCs w:val="28"/>
        </w:rPr>
        <w:t>四务公开</w:t>
      </w:r>
      <w:r>
        <w:rPr>
          <w:rFonts w:hint="eastAsia"/>
          <w:kern w:val="0"/>
          <w:sz w:val="28"/>
          <w:szCs w:val="28"/>
        </w:rPr>
        <w:t>”</w:t>
      </w:r>
      <w:r>
        <w:rPr>
          <w:kern w:val="0"/>
          <w:sz w:val="28"/>
          <w:szCs w:val="28"/>
        </w:rPr>
        <w:t>，做实</w:t>
      </w:r>
      <w:r>
        <w:rPr>
          <w:rFonts w:hint="eastAsia"/>
          <w:kern w:val="0"/>
          <w:sz w:val="28"/>
          <w:szCs w:val="28"/>
        </w:rPr>
        <w:t>“</w:t>
      </w:r>
      <w:r>
        <w:rPr>
          <w:kern w:val="0"/>
          <w:sz w:val="28"/>
          <w:szCs w:val="28"/>
        </w:rPr>
        <w:t>一月一公开、一公开一月</w:t>
      </w:r>
      <w:r>
        <w:rPr>
          <w:rFonts w:hint="eastAsia"/>
          <w:kern w:val="0"/>
          <w:sz w:val="28"/>
          <w:szCs w:val="28"/>
        </w:rPr>
        <w:t>”</w:t>
      </w:r>
      <w:r>
        <w:rPr>
          <w:kern w:val="0"/>
          <w:sz w:val="28"/>
          <w:szCs w:val="28"/>
        </w:rPr>
        <w:t>，以公开促落实、促监督、促改进。严格落实按</w:t>
      </w:r>
      <w:r>
        <w:rPr>
          <w:rFonts w:hint="eastAsia"/>
          <w:kern w:val="0"/>
          <w:sz w:val="28"/>
          <w:szCs w:val="28"/>
        </w:rPr>
        <w:t>“</w:t>
      </w:r>
      <w:r>
        <w:rPr>
          <w:kern w:val="0"/>
          <w:sz w:val="28"/>
          <w:szCs w:val="28"/>
        </w:rPr>
        <w:t>四议两公开</w:t>
      </w:r>
      <w:r>
        <w:rPr>
          <w:rFonts w:hint="eastAsia"/>
          <w:kern w:val="0"/>
          <w:sz w:val="28"/>
          <w:szCs w:val="28"/>
        </w:rPr>
        <w:t>”</w:t>
      </w:r>
      <w:r>
        <w:rPr>
          <w:kern w:val="0"/>
          <w:sz w:val="28"/>
          <w:szCs w:val="28"/>
        </w:rPr>
        <w:t>程序决策村级重大事项制度，促进村级事务健康有序运行。建立健全村干部经济责任审计、任期述职、责任追究等制度，规范村级事务运行机制。探索监察权向村延伸的有效途径，加强村干部履职情况监督检查，着力解决基层干部不作为、假作为、慢作为、乱作为等问题，严肃查处优亲厚友、吃拿卡要、</w:t>
      </w:r>
      <w:r>
        <w:rPr>
          <w:rFonts w:hint="eastAsia"/>
          <w:kern w:val="0"/>
          <w:sz w:val="28"/>
          <w:szCs w:val="28"/>
        </w:rPr>
        <w:t>“</w:t>
      </w:r>
      <w:r>
        <w:rPr>
          <w:kern w:val="0"/>
          <w:sz w:val="28"/>
          <w:szCs w:val="28"/>
        </w:rPr>
        <w:t>村霸</w:t>
      </w:r>
      <w:r>
        <w:rPr>
          <w:rFonts w:hint="eastAsia"/>
          <w:kern w:val="0"/>
          <w:sz w:val="28"/>
          <w:szCs w:val="28"/>
        </w:rPr>
        <w:t>”</w:t>
      </w:r>
      <w:r>
        <w:rPr>
          <w:kern w:val="0"/>
          <w:sz w:val="28"/>
          <w:szCs w:val="28"/>
        </w:rPr>
        <w:t>等不正之风和违纪违法问题，严厉整治惠农补贴、集体资产管理、土地征收等领域侵害农民利益的不正之风和腐败问题，不断强化基层党组织和基层党员干部整体素质和公信力。</w:t>
      </w:r>
      <w:bookmarkStart w:id="231" w:name="_Toc521352314"/>
      <w:bookmarkStart w:id="232" w:name="_Toc522043053"/>
      <w:bookmarkStart w:id="233" w:name="_Toc519079775"/>
      <w:bookmarkStart w:id="234" w:name="_Toc521853592"/>
      <w:bookmarkStart w:id="235" w:name="_Toc521865108"/>
    </w:p>
    <w:p w14:paraId="38D3C5EA">
      <w:pPr>
        <w:pStyle w:val="5"/>
        <w:spacing w:line="480" w:lineRule="exact"/>
        <w:jc w:val="center"/>
        <w:rPr>
          <w:rFonts w:eastAsia="黑体"/>
          <w:b w:val="0"/>
          <w:bCs w:val="0"/>
        </w:rPr>
      </w:pPr>
      <w:bookmarkStart w:id="236" w:name="_Toc26369"/>
      <w:r>
        <w:rPr>
          <w:rFonts w:eastAsia="黑体"/>
          <w:b w:val="0"/>
          <w:bCs w:val="0"/>
        </w:rPr>
        <w:t>第四节  落实基层组织保障政策</w:t>
      </w:r>
      <w:bookmarkEnd w:id="231"/>
      <w:bookmarkEnd w:id="232"/>
      <w:bookmarkEnd w:id="233"/>
      <w:bookmarkEnd w:id="234"/>
      <w:bookmarkEnd w:id="235"/>
      <w:bookmarkEnd w:id="236"/>
    </w:p>
    <w:p w14:paraId="35FC588C">
      <w:pPr>
        <w:spacing w:line="480" w:lineRule="exact"/>
        <w:ind w:firstLine="560" w:firstLineChars="200"/>
        <w:rPr>
          <w:kern w:val="0"/>
          <w:sz w:val="28"/>
          <w:szCs w:val="28"/>
        </w:rPr>
      </w:pPr>
      <w:r>
        <w:rPr>
          <w:kern w:val="0"/>
          <w:sz w:val="28"/>
          <w:szCs w:val="28"/>
        </w:rPr>
        <w:t>进一步加强村级组织运转经费保障，全面落实</w:t>
      </w:r>
      <w:r>
        <w:rPr>
          <w:rFonts w:hint="eastAsia"/>
          <w:kern w:val="0"/>
          <w:sz w:val="28"/>
          <w:szCs w:val="28"/>
        </w:rPr>
        <w:t>“</w:t>
      </w:r>
      <w:r>
        <w:rPr>
          <w:kern w:val="0"/>
          <w:sz w:val="28"/>
          <w:szCs w:val="28"/>
        </w:rPr>
        <w:t>固定补贴+养老保险补贴+绩效考核+集体经济绩效奖励</w:t>
      </w:r>
      <w:r>
        <w:rPr>
          <w:rFonts w:hint="eastAsia"/>
          <w:kern w:val="0"/>
          <w:sz w:val="28"/>
          <w:szCs w:val="28"/>
        </w:rPr>
        <w:t>”</w:t>
      </w:r>
      <w:r>
        <w:rPr>
          <w:kern w:val="0"/>
          <w:sz w:val="28"/>
          <w:szCs w:val="28"/>
        </w:rPr>
        <w:t>的村干部待遇保障体系，探索根据村干部所任职务、任职年限、取得社会工作者职业水平证书等建立村干部岗位等级制度，不断提高保障水平。加大抓党建促村级集体经济发展工作力度，统筹整合资金，重点扶持集体经济薄弱村、空壳村，鼓励村党组织领办合作社，开展在推动乡村振兴中作用突出的</w:t>
      </w:r>
      <w:r>
        <w:rPr>
          <w:rFonts w:hint="eastAsia"/>
          <w:kern w:val="0"/>
          <w:sz w:val="28"/>
          <w:szCs w:val="28"/>
        </w:rPr>
        <w:t>“</w:t>
      </w:r>
      <w:r>
        <w:rPr>
          <w:kern w:val="0"/>
          <w:sz w:val="28"/>
          <w:szCs w:val="28"/>
        </w:rPr>
        <w:t>好书记</w:t>
      </w:r>
      <w:r>
        <w:rPr>
          <w:rFonts w:hint="eastAsia"/>
          <w:kern w:val="0"/>
          <w:sz w:val="28"/>
          <w:szCs w:val="28"/>
        </w:rPr>
        <w:t>”“</w:t>
      </w:r>
      <w:r>
        <w:rPr>
          <w:kern w:val="0"/>
          <w:sz w:val="28"/>
          <w:szCs w:val="28"/>
        </w:rPr>
        <w:t>好班子</w:t>
      </w:r>
      <w:r>
        <w:rPr>
          <w:rFonts w:hint="eastAsia"/>
          <w:kern w:val="0"/>
          <w:sz w:val="28"/>
          <w:szCs w:val="28"/>
        </w:rPr>
        <w:t>”</w:t>
      </w:r>
      <w:r>
        <w:rPr>
          <w:kern w:val="0"/>
          <w:sz w:val="28"/>
          <w:szCs w:val="28"/>
        </w:rPr>
        <w:t>的评选表彰激励工作。</w:t>
      </w:r>
    </w:p>
    <w:p w14:paraId="6106A5C0">
      <w:pPr>
        <w:tabs>
          <w:tab w:val="left" w:pos="640"/>
        </w:tabs>
        <w:spacing w:line="480" w:lineRule="exact"/>
        <w:rPr>
          <w:rFonts w:eastAsia="宋体"/>
          <w:kern w:val="0"/>
          <w:sz w:val="28"/>
          <w:szCs w:val="28"/>
        </w:rPr>
      </w:pPr>
    </w:p>
    <w:p w14:paraId="45622BD9">
      <w:pPr>
        <w:pStyle w:val="4"/>
        <w:spacing w:line="480" w:lineRule="exact"/>
        <w:ind w:firstLine="0"/>
        <w:rPr>
          <w:bCs w:val="0"/>
          <w:sz w:val="36"/>
          <w:szCs w:val="36"/>
        </w:rPr>
      </w:pPr>
      <w:bookmarkStart w:id="237" w:name="_Toc13263"/>
      <w:r>
        <w:rPr>
          <w:bCs w:val="0"/>
          <w:sz w:val="36"/>
          <w:szCs w:val="36"/>
        </w:rPr>
        <w:t>第二十五章  促进自治法治德治有机结合</w:t>
      </w:r>
      <w:bookmarkEnd w:id="237"/>
    </w:p>
    <w:p w14:paraId="13AA3485">
      <w:pPr>
        <w:spacing w:line="480" w:lineRule="exact"/>
        <w:ind w:firstLine="641"/>
        <w:rPr>
          <w:rFonts w:eastAsia="黑体"/>
        </w:rPr>
      </w:pPr>
    </w:p>
    <w:p w14:paraId="53A77A56">
      <w:pPr>
        <w:spacing w:line="480" w:lineRule="exact"/>
        <w:ind w:firstLine="560" w:firstLineChars="200"/>
        <w:rPr>
          <w:kern w:val="0"/>
          <w:sz w:val="28"/>
          <w:szCs w:val="28"/>
        </w:rPr>
      </w:pPr>
      <w:r>
        <w:rPr>
          <w:kern w:val="0"/>
          <w:sz w:val="28"/>
          <w:szCs w:val="28"/>
        </w:rPr>
        <w:t>坚持自治为基、法治为本、德治为先，健全和创新村党组织领导的充满活力的村民自治机制，强化法律权威地位和底线坚守，以德治滋养法治、涵养自治，让德治贯穿乡村治理全过程。</w:t>
      </w:r>
    </w:p>
    <w:p w14:paraId="4CB80539">
      <w:pPr>
        <w:pStyle w:val="5"/>
        <w:spacing w:line="480" w:lineRule="exact"/>
        <w:jc w:val="center"/>
        <w:rPr>
          <w:rFonts w:eastAsia="方正黑体_GBK"/>
          <w:b w:val="0"/>
          <w:bCs w:val="0"/>
          <w:sz w:val="28"/>
          <w:szCs w:val="28"/>
        </w:rPr>
      </w:pPr>
      <w:bookmarkStart w:id="238" w:name="_Toc19010"/>
      <w:r>
        <w:rPr>
          <w:rFonts w:eastAsia="方正黑体_GBK"/>
          <w:b w:val="0"/>
          <w:bCs w:val="0"/>
          <w:sz w:val="28"/>
          <w:szCs w:val="28"/>
        </w:rPr>
        <w:t>第一节  深化村民自治实践</w:t>
      </w:r>
      <w:bookmarkEnd w:id="238"/>
    </w:p>
    <w:p w14:paraId="42982D37">
      <w:pPr>
        <w:spacing w:line="480" w:lineRule="exact"/>
        <w:ind w:firstLine="560" w:firstLineChars="200"/>
        <w:rPr>
          <w:kern w:val="0"/>
          <w:sz w:val="28"/>
          <w:szCs w:val="28"/>
        </w:rPr>
      </w:pPr>
      <w:r>
        <w:rPr>
          <w:kern w:val="0"/>
          <w:sz w:val="28"/>
          <w:szCs w:val="28"/>
        </w:rPr>
        <w:t>深入实施村民委员会组织法，完善村民选举、民主协商、民主决策、民主管理、民主监督制度。严格依法实行民主选举，选出群众拥护的讲政治、守规矩、重品行、有本事、敢担当的村委会班子，坚决把不符合村干部条件的人挡在门外。全面推行村党组织书记通过法定程序担任村委会主任，实现</w:t>
      </w:r>
      <w:r>
        <w:rPr>
          <w:rFonts w:hint="eastAsia"/>
          <w:kern w:val="0"/>
          <w:sz w:val="28"/>
          <w:szCs w:val="28"/>
        </w:rPr>
        <w:t>“</w:t>
      </w:r>
      <w:r>
        <w:rPr>
          <w:kern w:val="0"/>
          <w:sz w:val="28"/>
          <w:szCs w:val="28"/>
        </w:rPr>
        <w:t>一肩挑</w:t>
      </w:r>
      <w:r>
        <w:rPr>
          <w:rFonts w:hint="eastAsia"/>
          <w:kern w:val="0"/>
          <w:sz w:val="28"/>
          <w:szCs w:val="28"/>
        </w:rPr>
        <w:t>”</w:t>
      </w:r>
      <w:r>
        <w:rPr>
          <w:kern w:val="0"/>
          <w:sz w:val="28"/>
          <w:szCs w:val="28"/>
        </w:rPr>
        <w:t>。健全民主决策程序，严格落实村民会议和村民代表会议制度，建立健全重大决策前和实施过程中协商的长效机制，加强村民自治组织自主性，扩大自我管理范围，依托村民会议、村民代表会议、村民议事会、村民理事会、村民监事会等，积极构建民事民议、民事民办、民事民管的多层次基层协商格局，推广基层治理</w:t>
      </w:r>
      <w:r>
        <w:rPr>
          <w:rFonts w:hint="eastAsia"/>
          <w:kern w:val="0"/>
          <w:sz w:val="28"/>
          <w:szCs w:val="28"/>
        </w:rPr>
        <w:t>“</w:t>
      </w:r>
      <w:r>
        <w:rPr>
          <w:kern w:val="0"/>
          <w:sz w:val="28"/>
          <w:szCs w:val="28"/>
        </w:rPr>
        <w:t>大事</w:t>
      </w:r>
      <w:r>
        <w:rPr>
          <w:rFonts w:hint="eastAsia"/>
          <w:kern w:val="0"/>
          <w:sz w:val="28"/>
          <w:szCs w:val="28"/>
        </w:rPr>
        <w:t>”“</w:t>
      </w:r>
      <w:r>
        <w:rPr>
          <w:kern w:val="0"/>
          <w:sz w:val="28"/>
          <w:szCs w:val="28"/>
        </w:rPr>
        <w:t>小事</w:t>
      </w:r>
      <w:r>
        <w:rPr>
          <w:rFonts w:hint="eastAsia"/>
          <w:kern w:val="0"/>
          <w:sz w:val="28"/>
          <w:szCs w:val="28"/>
        </w:rPr>
        <w:t>”“</w:t>
      </w:r>
      <w:r>
        <w:rPr>
          <w:kern w:val="0"/>
          <w:sz w:val="28"/>
          <w:szCs w:val="28"/>
        </w:rPr>
        <w:t>私事</w:t>
      </w:r>
      <w:r>
        <w:rPr>
          <w:rFonts w:hint="eastAsia"/>
          <w:kern w:val="0"/>
          <w:sz w:val="28"/>
          <w:szCs w:val="28"/>
        </w:rPr>
        <w:t>”</w:t>
      </w:r>
      <w:r>
        <w:rPr>
          <w:kern w:val="0"/>
          <w:sz w:val="28"/>
          <w:szCs w:val="28"/>
        </w:rPr>
        <w:t>分流工作机制。完善基层群众性自治组织依法自治事项清单、依法协助政府工作事项清单、涉证事项清单及负面清单，推动形成基层党组织领导、基层政府主导的多方参与、共同治理的城乡社区治理体系。健全村务监督委员会，规范职责权限、监督方式、管理考核机制，积极推进村务公开信息化建设，提高村务监督工作水平和实效。</w:t>
      </w:r>
      <w:bookmarkStart w:id="239" w:name="_Toc521865111"/>
      <w:bookmarkStart w:id="240" w:name="_Toc522043056"/>
      <w:bookmarkStart w:id="241" w:name="_Toc521352317"/>
      <w:bookmarkStart w:id="242" w:name="_Toc521853595"/>
      <w:r>
        <w:rPr>
          <w:kern w:val="0"/>
          <w:sz w:val="28"/>
          <w:szCs w:val="28"/>
        </w:rPr>
        <w:t>逐步实现村民自治组织运作规范化和有效化，理清村民自治组织与集体经济组织和党组织的关系。</w:t>
      </w:r>
    </w:p>
    <w:p w14:paraId="7EC5BD86">
      <w:pPr>
        <w:pStyle w:val="5"/>
        <w:spacing w:line="480" w:lineRule="exact"/>
        <w:jc w:val="center"/>
        <w:rPr>
          <w:rFonts w:eastAsia="方正黑体_GBK"/>
          <w:b w:val="0"/>
          <w:bCs w:val="0"/>
          <w:sz w:val="28"/>
          <w:szCs w:val="28"/>
        </w:rPr>
      </w:pPr>
      <w:bookmarkStart w:id="243" w:name="_Toc30209"/>
      <w:r>
        <w:rPr>
          <w:rFonts w:eastAsia="方正黑体_GBK"/>
          <w:b w:val="0"/>
          <w:bCs w:val="0"/>
          <w:sz w:val="28"/>
          <w:szCs w:val="28"/>
        </w:rPr>
        <w:t>第二节  推进乡村法治建设</w:t>
      </w:r>
      <w:bookmarkEnd w:id="239"/>
      <w:bookmarkEnd w:id="240"/>
      <w:bookmarkEnd w:id="241"/>
      <w:bookmarkEnd w:id="242"/>
      <w:bookmarkEnd w:id="243"/>
    </w:p>
    <w:p w14:paraId="40184DEF">
      <w:pPr>
        <w:spacing w:line="480" w:lineRule="exact"/>
        <w:ind w:firstLine="560" w:firstLineChars="200"/>
        <w:rPr>
          <w:kern w:val="0"/>
          <w:sz w:val="28"/>
          <w:szCs w:val="28"/>
        </w:rPr>
      </w:pPr>
      <w:r>
        <w:rPr>
          <w:kern w:val="0"/>
          <w:sz w:val="28"/>
          <w:szCs w:val="28"/>
        </w:rPr>
        <w:t>充分发挥立法在乡村振兴中的保障和推动作用，推进调整和破除不符合乡村实际的政策、规制和条例，强化县级执法力度。积极推进农业执法体制改革，全面推进农业部门内和涉农部门综合执法。强化农业执法工作，坚持执法机构以执法工作为本职和主业的指导思想，持续加大对农业违法行为的打击力和震慑力。畅通信访渠道，及时受理、办理群众涉土地纠纷信访问题。结合</w:t>
      </w:r>
      <w:r>
        <w:rPr>
          <w:rFonts w:hint="eastAsia"/>
          <w:kern w:val="0"/>
          <w:sz w:val="28"/>
          <w:szCs w:val="28"/>
        </w:rPr>
        <w:t>“</w:t>
      </w:r>
      <w:r>
        <w:rPr>
          <w:kern w:val="0"/>
          <w:sz w:val="28"/>
          <w:szCs w:val="28"/>
        </w:rPr>
        <w:t>阳光信访、责任信访、法治信访</w:t>
      </w:r>
      <w:r>
        <w:rPr>
          <w:rFonts w:hint="eastAsia"/>
          <w:kern w:val="0"/>
          <w:sz w:val="28"/>
          <w:szCs w:val="28"/>
        </w:rPr>
        <w:t>”</w:t>
      </w:r>
      <w:r>
        <w:rPr>
          <w:kern w:val="0"/>
          <w:sz w:val="28"/>
          <w:szCs w:val="28"/>
        </w:rPr>
        <w:t>建设，推动建立土地承包经营纠纷综合调处机制。加强基层执法队伍建设，举办农民普法骨干大培训，提升农村市场监管等方面法治化水平，有效促进社会公平正义，维护人民群众合法权益。健全农村公共法律服务体系，加强对农民的法律援助和司法救助。深入开展</w:t>
      </w:r>
      <w:r>
        <w:rPr>
          <w:rFonts w:hint="eastAsia"/>
          <w:kern w:val="0"/>
          <w:sz w:val="28"/>
          <w:szCs w:val="28"/>
        </w:rPr>
        <w:t>“</w:t>
      </w:r>
      <w:r>
        <w:rPr>
          <w:kern w:val="0"/>
          <w:sz w:val="28"/>
          <w:szCs w:val="28"/>
        </w:rPr>
        <w:t>法润乡村—服务乡村振兴战略行动</w:t>
      </w:r>
      <w:r>
        <w:rPr>
          <w:rFonts w:hint="eastAsia"/>
          <w:kern w:val="0"/>
          <w:sz w:val="28"/>
          <w:szCs w:val="28"/>
        </w:rPr>
        <w:t>”</w:t>
      </w:r>
      <w:r>
        <w:rPr>
          <w:kern w:val="0"/>
          <w:sz w:val="28"/>
          <w:szCs w:val="28"/>
        </w:rPr>
        <w:t>活动，广泛开展法治文艺演出、法治电影进村等群众性法治文化活动，引导干部群众尊法学法守法用法。</w:t>
      </w:r>
      <w:bookmarkStart w:id="244" w:name="_Toc522043057"/>
      <w:bookmarkStart w:id="245" w:name="_Toc521853596"/>
      <w:bookmarkStart w:id="246" w:name="_Toc521865112"/>
      <w:bookmarkStart w:id="247" w:name="_Toc521352318"/>
    </w:p>
    <w:p w14:paraId="43EFB7D7">
      <w:pPr>
        <w:pStyle w:val="5"/>
        <w:spacing w:line="480" w:lineRule="exact"/>
        <w:jc w:val="center"/>
        <w:rPr>
          <w:rFonts w:eastAsia="方正黑体_GBK"/>
          <w:b w:val="0"/>
          <w:bCs w:val="0"/>
          <w:sz w:val="28"/>
          <w:szCs w:val="28"/>
        </w:rPr>
      </w:pPr>
      <w:bookmarkStart w:id="248" w:name="_Toc13422"/>
      <w:r>
        <w:rPr>
          <w:rFonts w:eastAsia="方正黑体_GBK"/>
          <w:b w:val="0"/>
          <w:bCs w:val="0"/>
          <w:sz w:val="28"/>
          <w:szCs w:val="28"/>
        </w:rPr>
        <w:t>第三节  提升乡村德治水平</w:t>
      </w:r>
      <w:bookmarkEnd w:id="244"/>
      <w:bookmarkEnd w:id="245"/>
      <w:bookmarkEnd w:id="246"/>
      <w:bookmarkEnd w:id="247"/>
      <w:bookmarkEnd w:id="248"/>
    </w:p>
    <w:p w14:paraId="7700CDA5">
      <w:pPr>
        <w:adjustRightInd w:val="0"/>
        <w:spacing w:line="480" w:lineRule="exact"/>
        <w:ind w:firstLine="560" w:firstLineChars="200"/>
        <w:rPr>
          <w:rFonts w:eastAsia="宋体"/>
          <w:kern w:val="0"/>
          <w:sz w:val="28"/>
          <w:szCs w:val="28"/>
        </w:rPr>
      </w:pPr>
      <w:r>
        <w:rPr>
          <w:kern w:val="0"/>
          <w:sz w:val="28"/>
          <w:szCs w:val="28"/>
        </w:rPr>
        <w:t>深入挖掘乡村熟人社会蕴含的道德规范，结合时代要求进行创新，强化道德教化作用，引导农民向上向善、孝老爱亲、重义守信、勤俭持家。充分发挥自治章程、居民公约、村规民约在城乡社区治理中的积极作用，制定通俗易懂、操作性强的村规民约、村民守则，尊良俗、去低俗、废恶俗。实施以</w:t>
      </w:r>
      <w:r>
        <w:rPr>
          <w:rFonts w:hint="eastAsia"/>
          <w:kern w:val="0"/>
          <w:sz w:val="28"/>
          <w:szCs w:val="28"/>
        </w:rPr>
        <w:t>“</w:t>
      </w:r>
      <w:r>
        <w:rPr>
          <w:kern w:val="0"/>
          <w:sz w:val="28"/>
          <w:szCs w:val="28"/>
        </w:rPr>
        <w:t>十抵制十提倡</w:t>
      </w:r>
      <w:r>
        <w:rPr>
          <w:rFonts w:hint="eastAsia"/>
          <w:kern w:val="0"/>
          <w:sz w:val="28"/>
          <w:szCs w:val="28"/>
        </w:rPr>
        <w:t>”</w:t>
      </w:r>
      <w:r>
        <w:rPr>
          <w:kern w:val="0"/>
          <w:sz w:val="28"/>
          <w:szCs w:val="28"/>
        </w:rPr>
        <w:t>为主要内容的重点治理工作，发挥村规民约和村民议事会、红白理事会、道德评议会、老年人协会等</w:t>
      </w:r>
      <w:r>
        <w:rPr>
          <w:rFonts w:hint="eastAsia"/>
          <w:kern w:val="0"/>
          <w:sz w:val="28"/>
          <w:szCs w:val="28"/>
        </w:rPr>
        <w:t>“</w:t>
      </w:r>
      <w:r>
        <w:rPr>
          <w:kern w:val="0"/>
          <w:sz w:val="28"/>
          <w:szCs w:val="28"/>
        </w:rPr>
        <w:t>一约四会</w:t>
      </w:r>
      <w:r>
        <w:rPr>
          <w:rFonts w:hint="eastAsia"/>
          <w:kern w:val="0"/>
          <w:sz w:val="28"/>
          <w:szCs w:val="28"/>
        </w:rPr>
        <w:t>”</w:t>
      </w:r>
      <w:r>
        <w:rPr>
          <w:kern w:val="0"/>
          <w:sz w:val="28"/>
          <w:szCs w:val="28"/>
        </w:rPr>
        <w:t>及村社风俗监督员作用，推进设立村社</w:t>
      </w:r>
      <w:r>
        <w:rPr>
          <w:rFonts w:hint="eastAsia"/>
          <w:kern w:val="0"/>
          <w:sz w:val="28"/>
          <w:szCs w:val="28"/>
        </w:rPr>
        <w:t>“</w:t>
      </w:r>
      <w:r>
        <w:rPr>
          <w:kern w:val="0"/>
          <w:sz w:val="28"/>
          <w:szCs w:val="28"/>
        </w:rPr>
        <w:t>失德曝光台</w:t>
      </w:r>
      <w:r>
        <w:rPr>
          <w:rFonts w:hint="eastAsia"/>
          <w:kern w:val="0"/>
          <w:sz w:val="28"/>
          <w:szCs w:val="28"/>
        </w:rPr>
        <w:t>”</w:t>
      </w:r>
      <w:r>
        <w:rPr>
          <w:kern w:val="0"/>
          <w:sz w:val="28"/>
          <w:szCs w:val="28"/>
        </w:rPr>
        <w:t>、组建</w:t>
      </w:r>
      <w:r>
        <w:rPr>
          <w:rFonts w:hint="eastAsia"/>
          <w:kern w:val="0"/>
          <w:sz w:val="28"/>
          <w:szCs w:val="28"/>
        </w:rPr>
        <w:t>“</w:t>
      </w:r>
      <w:r>
        <w:rPr>
          <w:kern w:val="0"/>
          <w:sz w:val="28"/>
          <w:szCs w:val="28"/>
        </w:rPr>
        <w:t>美德劝导队</w:t>
      </w:r>
      <w:r>
        <w:rPr>
          <w:rFonts w:hint="eastAsia"/>
          <w:kern w:val="0"/>
          <w:sz w:val="28"/>
          <w:szCs w:val="28"/>
        </w:rPr>
        <w:t>”</w:t>
      </w:r>
      <w:r>
        <w:rPr>
          <w:kern w:val="0"/>
          <w:sz w:val="28"/>
          <w:szCs w:val="28"/>
        </w:rPr>
        <w:t>，加强婚丧礼俗整治，遏制大操大办、厚葬薄养、人情攀比等陈规陋习，开展丰富多样的道德模范评选表彰活动。深化农村科普工作，提高农民科学文化素养，引导农民抵制封建迷信。</w:t>
      </w:r>
      <w:bookmarkStart w:id="249" w:name="_Toc522043058"/>
      <w:bookmarkStart w:id="250" w:name="_Toc521865113"/>
      <w:bookmarkStart w:id="251" w:name="_Toc519079782"/>
      <w:bookmarkStart w:id="252" w:name="_Toc521352319"/>
      <w:bookmarkStart w:id="253" w:name="_Toc521853597"/>
      <w:r>
        <w:rPr>
          <w:kern w:val="0"/>
          <w:sz w:val="28"/>
          <w:szCs w:val="28"/>
        </w:rPr>
        <w:t xml:space="preserve"> </w:t>
      </w:r>
    </w:p>
    <w:p w14:paraId="34E57EDA">
      <w:pPr>
        <w:pStyle w:val="5"/>
        <w:spacing w:line="480" w:lineRule="exact"/>
        <w:jc w:val="center"/>
        <w:rPr>
          <w:rFonts w:eastAsia="方正黑体_GBK"/>
          <w:b w:val="0"/>
          <w:bCs w:val="0"/>
          <w:sz w:val="28"/>
          <w:szCs w:val="28"/>
        </w:rPr>
      </w:pPr>
      <w:bookmarkStart w:id="254" w:name="_Toc18263"/>
      <w:r>
        <w:rPr>
          <w:rFonts w:eastAsia="方正黑体_GBK"/>
          <w:b w:val="0"/>
          <w:bCs w:val="0"/>
          <w:sz w:val="28"/>
          <w:szCs w:val="28"/>
        </w:rPr>
        <w:t>第四节  引导社会组织发展</w:t>
      </w:r>
      <w:bookmarkEnd w:id="254"/>
    </w:p>
    <w:p w14:paraId="5D7B58FC">
      <w:pPr>
        <w:spacing w:line="480" w:lineRule="exact"/>
        <w:ind w:firstLine="560" w:firstLineChars="200"/>
        <w:rPr>
          <w:kern w:val="0"/>
          <w:sz w:val="28"/>
          <w:szCs w:val="28"/>
        </w:rPr>
      </w:pPr>
      <w:r>
        <w:rPr>
          <w:kern w:val="0"/>
          <w:sz w:val="28"/>
          <w:szCs w:val="28"/>
        </w:rPr>
        <w:t>支持农村多样社会组织发育。支持农民开展互动合作，建立社会生产互助合作组织、兴趣组织和自我服务管理组织。支持引导社会工作组织进入农村，填补农村社工服务空白，开展政府购买农村社会服务试点。鼓励社区与村庄、市民与农民成立形式多样的交流合作组织。到2025年实现农村社会组织充分发育，2035年形成党组织领导下的集体经济组织、村民自治组织和社会组织协调发展格局。</w:t>
      </w:r>
    </w:p>
    <w:p w14:paraId="524A3904">
      <w:pPr>
        <w:pStyle w:val="5"/>
        <w:spacing w:line="480" w:lineRule="exact"/>
        <w:jc w:val="center"/>
        <w:rPr>
          <w:rFonts w:eastAsia="方正黑体_GBK"/>
          <w:b w:val="0"/>
          <w:bCs w:val="0"/>
          <w:sz w:val="28"/>
          <w:szCs w:val="28"/>
        </w:rPr>
      </w:pPr>
      <w:bookmarkStart w:id="255" w:name="_Toc10880"/>
      <w:r>
        <w:rPr>
          <w:rFonts w:eastAsia="方正黑体_GBK"/>
          <w:b w:val="0"/>
          <w:bCs w:val="0"/>
          <w:sz w:val="28"/>
          <w:szCs w:val="28"/>
        </w:rPr>
        <w:t>第五节 建设平安乡村</w:t>
      </w:r>
      <w:bookmarkEnd w:id="249"/>
      <w:bookmarkEnd w:id="250"/>
      <w:bookmarkEnd w:id="251"/>
      <w:bookmarkEnd w:id="252"/>
      <w:bookmarkEnd w:id="253"/>
      <w:bookmarkEnd w:id="255"/>
    </w:p>
    <w:p w14:paraId="60117336">
      <w:pPr>
        <w:spacing w:line="480" w:lineRule="exact"/>
        <w:ind w:firstLine="560" w:firstLineChars="200"/>
        <w:rPr>
          <w:kern w:val="0"/>
          <w:sz w:val="28"/>
          <w:szCs w:val="28"/>
        </w:rPr>
      </w:pPr>
      <w:r>
        <w:rPr>
          <w:kern w:val="0"/>
          <w:sz w:val="28"/>
          <w:szCs w:val="28"/>
        </w:rPr>
        <w:t>健全落实社会治安综合治理领导责任制，大力推进农村社会治安防控体系建设，推动社会治安防控力量下沉。推动扫黑除恶常治长效，严厉打击农村黑恶势力、宗族恶势力，严厉打击黄赌毒盗拐骗等违法犯罪行为。依法加大对农村非法宗教活动打击力度，依法制止利用宗教干预农村公共事务行为，整治农村乱建庙宇、滥塑宗教造像现象。完善县乡村三级综治平台功能和运行机制。健全农村公共安全体系，持续开展农村安全隐患治理。加强农村警务、消防、路长制、交通安全劝导站、安全生产工作，坚决遏制重特大安全事故发生。探索以网格化管理为抓手、以现代信息技术为支撑，实现基层服务和管理精细化、精准化。推进农村</w:t>
      </w:r>
      <w:r>
        <w:rPr>
          <w:rFonts w:hint="eastAsia"/>
          <w:kern w:val="0"/>
          <w:sz w:val="28"/>
          <w:szCs w:val="28"/>
        </w:rPr>
        <w:t>“</w:t>
      </w:r>
      <w:r>
        <w:rPr>
          <w:kern w:val="0"/>
          <w:sz w:val="28"/>
          <w:szCs w:val="28"/>
        </w:rPr>
        <w:t>雪亮工程</w:t>
      </w:r>
      <w:r>
        <w:rPr>
          <w:rFonts w:hint="eastAsia"/>
          <w:kern w:val="0"/>
          <w:sz w:val="28"/>
          <w:szCs w:val="28"/>
        </w:rPr>
        <w:t>”</w:t>
      </w:r>
      <w:r>
        <w:rPr>
          <w:kern w:val="0"/>
          <w:sz w:val="28"/>
          <w:szCs w:val="28"/>
        </w:rPr>
        <w:t>建设。推进乡镇派出所、司法所、基层人民法庭、派驻基层检察室、便民诉讼网络及平安家庭建设，积极化解重大矛盾纠纷。</w:t>
      </w:r>
      <w:bookmarkStart w:id="256" w:name="_Toc519079779"/>
      <w:bookmarkStart w:id="257" w:name="_Toc521865114"/>
      <w:bookmarkStart w:id="258" w:name="_Toc521853598"/>
      <w:bookmarkStart w:id="259" w:name="_Toc522043059"/>
      <w:bookmarkStart w:id="260" w:name="_Toc521352320"/>
    </w:p>
    <w:p w14:paraId="7D50FAC2">
      <w:pPr>
        <w:spacing w:line="480" w:lineRule="exact"/>
      </w:pPr>
    </w:p>
    <w:p w14:paraId="1E4657D7">
      <w:pPr>
        <w:pStyle w:val="4"/>
        <w:spacing w:line="480" w:lineRule="exact"/>
        <w:ind w:firstLine="0"/>
        <w:rPr>
          <w:bCs w:val="0"/>
          <w:sz w:val="36"/>
          <w:szCs w:val="36"/>
        </w:rPr>
      </w:pPr>
      <w:bookmarkStart w:id="261" w:name="_Toc23051"/>
      <w:r>
        <w:rPr>
          <w:bCs w:val="0"/>
          <w:sz w:val="36"/>
          <w:szCs w:val="36"/>
        </w:rPr>
        <w:t>第二十六章</w:t>
      </w:r>
      <w:bookmarkEnd w:id="256"/>
      <w:r>
        <w:rPr>
          <w:bCs w:val="0"/>
          <w:sz w:val="36"/>
          <w:szCs w:val="36"/>
        </w:rPr>
        <w:t xml:space="preserve">  夯实基层政权</w:t>
      </w:r>
      <w:bookmarkEnd w:id="257"/>
      <w:bookmarkEnd w:id="258"/>
      <w:bookmarkEnd w:id="259"/>
      <w:bookmarkEnd w:id="260"/>
      <w:bookmarkEnd w:id="261"/>
    </w:p>
    <w:p w14:paraId="62F1F68A">
      <w:pPr>
        <w:spacing w:line="480" w:lineRule="exact"/>
        <w:ind w:firstLine="641"/>
        <w:rPr>
          <w:rFonts w:eastAsia="宋体"/>
          <w:kern w:val="0"/>
        </w:rPr>
      </w:pPr>
    </w:p>
    <w:p w14:paraId="038F5DB2">
      <w:pPr>
        <w:spacing w:line="480" w:lineRule="exact"/>
        <w:ind w:firstLine="560" w:firstLineChars="200"/>
        <w:rPr>
          <w:kern w:val="0"/>
          <w:sz w:val="28"/>
          <w:szCs w:val="28"/>
        </w:rPr>
      </w:pPr>
      <w:r>
        <w:rPr>
          <w:kern w:val="0"/>
          <w:sz w:val="28"/>
          <w:szCs w:val="28"/>
        </w:rPr>
        <w:t>推进乡镇机构设置科学化，构建简约高效的基层治理体制，健全农村基层服务体系，夯实乡村治理基础。</w:t>
      </w:r>
      <w:bookmarkStart w:id="262" w:name="_Toc521865115"/>
      <w:bookmarkStart w:id="263" w:name="_Toc521352321"/>
      <w:bookmarkStart w:id="264" w:name="_Toc521853599"/>
      <w:bookmarkStart w:id="265" w:name="_Toc522043060"/>
    </w:p>
    <w:p w14:paraId="3F47E1CC">
      <w:pPr>
        <w:pStyle w:val="5"/>
        <w:spacing w:line="480" w:lineRule="exact"/>
        <w:jc w:val="center"/>
        <w:rPr>
          <w:rFonts w:eastAsia="方正黑体_GBK"/>
          <w:b w:val="0"/>
          <w:bCs w:val="0"/>
          <w:sz w:val="28"/>
          <w:szCs w:val="28"/>
        </w:rPr>
      </w:pPr>
      <w:bookmarkStart w:id="266" w:name="_Toc31303"/>
      <w:r>
        <w:rPr>
          <w:rFonts w:eastAsia="方正黑体_GBK"/>
          <w:b w:val="0"/>
          <w:bCs w:val="0"/>
          <w:sz w:val="28"/>
          <w:szCs w:val="28"/>
        </w:rPr>
        <w:t>第一节  加强基层政权建设</w:t>
      </w:r>
      <w:bookmarkEnd w:id="262"/>
      <w:bookmarkEnd w:id="263"/>
      <w:bookmarkEnd w:id="264"/>
      <w:bookmarkEnd w:id="265"/>
      <w:bookmarkEnd w:id="266"/>
    </w:p>
    <w:p w14:paraId="10DB35BB">
      <w:pPr>
        <w:spacing w:line="480" w:lineRule="exact"/>
        <w:ind w:firstLine="560" w:firstLineChars="200"/>
        <w:rPr>
          <w:rFonts w:eastAsia="宋体"/>
          <w:kern w:val="0"/>
          <w:sz w:val="28"/>
          <w:szCs w:val="28"/>
        </w:rPr>
      </w:pPr>
      <w:r>
        <w:rPr>
          <w:kern w:val="0"/>
          <w:sz w:val="28"/>
          <w:szCs w:val="28"/>
        </w:rPr>
        <w:t>面向服务人民群众合理设置基层政权机构、调配人力资源，不简单照搬上级机关设置模式。根据工作需要，整合基层审批、服务、执法等方面力量，统筹机构编制资源，整合相关职能设立综合性机构，实行扁平化和网格化管理，重点完善县农业农村委员会、县乡村振兴局及相关机构职能定位和人财物配置。推动乡村治理重心下移，尽可能把资源、服务、管理下放到基层。加强乡镇领导班子建设，有计划地选派县直机关部门有发展潜力的年轻干部到乡镇任职。加大从优秀选调生、乡镇事业编制人员、优秀村干部、大学生村官中选拔乡镇领导班子成员力度。防止非法宗教活动争夺群众、干扰村务、破坏基层政权。</w:t>
      </w:r>
      <w:bookmarkStart w:id="267" w:name="_Toc521352322"/>
      <w:bookmarkStart w:id="268" w:name="_Toc521853600"/>
      <w:bookmarkStart w:id="269" w:name="_Toc521865116"/>
      <w:bookmarkStart w:id="270" w:name="_Toc522043061"/>
    </w:p>
    <w:p w14:paraId="0389E0AC">
      <w:pPr>
        <w:pStyle w:val="5"/>
        <w:spacing w:line="480" w:lineRule="exact"/>
        <w:jc w:val="center"/>
        <w:rPr>
          <w:rFonts w:eastAsia="方正黑体_GBK"/>
          <w:b w:val="0"/>
          <w:bCs w:val="0"/>
          <w:sz w:val="28"/>
          <w:szCs w:val="28"/>
        </w:rPr>
      </w:pPr>
      <w:bookmarkStart w:id="271" w:name="_Toc7975"/>
      <w:r>
        <w:rPr>
          <w:rFonts w:eastAsia="方正黑体_GBK"/>
          <w:b w:val="0"/>
          <w:bCs w:val="0"/>
          <w:sz w:val="28"/>
          <w:szCs w:val="28"/>
        </w:rPr>
        <w:t>第二节  创新基层管理体制机制</w:t>
      </w:r>
      <w:bookmarkEnd w:id="267"/>
      <w:bookmarkEnd w:id="268"/>
      <w:bookmarkEnd w:id="269"/>
      <w:bookmarkEnd w:id="270"/>
      <w:bookmarkEnd w:id="271"/>
    </w:p>
    <w:p w14:paraId="4BD6026E">
      <w:pPr>
        <w:adjustRightInd w:val="0"/>
        <w:spacing w:line="480" w:lineRule="exact"/>
        <w:ind w:firstLine="560" w:firstLineChars="200"/>
        <w:rPr>
          <w:rFonts w:eastAsia="宋体"/>
          <w:kern w:val="0"/>
          <w:sz w:val="28"/>
          <w:szCs w:val="28"/>
        </w:rPr>
      </w:pPr>
      <w:r>
        <w:rPr>
          <w:kern w:val="0"/>
          <w:sz w:val="28"/>
          <w:szCs w:val="28"/>
        </w:rPr>
        <w:t>明确县乡财政事权和支出责任划分，改进乡镇财政预算管理制度。推进乡镇协商制度化、规范化建设，创新联系服务群众工作方法。推进直接服务民生的公共事业部门改革，改进服务方式，最大限度方便群众。推动乡镇政务服务事项一窗式办理、部门信息系统一平台整合、社会服务管理大数据一口径汇集，不断提高乡村治理智能化水平。健全监督体系，规范乡镇管理行为。改革创新考评体系，强化以群众满意度为重点的考核导向。集中清理上级对村级组织考核评比多、创建达标多、检查督查多等突出问题，严格控制对乡镇设立不切实际的</w:t>
      </w:r>
      <w:r>
        <w:rPr>
          <w:rFonts w:hint="eastAsia"/>
          <w:kern w:val="0"/>
          <w:sz w:val="28"/>
          <w:szCs w:val="28"/>
        </w:rPr>
        <w:t>“</w:t>
      </w:r>
      <w:r>
        <w:rPr>
          <w:kern w:val="0"/>
          <w:sz w:val="28"/>
          <w:szCs w:val="28"/>
        </w:rPr>
        <w:t>一票否决</w:t>
      </w:r>
      <w:r>
        <w:rPr>
          <w:rFonts w:hint="eastAsia"/>
          <w:kern w:val="0"/>
          <w:sz w:val="28"/>
          <w:szCs w:val="28"/>
        </w:rPr>
        <w:t>”</w:t>
      </w:r>
      <w:r>
        <w:rPr>
          <w:kern w:val="0"/>
          <w:sz w:val="28"/>
          <w:szCs w:val="28"/>
        </w:rPr>
        <w:t>事项。</w:t>
      </w:r>
      <w:bookmarkStart w:id="272" w:name="_Toc519079778"/>
      <w:bookmarkStart w:id="273" w:name="_Toc521865117"/>
      <w:bookmarkStart w:id="274" w:name="_Toc521352323"/>
      <w:bookmarkStart w:id="275" w:name="_Toc521853601"/>
      <w:bookmarkStart w:id="276" w:name="_Toc522043062"/>
      <w:bookmarkStart w:id="277" w:name="_Toc519079780"/>
    </w:p>
    <w:p w14:paraId="19013CB9">
      <w:pPr>
        <w:pStyle w:val="5"/>
        <w:spacing w:line="480" w:lineRule="exact"/>
        <w:jc w:val="center"/>
        <w:rPr>
          <w:rFonts w:eastAsia="方正黑体_GBK"/>
          <w:b w:val="0"/>
          <w:bCs w:val="0"/>
          <w:sz w:val="28"/>
          <w:szCs w:val="28"/>
        </w:rPr>
      </w:pPr>
      <w:bookmarkStart w:id="278" w:name="_Toc10555"/>
      <w:r>
        <w:rPr>
          <w:rFonts w:eastAsia="方正黑体_GBK"/>
          <w:b w:val="0"/>
          <w:bCs w:val="0"/>
          <w:sz w:val="28"/>
          <w:szCs w:val="28"/>
        </w:rPr>
        <w:t>第三节</w:t>
      </w:r>
      <w:bookmarkEnd w:id="272"/>
      <w:r>
        <w:rPr>
          <w:rFonts w:eastAsia="方正黑体_GBK"/>
          <w:b w:val="0"/>
          <w:bCs w:val="0"/>
          <w:sz w:val="28"/>
          <w:szCs w:val="28"/>
        </w:rPr>
        <w:t xml:space="preserve">  健全农村基层服务体系</w:t>
      </w:r>
      <w:bookmarkEnd w:id="273"/>
      <w:bookmarkEnd w:id="274"/>
      <w:bookmarkEnd w:id="275"/>
      <w:bookmarkEnd w:id="276"/>
      <w:bookmarkEnd w:id="278"/>
    </w:p>
    <w:p w14:paraId="149261B6">
      <w:pPr>
        <w:spacing w:line="480" w:lineRule="exact"/>
        <w:ind w:firstLine="560" w:firstLineChars="200"/>
        <w:rPr>
          <w:kern w:val="0"/>
          <w:sz w:val="28"/>
          <w:szCs w:val="28"/>
        </w:rPr>
      </w:pPr>
      <w:r>
        <w:rPr>
          <w:kern w:val="0"/>
          <w:sz w:val="28"/>
          <w:szCs w:val="28"/>
        </w:rPr>
        <w:t>整合优化乡村公共服务和社会管理职能，探索制定农村社区基本公共服务清单，推进社区服务规范化标准化，打造</w:t>
      </w:r>
      <w:r>
        <w:rPr>
          <w:rFonts w:hint="eastAsia"/>
          <w:kern w:val="0"/>
          <w:sz w:val="28"/>
          <w:szCs w:val="28"/>
        </w:rPr>
        <w:t>“</w:t>
      </w:r>
      <w:r>
        <w:rPr>
          <w:kern w:val="0"/>
          <w:sz w:val="28"/>
          <w:szCs w:val="28"/>
        </w:rPr>
        <w:t>一门式办理</w:t>
      </w:r>
      <w:r>
        <w:rPr>
          <w:rFonts w:hint="eastAsia"/>
          <w:kern w:val="0"/>
          <w:sz w:val="28"/>
          <w:szCs w:val="28"/>
        </w:rPr>
        <w:t>”</w:t>
      </w:r>
      <w:r>
        <w:rPr>
          <w:kern w:val="0"/>
          <w:sz w:val="28"/>
          <w:szCs w:val="28"/>
        </w:rPr>
        <w:t>、</w:t>
      </w:r>
      <w:r>
        <w:rPr>
          <w:rFonts w:hint="eastAsia"/>
          <w:kern w:val="0"/>
          <w:sz w:val="28"/>
          <w:szCs w:val="28"/>
        </w:rPr>
        <w:t>“</w:t>
      </w:r>
      <w:r>
        <w:rPr>
          <w:kern w:val="0"/>
          <w:sz w:val="28"/>
          <w:szCs w:val="28"/>
        </w:rPr>
        <w:t>一站式服务</w:t>
      </w:r>
      <w:r>
        <w:rPr>
          <w:rFonts w:hint="eastAsia"/>
          <w:kern w:val="0"/>
          <w:sz w:val="28"/>
          <w:szCs w:val="28"/>
        </w:rPr>
        <w:t>”</w:t>
      </w:r>
      <w:r>
        <w:rPr>
          <w:kern w:val="0"/>
          <w:sz w:val="28"/>
          <w:szCs w:val="28"/>
        </w:rPr>
        <w:t>的综合服务平台。大力培育服务乡村治理的服务性、公益性、互助性农村社会组织，积极发展农村社会工作和志愿服务事业。推进信息化建设与应用，不断提高农村社会治理信息化、智能化水平。促进流动人口有效参与农村社会服务管理，吸纳非户籍人口、社会组织、驻村单位等参与农村社区公共服务和公益事业协商。组织丰富多彩的健康文体活动，开展</w:t>
      </w:r>
      <w:r>
        <w:rPr>
          <w:rFonts w:hint="eastAsia"/>
          <w:kern w:val="0"/>
          <w:sz w:val="28"/>
          <w:szCs w:val="28"/>
        </w:rPr>
        <w:t>“</w:t>
      </w:r>
      <w:r>
        <w:rPr>
          <w:kern w:val="0"/>
          <w:sz w:val="28"/>
          <w:szCs w:val="28"/>
        </w:rPr>
        <w:t>邻里守望</w:t>
      </w:r>
      <w:r>
        <w:rPr>
          <w:rFonts w:hint="eastAsia"/>
          <w:kern w:val="0"/>
          <w:sz w:val="28"/>
          <w:szCs w:val="28"/>
        </w:rPr>
        <w:t>”</w:t>
      </w:r>
      <w:r>
        <w:rPr>
          <w:kern w:val="0"/>
          <w:sz w:val="28"/>
          <w:szCs w:val="28"/>
        </w:rPr>
        <w:t>农村志愿服务，引导农民群众生产互助、生活互帮、文明共进。</w:t>
      </w:r>
      <w:bookmarkEnd w:id="277"/>
    </w:p>
    <w:p w14:paraId="7522B19F">
      <w:pPr>
        <w:tabs>
          <w:tab w:val="left" w:pos="2552"/>
        </w:tabs>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40B3B49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1D650CC7">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专栏12  乡村善治工程</w:t>
            </w:r>
          </w:p>
        </w:tc>
      </w:tr>
      <w:tr w14:paraId="69EF298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19DCB4F0">
            <w:pPr>
              <w:spacing w:line="480" w:lineRule="exact"/>
              <w:ind w:firstLine="548" w:firstLineChars="196"/>
              <w:rPr>
                <w:sz w:val="28"/>
                <w:szCs w:val="28"/>
              </w:rPr>
            </w:pPr>
            <w:r>
              <w:rPr>
                <w:rFonts w:eastAsia="方正楷体_GBK"/>
                <w:sz w:val="28"/>
                <w:szCs w:val="28"/>
              </w:rPr>
              <w:t>乡村治理创新工程。</w:t>
            </w:r>
            <w:r>
              <w:rPr>
                <w:sz w:val="28"/>
                <w:szCs w:val="28"/>
              </w:rPr>
              <w:t>全面完成村（社区）便民服务中心升级改造建设。建立示范社会工作室（站）10个，实施农村社会工作服务项目20个。开展村级党组织书记、村委会主任集中轮训1次、覆盖408人。</w:t>
            </w:r>
          </w:p>
          <w:p w14:paraId="610D8E2F">
            <w:pPr>
              <w:spacing w:line="480" w:lineRule="exact"/>
              <w:ind w:firstLine="548" w:firstLineChars="196"/>
              <w:rPr>
                <w:sz w:val="28"/>
                <w:szCs w:val="28"/>
              </w:rPr>
            </w:pPr>
            <w:r>
              <w:rPr>
                <w:rFonts w:eastAsia="方正楷体_GBK"/>
                <w:sz w:val="28"/>
                <w:szCs w:val="28"/>
              </w:rPr>
              <w:t>县乡村三级综治体系完善工程。</w:t>
            </w:r>
            <w:r>
              <w:rPr>
                <w:sz w:val="28"/>
                <w:szCs w:val="28"/>
              </w:rPr>
              <w:t>加快推进县乡村三级综治中心建设，2021年底完成县乡村三级综治中心建设，2022年底实现规范化运行。做实做细基层社会治理网格化服务管理，统筹综治中心与网格化服务管理合并运行，依托综治信息系统，实现信息、资源和力量联动融合，不断增强网格化服务管理水平。整合超载超限检查站、微型消防站等现有资源，在农村地区重要地方、主要道路建设多职能、</w:t>
            </w:r>
            <w:r>
              <w:rPr>
                <w:rFonts w:hint="eastAsia"/>
                <w:sz w:val="28"/>
                <w:szCs w:val="28"/>
              </w:rPr>
              <w:t>“</w:t>
            </w:r>
            <w:r>
              <w:rPr>
                <w:sz w:val="28"/>
                <w:szCs w:val="28"/>
              </w:rPr>
              <w:t>几合一</w:t>
            </w:r>
            <w:r>
              <w:rPr>
                <w:rFonts w:hint="eastAsia"/>
                <w:sz w:val="28"/>
                <w:szCs w:val="28"/>
              </w:rPr>
              <w:t>”</w:t>
            </w:r>
            <w:r>
              <w:rPr>
                <w:sz w:val="28"/>
                <w:szCs w:val="28"/>
              </w:rPr>
              <w:t>的社会治安检查站。</w:t>
            </w:r>
          </w:p>
          <w:p w14:paraId="2489CB6A">
            <w:pPr>
              <w:spacing w:line="480" w:lineRule="exact"/>
              <w:ind w:firstLine="548" w:firstLineChars="196"/>
              <w:rPr>
                <w:spacing w:val="6"/>
                <w:sz w:val="28"/>
                <w:szCs w:val="28"/>
              </w:rPr>
            </w:pPr>
            <w:r>
              <w:rPr>
                <w:rFonts w:eastAsia="方正楷体_GBK"/>
                <w:sz w:val="28"/>
                <w:szCs w:val="28"/>
              </w:rPr>
              <w:t>农村社会治安防控体系建设工程。</w:t>
            </w:r>
            <w:r>
              <w:rPr>
                <w:sz w:val="28"/>
                <w:szCs w:val="28"/>
              </w:rPr>
              <w:t>到2022年，完成建制乡派出所或警</w:t>
            </w:r>
            <w:r>
              <w:rPr>
                <w:spacing w:val="-4"/>
                <w:sz w:val="28"/>
                <w:szCs w:val="28"/>
              </w:rPr>
              <w:t>务室建设，治安巡逻队作用发挥明显。乡村道路干道、居民聚居点、农村重要</w:t>
            </w:r>
            <w:r>
              <w:rPr>
                <w:spacing w:val="6"/>
                <w:sz w:val="28"/>
                <w:szCs w:val="28"/>
              </w:rPr>
              <w:t>基础设施、乡村休闲旅游景点、农家乐等视频监控覆盖率达90%，到2025年实现全覆盖。推进县综治信息系统建设，实现县、乡（镇街）、村社、网格以及相关单位的网络互联、信息互通。学习垫江县</w:t>
            </w:r>
            <w:r>
              <w:rPr>
                <w:rFonts w:hint="eastAsia"/>
                <w:spacing w:val="6"/>
                <w:sz w:val="28"/>
                <w:szCs w:val="28"/>
              </w:rPr>
              <w:t>“</w:t>
            </w:r>
            <w:r>
              <w:rPr>
                <w:spacing w:val="6"/>
                <w:sz w:val="28"/>
                <w:szCs w:val="28"/>
              </w:rPr>
              <w:t>6995</w:t>
            </w:r>
            <w:r>
              <w:rPr>
                <w:rFonts w:hint="eastAsia"/>
                <w:spacing w:val="6"/>
                <w:sz w:val="28"/>
                <w:szCs w:val="28"/>
              </w:rPr>
              <w:t>”</w:t>
            </w:r>
            <w:r>
              <w:rPr>
                <w:spacing w:val="6"/>
                <w:sz w:val="28"/>
                <w:szCs w:val="28"/>
              </w:rPr>
              <w:t>平安互助报警平台工作模式。</w:t>
            </w:r>
          </w:p>
          <w:p w14:paraId="39B100E2">
            <w:pPr>
              <w:spacing w:line="480" w:lineRule="exact"/>
              <w:ind w:firstLine="548" w:firstLineChars="196"/>
              <w:rPr>
                <w:sz w:val="30"/>
                <w:szCs w:val="30"/>
              </w:rPr>
            </w:pPr>
            <w:r>
              <w:rPr>
                <w:rFonts w:eastAsia="方正楷体_GBK"/>
                <w:sz w:val="28"/>
                <w:szCs w:val="28"/>
              </w:rPr>
              <w:t>扫黑除恶专项斗争。</w:t>
            </w:r>
            <w:r>
              <w:rPr>
                <w:sz w:val="28"/>
                <w:szCs w:val="28"/>
              </w:rPr>
              <w:t>强化农村突出治安问题整治，依法严惩农村地区黑恶势力，加强涉黑涉恶源头性问题的综合治理，强力推进基层反腐和基层</w:t>
            </w:r>
            <w:r>
              <w:rPr>
                <w:rFonts w:hint="eastAsia"/>
                <w:sz w:val="28"/>
                <w:szCs w:val="28"/>
              </w:rPr>
              <w:t>“</w:t>
            </w:r>
            <w:r>
              <w:rPr>
                <w:sz w:val="28"/>
                <w:szCs w:val="28"/>
              </w:rPr>
              <w:t>拍蝇</w:t>
            </w:r>
            <w:r>
              <w:rPr>
                <w:rFonts w:hint="eastAsia"/>
                <w:sz w:val="28"/>
                <w:szCs w:val="28"/>
              </w:rPr>
              <w:t>”</w:t>
            </w:r>
            <w:r>
              <w:rPr>
                <w:sz w:val="28"/>
                <w:szCs w:val="28"/>
              </w:rPr>
              <w:t>，防范打击黑恶势力、宗族恶势力扰乱基层治理，严厉打击黄赌毒盗拐骗等违法犯罪活动。</w:t>
            </w:r>
          </w:p>
        </w:tc>
      </w:tr>
    </w:tbl>
    <w:p w14:paraId="5516641C">
      <w:pPr>
        <w:rPr>
          <w:rFonts w:eastAsia="方正黑体_GBK"/>
        </w:rPr>
      </w:pPr>
      <w:bookmarkStart w:id="279" w:name="_Toc17552"/>
      <w:r>
        <w:rPr>
          <w:rFonts w:eastAsia="方正黑体_GBK"/>
        </w:rPr>
        <w:br w:type="page"/>
      </w:r>
    </w:p>
    <w:p w14:paraId="13050FB4">
      <w:pPr>
        <w:pStyle w:val="3"/>
        <w:spacing w:line="480" w:lineRule="exact"/>
        <w:jc w:val="center"/>
        <w:rPr>
          <w:rFonts w:ascii="Times New Roman" w:hAnsi="Times New Roman" w:eastAsia="方正黑体_GBK"/>
          <w:b w:val="0"/>
          <w:bCs w:val="0"/>
          <w:kern w:val="2"/>
        </w:rPr>
      </w:pPr>
      <w:r>
        <w:rPr>
          <w:rFonts w:ascii="Times New Roman" w:hAnsi="Times New Roman" w:eastAsia="方正黑体_GBK"/>
          <w:b w:val="0"/>
          <w:bCs w:val="0"/>
          <w:kern w:val="2"/>
        </w:rPr>
        <w:t>第九篇 持续保障改善民生</w:t>
      </w:r>
      <w:bookmarkEnd w:id="279"/>
    </w:p>
    <w:p w14:paraId="608F329C">
      <w:pPr>
        <w:spacing w:line="480" w:lineRule="exact"/>
      </w:pPr>
    </w:p>
    <w:p w14:paraId="7CFFE610">
      <w:pPr>
        <w:spacing w:line="480" w:lineRule="exact"/>
        <w:ind w:firstLine="560" w:firstLineChars="200"/>
        <w:rPr>
          <w:kern w:val="0"/>
          <w:sz w:val="28"/>
          <w:szCs w:val="28"/>
        </w:rPr>
      </w:pPr>
      <w:r>
        <w:rPr>
          <w:kern w:val="0"/>
          <w:sz w:val="28"/>
          <w:szCs w:val="28"/>
        </w:rPr>
        <w:t>提高农民生活品质需要持续增加农民收入，完善乡村基础设施和公共服务，满足农民群众日益增长的美好生活需要，提升农民群众的幸福感和获得感。针对城口发展现状和迫切需求，将重点放在完善交通基础设施和拓宽农民增收渠道上。</w:t>
      </w:r>
      <w:bookmarkStart w:id="280" w:name="_Toc521853604"/>
      <w:bookmarkStart w:id="281" w:name="_Toc521865120"/>
      <w:bookmarkStart w:id="282" w:name="_Toc522043065"/>
      <w:bookmarkStart w:id="283" w:name="_Toc521352325"/>
      <w:bookmarkStart w:id="284" w:name="_Toc519079813"/>
    </w:p>
    <w:p w14:paraId="4528F02C">
      <w:pPr>
        <w:spacing w:line="480" w:lineRule="exact"/>
        <w:rPr>
          <w:rFonts w:eastAsia="宋体"/>
          <w:kern w:val="0"/>
          <w:sz w:val="28"/>
          <w:szCs w:val="28"/>
        </w:rPr>
      </w:pPr>
    </w:p>
    <w:p w14:paraId="448F557E">
      <w:pPr>
        <w:pStyle w:val="4"/>
        <w:spacing w:line="480" w:lineRule="exact"/>
        <w:ind w:firstLine="0"/>
        <w:rPr>
          <w:bCs w:val="0"/>
          <w:sz w:val="36"/>
          <w:szCs w:val="36"/>
        </w:rPr>
      </w:pPr>
      <w:bookmarkStart w:id="285" w:name="_Toc521865027"/>
      <w:bookmarkStart w:id="286" w:name="_Toc521352238"/>
      <w:bookmarkStart w:id="287" w:name="_Toc519079804"/>
      <w:bookmarkStart w:id="288" w:name="_Toc522042972"/>
      <w:bookmarkStart w:id="289" w:name="_Toc521853511"/>
      <w:bookmarkStart w:id="290" w:name="_Toc6864"/>
      <w:r>
        <w:rPr>
          <w:bCs w:val="0"/>
          <w:sz w:val="36"/>
          <w:szCs w:val="36"/>
        </w:rPr>
        <w:t xml:space="preserve">第二十七章  </w:t>
      </w:r>
      <w:bookmarkEnd w:id="285"/>
      <w:bookmarkEnd w:id="286"/>
      <w:bookmarkEnd w:id="287"/>
      <w:bookmarkEnd w:id="288"/>
      <w:bookmarkEnd w:id="289"/>
      <w:r>
        <w:rPr>
          <w:bCs w:val="0"/>
          <w:sz w:val="36"/>
          <w:szCs w:val="36"/>
        </w:rPr>
        <w:t>巩固拓展脱贫攻坚成果同乡村振兴</w:t>
      </w:r>
    </w:p>
    <w:p w14:paraId="0355D152">
      <w:pPr>
        <w:pStyle w:val="4"/>
        <w:spacing w:line="480" w:lineRule="exact"/>
        <w:ind w:firstLine="0"/>
        <w:rPr>
          <w:bCs w:val="0"/>
          <w:sz w:val="36"/>
          <w:szCs w:val="36"/>
        </w:rPr>
      </w:pPr>
      <w:r>
        <w:rPr>
          <w:bCs w:val="0"/>
          <w:sz w:val="36"/>
          <w:szCs w:val="36"/>
        </w:rPr>
        <w:t>有效衔接</w:t>
      </w:r>
      <w:bookmarkEnd w:id="290"/>
    </w:p>
    <w:p w14:paraId="1E1D3AC9">
      <w:pPr>
        <w:spacing w:line="480" w:lineRule="exact"/>
      </w:pPr>
    </w:p>
    <w:p w14:paraId="57FE4C39">
      <w:pPr>
        <w:spacing w:line="480" w:lineRule="exact"/>
        <w:ind w:firstLine="560" w:firstLineChars="200"/>
        <w:rPr>
          <w:kern w:val="0"/>
          <w:sz w:val="28"/>
          <w:szCs w:val="28"/>
        </w:rPr>
      </w:pPr>
      <w:r>
        <w:rPr>
          <w:kern w:val="0"/>
          <w:sz w:val="28"/>
          <w:szCs w:val="28"/>
        </w:rPr>
        <w:t>在2020年实现全县脱贫摘帽基础之上，继续巩固深化脱贫攻坚成果，建立健全巩固脱贫攻坚成果长效机制，持续激发脱贫群众发展的内生动力和增收能力，形成防止致贫返贫体制机制，实现</w:t>
      </w:r>
      <w:r>
        <w:rPr>
          <w:rFonts w:hint="eastAsia"/>
          <w:kern w:val="0"/>
          <w:sz w:val="28"/>
          <w:szCs w:val="28"/>
          <w:lang w:eastAsia="zh-CN"/>
        </w:rPr>
        <w:t>巩固拓展脱贫攻坚成果同乡村振兴有效衔接</w:t>
      </w:r>
      <w:r>
        <w:rPr>
          <w:kern w:val="0"/>
          <w:sz w:val="28"/>
          <w:szCs w:val="28"/>
        </w:rPr>
        <w:t>。</w:t>
      </w:r>
    </w:p>
    <w:p w14:paraId="79AD7A13">
      <w:pPr>
        <w:pStyle w:val="5"/>
        <w:spacing w:line="480" w:lineRule="exact"/>
        <w:jc w:val="center"/>
        <w:rPr>
          <w:rFonts w:eastAsia="方正黑体_GBK"/>
          <w:b w:val="0"/>
          <w:bCs w:val="0"/>
          <w:sz w:val="28"/>
          <w:szCs w:val="28"/>
        </w:rPr>
      </w:pPr>
      <w:bookmarkStart w:id="291" w:name="_Toc512339955"/>
      <w:bookmarkStart w:id="292" w:name="_Toc521853512"/>
      <w:bookmarkStart w:id="293" w:name="_Toc521352239"/>
      <w:bookmarkStart w:id="294" w:name="_Toc519079805"/>
      <w:bookmarkStart w:id="295" w:name="_Toc24710"/>
      <w:bookmarkStart w:id="296" w:name="_Toc522042973"/>
      <w:bookmarkStart w:id="297" w:name="_Toc521865028"/>
      <w:bookmarkStart w:id="298" w:name="_Toc512339956"/>
      <w:r>
        <w:rPr>
          <w:rFonts w:eastAsia="方正黑体_GBK"/>
          <w:b w:val="0"/>
          <w:bCs w:val="0"/>
          <w:sz w:val="28"/>
          <w:szCs w:val="28"/>
        </w:rPr>
        <w:t>第一节  建立健全巩固脱贫攻坚成果长效机制</w:t>
      </w:r>
      <w:bookmarkEnd w:id="291"/>
      <w:bookmarkEnd w:id="292"/>
      <w:bookmarkEnd w:id="293"/>
      <w:bookmarkEnd w:id="294"/>
      <w:bookmarkEnd w:id="295"/>
      <w:bookmarkEnd w:id="296"/>
      <w:bookmarkEnd w:id="297"/>
    </w:p>
    <w:p w14:paraId="00C69BEA">
      <w:pPr>
        <w:spacing w:line="480" w:lineRule="exact"/>
        <w:rPr>
          <w:kern w:val="0"/>
          <w:sz w:val="28"/>
          <w:szCs w:val="28"/>
        </w:rPr>
      </w:pPr>
      <w:r>
        <w:rPr>
          <w:rFonts w:eastAsia="宋体"/>
          <w:kern w:val="0"/>
          <w:sz w:val="28"/>
          <w:szCs w:val="28"/>
        </w:rPr>
        <w:t xml:space="preserve">    </w:t>
      </w:r>
      <w:r>
        <w:rPr>
          <w:kern w:val="0"/>
          <w:sz w:val="28"/>
          <w:szCs w:val="28"/>
        </w:rPr>
        <w:t xml:space="preserve"> 建立健全巩固脱贫攻坚成果长效机制。严格落实</w:t>
      </w:r>
      <w:r>
        <w:rPr>
          <w:rFonts w:hint="eastAsia"/>
          <w:kern w:val="0"/>
          <w:sz w:val="28"/>
          <w:szCs w:val="28"/>
        </w:rPr>
        <w:t>“</w:t>
      </w:r>
      <w:r>
        <w:rPr>
          <w:kern w:val="0"/>
          <w:sz w:val="28"/>
          <w:szCs w:val="28"/>
        </w:rPr>
        <w:t>四个不摘</w:t>
      </w:r>
      <w:r>
        <w:rPr>
          <w:rFonts w:hint="eastAsia"/>
          <w:kern w:val="0"/>
          <w:sz w:val="28"/>
          <w:szCs w:val="28"/>
        </w:rPr>
        <w:t>”</w:t>
      </w:r>
      <w:r>
        <w:rPr>
          <w:kern w:val="0"/>
          <w:sz w:val="28"/>
          <w:szCs w:val="28"/>
        </w:rPr>
        <w:t>要求，保持帮扶队伍、政策措施、攻坚力量稳定不变。有序提档升级脱贫乡镇、脱贫村基础设施建设和公共服务水平，继续在教育、医疗、住房、饮水等基本民生领域发力，优化完善就业、创业和产业等发展类政策。健全防止返贫动态监测和帮扶机制，对脱贫不稳定户、边缘易致贫户进行常态化监测，将收入水平变化和</w:t>
      </w:r>
      <w:r>
        <w:rPr>
          <w:rFonts w:hint="eastAsia"/>
          <w:kern w:val="0"/>
          <w:sz w:val="28"/>
          <w:szCs w:val="28"/>
        </w:rPr>
        <w:t>“</w:t>
      </w:r>
      <w:r>
        <w:rPr>
          <w:kern w:val="0"/>
          <w:sz w:val="28"/>
          <w:szCs w:val="28"/>
        </w:rPr>
        <w:t>两不愁三保障</w:t>
      </w:r>
      <w:r>
        <w:rPr>
          <w:rFonts w:hint="eastAsia"/>
          <w:kern w:val="0"/>
          <w:sz w:val="28"/>
          <w:szCs w:val="28"/>
        </w:rPr>
        <w:t>”</w:t>
      </w:r>
      <w:r>
        <w:rPr>
          <w:kern w:val="0"/>
          <w:sz w:val="28"/>
          <w:szCs w:val="28"/>
        </w:rPr>
        <w:t>巩固情况作为重点监测指标，对发现的问题进行动态清零。重点做好易地扶贫搬迁后续扶持工作，从配套基础设施、产业就业、基本公共服务等方面强化政策扶持，确保搬迁群众稳得住、有就业、逐步能致富。积极推广以工代赈方式，加强扶贫资产管理和监管，摸清经营性与非经营性资产底数，厘清产权关系，做好资产管护，探索资产增值渠道。</w:t>
      </w:r>
    </w:p>
    <w:p w14:paraId="138EC825">
      <w:pPr>
        <w:pStyle w:val="5"/>
        <w:spacing w:line="480" w:lineRule="exact"/>
        <w:jc w:val="center"/>
        <w:rPr>
          <w:rFonts w:eastAsia="方正黑体_GBK"/>
          <w:b w:val="0"/>
          <w:bCs w:val="0"/>
          <w:sz w:val="28"/>
          <w:szCs w:val="28"/>
        </w:rPr>
      </w:pPr>
      <w:bookmarkStart w:id="299" w:name="_Toc521352240"/>
      <w:bookmarkStart w:id="300" w:name="_Toc519079806"/>
      <w:bookmarkStart w:id="301" w:name="_Toc12919"/>
      <w:bookmarkStart w:id="302" w:name="_Toc521853513"/>
      <w:bookmarkStart w:id="303" w:name="_Toc521865029"/>
      <w:bookmarkStart w:id="304" w:name="_Toc522042974"/>
      <w:r>
        <w:rPr>
          <w:rFonts w:eastAsia="方正黑体_GBK"/>
          <w:b w:val="0"/>
          <w:bCs w:val="0"/>
          <w:sz w:val="28"/>
          <w:szCs w:val="28"/>
        </w:rPr>
        <w:t>第二节  持久激发脱贫群众内生动力</w:t>
      </w:r>
      <w:bookmarkEnd w:id="298"/>
      <w:bookmarkEnd w:id="299"/>
      <w:bookmarkEnd w:id="300"/>
      <w:bookmarkEnd w:id="301"/>
      <w:bookmarkEnd w:id="302"/>
      <w:bookmarkEnd w:id="303"/>
      <w:bookmarkEnd w:id="304"/>
    </w:p>
    <w:p w14:paraId="4C91DA85">
      <w:pPr>
        <w:spacing w:line="480" w:lineRule="exact"/>
        <w:ind w:firstLine="560" w:firstLineChars="200"/>
        <w:rPr>
          <w:kern w:val="0"/>
          <w:sz w:val="28"/>
          <w:szCs w:val="28"/>
        </w:rPr>
      </w:pPr>
      <w:r>
        <w:rPr>
          <w:kern w:val="0"/>
          <w:sz w:val="28"/>
          <w:szCs w:val="28"/>
        </w:rPr>
        <w:t>坚持扶贫同扶志、扶智相结合，继续实施扶贫扶志行动。广泛开展</w:t>
      </w:r>
      <w:r>
        <w:rPr>
          <w:rFonts w:hint="eastAsia"/>
          <w:kern w:val="0"/>
          <w:sz w:val="28"/>
          <w:szCs w:val="28"/>
        </w:rPr>
        <w:t>“</w:t>
      </w:r>
      <w:r>
        <w:rPr>
          <w:kern w:val="0"/>
          <w:sz w:val="28"/>
          <w:szCs w:val="28"/>
        </w:rPr>
        <w:t>身边的脱贫故事</w:t>
      </w:r>
      <w:r>
        <w:rPr>
          <w:rFonts w:hint="eastAsia"/>
          <w:kern w:val="0"/>
          <w:sz w:val="28"/>
          <w:szCs w:val="28"/>
        </w:rPr>
        <w:t>”</w:t>
      </w:r>
      <w:r>
        <w:rPr>
          <w:kern w:val="0"/>
          <w:sz w:val="28"/>
          <w:szCs w:val="28"/>
        </w:rPr>
        <w:t>微访谈、</w:t>
      </w:r>
      <w:r>
        <w:rPr>
          <w:rFonts w:hint="eastAsia"/>
          <w:kern w:val="0"/>
          <w:sz w:val="28"/>
          <w:szCs w:val="28"/>
        </w:rPr>
        <w:t>“</w:t>
      </w:r>
      <w:r>
        <w:rPr>
          <w:kern w:val="0"/>
          <w:sz w:val="28"/>
          <w:szCs w:val="28"/>
        </w:rPr>
        <w:t>榜样面对面</w:t>
      </w:r>
      <w:r>
        <w:rPr>
          <w:rFonts w:hint="eastAsia"/>
          <w:kern w:val="0"/>
          <w:sz w:val="28"/>
          <w:szCs w:val="28"/>
        </w:rPr>
        <w:t>”</w:t>
      </w:r>
      <w:r>
        <w:rPr>
          <w:kern w:val="0"/>
          <w:sz w:val="28"/>
          <w:szCs w:val="28"/>
        </w:rPr>
        <w:t>基层宣讲活动，用榜样的力量激发脱贫村、脱贫农户继续巩固成果，将脱贫攻坚精神转化为推进乡村振兴的强大动力。总结脱贫攻坚过程中践行群众路线的好方法、好经验，应用于全面推进乡村振兴实践。鼓励脱贫村逐步转变发展思路，从实现</w:t>
      </w:r>
      <w:r>
        <w:rPr>
          <w:rFonts w:hint="eastAsia"/>
          <w:kern w:val="0"/>
          <w:sz w:val="28"/>
          <w:szCs w:val="28"/>
        </w:rPr>
        <w:t>“</w:t>
      </w:r>
      <w:r>
        <w:rPr>
          <w:kern w:val="0"/>
          <w:sz w:val="28"/>
          <w:szCs w:val="28"/>
        </w:rPr>
        <w:t>两不愁三保障</w:t>
      </w:r>
      <w:r>
        <w:rPr>
          <w:rFonts w:hint="eastAsia"/>
          <w:kern w:val="0"/>
          <w:sz w:val="28"/>
          <w:szCs w:val="28"/>
        </w:rPr>
        <w:t>”</w:t>
      </w:r>
      <w:r>
        <w:rPr>
          <w:kern w:val="0"/>
          <w:sz w:val="28"/>
          <w:szCs w:val="28"/>
        </w:rPr>
        <w:t>转向推动脱贫攻坚与乡村振兴有效衔接，助推乡村全面振兴。支持脱贫户在坚持上进自强优良精神基础上进一步培育开拓创新精神，在乡村振兴过程中实现家庭与个人的全面发展。</w:t>
      </w:r>
    </w:p>
    <w:p w14:paraId="6AACC8E3">
      <w:pPr>
        <w:pStyle w:val="5"/>
        <w:spacing w:line="480" w:lineRule="exact"/>
        <w:jc w:val="center"/>
        <w:rPr>
          <w:rFonts w:eastAsia="方正黑体_GBK"/>
          <w:b w:val="0"/>
          <w:bCs w:val="0"/>
          <w:sz w:val="28"/>
          <w:szCs w:val="28"/>
        </w:rPr>
      </w:pPr>
      <w:bookmarkStart w:id="305" w:name="_Toc7707"/>
      <w:r>
        <w:rPr>
          <w:rFonts w:eastAsia="方正黑体_GBK"/>
          <w:b w:val="0"/>
          <w:bCs w:val="0"/>
          <w:sz w:val="28"/>
          <w:szCs w:val="28"/>
        </w:rPr>
        <w:t>第三节 做好巩固拓展脱贫攻坚成果同乡村振兴有效衔接重点工作</w:t>
      </w:r>
      <w:bookmarkEnd w:id="305"/>
    </w:p>
    <w:p w14:paraId="2914EE63">
      <w:pPr>
        <w:spacing w:line="480" w:lineRule="exact"/>
        <w:rPr>
          <w:kern w:val="0"/>
          <w:sz w:val="28"/>
          <w:szCs w:val="28"/>
        </w:rPr>
      </w:pPr>
      <w:r>
        <w:rPr>
          <w:rFonts w:eastAsia="黑体"/>
          <w:sz w:val="28"/>
          <w:szCs w:val="28"/>
        </w:rPr>
        <w:t xml:space="preserve">   </w:t>
      </w:r>
      <w:r>
        <w:rPr>
          <w:rFonts w:eastAsia="宋体"/>
          <w:kern w:val="0"/>
          <w:sz w:val="28"/>
          <w:szCs w:val="28"/>
        </w:rPr>
        <w:t xml:space="preserve"> </w:t>
      </w:r>
      <w:r>
        <w:rPr>
          <w:kern w:val="0"/>
          <w:sz w:val="28"/>
          <w:szCs w:val="28"/>
        </w:rPr>
        <w:t>推动脱贫工作体系全面转向乡村振兴。做好领导体系、发展规划、政策举措、考核机制等有效衔接，全面落实</w:t>
      </w:r>
      <w:r>
        <w:rPr>
          <w:rFonts w:hint="eastAsia"/>
          <w:kern w:val="0"/>
          <w:sz w:val="28"/>
          <w:szCs w:val="28"/>
        </w:rPr>
        <w:t>“</w:t>
      </w:r>
      <w:r>
        <w:rPr>
          <w:kern w:val="0"/>
          <w:sz w:val="28"/>
          <w:szCs w:val="28"/>
        </w:rPr>
        <w:t>五大振兴</w:t>
      </w:r>
      <w:r>
        <w:rPr>
          <w:rFonts w:hint="eastAsia"/>
          <w:kern w:val="0"/>
          <w:sz w:val="28"/>
          <w:szCs w:val="28"/>
        </w:rPr>
        <w:t>”</w:t>
      </w:r>
      <w:r>
        <w:rPr>
          <w:kern w:val="0"/>
          <w:sz w:val="28"/>
          <w:szCs w:val="28"/>
        </w:rPr>
        <w:t>任务，从解决建档立卡贫困人口</w:t>
      </w:r>
      <w:r>
        <w:rPr>
          <w:rFonts w:hint="eastAsia"/>
          <w:kern w:val="0"/>
          <w:sz w:val="28"/>
          <w:szCs w:val="28"/>
        </w:rPr>
        <w:t>“</w:t>
      </w:r>
      <w:r>
        <w:rPr>
          <w:kern w:val="0"/>
          <w:sz w:val="28"/>
          <w:szCs w:val="28"/>
        </w:rPr>
        <w:t>两不愁三保障</w:t>
      </w:r>
      <w:r>
        <w:rPr>
          <w:rFonts w:hint="eastAsia"/>
          <w:kern w:val="0"/>
          <w:sz w:val="28"/>
          <w:szCs w:val="28"/>
        </w:rPr>
        <w:t>”</w:t>
      </w:r>
      <w:r>
        <w:rPr>
          <w:kern w:val="0"/>
          <w:sz w:val="28"/>
          <w:szCs w:val="28"/>
        </w:rPr>
        <w:t>为重点转向实现乡村产业兴旺、生态宜居、乡风文明、治理有效、生活富裕，从集中资源支持脱贫攻坚转向巩固脱贫攻坚成果和全面推进乡村振兴，从特殊性政策支持转向普惠性、均衡性政策支持。尊重市场规则和产业发展规律，注重对扶贫产业的长期培育和系统支持，逐步形成产业规模、拓展产业链条、实现产业融合、完善产业体系，推动产业扶贫向产业振兴提升。继续用好东西部协作、中央定点帮扶等帮扶机制，用好扶贫车间和公益性岗位政策，加强脱贫人口就业技能培训，促进其稳定就业。按照乡村建设行动要求，持续加大对农村基础设施建设投入力度，持续提升公共服务水平。加强人才、文化、生态和组织等领域建设，促进乡村全面发展。争取政策、资源、资金等支持，积极创建脱贫攻坚与乡村振兴有效衔接示范县，确定一批乡村振兴乡镇和村社区给予重点支持，推动鸡鸣、沿河创建脱贫攻坚与乡村振兴有效衔接示范乡镇。不断巩固脱贫成果，增强内生发展动力。</w:t>
      </w:r>
    </w:p>
    <w:p w14:paraId="465E93BE">
      <w:pPr>
        <w:spacing w:line="480" w:lineRule="exact"/>
      </w:pPr>
    </w:p>
    <w:p w14:paraId="703AC791">
      <w:pPr>
        <w:adjustRightInd w:val="0"/>
        <w:snapToGrid w:val="0"/>
        <w:spacing w:line="480" w:lineRule="exact"/>
        <w:jc w:val="center"/>
        <w:outlineLvl w:val="1"/>
        <w:rPr>
          <w:rFonts w:eastAsia="方正黑体_GBK"/>
          <w:sz w:val="36"/>
          <w:szCs w:val="36"/>
        </w:rPr>
      </w:pPr>
      <w:bookmarkStart w:id="306" w:name="_Toc5817"/>
      <w:r>
        <w:rPr>
          <w:rFonts w:eastAsia="方正黑体_GBK"/>
          <w:sz w:val="36"/>
          <w:szCs w:val="36"/>
        </w:rPr>
        <w:t>第二十八章  完善乡村基础设施</w:t>
      </w:r>
      <w:bookmarkEnd w:id="280"/>
      <w:bookmarkEnd w:id="281"/>
      <w:bookmarkEnd w:id="282"/>
      <w:bookmarkEnd w:id="283"/>
      <w:bookmarkEnd w:id="284"/>
      <w:r>
        <w:rPr>
          <w:rFonts w:eastAsia="方正黑体_GBK"/>
          <w:sz w:val="36"/>
          <w:szCs w:val="36"/>
        </w:rPr>
        <w:t>建设</w:t>
      </w:r>
      <w:bookmarkEnd w:id="306"/>
    </w:p>
    <w:p w14:paraId="45AE8E13">
      <w:pPr>
        <w:adjustRightInd w:val="0"/>
        <w:snapToGrid w:val="0"/>
        <w:spacing w:line="480" w:lineRule="exact"/>
        <w:ind w:firstLine="560" w:firstLineChars="200"/>
        <w:jc w:val="center"/>
        <w:rPr>
          <w:rFonts w:eastAsia="黑体"/>
          <w:sz w:val="28"/>
          <w:szCs w:val="28"/>
        </w:rPr>
      </w:pPr>
    </w:p>
    <w:p w14:paraId="67AB69BE">
      <w:pPr>
        <w:spacing w:line="480" w:lineRule="exact"/>
        <w:ind w:firstLine="560" w:firstLineChars="200"/>
        <w:rPr>
          <w:kern w:val="0"/>
          <w:sz w:val="28"/>
          <w:szCs w:val="28"/>
        </w:rPr>
      </w:pPr>
      <w:r>
        <w:rPr>
          <w:kern w:val="0"/>
          <w:sz w:val="28"/>
          <w:szCs w:val="28"/>
        </w:rPr>
        <w:t>全面有序推进乡村建设行动。继续加强农村基础设施建设，加大投入力度，加快交通物流、水利、能源、信息等重大工程建设，补齐农村基础设施短板。</w:t>
      </w:r>
      <w:bookmarkStart w:id="307" w:name="_Toc519079814"/>
      <w:bookmarkStart w:id="308" w:name="_Toc522043066"/>
      <w:bookmarkStart w:id="309" w:name="_Toc521853605"/>
      <w:bookmarkStart w:id="310" w:name="_Toc521352326"/>
      <w:bookmarkStart w:id="311" w:name="_Toc521865121"/>
    </w:p>
    <w:p w14:paraId="20261C92">
      <w:pPr>
        <w:pStyle w:val="5"/>
        <w:spacing w:line="480" w:lineRule="exact"/>
        <w:jc w:val="center"/>
        <w:rPr>
          <w:rFonts w:eastAsia="方正黑体_GBK"/>
          <w:b w:val="0"/>
          <w:bCs w:val="0"/>
          <w:sz w:val="28"/>
          <w:szCs w:val="28"/>
        </w:rPr>
      </w:pPr>
      <w:bookmarkStart w:id="312" w:name="_Toc6767"/>
      <w:r>
        <w:rPr>
          <w:rFonts w:eastAsia="方正黑体_GBK"/>
          <w:b w:val="0"/>
          <w:bCs w:val="0"/>
          <w:sz w:val="28"/>
          <w:szCs w:val="28"/>
        </w:rPr>
        <w:t>第一节  改善农村交通基础设施和物流条件</w:t>
      </w:r>
      <w:bookmarkEnd w:id="307"/>
      <w:bookmarkEnd w:id="308"/>
      <w:bookmarkEnd w:id="309"/>
      <w:bookmarkEnd w:id="310"/>
      <w:bookmarkEnd w:id="311"/>
      <w:bookmarkEnd w:id="312"/>
    </w:p>
    <w:p w14:paraId="6B0F63D4">
      <w:pPr>
        <w:spacing w:line="480" w:lineRule="exact"/>
        <w:ind w:firstLine="560" w:firstLineChars="200"/>
        <w:rPr>
          <w:rFonts w:eastAsia="方正黑体_GBK"/>
          <w:sz w:val="28"/>
          <w:szCs w:val="28"/>
        </w:rPr>
      </w:pPr>
      <w:r>
        <w:rPr>
          <w:kern w:val="0"/>
          <w:sz w:val="28"/>
          <w:szCs w:val="28"/>
        </w:rPr>
        <w:t>抓好</w:t>
      </w:r>
      <w:r>
        <w:rPr>
          <w:rFonts w:hint="eastAsia"/>
          <w:kern w:val="0"/>
          <w:sz w:val="28"/>
          <w:szCs w:val="28"/>
        </w:rPr>
        <w:t>“</w:t>
      </w:r>
      <w:r>
        <w:rPr>
          <w:kern w:val="0"/>
          <w:sz w:val="28"/>
          <w:szCs w:val="28"/>
        </w:rPr>
        <w:t>四好农村路</w:t>
      </w:r>
      <w:r>
        <w:rPr>
          <w:rFonts w:hint="eastAsia"/>
          <w:kern w:val="0"/>
          <w:sz w:val="28"/>
          <w:szCs w:val="28"/>
        </w:rPr>
        <w:t>”</w:t>
      </w:r>
      <w:r>
        <w:rPr>
          <w:kern w:val="0"/>
          <w:sz w:val="28"/>
          <w:szCs w:val="28"/>
        </w:rPr>
        <w:t>建设和管护，深入实施通达通畅</w:t>
      </w:r>
      <w:r>
        <w:rPr>
          <w:rFonts w:hint="eastAsia"/>
          <w:kern w:val="0"/>
          <w:sz w:val="28"/>
          <w:szCs w:val="28"/>
        </w:rPr>
        <w:t>“</w:t>
      </w:r>
      <w:r>
        <w:rPr>
          <w:kern w:val="0"/>
          <w:sz w:val="28"/>
          <w:szCs w:val="28"/>
        </w:rPr>
        <w:t>村入户</w:t>
      </w:r>
      <w:r>
        <w:rPr>
          <w:rFonts w:hint="eastAsia"/>
          <w:kern w:val="0"/>
          <w:sz w:val="28"/>
          <w:szCs w:val="28"/>
        </w:rPr>
        <w:t>”</w:t>
      </w:r>
      <w:r>
        <w:rPr>
          <w:kern w:val="0"/>
          <w:sz w:val="28"/>
          <w:szCs w:val="28"/>
        </w:rPr>
        <w:t>进工程，新建和改建一批产业路、旅游路。到2025年，力争实现国道二级及以上比重达到80%，普通省道三级及以上比重达到65%，普通干线公路安保设施覆盖率达到100%，入户道路通达率、具备条件路段增设错车道率达到100%，实现县内</w:t>
      </w:r>
      <w:r>
        <w:rPr>
          <w:rFonts w:hint="eastAsia"/>
          <w:kern w:val="0"/>
          <w:sz w:val="28"/>
          <w:szCs w:val="28"/>
        </w:rPr>
        <w:t>“</w:t>
      </w:r>
      <w:r>
        <w:rPr>
          <w:kern w:val="0"/>
          <w:sz w:val="28"/>
          <w:szCs w:val="28"/>
        </w:rPr>
        <w:t>1小时通勤</w:t>
      </w:r>
      <w:r>
        <w:rPr>
          <w:rFonts w:hint="eastAsia"/>
          <w:kern w:val="0"/>
          <w:sz w:val="28"/>
          <w:szCs w:val="28"/>
        </w:rPr>
        <w:t>”</w:t>
      </w:r>
      <w:r>
        <w:rPr>
          <w:kern w:val="0"/>
          <w:sz w:val="28"/>
          <w:szCs w:val="28"/>
        </w:rPr>
        <w:t>目标</w:t>
      </w:r>
      <w:r>
        <w:rPr>
          <w:rFonts w:hint="eastAsia"/>
          <w:kern w:val="0"/>
          <w:sz w:val="28"/>
          <w:szCs w:val="28"/>
        </w:rPr>
        <w:t>。</w:t>
      </w:r>
      <w:r>
        <w:rPr>
          <w:kern w:val="0"/>
          <w:sz w:val="28"/>
          <w:szCs w:val="28"/>
        </w:rPr>
        <w:t>深入实施错车道建设，因地制宜对局部路段增设错车道，全面启动建制村</w:t>
      </w:r>
      <w:r>
        <w:rPr>
          <w:rFonts w:hint="eastAsia"/>
          <w:kern w:val="0"/>
          <w:sz w:val="28"/>
          <w:szCs w:val="28"/>
        </w:rPr>
        <w:t>“</w:t>
      </w:r>
      <w:r>
        <w:rPr>
          <w:kern w:val="0"/>
          <w:sz w:val="28"/>
          <w:szCs w:val="28"/>
        </w:rPr>
        <w:t>双车道</w:t>
      </w:r>
      <w:r>
        <w:rPr>
          <w:rFonts w:hint="eastAsia"/>
          <w:kern w:val="0"/>
          <w:sz w:val="28"/>
          <w:szCs w:val="28"/>
        </w:rPr>
        <w:t>”</w:t>
      </w:r>
      <w:r>
        <w:rPr>
          <w:kern w:val="0"/>
          <w:sz w:val="28"/>
          <w:szCs w:val="28"/>
        </w:rPr>
        <w:t>工程。深入实施资源路建设，结合乡村旅游、生态农业、中药材、矿产等县域特色产业，加快实施</w:t>
      </w:r>
      <w:r>
        <w:rPr>
          <w:rFonts w:hint="eastAsia"/>
          <w:kern w:val="0"/>
          <w:sz w:val="28"/>
          <w:szCs w:val="28"/>
        </w:rPr>
        <w:t>“</w:t>
      </w:r>
      <w:r>
        <w:rPr>
          <w:kern w:val="0"/>
          <w:sz w:val="28"/>
          <w:szCs w:val="28"/>
        </w:rPr>
        <w:t>交通+</w:t>
      </w:r>
      <w:r>
        <w:rPr>
          <w:rFonts w:hint="eastAsia"/>
          <w:kern w:val="0"/>
          <w:sz w:val="28"/>
          <w:szCs w:val="28"/>
        </w:rPr>
        <w:t>”</w:t>
      </w:r>
      <w:r>
        <w:rPr>
          <w:kern w:val="0"/>
          <w:sz w:val="28"/>
          <w:szCs w:val="28"/>
        </w:rPr>
        <w:t>工程，全面助力乡村振兴，到2025年全县乡村旅游点、生态农业基地、矿产基地实现等级公路连接，基本消除瓶颈路、断头路、卡脖子路。以服务带动产业发展、便捷居民生产生活为目标，加快推动县域内部公路成环成网、互联互通。改（新）建G211庙坝至蓼子、S201左岚至巴山等一批国省道和重要连接道，加快构建县城与修齐、北屏、高燕、龙田等周边乡镇的城市核心交通网络</w:t>
      </w:r>
      <w:r>
        <w:rPr>
          <w:rFonts w:hint="eastAsia"/>
          <w:kern w:val="0"/>
          <w:sz w:val="28"/>
          <w:szCs w:val="28"/>
        </w:rPr>
        <w:t>。</w:t>
      </w:r>
      <w:r>
        <w:rPr>
          <w:kern w:val="0"/>
          <w:sz w:val="28"/>
          <w:szCs w:val="28"/>
        </w:rPr>
        <w:t>持续深化</w:t>
      </w:r>
      <w:r>
        <w:rPr>
          <w:rFonts w:hint="eastAsia"/>
          <w:kern w:val="0"/>
          <w:sz w:val="28"/>
          <w:szCs w:val="28"/>
        </w:rPr>
        <w:t>“</w:t>
      </w:r>
      <w:r>
        <w:rPr>
          <w:kern w:val="0"/>
          <w:sz w:val="28"/>
          <w:szCs w:val="28"/>
        </w:rPr>
        <w:t>路长制</w:t>
      </w:r>
      <w:r>
        <w:rPr>
          <w:rFonts w:hint="eastAsia"/>
          <w:kern w:val="0"/>
          <w:sz w:val="28"/>
          <w:szCs w:val="28"/>
        </w:rPr>
        <w:t>”</w:t>
      </w:r>
      <w:r>
        <w:rPr>
          <w:kern w:val="0"/>
          <w:sz w:val="28"/>
          <w:szCs w:val="28"/>
        </w:rPr>
        <w:t>。 进一步理顺和完善公路管养职责体系，保护路产路权。持续提升管养水平，完善优化养护站或服务区功能，常态化抓好公路日常养护、预防性养护、小修保养，着力整治公路地灾、危桥危隧，全面加强农村公路管养工作，推行综合养护。加快打造集约高效的现代货运物流服务体系。建成城口货运物流枢纽，利用</w:t>
      </w:r>
      <w:r>
        <w:rPr>
          <w:rFonts w:hint="eastAsia"/>
          <w:kern w:val="0"/>
          <w:sz w:val="28"/>
          <w:szCs w:val="28"/>
        </w:rPr>
        <w:t>“</w:t>
      </w:r>
      <w:r>
        <w:rPr>
          <w:kern w:val="0"/>
          <w:sz w:val="28"/>
          <w:szCs w:val="28"/>
        </w:rPr>
        <w:t>互联网+</w:t>
      </w:r>
      <w:r>
        <w:rPr>
          <w:rFonts w:hint="eastAsia"/>
          <w:kern w:val="0"/>
          <w:sz w:val="28"/>
          <w:szCs w:val="28"/>
        </w:rPr>
        <w:t>”</w:t>
      </w:r>
      <w:r>
        <w:rPr>
          <w:kern w:val="0"/>
          <w:sz w:val="28"/>
          <w:szCs w:val="28"/>
        </w:rPr>
        <w:t>资源，建立深度融合的县乡村三级物流运营体系。规划布局</w:t>
      </w:r>
      <w:r>
        <w:rPr>
          <w:rFonts w:hint="eastAsia"/>
          <w:kern w:val="0"/>
          <w:sz w:val="28"/>
          <w:szCs w:val="28"/>
        </w:rPr>
        <w:t>“</w:t>
      </w:r>
      <w:r>
        <w:rPr>
          <w:kern w:val="0"/>
          <w:sz w:val="28"/>
          <w:szCs w:val="28"/>
        </w:rPr>
        <w:t>6+7</w:t>
      </w:r>
      <w:r>
        <w:rPr>
          <w:rFonts w:hint="eastAsia"/>
          <w:kern w:val="0"/>
          <w:sz w:val="28"/>
          <w:szCs w:val="28"/>
        </w:rPr>
        <w:t>”</w:t>
      </w:r>
      <w:r>
        <w:rPr>
          <w:kern w:val="0"/>
          <w:sz w:val="28"/>
          <w:szCs w:val="28"/>
        </w:rPr>
        <w:t>货运枢纽体系，即建成6个一级物流中心（城口高铁物流中心、城口高速公路物流中心、城口县综合货运枢纽站、高燕锰产品物流中心、巴山钡产品物流中心、治平页岩产品物流中心）；7个乡镇（高观、明通、坪坝、巴山、东安、鸡鸣、沿河）三级货运站。加快完善农村物流基础设施末端网络，推进村级物流网点建设，打通农村物流</w:t>
      </w:r>
      <w:r>
        <w:rPr>
          <w:rFonts w:hint="eastAsia"/>
          <w:kern w:val="0"/>
          <w:sz w:val="28"/>
          <w:szCs w:val="28"/>
        </w:rPr>
        <w:t>“</w:t>
      </w:r>
      <w:r>
        <w:rPr>
          <w:kern w:val="0"/>
          <w:sz w:val="28"/>
          <w:szCs w:val="28"/>
        </w:rPr>
        <w:t>最后一公里</w:t>
      </w:r>
      <w:r>
        <w:rPr>
          <w:rFonts w:hint="eastAsia"/>
          <w:kern w:val="0"/>
          <w:sz w:val="28"/>
          <w:szCs w:val="28"/>
        </w:rPr>
        <w:t>”</w:t>
      </w:r>
      <w:r>
        <w:rPr>
          <w:kern w:val="0"/>
          <w:sz w:val="28"/>
          <w:szCs w:val="28"/>
        </w:rPr>
        <w:t>，选择部分有条件的地区建设面向农村地区的共同配送中心。通过建立连接城市和乡村的城乡一体化物流配送系统，推进物流成本下降。</w:t>
      </w:r>
      <w:bookmarkStart w:id="313" w:name="_Toc521865122"/>
      <w:bookmarkStart w:id="314" w:name="_Toc522043067"/>
      <w:bookmarkStart w:id="315" w:name="_Toc521352327"/>
      <w:bookmarkStart w:id="316" w:name="_Toc519079815"/>
      <w:bookmarkStart w:id="317" w:name="_Toc521853606"/>
    </w:p>
    <w:p w14:paraId="173BD3B9">
      <w:pPr>
        <w:pStyle w:val="5"/>
        <w:spacing w:line="480" w:lineRule="exact"/>
        <w:jc w:val="center"/>
        <w:rPr>
          <w:rFonts w:eastAsia="方正黑体_GBK"/>
          <w:b w:val="0"/>
          <w:bCs w:val="0"/>
          <w:sz w:val="28"/>
          <w:szCs w:val="28"/>
        </w:rPr>
      </w:pPr>
      <w:bookmarkStart w:id="318" w:name="_Toc9739"/>
      <w:r>
        <w:rPr>
          <w:rFonts w:eastAsia="方正黑体_GBK"/>
          <w:b w:val="0"/>
          <w:bCs w:val="0"/>
          <w:sz w:val="28"/>
          <w:szCs w:val="28"/>
        </w:rPr>
        <w:t>第二节  加强水利基础设施网络建设</w:t>
      </w:r>
      <w:bookmarkEnd w:id="313"/>
      <w:bookmarkEnd w:id="314"/>
      <w:bookmarkEnd w:id="315"/>
      <w:bookmarkEnd w:id="316"/>
      <w:bookmarkEnd w:id="317"/>
      <w:bookmarkEnd w:id="318"/>
    </w:p>
    <w:p w14:paraId="758680D9">
      <w:pPr>
        <w:pStyle w:val="8"/>
        <w:spacing w:line="480" w:lineRule="exact"/>
        <w:ind w:firstLine="560" w:firstLineChars="200"/>
        <w:rPr>
          <w:rFonts w:eastAsia="方正黑体_GBK"/>
          <w:sz w:val="28"/>
          <w:szCs w:val="28"/>
        </w:rPr>
      </w:pPr>
      <w:r>
        <w:rPr>
          <w:kern w:val="0"/>
          <w:sz w:val="28"/>
          <w:szCs w:val="28"/>
        </w:rPr>
        <w:t>充分利用水利部对口支援城口机遇，推动重大水利工程项目立项和建设，完善农村生产生活水利设施。以保障供水、灌溉和防洪减灾为重点，加强农村水利基础设施网络建设和重要水源地视频监控网络建设。大力实施农村居民饮水巩固提升工程，按照</w:t>
      </w:r>
      <w:r>
        <w:rPr>
          <w:rFonts w:hint="eastAsia"/>
          <w:kern w:val="0"/>
          <w:sz w:val="28"/>
          <w:szCs w:val="28"/>
        </w:rPr>
        <w:t>“</w:t>
      </w:r>
      <w:r>
        <w:rPr>
          <w:kern w:val="0"/>
          <w:sz w:val="28"/>
          <w:szCs w:val="28"/>
        </w:rPr>
        <w:t>水源建设及保护+水处理+管网输送模式+运行管理</w:t>
      </w:r>
      <w:r>
        <w:rPr>
          <w:rFonts w:hint="eastAsia"/>
          <w:kern w:val="0"/>
          <w:sz w:val="28"/>
          <w:szCs w:val="28"/>
        </w:rPr>
        <w:t>”</w:t>
      </w:r>
      <w:r>
        <w:rPr>
          <w:kern w:val="0"/>
          <w:sz w:val="28"/>
          <w:szCs w:val="28"/>
        </w:rPr>
        <w:t>的思路，以集中式供水工程、管网延伸工程、水质净化与消毒设备配套工程及信息化建设为重点，加快建设和改造一批集中供水工程，积极推行城乡供水规范化建设。完善现有农村居民饮水设施长效管理机制。推进中型灌区续建配套与节水改造、小型农田水利项目。实施中小河流重点河段综合治理项目，提升农村防洪安全保障能力。推进农村水利改革。</w:t>
      </w:r>
      <w:bookmarkStart w:id="319" w:name="_Toc519079816"/>
      <w:bookmarkStart w:id="320" w:name="_Toc521865123"/>
      <w:bookmarkStart w:id="321" w:name="_Toc521352328"/>
      <w:bookmarkStart w:id="322" w:name="_Toc521853607"/>
      <w:bookmarkStart w:id="323" w:name="_Toc522043068"/>
    </w:p>
    <w:p w14:paraId="7E95AF10">
      <w:pPr>
        <w:pStyle w:val="5"/>
        <w:spacing w:line="480" w:lineRule="exact"/>
        <w:jc w:val="center"/>
        <w:rPr>
          <w:rFonts w:eastAsia="黑体"/>
          <w:b w:val="0"/>
          <w:bCs w:val="0"/>
          <w:sz w:val="28"/>
          <w:szCs w:val="28"/>
        </w:rPr>
      </w:pPr>
      <w:bookmarkStart w:id="324" w:name="_Toc24751"/>
      <w:r>
        <w:rPr>
          <w:rFonts w:eastAsia="方正黑体_GBK"/>
          <w:b w:val="0"/>
          <w:bCs w:val="0"/>
          <w:sz w:val="28"/>
          <w:szCs w:val="28"/>
        </w:rPr>
        <w:t>第三节  加快构建现代乡村能源</w:t>
      </w:r>
      <w:bookmarkEnd w:id="319"/>
      <w:r>
        <w:rPr>
          <w:rFonts w:eastAsia="方正黑体_GBK"/>
          <w:b w:val="0"/>
          <w:bCs w:val="0"/>
          <w:sz w:val="28"/>
          <w:szCs w:val="28"/>
        </w:rPr>
        <w:t>体系</w:t>
      </w:r>
      <w:bookmarkEnd w:id="320"/>
      <w:bookmarkEnd w:id="321"/>
      <w:bookmarkEnd w:id="322"/>
      <w:bookmarkEnd w:id="323"/>
      <w:bookmarkEnd w:id="324"/>
    </w:p>
    <w:p w14:paraId="6DCB60B9">
      <w:pPr>
        <w:spacing w:line="480" w:lineRule="exact"/>
        <w:ind w:firstLine="560" w:firstLineChars="200"/>
        <w:rPr>
          <w:rFonts w:eastAsia="宋体"/>
          <w:kern w:val="0"/>
          <w:sz w:val="28"/>
          <w:szCs w:val="28"/>
        </w:rPr>
      </w:pPr>
      <w:r>
        <w:rPr>
          <w:kern w:val="0"/>
          <w:sz w:val="28"/>
          <w:szCs w:val="28"/>
        </w:rPr>
        <w:t>深入推进农村能源利用结构调整，构建清洁低碳、安全高效、多能互补的农村能源工业利用体系。优化农村能源供给结构，因地制宜开展生物质能、水能、光伏、风能利用，实现供能方式多元化。分类实施农村电网改造，提高农网负荷和稳定性，满足农村创业需求。支持农村太阳能热水器、太阳能路灯、太阳能杀虫灯等可再生能源产品推广。完善乡镇气源设施建设，推进城镇天然气管网向具备条件的农村延伸。结合畜禽养殖污染治理，加快规模养殖场沼气工程建设，开展农村户用沼气维护，提高农村沼气利用效率。</w:t>
      </w:r>
      <w:bookmarkStart w:id="325" w:name="_Toc521865124"/>
      <w:bookmarkStart w:id="326" w:name="_Toc522043069"/>
      <w:bookmarkStart w:id="327" w:name="_Toc521853608"/>
      <w:bookmarkStart w:id="328" w:name="_Toc519079817"/>
      <w:bookmarkStart w:id="329" w:name="_Toc521352329"/>
    </w:p>
    <w:p w14:paraId="4600DCE9">
      <w:pPr>
        <w:pStyle w:val="5"/>
        <w:spacing w:line="480" w:lineRule="exact"/>
        <w:jc w:val="center"/>
        <w:rPr>
          <w:rFonts w:eastAsia="方正黑体_GBK"/>
          <w:b w:val="0"/>
          <w:bCs w:val="0"/>
          <w:sz w:val="28"/>
          <w:szCs w:val="28"/>
        </w:rPr>
      </w:pPr>
      <w:bookmarkStart w:id="330" w:name="_Toc29510"/>
      <w:r>
        <w:rPr>
          <w:rFonts w:eastAsia="方正黑体_GBK"/>
          <w:b w:val="0"/>
          <w:bCs w:val="0"/>
          <w:sz w:val="28"/>
          <w:szCs w:val="28"/>
        </w:rPr>
        <w:t>第四节  强化</w:t>
      </w:r>
      <w:r>
        <w:rPr>
          <w:rFonts w:hint="eastAsia" w:eastAsia="方正黑体_GBK"/>
          <w:b w:val="0"/>
          <w:bCs w:val="0"/>
          <w:sz w:val="28"/>
          <w:szCs w:val="28"/>
        </w:rPr>
        <w:t>“</w:t>
      </w:r>
      <w:r>
        <w:rPr>
          <w:rFonts w:eastAsia="方正黑体_GBK"/>
          <w:b w:val="0"/>
          <w:bCs w:val="0"/>
          <w:sz w:val="28"/>
          <w:szCs w:val="28"/>
        </w:rPr>
        <w:t>数字乡村</w:t>
      </w:r>
      <w:r>
        <w:rPr>
          <w:rFonts w:hint="eastAsia" w:eastAsia="方正黑体_GBK"/>
          <w:b w:val="0"/>
          <w:bCs w:val="0"/>
          <w:sz w:val="28"/>
          <w:szCs w:val="28"/>
        </w:rPr>
        <w:t>”</w:t>
      </w:r>
      <w:r>
        <w:rPr>
          <w:rFonts w:eastAsia="方正黑体_GBK"/>
          <w:b w:val="0"/>
          <w:bCs w:val="0"/>
          <w:sz w:val="28"/>
          <w:szCs w:val="28"/>
        </w:rPr>
        <w:t>基础支撑</w:t>
      </w:r>
      <w:bookmarkEnd w:id="325"/>
      <w:bookmarkEnd w:id="326"/>
      <w:bookmarkEnd w:id="327"/>
      <w:bookmarkEnd w:id="328"/>
      <w:bookmarkEnd w:id="329"/>
      <w:bookmarkEnd w:id="330"/>
    </w:p>
    <w:p w14:paraId="562853E8">
      <w:pPr>
        <w:spacing w:line="480" w:lineRule="exact"/>
        <w:ind w:firstLine="560" w:firstLineChars="200"/>
        <w:rPr>
          <w:kern w:val="0"/>
          <w:sz w:val="28"/>
          <w:szCs w:val="28"/>
        </w:rPr>
      </w:pPr>
      <w:r>
        <w:rPr>
          <w:kern w:val="0"/>
          <w:sz w:val="28"/>
          <w:szCs w:val="28"/>
        </w:rPr>
        <w:t>加快构建城乡布局合理、均衡发展、功能完善、安全高效的信息通信网络。在行政村通光纤和4G的基础上，根据农村经济发展水平和地理条件，分类分阶段推进光纤和4G等高速宽带网络由行政村向自然村延伸覆盖，实现农村地区人口聚居自然村的光纤和4G网络全覆盖，加大农村地区人口聚居区域5G基站建设力度，推进5G融合应用。深入实施信息乡村建设，实施信息下乡、信息进村工作，提升全县农村地区信息化应用水平。推进</w:t>
      </w:r>
      <w:r>
        <w:rPr>
          <w:rFonts w:hint="eastAsia"/>
          <w:kern w:val="0"/>
          <w:sz w:val="28"/>
          <w:szCs w:val="28"/>
        </w:rPr>
        <w:t>“</w:t>
      </w:r>
      <w:r>
        <w:rPr>
          <w:kern w:val="0"/>
          <w:sz w:val="28"/>
          <w:szCs w:val="28"/>
        </w:rPr>
        <w:t>互联网小镇</w:t>
      </w:r>
      <w:r>
        <w:rPr>
          <w:rFonts w:hint="eastAsia"/>
          <w:kern w:val="0"/>
          <w:sz w:val="28"/>
          <w:szCs w:val="28"/>
        </w:rPr>
        <w:t>”</w:t>
      </w:r>
      <w:r>
        <w:rPr>
          <w:kern w:val="0"/>
          <w:sz w:val="28"/>
          <w:szCs w:val="28"/>
        </w:rPr>
        <w:t>和</w:t>
      </w:r>
      <w:r>
        <w:rPr>
          <w:rFonts w:hint="eastAsia"/>
          <w:kern w:val="0"/>
          <w:sz w:val="28"/>
          <w:szCs w:val="28"/>
        </w:rPr>
        <w:t>“</w:t>
      </w:r>
      <w:r>
        <w:rPr>
          <w:kern w:val="0"/>
          <w:sz w:val="28"/>
          <w:szCs w:val="28"/>
        </w:rPr>
        <w:t>互联网村</w:t>
      </w:r>
      <w:r>
        <w:rPr>
          <w:rFonts w:hint="eastAsia"/>
          <w:kern w:val="0"/>
          <w:sz w:val="28"/>
          <w:szCs w:val="28"/>
        </w:rPr>
        <w:t>”</w:t>
      </w:r>
      <w:r>
        <w:rPr>
          <w:kern w:val="0"/>
          <w:sz w:val="28"/>
          <w:szCs w:val="28"/>
        </w:rPr>
        <w:t>建设、为乡镇提供政务办公、视频会议、电子商务、技能培训、综合治理、医疗教育、政务公开、信息惠民等服务。</w:t>
      </w:r>
    </w:p>
    <w:p w14:paraId="33477EAC">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7F1194A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6E83B549">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专栏13  农村基础设施提升工程</w:t>
            </w:r>
          </w:p>
        </w:tc>
      </w:tr>
      <w:tr w14:paraId="779B2E7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10059EBB">
            <w:pPr>
              <w:spacing w:line="480" w:lineRule="exact"/>
              <w:ind w:firstLine="548" w:firstLineChars="196"/>
              <w:rPr>
                <w:sz w:val="28"/>
                <w:szCs w:val="28"/>
              </w:rPr>
            </w:pPr>
            <w:r>
              <w:rPr>
                <w:rFonts w:eastAsia="方正楷体_GBK"/>
                <w:sz w:val="28"/>
                <w:szCs w:val="28"/>
              </w:rPr>
              <w:t>农民生活条件提升工程。</w:t>
            </w:r>
            <w:r>
              <w:rPr>
                <w:sz w:val="28"/>
                <w:szCs w:val="28"/>
              </w:rPr>
              <w:t>新建入户便道327公里，改建入户便道106公里；新增太阳能路灯1970盏；旧房整治提升4422户，闲置废弃房拆除1408栋，改院1842户；增加公共绿化空间约20万平方米。</w:t>
            </w:r>
          </w:p>
          <w:p w14:paraId="30549CAB">
            <w:pPr>
              <w:spacing w:line="480" w:lineRule="exact"/>
              <w:ind w:firstLine="548" w:firstLineChars="196"/>
              <w:rPr>
                <w:sz w:val="28"/>
                <w:szCs w:val="28"/>
              </w:rPr>
            </w:pPr>
            <w:r>
              <w:rPr>
                <w:rFonts w:eastAsia="方正楷体_GBK"/>
                <w:sz w:val="28"/>
                <w:szCs w:val="28"/>
              </w:rPr>
              <w:t>农村公路建设工程。</w:t>
            </w:r>
            <w:r>
              <w:rPr>
                <w:rFonts w:hint="eastAsia" w:cs="方正仿宋_GBK"/>
                <w:sz w:val="28"/>
                <w:szCs w:val="28"/>
              </w:rPr>
              <w:t>持续推进“四好农村路”畅通工程建设，推</w:t>
            </w:r>
            <w:r>
              <w:rPr>
                <w:sz w:val="28"/>
                <w:szCs w:val="28"/>
              </w:rPr>
              <w:t>动农村公路向村民小组延伸，到2022年，全县15户以上村民小组通达率达到100%，村民小组通畅率达到100%，到2025年，全县10户以上村民小组通达率达到100%，村民小组通畅率达到100%。实施农村公路</w:t>
            </w:r>
            <w:r>
              <w:rPr>
                <w:rFonts w:hint="eastAsia"/>
                <w:sz w:val="28"/>
                <w:szCs w:val="28"/>
              </w:rPr>
              <w:t>“</w:t>
            </w:r>
            <w:r>
              <w:rPr>
                <w:sz w:val="28"/>
                <w:szCs w:val="28"/>
              </w:rPr>
              <w:t>单改双</w:t>
            </w:r>
            <w:r>
              <w:rPr>
                <w:rFonts w:hint="eastAsia"/>
                <w:sz w:val="28"/>
                <w:szCs w:val="28"/>
              </w:rPr>
              <w:t>”</w:t>
            </w:r>
            <w:r>
              <w:rPr>
                <w:sz w:val="28"/>
                <w:szCs w:val="28"/>
              </w:rPr>
              <w:t>工程500公里、路面拓宽工程1000公里、畅通工程1147公里、通达工程937公里。</w:t>
            </w:r>
          </w:p>
          <w:p w14:paraId="4D554D40">
            <w:pPr>
              <w:spacing w:line="480" w:lineRule="exact"/>
              <w:ind w:firstLine="560"/>
              <w:rPr>
                <w:rFonts w:eastAsia="仿宋"/>
                <w:sz w:val="28"/>
                <w:szCs w:val="28"/>
              </w:rPr>
            </w:pPr>
            <w:r>
              <w:rPr>
                <w:rFonts w:eastAsia="方正楷体_GBK"/>
                <w:sz w:val="28"/>
                <w:szCs w:val="28"/>
              </w:rPr>
              <w:t>农村物流基础设施建设工程。</w:t>
            </w:r>
            <w:r>
              <w:rPr>
                <w:sz w:val="28"/>
                <w:szCs w:val="28"/>
              </w:rPr>
              <w:t>加快完善农村物流网络体系，强化乡镇、村物流设施建设，实现城乡物流高效衔接、一体化发展。在较大规模特色农产品生产基地，鼓励建设具有农产品收集、预冷、加工、冷藏、配送和逆向物流等功能的农产品集配中心。引导城乡物流、商贸、电商、邮政、供销等企业深度合作、对接和整合，发挥城乡龙头配送企业作用，打通质优价廉的工业品、电商包裹</w:t>
            </w:r>
            <w:r>
              <w:rPr>
                <w:rFonts w:hint="eastAsia" w:cs="方正仿宋_GBK"/>
                <w:sz w:val="28"/>
                <w:szCs w:val="28"/>
              </w:rPr>
              <w:t>进村入户</w:t>
            </w:r>
            <w:r>
              <w:rPr>
                <w:sz w:val="28"/>
                <w:szCs w:val="28"/>
              </w:rPr>
              <w:t>的</w:t>
            </w:r>
            <w:r>
              <w:rPr>
                <w:rFonts w:hint="eastAsia"/>
                <w:sz w:val="28"/>
                <w:szCs w:val="28"/>
              </w:rPr>
              <w:t>“</w:t>
            </w:r>
            <w:r>
              <w:rPr>
                <w:sz w:val="28"/>
                <w:szCs w:val="28"/>
              </w:rPr>
              <w:t>最后一公里</w:t>
            </w:r>
            <w:r>
              <w:rPr>
                <w:rFonts w:hint="eastAsia"/>
                <w:sz w:val="28"/>
                <w:szCs w:val="28"/>
              </w:rPr>
              <w:t>”</w:t>
            </w:r>
            <w:r>
              <w:rPr>
                <w:sz w:val="28"/>
                <w:szCs w:val="28"/>
              </w:rPr>
              <w:t>和特色农产品进城入市的</w:t>
            </w:r>
            <w:r>
              <w:rPr>
                <w:rFonts w:hint="eastAsia"/>
                <w:sz w:val="28"/>
                <w:szCs w:val="28"/>
              </w:rPr>
              <w:t>“</w:t>
            </w:r>
            <w:r>
              <w:rPr>
                <w:sz w:val="28"/>
                <w:szCs w:val="28"/>
              </w:rPr>
              <w:t>最初一公里</w:t>
            </w:r>
            <w:r>
              <w:rPr>
                <w:rFonts w:hint="eastAsia"/>
                <w:sz w:val="28"/>
                <w:szCs w:val="28"/>
              </w:rPr>
              <w:t>”</w:t>
            </w:r>
            <w:r>
              <w:rPr>
                <w:sz w:val="28"/>
                <w:szCs w:val="28"/>
              </w:rPr>
              <w:t>渠道，基本建立</w:t>
            </w:r>
            <w:r>
              <w:rPr>
                <w:rFonts w:hint="eastAsia"/>
                <w:sz w:val="28"/>
                <w:szCs w:val="28"/>
              </w:rPr>
              <w:t>“</w:t>
            </w:r>
            <w:r>
              <w:rPr>
                <w:sz w:val="28"/>
                <w:szCs w:val="28"/>
              </w:rPr>
              <w:t>布局合理、双向高效、种类丰富、服务便利</w:t>
            </w:r>
            <w:r>
              <w:rPr>
                <w:rFonts w:hint="eastAsia"/>
                <w:sz w:val="28"/>
                <w:szCs w:val="28"/>
              </w:rPr>
              <w:t>”</w:t>
            </w:r>
            <w:r>
              <w:rPr>
                <w:sz w:val="28"/>
                <w:szCs w:val="28"/>
              </w:rPr>
              <w:t>的农村物流配送体系。</w:t>
            </w:r>
          </w:p>
          <w:p w14:paraId="6F564FC7">
            <w:pPr>
              <w:spacing w:line="480" w:lineRule="exact"/>
              <w:ind w:firstLine="560"/>
              <w:rPr>
                <w:sz w:val="28"/>
                <w:szCs w:val="28"/>
              </w:rPr>
            </w:pPr>
            <w:r>
              <w:rPr>
                <w:rFonts w:eastAsia="方正楷体_GBK"/>
                <w:sz w:val="28"/>
                <w:szCs w:val="28"/>
              </w:rPr>
              <w:t>农村水利设施建设工程。</w:t>
            </w:r>
            <w:r>
              <w:rPr>
                <w:sz w:val="28"/>
                <w:szCs w:val="28"/>
              </w:rPr>
              <w:t>积极利用水利部对口帮扶城口的政策优势，到2025年，新建水源工程1处，新建农村集中供水工程15处，改造农村集中供水工程22处。实施14.2万农村居民饮水巩固提升工程建设。以防洪护岸、河道疏浚、清淤为重点，兼顾河岸绿化，治理中小河流15公里。</w:t>
            </w:r>
          </w:p>
          <w:p w14:paraId="3C4DACD1">
            <w:pPr>
              <w:spacing w:line="480" w:lineRule="exact"/>
              <w:ind w:firstLine="548" w:firstLineChars="196"/>
              <w:rPr>
                <w:sz w:val="28"/>
                <w:szCs w:val="28"/>
              </w:rPr>
            </w:pPr>
            <w:r>
              <w:rPr>
                <w:rFonts w:eastAsia="方正楷体_GBK"/>
                <w:sz w:val="28"/>
                <w:szCs w:val="28"/>
              </w:rPr>
              <w:t>农村能源体系建设工程。</w:t>
            </w:r>
            <w:r>
              <w:rPr>
                <w:sz w:val="28"/>
                <w:szCs w:val="28"/>
              </w:rPr>
              <w:t>新建改造农村电网线路20.6公里。提高特色小城镇天然气覆盖率和供应水平，特色小城镇天然气覆盖率达50%。</w:t>
            </w:r>
          </w:p>
          <w:p w14:paraId="5E419E42">
            <w:pPr>
              <w:spacing w:line="480" w:lineRule="exact"/>
              <w:ind w:firstLine="560"/>
              <w:rPr>
                <w:sz w:val="28"/>
                <w:szCs w:val="28"/>
              </w:rPr>
            </w:pPr>
            <w:r>
              <w:rPr>
                <w:rFonts w:eastAsia="方正楷体_GBK"/>
                <w:sz w:val="28"/>
                <w:szCs w:val="28"/>
              </w:rPr>
              <w:t>高速通信网络建设工程。</w:t>
            </w:r>
            <w:r>
              <w:rPr>
                <w:sz w:val="28"/>
                <w:szCs w:val="28"/>
              </w:rPr>
              <w:t>加快推进光纤网络和4G网络由行政村向自然村延伸覆盖，推动</w:t>
            </w:r>
            <w:r>
              <w:rPr>
                <w:rFonts w:hint="eastAsia"/>
                <w:sz w:val="28"/>
                <w:szCs w:val="28"/>
              </w:rPr>
              <w:t>“</w:t>
            </w:r>
            <w:r>
              <w:rPr>
                <w:sz w:val="28"/>
                <w:szCs w:val="28"/>
              </w:rPr>
              <w:t>百兆进户、千兆进楼</w:t>
            </w:r>
            <w:r>
              <w:rPr>
                <w:rFonts w:hint="eastAsia"/>
                <w:sz w:val="28"/>
                <w:szCs w:val="28"/>
              </w:rPr>
              <w:t>”</w:t>
            </w:r>
            <w:r>
              <w:rPr>
                <w:sz w:val="28"/>
                <w:szCs w:val="28"/>
              </w:rPr>
              <w:t>网络能力建设，实现农村地区人口聚居自然村光纤和4G网络全覆盖。到2022年，移动宽带用户实现全覆盖，固定宽带家庭普及率达到90%，农村签约用户平均接入速率达到75Mbps，积极争取与全国同步进入5G时代。</w:t>
            </w:r>
          </w:p>
          <w:p w14:paraId="4A80D26F">
            <w:pPr>
              <w:spacing w:line="480" w:lineRule="exact"/>
              <w:ind w:firstLine="280" w:firstLineChars="100"/>
              <w:rPr>
                <w:sz w:val="30"/>
                <w:szCs w:val="30"/>
              </w:rPr>
            </w:pPr>
            <w:r>
              <w:rPr>
                <w:rFonts w:hint="eastAsia" w:eastAsia="方正楷体_GBK"/>
                <w:sz w:val="28"/>
                <w:szCs w:val="28"/>
              </w:rPr>
              <w:t>“</w:t>
            </w:r>
            <w:r>
              <w:rPr>
                <w:rFonts w:eastAsia="方正楷体_GBK"/>
                <w:sz w:val="28"/>
                <w:szCs w:val="28"/>
              </w:rPr>
              <w:t>信息乡村</w:t>
            </w:r>
            <w:r>
              <w:rPr>
                <w:rFonts w:hint="eastAsia" w:eastAsia="方正楷体_GBK"/>
                <w:sz w:val="28"/>
                <w:szCs w:val="28"/>
              </w:rPr>
              <w:t>”</w:t>
            </w:r>
            <w:r>
              <w:rPr>
                <w:rFonts w:eastAsia="方正楷体_GBK"/>
                <w:sz w:val="28"/>
                <w:szCs w:val="28"/>
              </w:rPr>
              <w:t>建设工程。</w:t>
            </w:r>
            <w:r>
              <w:rPr>
                <w:sz w:val="28"/>
                <w:szCs w:val="28"/>
              </w:rPr>
              <w:t>主要运用大数据、云计算、物联网等新一代信息技术，全面推进</w:t>
            </w:r>
            <w:r>
              <w:rPr>
                <w:rFonts w:hint="eastAsia"/>
                <w:sz w:val="28"/>
                <w:szCs w:val="28"/>
              </w:rPr>
              <w:t>“</w:t>
            </w:r>
            <w:r>
              <w:rPr>
                <w:sz w:val="28"/>
                <w:szCs w:val="28"/>
              </w:rPr>
              <w:t>互联网小镇</w:t>
            </w:r>
            <w:r>
              <w:rPr>
                <w:rFonts w:hint="eastAsia"/>
                <w:sz w:val="28"/>
                <w:szCs w:val="28"/>
              </w:rPr>
              <w:t>”</w:t>
            </w:r>
            <w:r>
              <w:rPr>
                <w:sz w:val="28"/>
                <w:szCs w:val="28"/>
              </w:rPr>
              <w:t>和</w:t>
            </w:r>
            <w:r>
              <w:rPr>
                <w:rFonts w:hint="eastAsia"/>
                <w:sz w:val="28"/>
                <w:szCs w:val="28"/>
              </w:rPr>
              <w:t>“</w:t>
            </w:r>
            <w:r>
              <w:rPr>
                <w:sz w:val="28"/>
                <w:szCs w:val="28"/>
              </w:rPr>
              <w:t>互联网村</w:t>
            </w:r>
            <w:r>
              <w:rPr>
                <w:rFonts w:hint="eastAsia"/>
                <w:sz w:val="28"/>
                <w:szCs w:val="28"/>
              </w:rPr>
              <w:t>”</w:t>
            </w:r>
            <w:r>
              <w:rPr>
                <w:sz w:val="28"/>
                <w:szCs w:val="28"/>
              </w:rPr>
              <w:t>建设，为乡镇、村（社区）搭建综合性管理平台，提供一揽子信息化应用解决方案。到2022年，建成</w:t>
            </w:r>
            <w:r>
              <w:rPr>
                <w:rFonts w:hint="eastAsia"/>
                <w:sz w:val="28"/>
                <w:szCs w:val="28"/>
              </w:rPr>
              <w:t>“</w:t>
            </w:r>
            <w:r>
              <w:rPr>
                <w:sz w:val="28"/>
                <w:szCs w:val="28"/>
              </w:rPr>
              <w:t>互联网小镇</w:t>
            </w:r>
            <w:r>
              <w:rPr>
                <w:rFonts w:hint="eastAsia"/>
                <w:sz w:val="28"/>
                <w:szCs w:val="28"/>
              </w:rPr>
              <w:t>”</w:t>
            </w:r>
            <w:r>
              <w:rPr>
                <w:sz w:val="28"/>
                <w:szCs w:val="28"/>
              </w:rPr>
              <w:t>4个、建成</w:t>
            </w:r>
            <w:r>
              <w:rPr>
                <w:rFonts w:hint="eastAsia"/>
                <w:sz w:val="28"/>
                <w:szCs w:val="28"/>
              </w:rPr>
              <w:t>“</w:t>
            </w:r>
            <w:r>
              <w:rPr>
                <w:sz w:val="28"/>
                <w:szCs w:val="28"/>
              </w:rPr>
              <w:t>互联网村</w:t>
            </w:r>
            <w:r>
              <w:rPr>
                <w:rFonts w:hint="eastAsia"/>
                <w:sz w:val="28"/>
                <w:szCs w:val="28"/>
              </w:rPr>
              <w:t>”</w:t>
            </w:r>
            <w:r>
              <w:rPr>
                <w:sz w:val="28"/>
                <w:szCs w:val="28"/>
              </w:rPr>
              <w:t>15个。</w:t>
            </w:r>
          </w:p>
        </w:tc>
      </w:tr>
    </w:tbl>
    <w:p w14:paraId="5F2406B4">
      <w:pPr>
        <w:spacing w:line="480" w:lineRule="exact"/>
      </w:pPr>
    </w:p>
    <w:p w14:paraId="5DA80380">
      <w:pPr>
        <w:pStyle w:val="4"/>
        <w:spacing w:line="480" w:lineRule="exact"/>
        <w:ind w:firstLine="0"/>
        <w:rPr>
          <w:bCs w:val="0"/>
          <w:sz w:val="36"/>
          <w:szCs w:val="36"/>
        </w:rPr>
      </w:pPr>
      <w:bookmarkStart w:id="331" w:name="_Toc9003"/>
      <w:r>
        <w:rPr>
          <w:bCs w:val="0"/>
          <w:sz w:val="36"/>
          <w:szCs w:val="36"/>
        </w:rPr>
        <w:t>第二十九章   增加农村公共服务供给</w:t>
      </w:r>
      <w:bookmarkEnd w:id="331"/>
    </w:p>
    <w:p w14:paraId="69FEE6E5">
      <w:pPr>
        <w:adjustRightInd w:val="0"/>
        <w:snapToGrid w:val="0"/>
        <w:spacing w:line="480" w:lineRule="exact"/>
        <w:ind w:firstLine="560" w:firstLineChars="200"/>
        <w:rPr>
          <w:rFonts w:eastAsia="黑体"/>
          <w:sz w:val="28"/>
          <w:szCs w:val="28"/>
        </w:rPr>
      </w:pPr>
    </w:p>
    <w:p w14:paraId="373EA239">
      <w:pPr>
        <w:spacing w:line="480" w:lineRule="exact"/>
        <w:ind w:firstLine="560" w:firstLineChars="200"/>
        <w:rPr>
          <w:kern w:val="0"/>
          <w:sz w:val="28"/>
          <w:szCs w:val="28"/>
        </w:rPr>
      </w:pPr>
      <w:r>
        <w:rPr>
          <w:kern w:val="0"/>
          <w:sz w:val="28"/>
          <w:szCs w:val="28"/>
        </w:rPr>
        <w:t>促进公共教育、医疗卫生、社会保障等资源继续向农村倾斜，逐步建立健全全民覆盖、普惠共享、城乡一体基本公共服务体系，加快推进城乡基本公共服务均等化。</w:t>
      </w:r>
      <w:bookmarkStart w:id="332" w:name="_Toc521853610"/>
      <w:bookmarkStart w:id="333" w:name="_Toc519079819"/>
      <w:bookmarkStart w:id="334" w:name="_Toc521865126"/>
      <w:bookmarkStart w:id="335" w:name="_Toc521352331"/>
      <w:bookmarkStart w:id="336" w:name="_Toc522043071"/>
    </w:p>
    <w:p w14:paraId="6626DD50">
      <w:pPr>
        <w:pStyle w:val="5"/>
        <w:jc w:val="center"/>
        <w:rPr>
          <w:b w:val="0"/>
          <w:bCs w:val="0"/>
        </w:rPr>
      </w:pPr>
      <w:bookmarkStart w:id="337" w:name="_Toc3821"/>
      <w:r>
        <w:rPr>
          <w:b w:val="0"/>
          <w:bCs w:val="0"/>
        </w:rPr>
        <w:t>第一节  促进农村教育提质增效</w:t>
      </w:r>
      <w:bookmarkEnd w:id="337"/>
    </w:p>
    <w:p w14:paraId="426BF003">
      <w:pPr>
        <w:spacing w:line="480" w:lineRule="exact"/>
        <w:ind w:firstLine="560" w:firstLineChars="200"/>
        <w:rPr>
          <w:kern w:val="0"/>
          <w:sz w:val="28"/>
          <w:szCs w:val="28"/>
        </w:rPr>
      </w:pPr>
      <w:bookmarkStart w:id="338" w:name="_Toc6073"/>
      <w:bookmarkStart w:id="339" w:name="_Toc521853611"/>
      <w:bookmarkStart w:id="340" w:name="_Toc522043072"/>
      <w:bookmarkStart w:id="341" w:name="_Toc521865127"/>
      <w:bookmarkStart w:id="342" w:name="_Toc521352332"/>
      <w:bookmarkStart w:id="343" w:name="_Toc519079820"/>
      <w:r>
        <w:rPr>
          <w:kern w:val="0"/>
          <w:sz w:val="28"/>
          <w:szCs w:val="28"/>
        </w:rPr>
        <w:t>坚持教育公益性原则，全面优化基本公共教育布局结构和资源配置。加快农村普惠性幼儿教育发展，努力扩充普惠性学前教育资源供给，着力解决</w:t>
      </w:r>
      <w:r>
        <w:rPr>
          <w:rFonts w:hint="eastAsia"/>
          <w:kern w:val="0"/>
          <w:sz w:val="28"/>
          <w:szCs w:val="28"/>
        </w:rPr>
        <w:t>“</w:t>
      </w:r>
      <w:r>
        <w:rPr>
          <w:kern w:val="0"/>
          <w:sz w:val="28"/>
          <w:szCs w:val="28"/>
        </w:rPr>
        <w:t>入园难</w:t>
      </w:r>
      <w:r>
        <w:rPr>
          <w:rFonts w:hint="eastAsia"/>
          <w:kern w:val="0"/>
          <w:sz w:val="28"/>
          <w:szCs w:val="28"/>
        </w:rPr>
        <w:t>”</w:t>
      </w:r>
      <w:r>
        <w:rPr>
          <w:kern w:val="0"/>
          <w:sz w:val="28"/>
          <w:szCs w:val="28"/>
        </w:rPr>
        <w:t>问题。村社充分利用撤并学校资源合理设置幼儿园、托育所，乡镇新建独立中心幼儿园，城区整顿规范小区配套幼儿园。提高义务教育质量，统筹推进城乡义务教育一体化发展，努力创建义务教育发展优质均衡县。加快推进木瓜坝小学、茅坪小学、蓼子乡第一中心小学等项目建设，合理新增教学及辅助用房、生活用房，完善配套设施，消除</w:t>
      </w:r>
      <w:r>
        <w:rPr>
          <w:rFonts w:hint="eastAsia"/>
          <w:kern w:val="0"/>
          <w:sz w:val="28"/>
          <w:szCs w:val="28"/>
        </w:rPr>
        <w:t>“</w:t>
      </w:r>
      <w:r>
        <w:rPr>
          <w:kern w:val="0"/>
          <w:sz w:val="28"/>
          <w:szCs w:val="28"/>
        </w:rPr>
        <w:t>大班额</w:t>
      </w:r>
      <w:r>
        <w:rPr>
          <w:rFonts w:hint="eastAsia"/>
          <w:kern w:val="0"/>
          <w:sz w:val="28"/>
          <w:szCs w:val="28"/>
        </w:rPr>
        <w:t>”</w:t>
      </w:r>
      <w:r>
        <w:rPr>
          <w:kern w:val="0"/>
          <w:sz w:val="28"/>
          <w:szCs w:val="28"/>
        </w:rPr>
        <w:t>，解决义务教育</w:t>
      </w:r>
      <w:r>
        <w:rPr>
          <w:rFonts w:hint="eastAsia"/>
          <w:kern w:val="0"/>
          <w:sz w:val="28"/>
          <w:szCs w:val="28"/>
        </w:rPr>
        <w:t>“</w:t>
      </w:r>
      <w:r>
        <w:rPr>
          <w:kern w:val="0"/>
          <w:sz w:val="28"/>
          <w:szCs w:val="28"/>
        </w:rPr>
        <w:t>乡村弱、城镇挤</w:t>
      </w:r>
      <w:r>
        <w:rPr>
          <w:rFonts w:hint="eastAsia"/>
          <w:kern w:val="0"/>
          <w:sz w:val="28"/>
          <w:szCs w:val="28"/>
        </w:rPr>
        <w:t>”</w:t>
      </w:r>
      <w:r>
        <w:rPr>
          <w:kern w:val="0"/>
          <w:sz w:val="28"/>
          <w:szCs w:val="28"/>
        </w:rPr>
        <w:t>问题。普及高中阶段教育，推动普通高中特色差异发展。新建城口高级中学、改扩建实验中学，全面推进高中教育资源升级改造工程，打造区域高中教育特色品牌。积极融入九龙坡对口协同联盟，继续深化与重庆师范大学合作办学。大力发展农村职业教育，推进职业教育校企融合，继续探索</w:t>
      </w:r>
      <w:r>
        <w:rPr>
          <w:rFonts w:hint="eastAsia"/>
          <w:kern w:val="0"/>
          <w:sz w:val="28"/>
          <w:szCs w:val="28"/>
        </w:rPr>
        <w:t>“</w:t>
      </w:r>
      <w:r>
        <w:rPr>
          <w:kern w:val="0"/>
          <w:sz w:val="28"/>
          <w:szCs w:val="28"/>
        </w:rPr>
        <w:t>PPP托管模式</w:t>
      </w:r>
      <w:r>
        <w:rPr>
          <w:rFonts w:hint="eastAsia"/>
          <w:kern w:val="0"/>
          <w:sz w:val="28"/>
          <w:szCs w:val="28"/>
        </w:rPr>
        <w:t>”</w:t>
      </w:r>
      <w:r>
        <w:rPr>
          <w:kern w:val="0"/>
          <w:sz w:val="28"/>
          <w:szCs w:val="28"/>
        </w:rPr>
        <w:t>。完善职业教育</w:t>
      </w:r>
      <w:r>
        <w:rPr>
          <w:rFonts w:hint="eastAsia"/>
          <w:kern w:val="0"/>
          <w:sz w:val="28"/>
          <w:szCs w:val="28"/>
        </w:rPr>
        <w:t>“</w:t>
      </w:r>
      <w:r>
        <w:rPr>
          <w:kern w:val="0"/>
          <w:sz w:val="28"/>
          <w:szCs w:val="28"/>
        </w:rPr>
        <w:t>双基地</w:t>
      </w:r>
      <w:r>
        <w:rPr>
          <w:rFonts w:hint="eastAsia"/>
          <w:kern w:val="0"/>
          <w:sz w:val="28"/>
          <w:szCs w:val="28"/>
        </w:rPr>
        <w:t>”</w:t>
      </w:r>
      <w:r>
        <w:rPr>
          <w:kern w:val="0"/>
          <w:sz w:val="28"/>
          <w:szCs w:val="28"/>
        </w:rPr>
        <w:t>建设，完善职业教育</w:t>
      </w:r>
      <w:r>
        <w:rPr>
          <w:rFonts w:hint="eastAsia"/>
          <w:kern w:val="0"/>
          <w:sz w:val="28"/>
          <w:szCs w:val="28"/>
        </w:rPr>
        <w:t>“</w:t>
      </w:r>
      <w:r>
        <w:rPr>
          <w:kern w:val="0"/>
          <w:sz w:val="28"/>
          <w:szCs w:val="28"/>
        </w:rPr>
        <w:t>双师型</w:t>
      </w:r>
      <w:r>
        <w:rPr>
          <w:rFonts w:hint="eastAsia"/>
          <w:kern w:val="0"/>
          <w:sz w:val="28"/>
          <w:szCs w:val="28"/>
        </w:rPr>
        <w:t>”</w:t>
      </w:r>
      <w:r>
        <w:rPr>
          <w:kern w:val="0"/>
          <w:sz w:val="28"/>
          <w:szCs w:val="28"/>
        </w:rPr>
        <w:t>队伍建设，完善职业教育</w:t>
      </w:r>
      <w:r>
        <w:rPr>
          <w:rFonts w:hint="eastAsia"/>
          <w:kern w:val="0"/>
          <w:sz w:val="28"/>
          <w:szCs w:val="28"/>
        </w:rPr>
        <w:t>“</w:t>
      </w:r>
      <w:r>
        <w:rPr>
          <w:kern w:val="0"/>
          <w:sz w:val="28"/>
          <w:szCs w:val="28"/>
        </w:rPr>
        <w:t>双证书</w:t>
      </w:r>
      <w:r>
        <w:rPr>
          <w:rFonts w:hint="eastAsia"/>
          <w:kern w:val="0"/>
          <w:sz w:val="28"/>
          <w:szCs w:val="28"/>
        </w:rPr>
        <w:t>”</w:t>
      </w:r>
      <w:r>
        <w:rPr>
          <w:kern w:val="0"/>
          <w:sz w:val="28"/>
          <w:szCs w:val="28"/>
        </w:rPr>
        <w:t>机制建设，不断为乡村振兴提供实用型技术人才。推进社区学校建设，提高社区居民的素质和文化水平。建设新时代高素质教师队伍，启动教师进修校迁建项目，为全县师资培训提供资源保障。优化全县教师资源配置，推进县管校聘制度改革和教师职称评选制度，合理核定教职工编制，盘活编制存量，优化编制结构。加快推进现代教育信息技术建设，推进三种课堂建设，积极推进</w:t>
      </w:r>
      <w:r>
        <w:rPr>
          <w:rFonts w:hint="eastAsia"/>
          <w:kern w:val="0"/>
          <w:sz w:val="28"/>
          <w:szCs w:val="28"/>
        </w:rPr>
        <w:t>“</w:t>
      </w:r>
      <w:r>
        <w:rPr>
          <w:kern w:val="0"/>
          <w:sz w:val="28"/>
          <w:szCs w:val="28"/>
        </w:rPr>
        <w:t>开齐课程、开齐课时、落实课程计划</w:t>
      </w:r>
      <w:r>
        <w:rPr>
          <w:rFonts w:hint="eastAsia"/>
          <w:kern w:val="0"/>
          <w:sz w:val="28"/>
          <w:szCs w:val="28"/>
        </w:rPr>
        <w:t>”</w:t>
      </w:r>
      <w:r>
        <w:rPr>
          <w:kern w:val="0"/>
          <w:sz w:val="28"/>
          <w:szCs w:val="28"/>
        </w:rPr>
        <w:t>。建立健全留守儿童、困境儿童关爱机制。完善特殊教育保障机制，为特殊儿童提供更公平、更优质教育条件。建立健全城口县研学基地、劳动教育基地体制机制，不断完善研学基地、劳动教育基地建设。</w:t>
      </w:r>
      <w:bookmarkEnd w:id="338"/>
    </w:p>
    <w:p w14:paraId="4DFEABF1">
      <w:pPr>
        <w:pStyle w:val="5"/>
        <w:spacing w:line="480" w:lineRule="exact"/>
        <w:jc w:val="center"/>
        <w:rPr>
          <w:rFonts w:eastAsia="方正黑体_GBK"/>
          <w:b w:val="0"/>
          <w:bCs w:val="0"/>
          <w:sz w:val="28"/>
          <w:szCs w:val="28"/>
        </w:rPr>
      </w:pPr>
      <w:bookmarkStart w:id="344" w:name="_Toc512"/>
      <w:r>
        <w:rPr>
          <w:rFonts w:eastAsia="方正黑体_GBK"/>
          <w:b w:val="0"/>
          <w:bCs w:val="0"/>
          <w:sz w:val="28"/>
          <w:szCs w:val="28"/>
        </w:rPr>
        <w:t xml:space="preserve">第二节  </w:t>
      </w:r>
      <w:bookmarkEnd w:id="339"/>
      <w:bookmarkEnd w:id="340"/>
      <w:bookmarkEnd w:id="341"/>
      <w:bookmarkEnd w:id="342"/>
      <w:bookmarkEnd w:id="343"/>
      <w:r>
        <w:rPr>
          <w:rFonts w:eastAsia="方正黑体_GBK"/>
          <w:b w:val="0"/>
          <w:bCs w:val="0"/>
          <w:sz w:val="28"/>
          <w:szCs w:val="28"/>
        </w:rPr>
        <w:t>加强农村卫生健康公共服务</w:t>
      </w:r>
      <w:bookmarkEnd w:id="344"/>
    </w:p>
    <w:p w14:paraId="5BA90A6F">
      <w:pPr>
        <w:spacing w:line="480" w:lineRule="exact"/>
        <w:ind w:firstLine="560" w:firstLineChars="200"/>
        <w:rPr>
          <w:kern w:val="0"/>
          <w:sz w:val="28"/>
          <w:szCs w:val="28"/>
        </w:rPr>
      </w:pPr>
      <w:r>
        <w:rPr>
          <w:kern w:val="0"/>
          <w:sz w:val="28"/>
          <w:szCs w:val="28"/>
        </w:rPr>
        <w:t>深入实施国家基本公共卫生服务项目，完善基本公共卫生服务项目补助政策，提供基础性全方位的健康管理服务，做好农村医疗体系改革工作，为农村居民提供基本医疗健康服务，促进基本公共卫生服务逐步均等化，争取到2022年底，实现人人享有基本医疗卫生服务。推动基层医疗卫生机构提档升级，落实基本公共卫生服务项目。推动疾控机构标准化建设，完善村（社区）网络化疫情防治体系，构建县—镇（乡）—村（社区）三级疾控网络，全面强化新发突发急性传染病防控能力。逐步完善社区卫生服务站，加强社区卫生服务中心建设。加强卫生人才队伍建设，进一步加强全科医生队伍建设，探索建立</w:t>
      </w:r>
      <w:r>
        <w:rPr>
          <w:rFonts w:hint="eastAsia"/>
          <w:kern w:val="0"/>
          <w:sz w:val="28"/>
          <w:szCs w:val="28"/>
        </w:rPr>
        <w:t>“</w:t>
      </w:r>
      <w:r>
        <w:rPr>
          <w:kern w:val="0"/>
          <w:sz w:val="28"/>
          <w:szCs w:val="28"/>
        </w:rPr>
        <w:t>县聘乡用</w:t>
      </w:r>
      <w:r>
        <w:rPr>
          <w:rFonts w:hint="eastAsia"/>
          <w:kern w:val="0"/>
          <w:sz w:val="28"/>
          <w:szCs w:val="28"/>
        </w:rPr>
        <w:t>”</w:t>
      </w:r>
      <w:r>
        <w:rPr>
          <w:kern w:val="0"/>
          <w:sz w:val="28"/>
          <w:szCs w:val="28"/>
        </w:rPr>
        <w:t>、</w:t>
      </w:r>
      <w:r>
        <w:rPr>
          <w:rFonts w:hint="eastAsia"/>
          <w:kern w:val="0"/>
          <w:sz w:val="28"/>
          <w:szCs w:val="28"/>
        </w:rPr>
        <w:t>“</w:t>
      </w:r>
      <w:r>
        <w:rPr>
          <w:kern w:val="0"/>
          <w:sz w:val="28"/>
          <w:szCs w:val="28"/>
        </w:rPr>
        <w:t>乡聘村用</w:t>
      </w:r>
      <w:r>
        <w:rPr>
          <w:rFonts w:hint="eastAsia"/>
          <w:kern w:val="0"/>
          <w:sz w:val="28"/>
          <w:szCs w:val="28"/>
        </w:rPr>
        <w:t>”</w:t>
      </w:r>
      <w:r>
        <w:rPr>
          <w:kern w:val="0"/>
          <w:sz w:val="28"/>
          <w:szCs w:val="28"/>
        </w:rPr>
        <w:t>的用人机制，推动高水平医护人员城乡交流，加大乡村医生培训力度。全面建立分级诊疗制度，构建基层首诊、双向转诊、急慢分治、上下联动的分级诊疗模式。推动</w:t>
      </w:r>
      <w:r>
        <w:rPr>
          <w:rFonts w:hint="eastAsia"/>
          <w:kern w:val="0"/>
          <w:sz w:val="28"/>
          <w:szCs w:val="28"/>
        </w:rPr>
        <w:t>“</w:t>
      </w:r>
      <w:r>
        <w:rPr>
          <w:kern w:val="0"/>
          <w:sz w:val="28"/>
          <w:szCs w:val="28"/>
        </w:rPr>
        <w:t>智慧医疗</w:t>
      </w:r>
      <w:r>
        <w:rPr>
          <w:rFonts w:hint="eastAsia"/>
          <w:kern w:val="0"/>
          <w:sz w:val="28"/>
          <w:szCs w:val="28"/>
        </w:rPr>
        <w:t>”</w:t>
      </w:r>
      <w:r>
        <w:rPr>
          <w:kern w:val="0"/>
          <w:sz w:val="28"/>
          <w:szCs w:val="28"/>
        </w:rPr>
        <w:t>的建设步伐，积极对接重庆市及国内的优质医疗资源，承接优质医疗资源下沉，支持医疗机构运用智能辅助技术提高诊疗水平，实现县级医联体和市级中心医院远程医疗服务联通。利用互联网、大数据等信息化手段，建立完善覆盖所有乡镇卫生院和村卫生室的基层医疗卫生信息系统，推动远程医疗网络向镇村延伸。深入推进基层卫生综合改革，加大新型农村合作医疗保障力度和保障范围，落实政府购买基本公共卫生服务机制，扩大基层医疗卫生服务供给。优化基本公共卫生服务，提高居民健康档案建档率和使用率，加强生命全周期管理。提升妇女儿童健康服务能力，推进生育全程服务。深入开展爱国卫生运动，实施国民营养计划，普及健康知识，倡导文明健康生活方式。推动扶持中医药发展，加强中医药医疗服务体系建设，同时加快中西医结合发展，提升医疗机构中医药服务能力，提供中医临床疗效和综合服务能力。培养一批高层次复合型中医药人才、高水平中医临床人才和多学科交叉中医药创新团队，开展民间传统药方和技术甄别，促进传统中医药技艺传承。</w:t>
      </w:r>
      <w:bookmarkStart w:id="345" w:name="_Toc521853612"/>
      <w:bookmarkStart w:id="346" w:name="_Toc519079821"/>
      <w:bookmarkStart w:id="347" w:name="_Toc521865128"/>
      <w:bookmarkStart w:id="348" w:name="_Toc521352333"/>
      <w:bookmarkStart w:id="349" w:name="_Toc522043073"/>
      <w:r>
        <w:rPr>
          <w:kern w:val="0"/>
          <w:sz w:val="28"/>
          <w:szCs w:val="28"/>
        </w:rPr>
        <w:t xml:space="preserve"> </w:t>
      </w:r>
      <w:bookmarkEnd w:id="345"/>
      <w:bookmarkEnd w:id="346"/>
      <w:bookmarkEnd w:id="347"/>
      <w:bookmarkEnd w:id="348"/>
      <w:bookmarkEnd w:id="349"/>
    </w:p>
    <w:p w14:paraId="7BD04801">
      <w:pPr>
        <w:pStyle w:val="5"/>
        <w:spacing w:line="480" w:lineRule="exact"/>
        <w:jc w:val="center"/>
        <w:rPr>
          <w:rFonts w:eastAsia="方正黑体_GBK"/>
          <w:b w:val="0"/>
          <w:bCs w:val="0"/>
          <w:sz w:val="28"/>
          <w:szCs w:val="28"/>
        </w:rPr>
      </w:pPr>
      <w:bookmarkStart w:id="350" w:name="_Toc19373"/>
      <w:r>
        <w:rPr>
          <w:rFonts w:eastAsia="方正黑体_GBK"/>
          <w:b w:val="0"/>
          <w:bCs w:val="0"/>
          <w:sz w:val="28"/>
          <w:szCs w:val="28"/>
        </w:rPr>
        <w:t>第三节  加快社会保障制度城乡统筹</w:t>
      </w:r>
      <w:bookmarkEnd w:id="350"/>
    </w:p>
    <w:p w14:paraId="371A6D48">
      <w:pPr>
        <w:adjustRightInd w:val="0"/>
        <w:spacing w:line="480" w:lineRule="exact"/>
        <w:ind w:firstLine="560" w:firstLineChars="200"/>
        <w:rPr>
          <w:rFonts w:eastAsia="宋体"/>
          <w:kern w:val="0"/>
          <w:sz w:val="28"/>
          <w:szCs w:val="28"/>
        </w:rPr>
      </w:pPr>
      <w:r>
        <w:rPr>
          <w:kern w:val="0"/>
          <w:sz w:val="28"/>
          <w:szCs w:val="28"/>
        </w:rPr>
        <w:t>完善社会保障制度，健全社会救助和住房保障体系，加快建立覆盖全民、统筹城乡、公平统一、可持续的多层次社会保障体系。完善统一的城乡居民基本医疗保险制度和大病保险制度，深化医保制度改革，完善医保支付、待遇保障、医药服务、基金监管机制，全面落实医疗救助制度及重大疫情医疗保障制度，促进多层次医疗保障体系发展。统筹城乡社会救助体系，稳步扩大基本生活救助范围，落实保障标准调整机制，逐步实现城乡低保标准统一。加强救助对象分类动态管理，落实低保渐退制度。加强急难社会救助，全面建立乡镇（街道）临时救助备用金制度。加大孤儿、事实无抚养儿童兜底保障力度。强化特殊救助帮扶，加强特困人员照料护理服务。进一步加强和改进生活无着落的流浪乞讨人员救助管理。实施惠民殡葬政策，倡导绿色祭祀，构建县建殡葬服务中心、乡镇建殡仪服务站、村建集中安葬点的三级殡葬服务体系，保障人民群众基本丧葬需求。规范引导志愿服务活动，促进志愿服务制度化、规范化、常态化。广泛发动社会力量参与，大力发展慈善救助，扩大社会救助服务供给。</w:t>
      </w:r>
    </w:p>
    <w:p w14:paraId="487D063F">
      <w:pPr>
        <w:pStyle w:val="5"/>
        <w:spacing w:line="480" w:lineRule="exact"/>
        <w:jc w:val="center"/>
        <w:rPr>
          <w:rFonts w:eastAsia="方正黑体_GBK"/>
          <w:b w:val="0"/>
          <w:bCs w:val="0"/>
          <w:sz w:val="28"/>
          <w:szCs w:val="28"/>
        </w:rPr>
      </w:pPr>
      <w:bookmarkStart w:id="351" w:name="_Toc29734"/>
      <w:r>
        <w:rPr>
          <w:rFonts w:eastAsia="方正黑体_GBK"/>
          <w:b w:val="0"/>
          <w:bCs w:val="0"/>
          <w:sz w:val="28"/>
          <w:szCs w:val="28"/>
        </w:rPr>
        <w:t>第四节  发展多种形式的农村养老服务</w:t>
      </w:r>
      <w:bookmarkEnd w:id="351"/>
    </w:p>
    <w:p w14:paraId="29102D54">
      <w:pPr>
        <w:adjustRightInd w:val="0"/>
        <w:spacing w:line="480" w:lineRule="exact"/>
        <w:ind w:firstLine="560" w:firstLineChars="200"/>
        <w:rPr>
          <w:rFonts w:eastAsia="宋体"/>
          <w:kern w:val="0"/>
          <w:sz w:val="28"/>
          <w:szCs w:val="28"/>
        </w:rPr>
      </w:pPr>
      <w:r>
        <w:rPr>
          <w:kern w:val="0"/>
          <w:sz w:val="28"/>
          <w:szCs w:val="28"/>
        </w:rPr>
        <w:t>健全养老服务体系。建立基本公共养老服务清单，发展普惠性养老服务和互助性养老，加快构建以居家为基础、社区为依托、机构充分发展、医养康养有机结合的多层次养老服务体系。提升农村养老服务机构服务能力，办好保障性养老服务机构，实施乡镇敬老院提档升级工程，合理布局农村失能特困人员集中照护中心。持续深化公办养老机构改革。发展市场化、专业化的居家养老服务组织，大力发展护理型养老机构和社区嵌入式养老机构。加强养老服务专业队伍建设和养老服务综合监管。加快各类公共设施适老化改造，构建老年人友好型社区，支持居家适老化改造，创造无障碍生活环境。合理规划村级互助养老点。深入开展农村留守老人关爱行动，推进基层老年协会规范化建设。完善经济困难、失能、高龄老年人养老服务补贴、高龄津贴制度。强化养老护理员培训，提升养老服务组织从业人员专业性。</w:t>
      </w:r>
      <w:bookmarkStart w:id="352" w:name="_Toc521865130"/>
      <w:bookmarkStart w:id="353" w:name="_Toc522043075"/>
      <w:bookmarkStart w:id="354" w:name="_Toc519079823"/>
      <w:bookmarkStart w:id="355" w:name="_Toc521853614"/>
      <w:bookmarkStart w:id="356" w:name="_Toc521352335"/>
    </w:p>
    <w:p w14:paraId="33AA5E52">
      <w:pPr>
        <w:pStyle w:val="5"/>
        <w:spacing w:line="480" w:lineRule="exact"/>
        <w:jc w:val="center"/>
        <w:rPr>
          <w:rFonts w:eastAsia="方正黑体_GBK"/>
          <w:b w:val="0"/>
          <w:bCs w:val="0"/>
          <w:sz w:val="28"/>
          <w:szCs w:val="28"/>
        </w:rPr>
      </w:pPr>
      <w:bookmarkStart w:id="357" w:name="_Toc24496"/>
      <w:r>
        <w:rPr>
          <w:rFonts w:eastAsia="方正黑体_GBK"/>
          <w:b w:val="0"/>
          <w:bCs w:val="0"/>
          <w:sz w:val="28"/>
          <w:szCs w:val="28"/>
        </w:rPr>
        <w:t>第五节  加强农村防灾减灾救灾能力建设</w:t>
      </w:r>
      <w:bookmarkEnd w:id="352"/>
      <w:bookmarkEnd w:id="353"/>
      <w:bookmarkEnd w:id="354"/>
      <w:bookmarkEnd w:id="355"/>
      <w:bookmarkEnd w:id="356"/>
      <w:bookmarkEnd w:id="357"/>
    </w:p>
    <w:p w14:paraId="090173AE">
      <w:pPr>
        <w:spacing w:line="480" w:lineRule="exact"/>
        <w:ind w:firstLine="560" w:firstLineChars="200"/>
        <w:rPr>
          <w:kern w:val="0"/>
          <w:sz w:val="28"/>
          <w:szCs w:val="28"/>
        </w:rPr>
      </w:pPr>
      <w:r>
        <w:rPr>
          <w:kern w:val="0"/>
          <w:sz w:val="28"/>
          <w:szCs w:val="28"/>
        </w:rPr>
        <w:t>构建统一指挥、专常兼备、反应灵敏、上下联动的应急管理体制，优化全县应急管理体系，提高防灾、减灾、救灾能力。建设全县统一的事故灾害应急调度指挥信息系统，建立县、乡镇（街道）、村分级响应机制，强化跨区域跨流域灾害事故应急协同联动。完成全县乡镇街道气象灾害防御标准化建设，加强灾害综合</w:t>
      </w:r>
      <w:r>
        <w:rPr>
          <w:rFonts w:hint="eastAsia"/>
          <w:kern w:val="0"/>
          <w:sz w:val="28"/>
          <w:szCs w:val="28"/>
        </w:rPr>
        <w:t>监测</w:t>
      </w:r>
      <w:r>
        <w:rPr>
          <w:kern w:val="0"/>
          <w:sz w:val="28"/>
          <w:szCs w:val="28"/>
        </w:rPr>
        <w:t>预警能力建设，完善重点地区自然灾害监测站网布局，完善进村入户的重大气象灾害预警传播机制。完善重点林区森林火灾预防、扑救、保障三大体系，提升森林火灾高风险林区、乡镇的森林防火装备和基础设施建设水平。建立山洪、滑坡灾害防治非工程措施项目运行管理及维护机制。修订完善各级自然灾害救助应急预案。加强应急救援队伍建设，完善应急物资储备，提高快速调配和紧急运输能力，完善应急力量、日常巡护等公益岗位选聘机制，实现在农民中就近就地选聘。建设县乡（镇、街道）村（社区）灾害信息员队伍，开展手机移动报灾APP应用。在农村广泛开展防灾减灾宣传教育，提升防灾减灾社会动员能力。</w:t>
      </w:r>
      <w:bookmarkStart w:id="358" w:name="_Toc521865131"/>
      <w:bookmarkStart w:id="359" w:name="_Toc521853615"/>
      <w:bookmarkStart w:id="360" w:name="_Toc522043076"/>
    </w:p>
    <w:p w14:paraId="62188FBC">
      <w:pPr>
        <w:spacing w:line="480" w:lineRule="exact"/>
        <w:ind w:firstLine="560" w:firstLineChars="200"/>
        <w:rPr>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0536049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71541ABA">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专栏14  农村公共服务提升工程</w:t>
            </w:r>
          </w:p>
        </w:tc>
      </w:tr>
      <w:tr w14:paraId="516B192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6E27020F">
            <w:pPr>
              <w:spacing w:line="480" w:lineRule="exact"/>
              <w:ind w:firstLine="533" w:firstLineChars="196"/>
              <w:rPr>
                <w:sz w:val="28"/>
                <w:szCs w:val="28"/>
              </w:rPr>
            </w:pPr>
            <w:r>
              <w:rPr>
                <w:rFonts w:eastAsia="方正楷体_GBK"/>
                <w:spacing w:val="-4"/>
                <w:sz w:val="28"/>
                <w:szCs w:val="28"/>
              </w:rPr>
              <w:t>乡村教育提升工程。</w:t>
            </w:r>
            <w:r>
              <w:rPr>
                <w:spacing w:val="-4"/>
                <w:sz w:val="28"/>
                <w:szCs w:val="28"/>
              </w:rPr>
              <w:t>全面提高农村教育公共服务供给能力和共享水平</w:t>
            </w:r>
            <w:r>
              <w:rPr>
                <w:sz w:val="28"/>
                <w:szCs w:val="28"/>
              </w:rPr>
              <w:t>，积极发展农村学前教育，实施义务教育质量提升行动计划和高中阶段教育普及攻坚计划。到2022年农村学前三年毛入园率达到91%，在园幼儿普惠率达到100%，义务教育入学率达到100%，九年义务教育巩固率达到99%，义务教育学校校舍建设标准化达标覆盖率达到81%。</w:t>
            </w:r>
          </w:p>
          <w:p w14:paraId="30C97DB6">
            <w:pPr>
              <w:spacing w:line="480" w:lineRule="exact"/>
              <w:ind w:firstLine="548" w:firstLineChars="196"/>
              <w:rPr>
                <w:sz w:val="28"/>
                <w:szCs w:val="28"/>
              </w:rPr>
            </w:pPr>
            <w:r>
              <w:rPr>
                <w:rFonts w:eastAsia="方正楷体_GBK"/>
                <w:sz w:val="28"/>
                <w:szCs w:val="28"/>
              </w:rPr>
              <w:t>健康乡村工程。</w:t>
            </w:r>
            <w:r>
              <w:rPr>
                <w:sz w:val="28"/>
                <w:szCs w:val="28"/>
              </w:rPr>
              <w:t>推进基本公共卫生服务均等化，落实国家基本公共卫生服务项目补助政策，人均基本公共卫生服务经费补助标准逐年提高至69元以上。加强基层医疗卫生服务能力建设，为24个乡镇卫生院配齐主要数字化诊疗设备，为村卫生室配齐健康一体机。实现每个乡镇有1所标准</w:t>
            </w:r>
            <w:r>
              <w:rPr>
                <w:spacing w:val="4"/>
                <w:sz w:val="28"/>
                <w:szCs w:val="28"/>
              </w:rPr>
              <w:t>化卫生院，每个村有1个标准化卫生室，每个乡镇卫生院有1名以上全科医生，农村妇女</w:t>
            </w:r>
            <w:r>
              <w:rPr>
                <w:rFonts w:hint="eastAsia"/>
                <w:spacing w:val="4"/>
                <w:sz w:val="28"/>
                <w:szCs w:val="28"/>
              </w:rPr>
              <w:t>“</w:t>
            </w:r>
            <w:r>
              <w:rPr>
                <w:spacing w:val="4"/>
                <w:sz w:val="28"/>
                <w:szCs w:val="28"/>
              </w:rPr>
              <w:t>两癌</w:t>
            </w:r>
            <w:r>
              <w:rPr>
                <w:rFonts w:hint="eastAsia"/>
                <w:spacing w:val="4"/>
                <w:sz w:val="28"/>
                <w:szCs w:val="28"/>
              </w:rPr>
              <w:t>”</w:t>
            </w:r>
            <w:r>
              <w:rPr>
                <w:spacing w:val="4"/>
                <w:sz w:val="28"/>
                <w:szCs w:val="28"/>
              </w:rPr>
              <w:t>免费检查基本覆盖。</w:t>
            </w:r>
          </w:p>
          <w:p w14:paraId="3898F58E">
            <w:pPr>
              <w:spacing w:line="480" w:lineRule="exact"/>
              <w:ind w:firstLine="525" w:firstLineChars="196"/>
              <w:rPr>
                <w:spacing w:val="-6"/>
                <w:sz w:val="28"/>
                <w:szCs w:val="28"/>
              </w:rPr>
            </w:pPr>
            <w:r>
              <w:rPr>
                <w:rFonts w:eastAsia="方正楷体_GBK"/>
                <w:spacing w:val="-6"/>
                <w:sz w:val="28"/>
                <w:szCs w:val="28"/>
              </w:rPr>
              <w:t>社会保障织网工程。</w:t>
            </w:r>
            <w:r>
              <w:rPr>
                <w:spacing w:val="-6"/>
                <w:sz w:val="28"/>
                <w:szCs w:val="28"/>
              </w:rPr>
              <w:t>不断完善城乡低保制度，将符合条件的农村贫困人员及时纳入低保兜底；逐步提高特困人员救助供养标准；在充分尊重特困人员意愿基础上，全县生活不能自理特困人员集中供养率超过38%。城乡医疗保险参保率稳定在95%。</w:t>
            </w:r>
          </w:p>
          <w:p w14:paraId="032808B4">
            <w:pPr>
              <w:spacing w:line="480" w:lineRule="exact"/>
              <w:ind w:firstLine="548" w:firstLineChars="196"/>
              <w:rPr>
                <w:sz w:val="28"/>
                <w:szCs w:val="28"/>
              </w:rPr>
            </w:pPr>
            <w:r>
              <w:rPr>
                <w:rFonts w:eastAsia="方正楷体_GBK"/>
                <w:sz w:val="28"/>
                <w:szCs w:val="28"/>
              </w:rPr>
              <w:t>养老服务进农村工程。</w:t>
            </w:r>
            <w:r>
              <w:rPr>
                <w:sz w:val="28"/>
                <w:szCs w:val="28"/>
              </w:rPr>
              <w:t>积极开展应对人口老龄化行动，建成以居家为基础、社区为依托、机构为补充的多层次养老服务体系。推进医疗卫生与养老服务相结合，新建2个农村养老服务中心，充分发挥现有农村养老设施功能。鼓励发展</w:t>
            </w:r>
            <w:r>
              <w:rPr>
                <w:rFonts w:hint="eastAsia"/>
                <w:sz w:val="28"/>
                <w:szCs w:val="28"/>
              </w:rPr>
              <w:t>“</w:t>
            </w:r>
            <w:r>
              <w:rPr>
                <w:sz w:val="28"/>
                <w:szCs w:val="28"/>
              </w:rPr>
              <w:t>民宿养老</w:t>
            </w:r>
            <w:r>
              <w:rPr>
                <w:rFonts w:hint="eastAsia"/>
                <w:sz w:val="28"/>
                <w:szCs w:val="28"/>
              </w:rPr>
              <w:t>”</w:t>
            </w:r>
            <w:r>
              <w:rPr>
                <w:sz w:val="28"/>
                <w:szCs w:val="28"/>
              </w:rPr>
              <w:t>、</w:t>
            </w:r>
            <w:r>
              <w:rPr>
                <w:rFonts w:hint="eastAsia"/>
                <w:sz w:val="28"/>
                <w:szCs w:val="28"/>
              </w:rPr>
              <w:t>“</w:t>
            </w:r>
            <w:r>
              <w:rPr>
                <w:sz w:val="28"/>
                <w:szCs w:val="28"/>
              </w:rPr>
              <w:t>旅居养老</w:t>
            </w:r>
            <w:r>
              <w:rPr>
                <w:rFonts w:hint="eastAsia"/>
                <w:sz w:val="28"/>
                <w:szCs w:val="28"/>
              </w:rPr>
              <w:t>”</w:t>
            </w:r>
            <w:r>
              <w:rPr>
                <w:sz w:val="28"/>
                <w:szCs w:val="28"/>
              </w:rPr>
              <w:t>等农村康养项目，繁荣乡村养老服务市场。建立关爱农村留守老人志愿服务长效机制，推进老年宜居环境建设，到2025年，推进全县所有养老服务中心开展社会化养老服务。</w:t>
            </w:r>
          </w:p>
          <w:p w14:paraId="0D4ABCA3">
            <w:pPr>
              <w:spacing w:line="480" w:lineRule="exact"/>
              <w:ind w:firstLine="548" w:firstLineChars="196"/>
              <w:rPr>
                <w:sz w:val="30"/>
                <w:szCs w:val="30"/>
              </w:rPr>
            </w:pPr>
            <w:r>
              <w:rPr>
                <w:rFonts w:eastAsia="方正楷体_GBK"/>
                <w:sz w:val="28"/>
                <w:szCs w:val="28"/>
              </w:rPr>
              <w:t>防灾减灾救灾能力提升工程。</w:t>
            </w:r>
            <w:r>
              <w:rPr>
                <w:sz w:val="28"/>
                <w:szCs w:val="28"/>
              </w:rPr>
              <w:t>创建1个全国综合减灾示范社区，建设县级救灾物资储备库。建成新时代城口农村气象防灾减灾体系，完善县—乡镇（街道）—村社三级防灾减灾救灾工作体系，积极对接融合国家和市级工作体系，预警信息覆盖率达到95%。推进农业气象服务标准化建设，建成标准化农业气象服务县、建设精准农业气象服务示范基地4个以上，精细化智能服务覆盖40%新型农业经营主体。完善救灾物资紧急调拨和配送体系，实现救灾物资10小时之内运达县内灾害发生地。</w:t>
            </w:r>
          </w:p>
        </w:tc>
      </w:tr>
    </w:tbl>
    <w:p w14:paraId="5AC367C7">
      <w:pPr>
        <w:adjustRightInd w:val="0"/>
        <w:spacing w:line="480" w:lineRule="exact"/>
        <w:ind w:firstLine="1400" w:firstLineChars="500"/>
        <w:rPr>
          <w:rFonts w:eastAsia="宋体"/>
          <w:kern w:val="0"/>
          <w:sz w:val="28"/>
          <w:szCs w:val="28"/>
        </w:rPr>
      </w:pPr>
    </w:p>
    <w:p w14:paraId="2C109229">
      <w:pPr>
        <w:pStyle w:val="4"/>
        <w:spacing w:line="480" w:lineRule="exact"/>
        <w:ind w:firstLine="0"/>
        <w:rPr>
          <w:bCs w:val="0"/>
          <w:sz w:val="36"/>
          <w:szCs w:val="36"/>
        </w:rPr>
      </w:pPr>
      <w:bookmarkStart w:id="361" w:name="_Toc19939"/>
      <w:r>
        <w:rPr>
          <w:bCs w:val="0"/>
          <w:sz w:val="36"/>
          <w:szCs w:val="36"/>
        </w:rPr>
        <w:t>第三十章  着力促进农民增收致富</w:t>
      </w:r>
      <w:bookmarkEnd w:id="358"/>
      <w:bookmarkEnd w:id="359"/>
      <w:bookmarkEnd w:id="360"/>
      <w:bookmarkEnd w:id="361"/>
    </w:p>
    <w:p w14:paraId="0E994FC6">
      <w:pPr>
        <w:adjustRightInd w:val="0"/>
        <w:spacing w:line="480" w:lineRule="exact"/>
        <w:ind w:firstLine="560" w:firstLineChars="200"/>
        <w:rPr>
          <w:rFonts w:eastAsia="宋体"/>
          <w:kern w:val="0"/>
          <w:sz w:val="28"/>
          <w:szCs w:val="28"/>
        </w:rPr>
      </w:pPr>
    </w:p>
    <w:p w14:paraId="2E815AF5">
      <w:pPr>
        <w:spacing w:line="480" w:lineRule="exact"/>
        <w:ind w:firstLine="560" w:firstLineChars="200"/>
        <w:rPr>
          <w:kern w:val="0"/>
          <w:sz w:val="28"/>
          <w:szCs w:val="28"/>
        </w:rPr>
      </w:pPr>
      <w:r>
        <w:rPr>
          <w:kern w:val="0"/>
          <w:sz w:val="28"/>
          <w:szCs w:val="28"/>
        </w:rPr>
        <w:t>不忘发展初心，大力拓宽农民就近就业创业增收空间，让农民</w:t>
      </w:r>
      <w:r>
        <w:rPr>
          <w:rFonts w:hint="eastAsia"/>
          <w:kern w:val="0"/>
          <w:sz w:val="28"/>
          <w:szCs w:val="28"/>
        </w:rPr>
        <w:t>“</w:t>
      </w:r>
      <w:r>
        <w:rPr>
          <w:kern w:val="0"/>
          <w:sz w:val="28"/>
          <w:szCs w:val="28"/>
        </w:rPr>
        <w:t>能就业、可创业、有产业</w:t>
      </w:r>
      <w:r>
        <w:rPr>
          <w:rFonts w:hint="eastAsia"/>
          <w:kern w:val="0"/>
          <w:sz w:val="28"/>
          <w:szCs w:val="28"/>
        </w:rPr>
        <w:t>”</w:t>
      </w:r>
      <w:r>
        <w:rPr>
          <w:kern w:val="0"/>
          <w:sz w:val="28"/>
          <w:szCs w:val="28"/>
        </w:rPr>
        <w:t>，促进农民收入来源多元化。积极推进</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改革试点，构建紧密的利益联结机制，努力增加农民财产性收入。</w:t>
      </w:r>
      <w:bookmarkStart w:id="362" w:name="_Toc519079809"/>
      <w:bookmarkStart w:id="363" w:name="_Toc522043077"/>
      <w:bookmarkStart w:id="364" w:name="_Toc521865132"/>
      <w:bookmarkStart w:id="365" w:name="_Toc521352337"/>
      <w:bookmarkStart w:id="366" w:name="_Toc521853616"/>
    </w:p>
    <w:p w14:paraId="3C233996">
      <w:pPr>
        <w:pStyle w:val="5"/>
        <w:spacing w:line="480" w:lineRule="exact"/>
        <w:jc w:val="center"/>
        <w:rPr>
          <w:rFonts w:eastAsia="方正黑体_GBK"/>
          <w:b w:val="0"/>
          <w:bCs w:val="0"/>
          <w:sz w:val="28"/>
          <w:szCs w:val="28"/>
        </w:rPr>
      </w:pPr>
      <w:bookmarkStart w:id="367" w:name="_Toc4544"/>
      <w:r>
        <w:rPr>
          <w:rFonts w:eastAsia="方正黑体_GBK"/>
          <w:b w:val="0"/>
          <w:bCs w:val="0"/>
          <w:sz w:val="28"/>
          <w:szCs w:val="28"/>
        </w:rPr>
        <w:t>第一节  拓宽农民就业渠道</w:t>
      </w:r>
      <w:bookmarkEnd w:id="362"/>
      <w:bookmarkEnd w:id="363"/>
      <w:bookmarkEnd w:id="364"/>
      <w:bookmarkEnd w:id="365"/>
      <w:bookmarkEnd w:id="366"/>
      <w:bookmarkEnd w:id="367"/>
    </w:p>
    <w:p w14:paraId="193E9114">
      <w:pPr>
        <w:spacing w:line="480" w:lineRule="exact"/>
        <w:ind w:firstLine="560" w:firstLineChars="200"/>
        <w:rPr>
          <w:kern w:val="0"/>
          <w:sz w:val="28"/>
          <w:szCs w:val="28"/>
        </w:rPr>
      </w:pPr>
      <w:r>
        <w:rPr>
          <w:kern w:val="0"/>
          <w:sz w:val="28"/>
          <w:szCs w:val="28"/>
        </w:rPr>
        <w:t>大力发展乡村特色产业，推动农文旅融合发展，加大乡村招商引资力度。围绕山地特色产业创办一批小微企业，集中资源打造一批创业村和特色产业村，支持农民在地和农民工返乡创业，鼓励市民下乡与农民联合开展创业经营。增强乡村创造就业岗位能力，拓宽农村劳动力转移就业渠道，积极支持农村劳动力就地就近就业。实施乡村就业促进行动，振兴传统工艺，培育一批家庭农场、手工作坊、乡村车间，推进乡村经济多元化，推动农民就业多业化。采取市场化的手段和方式，不断丰富农村就业岗位，让农民在不转变资源资产权属的前提下，在家门口就能够灵活就业、充分就业。适度开发公益性岗位，完善公益性岗位管理，托底安排符合条件的农民就地、就近就业。</w:t>
      </w:r>
      <w:bookmarkStart w:id="368" w:name="_Toc522043078"/>
      <w:bookmarkStart w:id="369" w:name="_Toc521853617"/>
      <w:bookmarkStart w:id="370" w:name="_Toc521865133"/>
      <w:bookmarkStart w:id="371" w:name="_Toc519079810"/>
      <w:bookmarkStart w:id="372" w:name="_Toc521352338"/>
      <w:r>
        <w:rPr>
          <w:kern w:val="0"/>
          <w:sz w:val="28"/>
          <w:szCs w:val="28"/>
        </w:rPr>
        <w:t xml:space="preserve"> </w:t>
      </w:r>
    </w:p>
    <w:p w14:paraId="21F91A71">
      <w:pPr>
        <w:pStyle w:val="5"/>
        <w:spacing w:line="480" w:lineRule="exact"/>
        <w:jc w:val="center"/>
        <w:rPr>
          <w:rFonts w:eastAsia="方正黑体_GBK"/>
          <w:b w:val="0"/>
          <w:bCs w:val="0"/>
          <w:sz w:val="28"/>
          <w:szCs w:val="28"/>
        </w:rPr>
      </w:pPr>
      <w:bookmarkStart w:id="373" w:name="_Toc30715"/>
      <w:r>
        <w:rPr>
          <w:rFonts w:eastAsia="方正黑体_GBK"/>
          <w:b w:val="0"/>
          <w:bCs w:val="0"/>
          <w:sz w:val="28"/>
          <w:szCs w:val="28"/>
        </w:rPr>
        <w:t>第二节  增强乡村就业服务</w:t>
      </w:r>
      <w:bookmarkEnd w:id="368"/>
      <w:bookmarkEnd w:id="369"/>
      <w:bookmarkEnd w:id="370"/>
      <w:bookmarkEnd w:id="371"/>
      <w:bookmarkEnd w:id="372"/>
      <w:r>
        <w:rPr>
          <w:rFonts w:eastAsia="方正黑体_GBK"/>
          <w:b w:val="0"/>
          <w:bCs w:val="0"/>
          <w:sz w:val="28"/>
          <w:szCs w:val="28"/>
        </w:rPr>
        <w:t>能力</w:t>
      </w:r>
      <w:bookmarkEnd w:id="373"/>
    </w:p>
    <w:p w14:paraId="5998E522">
      <w:pPr>
        <w:spacing w:line="480" w:lineRule="exact"/>
        <w:ind w:firstLine="560" w:firstLineChars="200"/>
        <w:rPr>
          <w:kern w:val="0"/>
          <w:sz w:val="28"/>
          <w:szCs w:val="28"/>
        </w:rPr>
      </w:pPr>
      <w:r>
        <w:rPr>
          <w:kern w:val="0"/>
          <w:sz w:val="28"/>
          <w:szCs w:val="28"/>
        </w:rPr>
        <w:t>健全覆盖城乡的公共就业服务体系，完善就业服务保障政策。全面落实农村地区就业政策法规咨询、信息发布、职业指导和职业介绍、就业登记和失业登记等公共就业服务制度，组织开展就业服务专项活动。有序有效引导社会资本扩大就业服务供给，提升专业化服务水平。大力开展职业技能培训，力争建成一个公共实训基地，建立健全以企业、职业院校和各类培训机构为依托，以就业技能培训、岗位技能提升培训为主要形式的培训体系。加强就业援助，选择一批知名农业企业、农民合作社、种养殖大户等作为平台，为农民就业提供实训服务，对就业困难农民实行分类帮扶。</w:t>
      </w:r>
      <w:bookmarkStart w:id="374" w:name="_Toc522043079"/>
      <w:bookmarkStart w:id="375" w:name="_Toc521352339"/>
      <w:bookmarkStart w:id="376" w:name="_Toc521853618"/>
      <w:bookmarkStart w:id="377" w:name="_Toc519079811"/>
      <w:bookmarkStart w:id="378" w:name="_Toc521865134"/>
    </w:p>
    <w:p w14:paraId="3F3A4632">
      <w:pPr>
        <w:pStyle w:val="5"/>
        <w:spacing w:line="480" w:lineRule="exact"/>
        <w:jc w:val="center"/>
        <w:rPr>
          <w:rFonts w:eastAsia="方正黑体_GBK"/>
          <w:b w:val="0"/>
          <w:bCs w:val="0"/>
          <w:sz w:val="28"/>
          <w:szCs w:val="28"/>
        </w:rPr>
      </w:pPr>
      <w:bookmarkStart w:id="379" w:name="_Toc22603"/>
      <w:r>
        <w:rPr>
          <w:rFonts w:eastAsia="方正黑体_GBK"/>
          <w:b w:val="0"/>
          <w:bCs w:val="0"/>
          <w:sz w:val="28"/>
          <w:szCs w:val="28"/>
        </w:rPr>
        <w:t>第三节  完善就业制度保障体系</w:t>
      </w:r>
      <w:bookmarkEnd w:id="374"/>
      <w:bookmarkEnd w:id="375"/>
      <w:bookmarkEnd w:id="376"/>
      <w:bookmarkEnd w:id="377"/>
      <w:bookmarkEnd w:id="378"/>
      <w:bookmarkEnd w:id="379"/>
    </w:p>
    <w:p w14:paraId="0BE424CF">
      <w:pPr>
        <w:spacing w:line="480" w:lineRule="exact"/>
        <w:ind w:firstLine="560" w:firstLineChars="200"/>
        <w:rPr>
          <w:kern w:val="0"/>
          <w:sz w:val="28"/>
          <w:szCs w:val="28"/>
        </w:rPr>
      </w:pPr>
      <w:r>
        <w:rPr>
          <w:kern w:val="0"/>
          <w:sz w:val="28"/>
          <w:szCs w:val="28"/>
        </w:rPr>
        <w:t>完善市场运行规则，消除城乡劳动者身份差异，实现同工同酬，形成开放透明、统一规范、竞争有序的人力资源市场体系。严格落实工资支付保障机制，加大对欠薪企业的惩处力度，切实维护农民工劳动报酬权益。做好劳动用工备案、就业失业登记、社会保险登记等工作，加强对企业用工的动态管理服务。完善政府、工会、企业共同参与的协商协调机制，构建和谐劳动关系，监督指导用工单位依法与农民工签订劳动合同，提高农村转移人口就业质量。在农民工输入集中区域探索建立驻外保障服务机构。强化各类政策协同，落实就业服务、人才激励、教育培训、资金奖补、金融支持、社会保险等就业扶持政策，改善劳动条件，提高就业稳定性和收入水平。</w:t>
      </w:r>
    </w:p>
    <w:p w14:paraId="6753C78E">
      <w:pPr>
        <w:pStyle w:val="3"/>
        <w:spacing w:line="480" w:lineRule="exact"/>
        <w:jc w:val="center"/>
        <w:rPr>
          <w:rFonts w:ascii="Times New Roman" w:hAnsi="Times New Roman" w:eastAsia="方正黑体_GBK"/>
          <w:b w:val="0"/>
          <w:bCs w:val="0"/>
          <w:kern w:val="2"/>
        </w:rPr>
      </w:pPr>
      <w:bookmarkStart w:id="380" w:name="_Toc17668"/>
      <w:r>
        <w:rPr>
          <w:rFonts w:ascii="Times New Roman" w:hAnsi="Times New Roman" w:eastAsia="方正黑体_GBK"/>
          <w:b w:val="0"/>
          <w:bCs w:val="0"/>
          <w:kern w:val="2"/>
        </w:rPr>
        <w:t>第十篇 完善城乡融合发展体制机制</w:t>
      </w:r>
      <w:bookmarkEnd w:id="380"/>
    </w:p>
    <w:p w14:paraId="79BE17A5">
      <w:pPr>
        <w:spacing w:line="480" w:lineRule="exact"/>
      </w:pPr>
    </w:p>
    <w:p w14:paraId="2E3FE26D">
      <w:pPr>
        <w:spacing w:line="480" w:lineRule="exact"/>
        <w:ind w:firstLine="560" w:firstLineChars="200"/>
        <w:rPr>
          <w:kern w:val="0"/>
          <w:sz w:val="28"/>
          <w:szCs w:val="28"/>
        </w:rPr>
      </w:pPr>
      <w:r>
        <w:rPr>
          <w:kern w:val="0"/>
          <w:sz w:val="28"/>
          <w:szCs w:val="28"/>
        </w:rPr>
        <w:t>实施乡村振兴战略，要加快完善城乡融合发展的体制机制和政策体系，激发农村内部发展活力，优化农村外部发展环境，推动土地、资本等要素双向流动，促进</w:t>
      </w:r>
      <w:r>
        <w:rPr>
          <w:rFonts w:hint="eastAsia"/>
          <w:kern w:val="0"/>
          <w:sz w:val="28"/>
          <w:szCs w:val="28"/>
        </w:rPr>
        <w:t>“</w:t>
      </w:r>
      <w:r>
        <w:rPr>
          <w:kern w:val="0"/>
          <w:sz w:val="28"/>
          <w:szCs w:val="28"/>
        </w:rPr>
        <w:t>市民下乡</w:t>
      </w:r>
      <w:r>
        <w:rPr>
          <w:rFonts w:hint="eastAsia"/>
          <w:kern w:val="0"/>
          <w:sz w:val="28"/>
          <w:szCs w:val="28"/>
        </w:rPr>
        <w:t>”</w:t>
      </w:r>
      <w:r>
        <w:rPr>
          <w:kern w:val="0"/>
          <w:sz w:val="28"/>
          <w:szCs w:val="28"/>
        </w:rPr>
        <w:t>，营造平等和谐的城乡互动环境，为乡村振兴注入新动能。</w:t>
      </w:r>
    </w:p>
    <w:p w14:paraId="47425D43">
      <w:pPr>
        <w:adjustRightInd w:val="0"/>
        <w:spacing w:line="480" w:lineRule="exact"/>
        <w:jc w:val="center"/>
        <w:rPr>
          <w:rFonts w:eastAsia="宋体"/>
          <w:kern w:val="0"/>
          <w:sz w:val="28"/>
          <w:szCs w:val="28"/>
        </w:rPr>
      </w:pPr>
    </w:p>
    <w:p w14:paraId="2277E14E">
      <w:pPr>
        <w:pStyle w:val="4"/>
        <w:spacing w:line="480" w:lineRule="exact"/>
        <w:ind w:firstLine="0"/>
        <w:rPr>
          <w:bCs w:val="0"/>
          <w:sz w:val="36"/>
          <w:szCs w:val="36"/>
        </w:rPr>
      </w:pPr>
      <w:bookmarkStart w:id="381" w:name="_Toc16843"/>
      <w:r>
        <w:rPr>
          <w:bCs w:val="0"/>
          <w:sz w:val="36"/>
          <w:szCs w:val="36"/>
        </w:rPr>
        <w:t>第三十一章   推动农村人口有序市民化</w:t>
      </w:r>
      <w:bookmarkEnd w:id="381"/>
    </w:p>
    <w:p w14:paraId="607DBBDD">
      <w:pPr>
        <w:spacing w:line="480" w:lineRule="exact"/>
        <w:ind w:firstLine="641"/>
        <w:rPr>
          <w:rFonts w:eastAsia="黑体"/>
          <w:sz w:val="36"/>
          <w:szCs w:val="36"/>
        </w:rPr>
      </w:pPr>
    </w:p>
    <w:p w14:paraId="54471635">
      <w:pPr>
        <w:spacing w:line="480" w:lineRule="exact"/>
        <w:ind w:firstLine="560" w:firstLineChars="200"/>
        <w:rPr>
          <w:kern w:val="0"/>
          <w:sz w:val="28"/>
          <w:szCs w:val="28"/>
        </w:rPr>
      </w:pPr>
      <w:r>
        <w:rPr>
          <w:kern w:val="0"/>
          <w:sz w:val="28"/>
          <w:szCs w:val="28"/>
        </w:rPr>
        <w:t>立足城口大农村大山区小城市的特点，处理好新型城镇化和乡村振兴战略之间的关系，加快户籍制度改革，加快推进城乡公共服务均等化和社会保障一体化，促进有能力有意愿在城镇稳定就业和生活的农业转移人口有序实现市民化。</w:t>
      </w:r>
    </w:p>
    <w:p w14:paraId="0201B071">
      <w:pPr>
        <w:pStyle w:val="5"/>
        <w:spacing w:line="480" w:lineRule="exact"/>
        <w:jc w:val="center"/>
        <w:rPr>
          <w:rFonts w:eastAsia="方正黑体_GBK"/>
          <w:b w:val="0"/>
          <w:bCs w:val="0"/>
          <w:sz w:val="28"/>
          <w:szCs w:val="28"/>
        </w:rPr>
      </w:pPr>
      <w:bookmarkStart w:id="382" w:name="_Toc32465"/>
      <w:r>
        <w:rPr>
          <w:rFonts w:eastAsia="方正黑体_GBK"/>
          <w:b w:val="0"/>
          <w:bCs w:val="0"/>
          <w:sz w:val="28"/>
          <w:szCs w:val="28"/>
        </w:rPr>
        <w:t>第一节  推动户籍制度改革</w:t>
      </w:r>
      <w:bookmarkEnd w:id="382"/>
    </w:p>
    <w:p w14:paraId="132B2E54">
      <w:pPr>
        <w:adjustRightInd w:val="0"/>
        <w:spacing w:line="480" w:lineRule="exact"/>
        <w:ind w:firstLine="560" w:firstLineChars="200"/>
        <w:rPr>
          <w:kern w:val="0"/>
          <w:sz w:val="28"/>
          <w:szCs w:val="28"/>
        </w:rPr>
      </w:pPr>
      <w:r>
        <w:rPr>
          <w:kern w:val="0"/>
          <w:sz w:val="28"/>
          <w:szCs w:val="28"/>
        </w:rPr>
        <w:t>以合法稳定住所和稳定就业为户口迁移基本条件，经常居住地登记户口为基本形式，建立城乡统一、以人为本、科学高效、规范有序的新型户籍制度。调整完善户口迁移政策，体现促进人的城镇化为核心、提高质量为目的的人口政策导向。进一步放开落户条件，推动有能力有意愿在城镇稳定就业和生活的农业转移人口和其他非户籍人口落户城镇。坚持以聚人为主导方向，全面实行居住证制度，进一步优化公共服务，提高居住证含金量，推进居住证制度覆盖全部未落户城镇常住人口。着力实施</w:t>
      </w:r>
      <w:r>
        <w:rPr>
          <w:rFonts w:hint="eastAsia"/>
          <w:kern w:val="0"/>
          <w:sz w:val="28"/>
          <w:szCs w:val="28"/>
        </w:rPr>
        <w:t>“</w:t>
      </w:r>
      <w:r>
        <w:rPr>
          <w:kern w:val="0"/>
          <w:sz w:val="28"/>
          <w:szCs w:val="28"/>
        </w:rPr>
        <w:t>三个一批</w:t>
      </w:r>
      <w:r>
        <w:rPr>
          <w:rFonts w:hint="eastAsia"/>
          <w:kern w:val="0"/>
          <w:sz w:val="28"/>
          <w:szCs w:val="28"/>
        </w:rPr>
        <w:t>”</w:t>
      </w:r>
      <w:r>
        <w:rPr>
          <w:kern w:val="0"/>
          <w:sz w:val="28"/>
          <w:szCs w:val="28"/>
        </w:rPr>
        <w:t>集聚计划，重点解决符合条件的普通劳动者落户问题，引导一批县外务工人员返城落户、推动一批县外来城务工人员举家落户、吸引一批外来青年扎根落户。</w:t>
      </w:r>
      <w:bookmarkStart w:id="383" w:name="_Toc521865139"/>
      <w:bookmarkStart w:id="384" w:name="_Toc522043084"/>
      <w:bookmarkStart w:id="385" w:name="_Toc521853623"/>
      <w:bookmarkStart w:id="386" w:name="_Toc519079786"/>
      <w:bookmarkStart w:id="387" w:name="_Toc521352343"/>
    </w:p>
    <w:p w14:paraId="08CFB9B1">
      <w:pPr>
        <w:pStyle w:val="5"/>
        <w:spacing w:line="480" w:lineRule="exact"/>
        <w:jc w:val="center"/>
        <w:rPr>
          <w:rFonts w:eastAsia="方正黑体_GBK"/>
          <w:b w:val="0"/>
          <w:bCs w:val="0"/>
          <w:sz w:val="28"/>
          <w:szCs w:val="28"/>
        </w:rPr>
      </w:pPr>
      <w:bookmarkStart w:id="388" w:name="_Toc31004"/>
      <w:r>
        <w:rPr>
          <w:rFonts w:eastAsia="方正黑体_GBK"/>
          <w:b w:val="0"/>
          <w:bCs w:val="0"/>
          <w:sz w:val="28"/>
          <w:szCs w:val="28"/>
        </w:rPr>
        <w:t>第二节  保障享有平等权益</w:t>
      </w:r>
      <w:bookmarkEnd w:id="383"/>
      <w:bookmarkEnd w:id="384"/>
      <w:bookmarkEnd w:id="385"/>
      <w:bookmarkEnd w:id="386"/>
      <w:bookmarkEnd w:id="387"/>
      <w:bookmarkEnd w:id="388"/>
    </w:p>
    <w:p w14:paraId="660D458F">
      <w:pPr>
        <w:spacing w:line="480" w:lineRule="exact"/>
        <w:ind w:firstLine="560" w:firstLineChars="200"/>
        <w:rPr>
          <w:kern w:val="0"/>
          <w:sz w:val="28"/>
          <w:szCs w:val="28"/>
        </w:rPr>
      </w:pPr>
      <w:r>
        <w:rPr>
          <w:kern w:val="0"/>
          <w:sz w:val="28"/>
          <w:szCs w:val="28"/>
        </w:rPr>
        <w:t>深化户籍制度改革，推动农业转移人口平等享受教育、就业、医疗、社保、住房保障等城镇公共服务。建立健全以居住证为主要依据的随迁子女入学政策，保障农民工随迁子女以县属公办学校为主接受义务教育。完善就业失业登记管理制度，面向农业转移人口全面提供政府补贴职业技能培训服务。完善统一的城乡居民基本医疗保险制度和大病保险制度，做好农民重特大疾病救助工作。完善城乡居民基本养老保险制度，建立城乡居民基本养老保险基础养老金标准正常调整机制。将农业转移人口纳入社区卫生和计划生育服务体系，提供基本医疗卫生服务。把符合条件的进城落户农民纳入城镇社会保障体系，完善并落实医疗保险关系转移接续办法和异地就医结算办法。把进城落户农民完全纳入城镇住房保障体系，采取多种方式保障农业转移人口基本住房需求。</w:t>
      </w:r>
    </w:p>
    <w:p w14:paraId="101FEF25">
      <w:pPr>
        <w:pStyle w:val="5"/>
        <w:spacing w:line="480" w:lineRule="exact"/>
        <w:jc w:val="center"/>
        <w:rPr>
          <w:rFonts w:eastAsia="方正黑体_GBK"/>
          <w:b w:val="0"/>
          <w:bCs w:val="0"/>
          <w:sz w:val="28"/>
          <w:szCs w:val="28"/>
        </w:rPr>
      </w:pPr>
      <w:bookmarkStart w:id="389" w:name="_Toc21463"/>
      <w:r>
        <w:rPr>
          <w:rFonts w:eastAsia="方正黑体_GBK"/>
          <w:b w:val="0"/>
          <w:bCs w:val="0"/>
          <w:sz w:val="28"/>
          <w:szCs w:val="28"/>
        </w:rPr>
        <w:t>第三节  建立健全激励机制</w:t>
      </w:r>
      <w:bookmarkEnd w:id="389"/>
    </w:p>
    <w:p w14:paraId="2B1120FE">
      <w:pPr>
        <w:spacing w:line="480" w:lineRule="exact"/>
        <w:ind w:firstLine="560" w:firstLineChars="200"/>
        <w:rPr>
          <w:kern w:val="0"/>
          <w:sz w:val="28"/>
          <w:szCs w:val="28"/>
        </w:rPr>
      </w:pPr>
      <w:r>
        <w:rPr>
          <w:kern w:val="0"/>
          <w:sz w:val="28"/>
          <w:szCs w:val="28"/>
        </w:rPr>
        <w:t>切实维护进城落户农民土地承包经营权、宅基地使用权、集体收益分配权，积极开展</w:t>
      </w:r>
      <w:r>
        <w:rPr>
          <w:rFonts w:hint="eastAsia"/>
          <w:kern w:val="0"/>
          <w:sz w:val="28"/>
          <w:szCs w:val="28"/>
        </w:rPr>
        <w:t>“</w:t>
      </w:r>
      <w:r>
        <w:rPr>
          <w:kern w:val="0"/>
          <w:sz w:val="28"/>
          <w:szCs w:val="28"/>
        </w:rPr>
        <w:t>三权</w:t>
      </w:r>
      <w:r>
        <w:rPr>
          <w:rFonts w:hint="eastAsia"/>
          <w:kern w:val="0"/>
          <w:sz w:val="28"/>
          <w:szCs w:val="28"/>
        </w:rPr>
        <w:t>”</w:t>
      </w:r>
      <w:r>
        <w:rPr>
          <w:kern w:val="0"/>
          <w:sz w:val="28"/>
          <w:szCs w:val="28"/>
        </w:rPr>
        <w:t>自愿有偿依法退出试点，支持引导其依法自愿有偿转让。加大户籍、财政、土地等领域关键环节改革力度，促进人口发展与新型城镇化、农业现代化等协调推进。加快户口变动与农村</w:t>
      </w:r>
      <w:r>
        <w:rPr>
          <w:rFonts w:hint="eastAsia"/>
          <w:kern w:val="0"/>
          <w:sz w:val="28"/>
          <w:szCs w:val="28"/>
        </w:rPr>
        <w:t>“</w:t>
      </w:r>
      <w:r>
        <w:rPr>
          <w:kern w:val="0"/>
          <w:sz w:val="28"/>
          <w:szCs w:val="28"/>
        </w:rPr>
        <w:t>三权</w:t>
      </w:r>
      <w:r>
        <w:rPr>
          <w:rFonts w:hint="eastAsia"/>
          <w:kern w:val="0"/>
          <w:sz w:val="28"/>
          <w:szCs w:val="28"/>
        </w:rPr>
        <w:t>”</w:t>
      </w:r>
      <w:r>
        <w:rPr>
          <w:kern w:val="0"/>
          <w:sz w:val="28"/>
          <w:szCs w:val="28"/>
        </w:rPr>
        <w:t>脱钩，不得以退出</w:t>
      </w:r>
      <w:r>
        <w:rPr>
          <w:rFonts w:hint="eastAsia"/>
          <w:kern w:val="0"/>
          <w:sz w:val="28"/>
          <w:szCs w:val="28"/>
        </w:rPr>
        <w:t>“</w:t>
      </w:r>
      <w:r>
        <w:rPr>
          <w:kern w:val="0"/>
          <w:sz w:val="28"/>
          <w:szCs w:val="28"/>
        </w:rPr>
        <w:t>三权</w:t>
      </w:r>
      <w:r>
        <w:rPr>
          <w:rFonts w:hint="eastAsia"/>
          <w:kern w:val="0"/>
          <w:sz w:val="28"/>
          <w:szCs w:val="28"/>
        </w:rPr>
        <w:t>”</w:t>
      </w:r>
      <w:r>
        <w:rPr>
          <w:kern w:val="0"/>
          <w:sz w:val="28"/>
          <w:szCs w:val="28"/>
        </w:rPr>
        <w:t>作为农民进城落户的条件，促使有条件的农业转移人口放心落户城镇。强化</w:t>
      </w:r>
      <w:r>
        <w:rPr>
          <w:rFonts w:hint="eastAsia"/>
          <w:kern w:val="0"/>
          <w:sz w:val="28"/>
          <w:szCs w:val="28"/>
        </w:rPr>
        <w:t>“</w:t>
      </w:r>
      <w:r>
        <w:rPr>
          <w:kern w:val="0"/>
          <w:sz w:val="28"/>
          <w:szCs w:val="28"/>
        </w:rPr>
        <w:t>三挂钩</w:t>
      </w:r>
      <w:r>
        <w:rPr>
          <w:rFonts w:hint="eastAsia"/>
          <w:kern w:val="0"/>
          <w:sz w:val="28"/>
          <w:szCs w:val="28"/>
        </w:rPr>
        <w:t>”</w:t>
      </w:r>
      <w:r>
        <w:rPr>
          <w:kern w:val="0"/>
          <w:sz w:val="28"/>
          <w:szCs w:val="28"/>
        </w:rPr>
        <w:t>激励机制，进一步完善落实财政转移支付、城镇新增建设用地、中央预算内投资安排与吸纳农业转移人口落户数量挂钩政策，健全由政府、企业、个人共同参与的市民化成本分担机制。</w:t>
      </w:r>
      <w:bookmarkStart w:id="390" w:name="_Toc519079788"/>
      <w:bookmarkStart w:id="391" w:name="_Toc521352345"/>
      <w:bookmarkStart w:id="392" w:name="_Toc522043086"/>
      <w:bookmarkStart w:id="393" w:name="_Toc521853625"/>
      <w:bookmarkStart w:id="394" w:name="_Toc521865141"/>
    </w:p>
    <w:p w14:paraId="4CD2EECE">
      <w:pPr>
        <w:spacing w:line="480" w:lineRule="exact"/>
      </w:pPr>
    </w:p>
    <w:p w14:paraId="0E9A1BB9">
      <w:pPr>
        <w:pStyle w:val="4"/>
        <w:spacing w:line="480" w:lineRule="exact"/>
        <w:ind w:firstLine="0"/>
        <w:rPr>
          <w:bCs w:val="0"/>
          <w:sz w:val="36"/>
          <w:szCs w:val="36"/>
        </w:rPr>
      </w:pPr>
      <w:bookmarkStart w:id="395" w:name="_Toc3520"/>
      <w:r>
        <w:rPr>
          <w:bCs w:val="0"/>
          <w:sz w:val="36"/>
          <w:szCs w:val="36"/>
        </w:rPr>
        <w:t>第三十二章  增强农村制度创新供给</w:t>
      </w:r>
      <w:bookmarkEnd w:id="390"/>
      <w:bookmarkEnd w:id="391"/>
      <w:bookmarkEnd w:id="392"/>
      <w:bookmarkEnd w:id="393"/>
      <w:bookmarkEnd w:id="394"/>
      <w:bookmarkEnd w:id="395"/>
    </w:p>
    <w:p w14:paraId="08B144C7">
      <w:pPr>
        <w:spacing w:line="480" w:lineRule="exact"/>
        <w:ind w:firstLine="641"/>
        <w:rPr>
          <w:rFonts w:eastAsia="宋体"/>
          <w:kern w:val="0"/>
        </w:rPr>
      </w:pPr>
    </w:p>
    <w:p w14:paraId="5909848A">
      <w:pPr>
        <w:spacing w:line="480" w:lineRule="exact"/>
        <w:ind w:firstLine="560" w:firstLineChars="200"/>
        <w:rPr>
          <w:kern w:val="0"/>
          <w:sz w:val="28"/>
          <w:szCs w:val="28"/>
        </w:rPr>
      </w:pPr>
      <w:r>
        <w:rPr>
          <w:kern w:val="0"/>
          <w:sz w:val="28"/>
          <w:szCs w:val="28"/>
        </w:rPr>
        <w:t>建立现代农业经营体系，完善农村土地利用管理政策体系，激活农村土地和生态资源资产，保障乡村振兴用地需求，增加农民财产性收益。</w:t>
      </w:r>
      <w:bookmarkStart w:id="396" w:name="_Toc519079789"/>
      <w:bookmarkStart w:id="397" w:name="_Toc521853626"/>
      <w:bookmarkStart w:id="398" w:name="_Toc522043087"/>
      <w:bookmarkStart w:id="399" w:name="_Toc521352346"/>
      <w:bookmarkStart w:id="400" w:name="_Toc521865142"/>
    </w:p>
    <w:p w14:paraId="317F8E56">
      <w:pPr>
        <w:pStyle w:val="5"/>
        <w:spacing w:line="480" w:lineRule="exact"/>
        <w:jc w:val="center"/>
        <w:rPr>
          <w:rFonts w:eastAsia="方正黑体_GBK"/>
          <w:b w:val="0"/>
          <w:bCs w:val="0"/>
          <w:sz w:val="28"/>
          <w:szCs w:val="28"/>
        </w:rPr>
      </w:pPr>
      <w:bookmarkStart w:id="401" w:name="_Toc19690"/>
      <w:r>
        <w:rPr>
          <w:rFonts w:eastAsia="方正黑体_GBK"/>
          <w:b w:val="0"/>
          <w:bCs w:val="0"/>
          <w:sz w:val="28"/>
          <w:szCs w:val="28"/>
        </w:rPr>
        <w:t>第一节  巩固和完善农村基本经营制度</w:t>
      </w:r>
      <w:bookmarkEnd w:id="396"/>
      <w:bookmarkEnd w:id="397"/>
      <w:bookmarkEnd w:id="398"/>
      <w:bookmarkEnd w:id="399"/>
      <w:bookmarkEnd w:id="400"/>
      <w:bookmarkEnd w:id="401"/>
    </w:p>
    <w:p w14:paraId="1A47E0E0">
      <w:pPr>
        <w:spacing w:line="480" w:lineRule="exact"/>
        <w:ind w:firstLine="560" w:firstLineChars="200"/>
        <w:rPr>
          <w:rFonts w:eastAsia="宋体"/>
          <w:kern w:val="0"/>
          <w:sz w:val="28"/>
          <w:szCs w:val="28"/>
        </w:rPr>
      </w:pPr>
      <w:r>
        <w:rPr>
          <w:kern w:val="0"/>
          <w:sz w:val="28"/>
          <w:szCs w:val="28"/>
        </w:rPr>
        <w:t>巩固和完善以家庭经营为基础，统分结合的双层经营体制。深化完善农村土地承包经营权确权登记颁证工作，落实农村土地承包关系稳定并长久不变和第二轮土地承包到期后再延长30年政策。在全面完成新型集体经济组织登记赋码的基础之上，探索赋予集体经济组织成员对集体资产股份的继承、抵押、担保、有偿退出等权能。建立健全资产管理、经营、分配等制度，充分保障农村集体经济组织及成员合法权益。厘清集体经济组织与党组织、自治组织和社会组织关系，完善集体经济组织治理体系。探索集体经济组织股权设置多样化和在自治基础上的适度动态管理。支持有条件有需求的乡镇街道跨村域成立集体经济组织联合组织。强化乡镇农村经营管理职能，加强农村经营管理队伍能力建设，进一步完善土地流转监测、分级备案和鉴证制度，切实做好农民负担监管、农村土地承包管理、农村财务资产管理和农民专业组织指导等工作</w:t>
      </w:r>
      <w:bookmarkStart w:id="402" w:name="_Toc522043088"/>
      <w:bookmarkStart w:id="403" w:name="_Toc521865143"/>
      <w:bookmarkStart w:id="404" w:name="_Toc521853627"/>
      <w:bookmarkStart w:id="405" w:name="_Toc519079790"/>
      <w:bookmarkStart w:id="406" w:name="_Toc521352347"/>
      <w:r>
        <w:rPr>
          <w:kern w:val="0"/>
          <w:sz w:val="28"/>
          <w:szCs w:val="28"/>
        </w:rPr>
        <w:t>。</w:t>
      </w:r>
    </w:p>
    <w:p w14:paraId="446998BB">
      <w:pPr>
        <w:pStyle w:val="5"/>
        <w:spacing w:line="480" w:lineRule="exact"/>
        <w:jc w:val="center"/>
        <w:rPr>
          <w:rFonts w:eastAsia="方正黑体_GBK"/>
          <w:b w:val="0"/>
          <w:bCs w:val="0"/>
          <w:sz w:val="28"/>
          <w:szCs w:val="28"/>
        </w:rPr>
      </w:pPr>
      <w:bookmarkStart w:id="407" w:name="_Toc10029"/>
      <w:r>
        <w:rPr>
          <w:rFonts w:eastAsia="方正黑体_GBK"/>
          <w:b w:val="0"/>
          <w:bCs w:val="0"/>
          <w:sz w:val="28"/>
          <w:szCs w:val="28"/>
        </w:rPr>
        <w:t>第二节  深化农村土地制度改革</w:t>
      </w:r>
      <w:bookmarkEnd w:id="402"/>
      <w:bookmarkEnd w:id="403"/>
      <w:bookmarkEnd w:id="404"/>
      <w:bookmarkEnd w:id="405"/>
      <w:bookmarkEnd w:id="406"/>
      <w:bookmarkEnd w:id="407"/>
    </w:p>
    <w:p w14:paraId="64C00F6E">
      <w:pPr>
        <w:spacing w:line="480" w:lineRule="exact"/>
        <w:ind w:firstLine="560" w:firstLineChars="200"/>
        <w:rPr>
          <w:kern w:val="0"/>
          <w:sz w:val="28"/>
          <w:szCs w:val="28"/>
        </w:rPr>
      </w:pPr>
      <w:r>
        <w:rPr>
          <w:kern w:val="0"/>
          <w:sz w:val="28"/>
          <w:szCs w:val="28"/>
        </w:rPr>
        <w:t>全面落实农村承包地</w:t>
      </w:r>
      <w:r>
        <w:rPr>
          <w:rFonts w:hint="eastAsia"/>
          <w:kern w:val="0"/>
          <w:sz w:val="28"/>
          <w:szCs w:val="28"/>
        </w:rPr>
        <w:t>“</w:t>
      </w:r>
      <w:r>
        <w:rPr>
          <w:kern w:val="0"/>
          <w:sz w:val="28"/>
          <w:szCs w:val="28"/>
        </w:rPr>
        <w:t>三权分置</w:t>
      </w:r>
      <w:r>
        <w:rPr>
          <w:rFonts w:hint="eastAsia"/>
          <w:kern w:val="0"/>
          <w:sz w:val="28"/>
          <w:szCs w:val="28"/>
        </w:rPr>
        <w:t>”</w:t>
      </w:r>
      <w:r>
        <w:rPr>
          <w:kern w:val="0"/>
          <w:sz w:val="28"/>
          <w:szCs w:val="28"/>
        </w:rPr>
        <w:t>制度，在依法保护集体土地所有权和农户承包权的前提下，平等保护土地经营权。鼓励承包农户依法采取转包、出租、互换、转让、入股等方式流转承包地。严格把握有稳定住所、有稳定收入来源两个前提，对确有退出意愿的农户可引导有偿退出承包土地。优化农村土地增值收益分配机制，调整完善土地出让使用范围，提高土地出让收入用于乡村振兴的比例。严把</w:t>
      </w:r>
      <w:r>
        <w:rPr>
          <w:rFonts w:hint="eastAsia"/>
          <w:kern w:val="0"/>
          <w:sz w:val="28"/>
          <w:szCs w:val="28"/>
        </w:rPr>
        <w:t>“</w:t>
      </w:r>
      <w:r>
        <w:rPr>
          <w:kern w:val="0"/>
          <w:sz w:val="28"/>
          <w:szCs w:val="28"/>
        </w:rPr>
        <w:t>不得违规违法买卖宅基地和禁止下乡利用农村宅基地建设别墅大院和私人会馆</w:t>
      </w:r>
      <w:r>
        <w:rPr>
          <w:rFonts w:hint="eastAsia"/>
          <w:kern w:val="0"/>
          <w:sz w:val="28"/>
          <w:szCs w:val="28"/>
        </w:rPr>
        <w:t>”</w:t>
      </w:r>
      <w:r>
        <w:rPr>
          <w:kern w:val="0"/>
          <w:sz w:val="28"/>
          <w:szCs w:val="28"/>
        </w:rPr>
        <w:t>政策关。</w:t>
      </w:r>
      <w:bookmarkStart w:id="408" w:name="_Toc522043089"/>
      <w:bookmarkStart w:id="409" w:name="_Toc521853628"/>
      <w:bookmarkStart w:id="410" w:name="_Toc521352348"/>
      <w:bookmarkStart w:id="411" w:name="_Toc519079791"/>
      <w:bookmarkStart w:id="412" w:name="_Toc521865144"/>
    </w:p>
    <w:p w14:paraId="3379098A">
      <w:pPr>
        <w:pStyle w:val="5"/>
        <w:spacing w:line="480" w:lineRule="exact"/>
        <w:jc w:val="center"/>
        <w:rPr>
          <w:rFonts w:eastAsia="方正黑体_GBK"/>
          <w:b w:val="0"/>
          <w:bCs w:val="0"/>
          <w:sz w:val="28"/>
          <w:szCs w:val="28"/>
        </w:rPr>
      </w:pPr>
      <w:bookmarkStart w:id="413" w:name="_Toc30161"/>
      <w:r>
        <w:rPr>
          <w:rFonts w:eastAsia="方正黑体_GBK"/>
          <w:b w:val="0"/>
          <w:bCs w:val="0"/>
          <w:sz w:val="28"/>
          <w:szCs w:val="28"/>
        </w:rPr>
        <w:t>第三节  完善农村用地保障机制</w:t>
      </w:r>
      <w:bookmarkEnd w:id="408"/>
      <w:bookmarkEnd w:id="409"/>
      <w:bookmarkEnd w:id="410"/>
      <w:bookmarkEnd w:id="411"/>
      <w:bookmarkEnd w:id="412"/>
      <w:bookmarkEnd w:id="413"/>
    </w:p>
    <w:p w14:paraId="16E023B5">
      <w:pPr>
        <w:spacing w:line="480" w:lineRule="exact"/>
        <w:ind w:firstLine="560" w:firstLineChars="200"/>
        <w:rPr>
          <w:kern w:val="0"/>
          <w:sz w:val="28"/>
          <w:szCs w:val="28"/>
        </w:rPr>
      </w:pPr>
      <w:r>
        <w:rPr>
          <w:kern w:val="0"/>
          <w:sz w:val="28"/>
          <w:szCs w:val="28"/>
        </w:rPr>
        <w:t>强化农业农村各项土地利用活动统筹力度，优化耕地保护、乡村建设、产业发展、生态保护等用地布局。积极争取国家相关部委对自然保护区重新勘界和功能划分。土地利用总体规划优先安排农村基础设施和公共服务设施用地，交通、水利等政府投资基础设施项目用地，应保尽保，做好农业农村发展项目用地保障。在符合土地利用总体规划前提下，通过村级土地利用规划，调整优化乡村用地布局，有效利用农村零星分散的存量建设用地，预留部分规划建设用地指标用于单独选址的农业设施和休闲旅游设施等建设。进一步完善设施农业用地政策，积极争取上级乡村振兴试验示范、农文旅融合发展用地专项指标。实行村域、乡域和县域范围内建设集体用地增减挂钩，探索集体经营建设性用地直接入市。深挖农村土地资源潜力，全面清理核实并盘活农村</w:t>
      </w:r>
      <w:r>
        <w:rPr>
          <w:rFonts w:hint="eastAsia"/>
          <w:kern w:val="0"/>
          <w:sz w:val="28"/>
          <w:szCs w:val="28"/>
        </w:rPr>
        <w:t>“</w:t>
      </w:r>
      <w:r>
        <w:rPr>
          <w:kern w:val="0"/>
          <w:sz w:val="28"/>
          <w:szCs w:val="28"/>
        </w:rPr>
        <w:t>四荒</w:t>
      </w:r>
      <w:r>
        <w:rPr>
          <w:rFonts w:hint="eastAsia"/>
          <w:kern w:val="0"/>
          <w:sz w:val="28"/>
          <w:szCs w:val="28"/>
        </w:rPr>
        <w:t>”</w:t>
      </w:r>
      <w:r>
        <w:rPr>
          <w:kern w:val="0"/>
          <w:sz w:val="28"/>
          <w:szCs w:val="28"/>
        </w:rPr>
        <w:t>地、存量集体建设用地、闲置宅基地等土地资源。</w:t>
      </w:r>
      <w:bookmarkStart w:id="414" w:name="_Toc521865145"/>
      <w:bookmarkStart w:id="415" w:name="_Toc521853629"/>
      <w:bookmarkStart w:id="416" w:name="_Toc522043090"/>
      <w:bookmarkStart w:id="417" w:name="_Toc519079812"/>
      <w:bookmarkStart w:id="418" w:name="_Toc521352349"/>
      <w:r>
        <w:rPr>
          <w:kern w:val="0"/>
          <w:sz w:val="28"/>
          <w:szCs w:val="28"/>
        </w:rPr>
        <w:t>支持村集体经济组织、跨村域或乡镇集体经济组织对域内闲置集体建设用地和房屋收储，鼓励利用收储农村闲置建设用地和闲置房屋发展农村新产业新业态试点。</w:t>
      </w:r>
    </w:p>
    <w:p w14:paraId="7E666D18">
      <w:pPr>
        <w:pStyle w:val="5"/>
        <w:spacing w:line="480" w:lineRule="exact"/>
        <w:jc w:val="center"/>
        <w:rPr>
          <w:rFonts w:eastAsia="方正黑体_GBK"/>
          <w:b w:val="0"/>
          <w:bCs w:val="0"/>
          <w:sz w:val="28"/>
          <w:szCs w:val="28"/>
        </w:rPr>
      </w:pPr>
      <w:bookmarkStart w:id="419" w:name="_Toc17297"/>
      <w:r>
        <w:rPr>
          <w:rFonts w:eastAsia="方正黑体_GBK"/>
          <w:b w:val="0"/>
          <w:bCs w:val="0"/>
          <w:sz w:val="28"/>
          <w:szCs w:val="28"/>
        </w:rPr>
        <w:t>第四节  构建紧密型利益联结机制</w:t>
      </w:r>
      <w:bookmarkEnd w:id="414"/>
      <w:bookmarkEnd w:id="415"/>
      <w:bookmarkEnd w:id="416"/>
      <w:bookmarkEnd w:id="417"/>
      <w:bookmarkEnd w:id="418"/>
      <w:bookmarkEnd w:id="419"/>
    </w:p>
    <w:p w14:paraId="35767092">
      <w:pPr>
        <w:spacing w:line="480" w:lineRule="exact"/>
        <w:ind w:firstLine="560" w:firstLineChars="200"/>
        <w:rPr>
          <w:kern w:val="0"/>
          <w:sz w:val="28"/>
          <w:szCs w:val="28"/>
        </w:rPr>
      </w:pPr>
      <w:r>
        <w:rPr>
          <w:kern w:val="0"/>
          <w:sz w:val="28"/>
          <w:szCs w:val="28"/>
        </w:rPr>
        <w:t>完善农村</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改革，支持岚天乡岚溪村等村庄</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改革试点向纵深推进，以打造</w:t>
      </w:r>
      <w:r>
        <w:rPr>
          <w:rFonts w:hint="eastAsia"/>
          <w:kern w:val="0"/>
          <w:sz w:val="28"/>
          <w:szCs w:val="28"/>
        </w:rPr>
        <w:t>“</w:t>
      </w:r>
      <w:r>
        <w:rPr>
          <w:kern w:val="0"/>
          <w:sz w:val="28"/>
          <w:szCs w:val="28"/>
        </w:rPr>
        <w:t>股份农民</w:t>
      </w:r>
      <w:r>
        <w:rPr>
          <w:rFonts w:hint="eastAsia"/>
          <w:kern w:val="0"/>
          <w:sz w:val="28"/>
          <w:szCs w:val="28"/>
        </w:rPr>
        <w:t>”</w:t>
      </w:r>
      <w:r>
        <w:rPr>
          <w:kern w:val="0"/>
          <w:sz w:val="28"/>
          <w:szCs w:val="28"/>
        </w:rPr>
        <w:t>为核心，坚持合股联营、利益共享原则，创新风险防控、利益联结、资产收益扶贫、股份分红保证金、绩效评估等机制，创新收益分享模式，创新经营业态，创新治理体系。探索以股份为主的集体经济发展方式和资源性资产定价机制，推动农村资源要素折资入股，重视农村生态资源和空间资源折资入股。鼓励引入企业及其他市场主体组建股份公司，鼓励农民专业合作社转型发展为农村股份合作社，鼓励组建产业联合体，培育搭建股份合作平台。采取</w:t>
      </w:r>
      <w:r>
        <w:rPr>
          <w:rFonts w:hint="eastAsia"/>
          <w:kern w:val="0"/>
          <w:sz w:val="28"/>
          <w:szCs w:val="28"/>
        </w:rPr>
        <w:t>“</w:t>
      </w:r>
      <w:r>
        <w:rPr>
          <w:kern w:val="0"/>
          <w:sz w:val="28"/>
          <w:szCs w:val="28"/>
        </w:rPr>
        <w:t>经营主体+村集体+基地</w:t>
      </w:r>
      <w:r>
        <w:rPr>
          <w:rFonts w:hint="eastAsia"/>
          <w:kern w:val="0"/>
          <w:sz w:val="28"/>
          <w:szCs w:val="28"/>
        </w:rPr>
        <w:t>”“</w:t>
      </w:r>
      <w:r>
        <w:rPr>
          <w:kern w:val="0"/>
          <w:sz w:val="28"/>
          <w:szCs w:val="28"/>
        </w:rPr>
        <w:t>经营主体+农户+基地</w:t>
      </w:r>
      <w:r>
        <w:rPr>
          <w:rFonts w:hint="eastAsia"/>
          <w:kern w:val="0"/>
          <w:sz w:val="28"/>
          <w:szCs w:val="28"/>
        </w:rPr>
        <w:t>”</w:t>
      </w:r>
      <w:r>
        <w:rPr>
          <w:kern w:val="0"/>
          <w:sz w:val="28"/>
          <w:szCs w:val="28"/>
        </w:rPr>
        <w:t>的模式，构建</w:t>
      </w:r>
      <w:r>
        <w:rPr>
          <w:rFonts w:hint="eastAsia"/>
          <w:kern w:val="0"/>
          <w:sz w:val="28"/>
          <w:szCs w:val="28"/>
        </w:rPr>
        <w:t>“</w:t>
      </w:r>
      <w:r>
        <w:rPr>
          <w:kern w:val="0"/>
          <w:sz w:val="28"/>
          <w:szCs w:val="28"/>
        </w:rPr>
        <w:t>股权平等、盈利共享、风险共担</w:t>
      </w:r>
      <w:r>
        <w:rPr>
          <w:rFonts w:hint="eastAsia"/>
          <w:kern w:val="0"/>
          <w:sz w:val="28"/>
          <w:szCs w:val="28"/>
        </w:rPr>
        <w:t>”</w:t>
      </w:r>
      <w:r>
        <w:rPr>
          <w:kern w:val="0"/>
          <w:sz w:val="28"/>
          <w:szCs w:val="28"/>
        </w:rPr>
        <w:t>的股份合作机制。提升农民参与能力，广泛引导农民加入农民专业合作社、涉农协会组织，建立健全农民专业合作社社员代表大会、理事会、监事会</w:t>
      </w:r>
      <w:r>
        <w:rPr>
          <w:rFonts w:hint="eastAsia"/>
          <w:kern w:val="0"/>
          <w:sz w:val="28"/>
          <w:szCs w:val="28"/>
        </w:rPr>
        <w:t>“</w:t>
      </w:r>
      <w:r>
        <w:rPr>
          <w:kern w:val="0"/>
          <w:sz w:val="28"/>
          <w:szCs w:val="28"/>
        </w:rPr>
        <w:t>三会</w:t>
      </w:r>
      <w:r>
        <w:rPr>
          <w:rFonts w:hint="eastAsia"/>
          <w:kern w:val="0"/>
          <w:sz w:val="28"/>
          <w:szCs w:val="28"/>
        </w:rPr>
        <w:t>”</w:t>
      </w:r>
      <w:r>
        <w:rPr>
          <w:kern w:val="0"/>
          <w:sz w:val="28"/>
          <w:szCs w:val="28"/>
        </w:rPr>
        <w:t>制度。加快推广</w:t>
      </w:r>
      <w:r>
        <w:rPr>
          <w:rFonts w:hint="eastAsia"/>
          <w:kern w:val="0"/>
          <w:sz w:val="28"/>
          <w:szCs w:val="28"/>
        </w:rPr>
        <w:t>“</w:t>
      </w:r>
      <w:r>
        <w:rPr>
          <w:kern w:val="0"/>
          <w:sz w:val="28"/>
          <w:szCs w:val="28"/>
        </w:rPr>
        <w:t>订单收购+分红</w:t>
      </w:r>
      <w:r>
        <w:rPr>
          <w:rFonts w:hint="eastAsia"/>
          <w:kern w:val="0"/>
          <w:sz w:val="28"/>
          <w:szCs w:val="28"/>
        </w:rPr>
        <w:t>”“</w:t>
      </w:r>
      <w:r>
        <w:rPr>
          <w:kern w:val="0"/>
          <w:sz w:val="28"/>
          <w:szCs w:val="28"/>
        </w:rPr>
        <w:t>土地流转+优先雇用+社会保障</w:t>
      </w:r>
      <w:r>
        <w:rPr>
          <w:rFonts w:hint="eastAsia"/>
          <w:kern w:val="0"/>
          <w:sz w:val="28"/>
          <w:szCs w:val="28"/>
        </w:rPr>
        <w:t>”</w:t>
      </w:r>
      <w:r>
        <w:rPr>
          <w:kern w:val="0"/>
          <w:sz w:val="28"/>
          <w:szCs w:val="28"/>
        </w:rPr>
        <w:t>等多种利益联结方式。</w:t>
      </w:r>
      <w:bookmarkStart w:id="420" w:name="_Toc521352350"/>
      <w:bookmarkStart w:id="421" w:name="_Toc521853630"/>
      <w:bookmarkStart w:id="422" w:name="_Toc521865146"/>
      <w:bookmarkStart w:id="423" w:name="_Toc522043091"/>
      <w:r>
        <w:rPr>
          <w:kern w:val="0"/>
          <w:sz w:val="28"/>
          <w:szCs w:val="28"/>
        </w:rPr>
        <w:t>探索建立</w:t>
      </w:r>
      <w:r>
        <w:rPr>
          <w:rFonts w:hint="eastAsia"/>
          <w:kern w:val="0"/>
          <w:sz w:val="28"/>
          <w:szCs w:val="28"/>
        </w:rPr>
        <w:t>“</w:t>
      </w:r>
      <w:r>
        <w:rPr>
          <w:kern w:val="0"/>
          <w:sz w:val="28"/>
          <w:szCs w:val="28"/>
        </w:rPr>
        <w:t>县-乡-村</w:t>
      </w:r>
      <w:r>
        <w:rPr>
          <w:rFonts w:hint="eastAsia"/>
          <w:kern w:val="0"/>
          <w:sz w:val="28"/>
          <w:szCs w:val="28"/>
        </w:rPr>
        <w:t>”</w:t>
      </w:r>
      <w:r>
        <w:rPr>
          <w:kern w:val="0"/>
          <w:sz w:val="28"/>
          <w:szCs w:val="28"/>
        </w:rPr>
        <w:t>三级农村资产经营管理平台体系。</w:t>
      </w:r>
    </w:p>
    <w:p w14:paraId="51AC97E8">
      <w:pPr>
        <w:adjustRightInd w:val="0"/>
        <w:spacing w:line="480" w:lineRule="exact"/>
        <w:ind w:firstLine="1680" w:firstLineChars="600"/>
        <w:rPr>
          <w:rFonts w:eastAsia="宋体"/>
          <w:kern w:val="0"/>
          <w:sz w:val="28"/>
          <w:szCs w:val="28"/>
        </w:rPr>
      </w:pPr>
    </w:p>
    <w:p w14:paraId="0739F47B">
      <w:pPr>
        <w:pStyle w:val="5"/>
        <w:spacing w:line="480" w:lineRule="exact"/>
        <w:jc w:val="center"/>
        <w:rPr>
          <w:rFonts w:eastAsia="方正黑体_GBK"/>
          <w:b w:val="0"/>
          <w:bCs w:val="0"/>
          <w:sz w:val="28"/>
          <w:szCs w:val="28"/>
        </w:rPr>
      </w:pPr>
      <w:bookmarkStart w:id="424" w:name="_Toc30585"/>
      <w:r>
        <w:rPr>
          <w:rFonts w:eastAsia="方正黑体_GBK"/>
          <w:b w:val="0"/>
          <w:bCs w:val="0"/>
          <w:sz w:val="28"/>
          <w:szCs w:val="28"/>
        </w:rPr>
        <w:t>第五节  推进涉农综合改革</w:t>
      </w:r>
      <w:bookmarkEnd w:id="420"/>
      <w:bookmarkEnd w:id="421"/>
      <w:bookmarkEnd w:id="422"/>
      <w:bookmarkEnd w:id="423"/>
      <w:bookmarkEnd w:id="424"/>
    </w:p>
    <w:p w14:paraId="70F6111C">
      <w:pPr>
        <w:adjustRightInd w:val="0"/>
        <w:spacing w:line="480" w:lineRule="exact"/>
        <w:ind w:firstLine="560" w:firstLineChars="200"/>
        <w:rPr>
          <w:rFonts w:eastAsia="宋体"/>
          <w:kern w:val="0"/>
          <w:sz w:val="28"/>
          <w:szCs w:val="28"/>
        </w:rPr>
      </w:pPr>
      <w:r>
        <w:rPr>
          <w:kern w:val="0"/>
          <w:sz w:val="28"/>
          <w:szCs w:val="28"/>
        </w:rPr>
        <w:t>加强农村信用体系建设，建立覆盖农户、农场、农民合作社、休闲农业和农产品生产、加工、流通企业等农村社会成员的信用档案，健全信用</w:t>
      </w:r>
      <w:r>
        <w:rPr>
          <w:rFonts w:hint="eastAsia"/>
          <w:kern w:val="0"/>
          <w:sz w:val="28"/>
          <w:szCs w:val="28"/>
        </w:rPr>
        <w:t>“</w:t>
      </w:r>
      <w:r>
        <w:rPr>
          <w:kern w:val="0"/>
          <w:sz w:val="28"/>
          <w:szCs w:val="28"/>
        </w:rPr>
        <w:t>红黑名单</w:t>
      </w:r>
      <w:r>
        <w:rPr>
          <w:rFonts w:hint="eastAsia"/>
          <w:kern w:val="0"/>
          <w:sz w:val="28"/>
          <w:szCs w:val="28"/>
        </w:rPr>
        <w:t>”</w:t>
      </w:r>
      <w:r>
        <w:rPr>
          <w:kern w:val="0"/>
          <w:sz w:val="28"/>
          <w:szCs w:val="28"/>
        </w:rPr>
        <w:t>制度，实施守信联合激励和失信联合惩戒。建立健全农民信用联保制度，完善农村信用担保体系。积极探索供销社、信用社（农村商业银行等涉农金融机构）、农民专业合作社</w:t>
      </w:r>
      <w:r>
        <w:rPr>
          <w:rFonts w:hint="eastAsia"/>
          <w:kern w:val="0"/>
          <w:sz w:val="28"/>
          <w:szCs w:val="28"/>
        </w:rPr>
        <w:t>“</w:t>
      </w:r>
      <w:r>
        <w:rPr>
          <w:kern w:val="0"/>
          <w:sz w:val="28"/>
          <w:szCs w:val="28"/>
        </w:rPr>
        <w:t>三社</w:t>
      </w:r>
      <w:r>
        <w:rPr>
          <w:rFonts w:hint="eastAsia"/>
          <w:kern w:val="0"/>
          <w:sz w:val="28"/>
          <w:szCs w:val="28"/>
        </w:rPr>
        <w:t>”</w:t>
      </w:r>
      <w:r>
        <w:rPr>
          <w:kern w:val="0"/>
          <w:sz w:val="28"/>
          <w:szCs w:val="28"/>
        </w:rPr>
        <w:t>融合发展，鼓励建立农村综合合作组织，支持基层供销社与村集体经济组织、农户共建农民专业合作社和农村综合服务社，实现行政村全覆盖。推进供销合作社与信用社发挥各自优势，在机构、业务、人员、信息等方面融合，创新服务模式。完善</w:t>
      </w:r>
      <w:r>
        <w:rPr>
          <w:rFonts w:hint="eastAsia"/>
          <w:kern w:val="0"/>
          <w:sz w:val="28"/>
          <w:szCs w:val="28"/>
        </w:rPr>
        <w:t>“</w:t>
      </w:r>
      <w:r>
        <w:rPr>
          <w:kern w:val="0"/>
          <w:sz w:val="28"/>
          <w:szCs w:val="28"/>
        </w:rPr>
        <w:t>地票</w:t>
      </w:r>
      <w:r>
        <w:rPr>
          <w:rFonts w:hint="eastAsia"/>
          <w:kern w:val="0"/>
          <w:sz w:val="28"/>
          <w:szCs w:val="28"/>
        </w:rPr>
        <w:t>”</w:t>
      </w:r>
      <w:r>
        <w:rPr>
          <w:kern w:val="0"/>
          <w:sz w:val="28"/>
          <w:szCs w:val="28"/>
        </w:rPr>
        <w:t>使用及交易机制，农村建设用地和宅基地复垦腾出的指标优先用于农村。加强农村集体经济组织</w:t>
      </w:r>
      <w:r>
        <w:rPr>
          <w:rFonts w:hint="eastAsia"/>
          <w:kern w:val="0"/>
          <w:sz w:val="28"/>
          <w:szCs w:val="28"/>
        </w:rPr>
        <w:t>“</w:t>
      </w:r>
      <w:r>
        <w:rPr>
          <w:kern w:val="0"/>
          <w:sz w:val="28"/>
          <w:szCs w:val="28"/>
        </w:rPr>
        <w:t>地票</w:t>
      </w:r>
      <w:r>
        <w:rPr>
          <w:rFonts w:hint="eastAsia"/>
          <w:kern w:val="0"/>
          <w:sz w:val="28"/>
          <w:szCs w:val="28"/>
        </w:rPr>
        <w:t>”</w:t>
      </w:r>
      <w:r>
        <w:rPr>
          <w:kern w:val="0"/>
          <w:sz w:val="28"/>
          <w:szCs w:val="28"/>
        </w:rPr>
        <w:t>资金的监督管理与使用，引导用于农村建设、环境整治、收储闲置农房、</w:t>
      </w:r>
      <w:r>
        <w:rPr>
          <w:rFonts w:hint="eastAsia"/>
          <w:kern w:val="0"/>
          <w:sz w:val="28"/>
          <w:szCs w:val="28"/>
        </w:rPr>
        <w:t>“</w:t>
      </w:r>
      <w:r>
        <w:rPr>
          <w:kern w:val="0"/>
          <w:sz w:val="28"/>
          <w:szCs w:val="28"/>
        </w:rPr>
        <w:t>三变</w:t>
      </w:r>
      <w:r>
        <w:rPr>
          <w:rFonts w:hint="eastAsia"/>
          <w:kern w:val="0"/>
          <w:sz w:val="28"/>
          <w:szCs w:val="28"/>
        </w:rPr>
        <w:t>”</w:t>
      </w:r>
      <w:r>
        <w:rPr>
          <w:kern w:val="0"/>
          <w:sz w:val="28"/>
          <w:szCs w:val="28"/>
        </w:rPr>
        <w:t>改革等。探索建立提高森林覆盖率的横向生态补偿机制，实行</w:t>
      </w:r>
      <w:r>
        <w:rPr>
          <w:rFonts w:hint="eastAsia"/>
          <w:kern w:val="0"/>
          <w:sz w:val="28"/>
          <w:szCs w:val="28"/>
        </w:rPr>
        <w:t>“</w:t>
      </w:r>
      <w:r>
        <w:rPr>
          <w:kern w:val="0"/>
          <w:sz w:val="28"/>
          <w:szCs w:val="28"/>
        </w:rPr>
        <w:t>林票</w:t>
      </w:r>
      <w:r>
        <w:rPr>
          <w:rFonts w:hint="eastAsia"/>
          <w:kern w:val="0"/>
          <w:sz w:val="28"/>
          <w:szCs w:val="28"/>
        </w:rPr>
        <w:t>”</w:t>
      </w:r>
      <w:r>
        <w:rPr>
          <w:kern w:val="0"/>
          <w:sz w:val="28"/>
          <w:szCs w:val="28"/>
        </w:rPr>
        <w:t>制度。探索建立县级农村产权交易市场，推行交易规则、平台建设、信息发布、交易鉴证、服务标准、监督管理</w:t>
      </w:r>
      <w:r>
        <w:rPr>
          <w:rFonts w:hint="eastAsia"/>
          <w:kern w:val="0"/>
          <w:sz w:val="28"/>
          <w:szCs w:val="28"/>
        </w:rPr>
        <w:t>“</w:t>
      </w:r>
      <w:r>
        <w:rPr>
          <w:kern w:val="0"/>
          <w:sz w:val="28"/>
          <w:szCs w:val="28"/>
        </w:rPr>
        <w:t>六统一</w:t>
      </w:r>
      <w:r>
        <w:rPr>
          <w:rFonts w:hint="eastAsia"/>
          <w:kern w:val="0"/>
          <w:sz w:val="28"/>
          <w:szCs w:val="28"/>
        </w:rPr>
        <w:t>”</w:t>
      </w:r>
      <w:r>
        <w:rPr>
          <w:kern w:val="0"/>
          <w:sz w:val="28"/>
          <w:szCs w:val="28"/>
        </w:rPr>
        <w:t>交易管理模式，完善农村产权抵押登记、价值评估、交易鉴证等制度体系，引导农村土地承包经营权、林权、宅基地使用权、集体建设用地、农田水利设施等农村产权进场交易。积极推进国家储备林建设项目，开展森林资源证券化试点。</w:t>
      </w:r>
      <w:bookmarkStart w:id="425" w:name="_Toc521352351"/>
      <w:bookmarkStart w:id="426" w:name="_Toc519079792"/>
      <w:bookmarkStart w:id="427" w:name="_Toc521865147"/>
      <w:bookmarkStart w:id="428" w:name="_Toc522043092"/>
      <w:bookmarkStart w:id="429" w:name="_Toc521853631"/>
    </w:p>
    <w:p w14:paraId="1C980867">
      <w:pPr>
        <w:adjustRightInd w:val="0"/>
        <w:spacing w:line="480" w:lineRule="exact"/>
        <w:ind w:firstLine="560" w:firstLineChars="200"/>
        <w:rPr>
          <w:rFonts w:eastAsia="宋体"/>
          <w:kern w:val="0"/>
          <w:sz w:val="28"/>
          <w:szCs w:val="28"/>
        </w:rPr>
      </w:pPr>
    </w:p>
    <w:tbl>
      <w:tblPr>
        <w:tblStyle w:val="23"/>
        <w:tblW w:w="906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060"/>
      </w:tblGrid>
      <w:tr w14:paraId="70187D5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9060" w:type="dxa"/>
            <w:noWrap/>
          </w:tcPr>
          <w:p w14:paraId="091C5622">
            <w:pPr>
              <w:pStyle w:val="6"/>
              <w:snapToGrid w:val="0"/>
              <w:spacing w:line="480" w:lineRule="exact"/>
              <w:jc w:val="center"/>
              <w:rPr>
                <w:rFonts w:ascii="Times New Roman" w:hAnsi="Times New Roman" w:eastAsia="方正黑体_GBK"/>
                <w:b w:val="0"/>
                <w:bCs w:val="0"/>
              </w:rPr>
            </w:pPr>
            <w:r>
              <w:rPr>
                <w:rFonts w:ascii="Times New Roman" w:hAnsi="Times New Roman" w:eastAsia="方正黑体_GBK"/>
                <w:b w:val="0"/>
                <w:bCs w:val="0"/>
              </w:rPr>
              <w:t>专栏15  城乡融合发展体制机制创新工程</w:t>
            </w:r>
          </w:p>
        </w:tc>
      </w:tr>
      <w:tr w14:paraId="6AA5107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9060" w:type="dxa"/>
            <w:noWrap/>
          </w:tcPr>
          <w:p w14:paraId="35410423">
            <w:pPr>
              <w:spacing w:line="480" w:lineRule="exact"/>
              <w:ind w:firstLine="548" w:firstLineChars="196"/>
              <w:rPr>
                <w:sz w:val="28"/>
                <w:szCs w:val="28"/>
              </w:rPr>
            </w:pPr>
            <w:r>
              <w:rPr>
                <w:rFonts w:eastAsia="方正楷体_GBK"/>
                <w:sz w:val="28"/>
                <w:szCs w:val="28"/>
              </w:rPr>
              <w:t>户籍制度改革。</w:t>
            </w:r>
            <w:r>
              <w:rPr>
                <w:sz w:val="28"/>
                <w:szCs w:val="28"/>
              </w:rPr>
              <w:t>到2022年，常住人口城镇化率达到42%，2025年常住人口城镇化率达到45%。力争农业转移人口进城落户2万人左右。</w:t>
            </w:r>
          </w:p>
          <w:p w14:paraId="0A008A3E">
            <w:pPr>
              <w:spacing w:line="480" w:lineRule="exact"/>
              <w:ind w:firstLine="548" w:firstLineChars="196"/>
              <w:rPr>
                <w:sz w:val="28"/>
                <w:szCs w:val="28"/>
              </w:rPr>
            </w:pPr>
            <w:r>
              <w:rPr>
                <w:rFonts w:eastAsia="方正楷体_GBK"/>
                <w:sz w:val="28"/>
                <w:szCs w:val="28"/>
              </w:rPr>
              <w:t>土地制度改革。</w:t>
            </w:r>
            <w:r>
              <w:rPr>
                <w:sz w:val="28"/>
                <w:szCs w:val="28"/>
              </w:rPr>
              <w:t>每年为乡村振兴综合试验示范区安排专项计划指标100亩，每个单项试验示范区安排专项计划指标40亩。</w:t>
            </w:r>
          </w:p>
          <w:p w14:paraId="2C3637EA">
            <w:pPr>
              <w:spacing w:line="480" w:lineRule="exact"/>
              <w:ind w:firstLine="548" w:firstLineChars="196"/>
              <w:rPr>
                <w:sz w:val="28"/>
                <w:szCs w:val="28"/>
              </w:rPr>
            </w:pPr>
            <w:r>
              <w:rPr>
                <w:rFonts w:hint="eastAsia" w:eastAsia="方正楷体_GBK"/>
                <w:sz w:val="28"/>
                <w:szCs w:val="28"/>
              </w:rPr>
              <w:t>“</w:t>
            </w:r>
            <w:r>
              <w:rPr>
                <w:rFonts w:eastAsia="方正楷体_GBK"/>
                <w:sz w:val="28"/>
                <w:szCs w:val="28"/>
              </w:rPr>
              <w:t>三变</w:t>
            </w:r>
            <w:r>
              <w:rPr>
                <w:rFonts w:hint="eastAsia" w:eastAsia="方正楷体_GBK"/>
                <w:sz w:val="28"/>
                <w:szCs w:val="28"/>
              </w:rPr>
              <w:t>”</w:t>
            </w:r>
            <w:r>
              <w:rPr>
                <w:rFonts w:eastAsia="方正楷体_GBK"/>
                <w:sz w:val="28"/>
                <w:szCs w:val="28"/>
              </w:rPr>
              <w:t>改革试点。</w:t>
            </w:r>
            <w:r>
              <w:rPr>
                <w:sz w:val="28"/>
                <w:szCs w:val="28"/>
              </w:rPr>
              <w:t>在全县全面推广</w:t>
            </w:r>
            <w:r>
              <w:rPr>
                <w:rFonts w:hint="eastAsia"/>
                <w:sz w:val="28"/>
                <w:szCs w:val="28"/>
              </w:rPr>
              <w:t>“</w:t>
            </w:r>
            <w:r>
              <w:rPr>
                <w:sz w:val="28"/>
                <w:szCs w:val="28"/>
              </w:rPr>
              <w:t>三变</w:t>
            </w:r>
            <w:r>
              <w:rPr>
                <w:rFonts w:hint="eastAsia"/>
                <w:sz w:val="28"/>
                <w:szCs w:val="28"/>
              </w:rPr>
              <w:t>”</w:t>
            </w:r>
            <w:r>
              <w:rPr>
                <w:sz w:val="28"/>
                <w:szCs w:val="28"/>
              </w:rPr>
              <w:t>改革，切实激活农业农村改革发展内生动力。力争实现农村</w:t>
            </w:r>
            <w:r>
              <w:rPr>
                <w:rFonts w:hint="eastAsia"/>
                <w:sz w:val="28"/>
                <w:szCs w:val="28"/>
              </w:rPr>
              <w:t>“</w:t>
            </w:r>
            <w:r>
              <w:rPr>
                <w:sz w:val="28"/>
                <w:szCs w:val="28"/>
              </w:rPr>
              <w:t>三变</w:t>
            </w:r>
            <w:r>
              <w:rPr>
                <w:rFonts w:hint="eastAsia"/>
                <w:sz w:val="28"/>
                <w:szCs w:val="28"/>
              </w:rPr>
              <w:t>”</w:t>
            </w:r>
            <w:r>
              <w:rPr>
                <w:sz w:val="28"/>
                <w:szCs w:val="28"/>
              </w:rPr>
              <w:t>改革试点村农业增加值年增长8%以上，农村集体经济年增长8%以上，农民人均可支配收入年增长7%以上。</w:t>
            </w:r>
          </w:p>
          <w:p w14:paraId="65AD5F9B">
            <w:pPr>
              <w:spacing w:line="480" w:lineRule="exact"/>
              <w:ind w:firstLine="548" w:firstLineChars="196"/>
              <w:rPr>
                <w:sz w:val="30"/>
                <w:szCs w:val="30"/>
              </w:rPr>
            </w:pPr>
            <w:r>
              <w:rPr>
                <w:rFonts w:hint="eastAsia" w:eastAsia="方正楷体_GBK"/>
                <w:sz w:val="28"/>
                <w:szCs w:val="28"/>
              </w:rPr>
              <w:t>“</w:t>
            </w:r>
            <w:r>
              <w:rPr>
                <w:rFonts w:eastAsia="方正楷体_GBK"/>
                <w:sz w:val="28"/>
                <w:szCs w:val="28"/>
              </w:rPr>
              <w:t>三社</w:t>
            </w:r>
            <w:r>
              <w:rPr>
                <w:rFonts w:hint="eastAsia" w:eastAsia="方正楷体_GBK"/>
                <w:sz w:val="28"/>
                <w:szCs w:val="28"/>
              </w:rPr>
              <w:t>”</w:t>
            </w:r>
            <w:r>
              <w:rPr>
                <w:rFonts w:eastAsia="方正楷体_GBK"/>
                <w:sz w:val="28"/>
                <w:szCs w:val="28"/>
              </w:rPr>
              <w:t>融合发展工程。</w:t>
            </w:r>
            <w:r>
              <w:rPr>
                <w:sz w:val="28"/>
                <w:szCs w:val="28"/>
              </w:rPr>
              <w:t>改造建设全县涉农乡镇基层供销社25个，到2022年覆盖率达到100%，培育基层供销社示范社13个。允许县乡两级财政安排的供销合作组织发展资金作为股本与村集体、农户共同组建农村股份合作社和农村综合服务社各125个、85个以上，实现行政村全覆盖。力争完成为农服务小额贷款5000万元。</w:t>
            </w:r>
          </w:p>
        </w:tc>
      </w:tr>
    </w:tbl>
    <w:p w14:paraId="76AE2E6E">
      <w:pPr>
        <w:spacing w:line="480" w:lineRule="exact"/>
      </w:pPr>
    </w:p>
    <w:p w14:paraId="36CE5A52">
      <w:pPr>
        <w:pStyle w:val="4"/>
        <w:spacing w:line="480" w:lineRule="exact"/>
        <w:ind w:firstLine="0"/>
        <w:rPr>
          <w:bCs w:val="0"/>
          <w:sz w:val="36"/>
          <w:szCs w:val="36"/>
        </w:rPr>
      </w:pPr>
      <w:bookmarkStart w:id="430" w:name="_Toc26037"/>
      <w:r>
        <w:rPr>
          <w:bCs w:val="0"/>
          <w:sz w:val="36"/>
          <w:szCs w:val="36"/>
        </w:rPr>
        <w:t>第三十三章   健全多元投入保障机制</w:t>
      </w:r>
      <w:bookmarkEnd w:id="425"/>
      <w:bookmarkEnd w:id="426"/>
      <w:bookmarkEnd w:id="427"/>
      <w:bookmarkEnd w:id="428"/>
      <w:bookmarkEnd w:id="429"/>
      <w:bookmarkEnd w:id="430"/>
    </w:p>
    <w:p w14:paraId="3C15663B">
      <w:pPr>
        <w:adjustRightInd w:val="0"/>
        <w:spacing w:line="480" w:lineRule="exact"/>
        <w:ind w:firstLine="560" w:firstLineChars="200"/>
        <w:rPr>
          <w:rFonts w:eastAsia="宋体"/>
          <w:kern w:val="0"/>
          <w:sz w:val="28"/>
          <w:szCs w:val="28"/>
        </w:rPr>
      </w:pPr>
    </w:p>
    <w:p w14:paraId="21456164">
      <w:pPr>
        <w:adjustRightInd w:val="0"/>
        <w:spacing w:line="480" w:lineRule="exact"/>
        <w:ind w:firstLine="560" w:firstLineChars="200"/>
        <w:rPr>
          <w:rFonts w:eastAsia="宋体"/>
          <w:kern w:val="0"/>
          <w:sz w:val="28"/>
          <w:szCs w:val="28"/>
        </w:rPr>
      </w:pPr>
      <w:r>
        <w:rPr>
          <w:kern w:val="0"/>
          <w:sz w:val="28"/>
          <w:szCs w:val="28"/>
        </w:rPr>
        <w:t>健全投入保障机制，完善政府投资机制，激发社会资本投资积极性，加快形成财政优先保障、社会积极参与的多元投入格局。</w:t>
      </w:r>
      <w:bookmarkStart w:id="431" w:name="_Toc522043093"/>
      <w:bookmarkStart w:id="432" w:name="_Toc521853632"/>
      <w:bookmarkStart w:id="433" w:name="_Toc519079793"/>
      <w:bookmarkStart w:id="434" w:name="_Toc521352352"/>
      <w:bookmarkStart w:id="435" w:name="_Toc521865148"/>
    </w:p>
    <w:p w14:paraId="6BAC9C7B">
      <w:pPr>
        <w:pStyle w:val="5"/>
        <w:spacing w:line="480" w:lineRule="exact"/>
        <w:jc w:val="center"/>
        <w:rPr>
          <w:rFonts w:eastAsia="方正黑体_GBK"/>
          <w:b w:val="0"/>
          <w:bCs w:val="0"/>
          <w:sz w:val="28"/>
          <w:szCs w:val="28"/>
        </w:rPr>
      </w:pPr>
      <w:bookmarkStart w:id="436" w:name="_Toc6359"/>
      <w:r>
        <w:rPr>
          <w:rFonts w:eastAsia="方正黑体_GBK"/>
          <w:b w:val="0"/>
          <w:bCs w:val="0"/>
          <w:sz w:val="28"/>
          <w:szCs w:val="28"/>
        </w:rPr>
        <w:t>第一节  持续加大财政投入</w:t>
      </w:r>
      <w:bookmarkEnd w:id="431"/>
      <w:bookmarkEnd w:id="432"/>
      <w:bookmarkEnd w:id="433"/>
      <w:bookmarkEnd w:id="434"/>
      <w:bookmarkEnd w:id="435"/>
      <w:bookmarkEnd w:id="436"/>
    </w:p>
    <w:p w14:paraId="1263CDEB">
      <w:pPr>
        <w:adjustRightInd w:val="0"/>
        <w:spacing w:line="480" w:lineRule="exact"/>
        <w:ind w:firstLine="560" w:firstLineChars="200"/>
        <w:rPr>
          <w:rFonts w:eastAsia="宋体"/>
          <w:kern w:val="0"/>
          <w:sz w:val="28"/>
          <w:szCs w:val="28"/>
        </w:rPr>
      </w:pPr>
      <w:r>
        <w:rPr>
          <w:kern w:val="0"/>
          <w:sz w:val="28"/>
          <w:szCs w:val="28"/>
        </w:rPr>
        <w:t>坚持把农业农村作为财政支出的优先保障领域，做好</w:t>
      </w:r>
      <w:r>
        <w:rPr>
          <w:rFonts w:hint="eastAsia"/>
          <w:kern w:val="0"/>
          <w:sz w:val="28"/>
          <w:szCs w:val="28"/>
        </w:rPr>
        <w:t>“</w:t>
      </w:r>
      <w:r>
        <w:rPr>
          <w:kern w:val="0"/>
          <w:sz w:val="28"/>
          <w:szCs w:val="28"/>
        </w:rPr>
        <w:t>整合、撬动、股份化</w:t>
      </w:r>
      <w:r>
        <w:rPr>
          <w:rFonts w:hint="eastAsia"/>
          <w:kern w:val="0"/>
          <w:sz w:val="28"/>
          <w:szCs w:val="28"/>
        </w:rPr>
        <w:t>”</w:t>
      </w:r>
      <w:r>
        <w:rPr>
          <w:kern w:val="0"/>
          <w:sz w:val="28"/>
          <w:szCs w:val="28"/>
        </w:rPr>
        <w:t>三篇文章，建立健全实施乡村振兴战略财政投入保障机制，财政涉农投入逐年有所增长。设立乡村振兴基金，重点支持山地高效生态农业和农文旅产业发展。加快建立涉农资金统筹整合长效机制，加强对性质相同、用途相近的涉农资金统筹使用。做好中央、市级财政支持争取工作和县级财政配套工作。安排债券资金优先用于乡村振兴领域公益性项目建设，探索发行乡村振兴专项债券。优化政府投资安排方式，通过设立基金、先建后补、以奖代补等方式提高投资效益，允许以资本金方式投入</w:t>
      </w:r>
      <w:r>
        <w:rPr>
          <w:rFonts w:hint="eastAsia"/>
          <w:kern w:val="0"/>
          <w:sz w:val="28"/>
          <w:szCs w:val="28"/>
        </w:rPr>
        <w:t>“</w:t>
      </w:r>
      <w:r>
        <w:rPr>
          <w:kern w:val="0"/>
          <w:sz w:val="28"/>
          <w:szCs w:val="28"/>
        </w:rPr>
        <w:t>三农</w:t>
      </w:r>
      <w:r>
        <w:rPr>
          <w:rFonts w:hint="eastAsia"/>
          <w:kern w:val="0"/>
          <w:sz w:val="28"/>
          <w:szCs w:val="28"/>
        </w:rPr>
        <w:t>”</w:t>
      </w:r>
      <w:r>
        <w:rPr>
          <w:kern w:val="0"/>
          <w:sz w:val="28"/>
          <w:szCs w:val="28"/>
        </w:rPr>
        <w:t>领域确需支持的经营性项目。加大财政对扶贫贷款贴息、担保补助、保费补助的支持力度，落实扶贫贴息贷款政策，扩大扶贫贴息贷款规模。强化支农资金监督管理，提高财政支农资金使用效益。全面落实国家和市级涉农税收优惠政策，减轻农业农村市场主体税收负担。</w:t>
      </w:r>
      <w:bookmarkStart w:id="437" w:name="_Toc519079794"/>
      <w:bookmarkStart w:id="438" w:name="_Toc521352353"/>
      <w:bookmarkStart w:id="439" w:name="_Toc521865149"/>
      <w:bookmarkStart w:id="440" w:name="_Toc522043094"/>
      <w:bookmarkStart w:id="441" w:name="_Toc521853633"/>
    </w:p>
    <w:p w14:paraId="318E7B7C">
      <w:pPr>
        <w:pStyle w:val="5"/>
        <w:spacing w:line="480" w:lineRule="exact"/>
        <w:jc w:val="center"/>
        <w:rPr>
          <w:rFonts w:eastAsia="方正黑体_GBK"/>
          <w:b w:val="0"/>
          <w:bCs w:val="0"/>
          <w:sz w:val="28"/>
          <w:szCs w:val="28"/>
        </w:rPr>
      </w:pPr>
      <w:bookmarkStart w:id="442" w:name="_Toc29406"/>
      <w:r>
        <w:rPr>
          <w:rFonts w:eastAsia="方正黑体_GBK"/>
          <w:b w:val="0"/>
          <w:bCs w:val="0"/>
          <w:sz w:val="28"/>
          <w:szCs w:val="28"/>
        </w:rPr>
        <w:t>第二节</w:t>
      </w:r>
      <w:bookmarkEnd w:id="437"/>
      <w:r>
        <w:rPr>
          <w:rFonts w:eastAsia="方正黑体_GBK"/>
          <w:b w:val="0"/>
          <w:bCs w:val="0"/>
          <w:sz w:val="28"/>
          <w:szCs w:val="28"/>
        </w:rPr>
        <w:t xml:space="preserve">  引导和撬动社会资本投入</w:t>
      </w:r>
      <w:bookmarkEnd w:id="438"/>
      <w:bookmarkEnd w:id="439"/>
      <w:bookmarkEnd w:id="440"/>
      <w:bookmarkEnd w:id="441"/>
      <w:bookmarkEnd w:id="442"/>
    </w:p>
    <w:p w14:paraId="42161BC8">
      <w:pPr>
        <w:spacing w:line="480" w:lineRule="exact"/>
        <w:ind w:firstLine="560" w:firstLineChars="200"/>
        <w:rPr>
          <w:kern w:val="0"/>
          <w:sz w:val="28"/>
          <w:szCs w:val="28"/>
        </w:rPr>
      </w:pPr>
      <w:r>
        <w:rPr>
          <w:kern w:val="0"/>
          <w:sz w:val="28"/>
          <w:szCs w:val="28"/>
        </w:rPr>
        <w:t>优化农村市场环境，全面推行注册资本实缴改认缴、</w:t>
      </w:r>
      <w:r>
        <w:rPr>
          <w:rFonts w:hint="eastAsia"/>
          <w:kern w:val="0"/>
          <w:sz w:val="28"/>
          <w:szCs w:val="28"/>
        </w:rPr>
        <w:t>“</w:t>
      </w:r>
      <w:r>
        <w:rPr>
          <w:kern w:val="0"/>
          <w:sz w:val="28"/>
          <w:szCs w:val="28"/>
        </w:rPr>
        <w:t>先照后证</w:t>
      </w:r>
      <w:r>
        <w:rPr>
          <w:rFonts w:hint="eastAsia"/>
          <w:kern w:val="0"/>
          <w:sz w:val="28"/>
          <w:szCs w:val="28"/>
        </w:rPr>
        <w:t>”</w:t>
      </w:r>
      <w:r>
        <w:rPr>
          <w:kern w:val="0"/>
          <w:sz w:val="28"/>
          <w:szCs w:val="28"/>
        </w:rPr>
        <w:t>改革、放宽住所（经营场所）登记条件等改革举措，引导各类经营主体（经济组织）、农民、社会自然人投资适合产业化、规模化、集约化经营的农业领域。鼓励工商资本发展智慧农业、循环农业、休闲旅游、环境整治等方面的综合经营，通过项目建设带动人才回流农村，培养本土人才。加大农村基础设施和公用事业领域开放力度，鼓励基础设施和重大项目PPP或EPC模式建设，健全完善PPP项目价格和收费政策，积极创新运营模式，充分挖掘项目商业价值。支持优质资产通过证券市场活化，吸引社会资本参与乡村振兴。规范有序盘活、用活农业农村基础设施资产，回收资金主要用于补短板项目建设。继续深化</w:t>
      </w:r>
      <w:r>
        <w:rPr>
          <w:rFonts w:hint="eastAsia"/>
          <w:kern w:val="0"/>
          <w:sz w:val="28"/>
          <w:szCs w:val="28"/>
        </w:rPr>
        <w:t>“</w:t>
      </w:r>
      <w:r>
        <w:rPr>
          <w:kern w:val="0"/>
          <w:sz w:val="28"/>
          <w:szCs w:val="28"/>
        </w:rPr>
        <w:t>放管服</w:t>
      </w:r>
      <w:r>
        <w:rPr>
          <w:rFonts w:hint="eastAsia"/>
          <w:kern w:val="0"/>
          <w:sz w:val="28"/>
          <w:szCs w:val="28"/>
        </w:rPr>
        <w:t>”</w:t>
      </w:r>
      <w:r>
        <w:rPr>
          <w:kern w:val="0"/>
          <w:sz w:val="28"/>
          <w:szCs w:val="28"/>
        </w:rPr>
        <w:t>改革，对财政补助点多面广的涉农项目，根据有关法律法规，可不进行招投标的，按以奖代补、先建后补、进度拨款等方式加强管理。依法必须进行招标的工程建设项目，招标人自主决定招标最高限价，最高限价不得超过依法审定的项目投资概算或者预算。</w:t>
      </w:r>
      <w:bookmarkStart w:id="443" w:name="_Toc519079795"/>
      <w:bookmarkStart w:id="444" w:name="_Toc521352354"/>
      <w:bookmarkStart w:id="445" w:name="_Toc522043095"/>
      <w:bookmarkStart w:id="446" w:name="_Toc521853634"/>
      <w:bookmarkStart w:id="447" w:name="_Toc521865150"/>
    </w:p>
    <w:p w14:paraId="75724B80">
      <w:pPr>
        <w:pStyle w:val="5"/>
        <w:spacing w:line="480" w:lineRule="exact"/>
        <w:jc w:val="center"/>
        <w:rPr>
          <w:rFonts w:eastAsia="方正黑体_GBK"/>
          <w:b w:val="0"/>
          <w:bCs w:val="0"/>
          <w:sz w:val="28"/>
          <w:szCs w:val="28"/>
        </w:rPr>
      </w:pPr>
      <w:bookmarkStart w:id="448" w:name="_Toc948"/>
      <w:r>
        <w:rPr>
          <w:rFonts w:eastAsia="方正黑体_GBK"/>
          <w:b w:val="0"/>
          <w:bCs w:val="0"/>
          <w:sz w:val="28"/>
          <w:szCs w:val="28"/>
        </w:rPr>
        <w:t>第三节  加大金融支农力度</w:t>
      </w:r>
      <w:bookmarkEnd w:id="443"/>
      <w:bookmarkEnd w:id="444"/>
      <w:bookmarkEnd w:id="445"/>
      <w:bookmarkEnd w:id="446"/>
      <w:bookmarkEnd w:id="447"/>
      <w:bookmarkEnd w:id="448"/>
    </w:p>
    <w:p w14:paraId="2D336966">
      <w:pPr>
        <w:spacing w:line="480" w:lineRule="exact"/>
        <w:ind w:firstLine="560" w:firstLineChars="200"/>
        <w:rPr>
          <w:kern w:val="0"/>
          <w:sz w:val="28"/>
          <w:szCs w:val="28"/>
        </w:rPr>
      </w:pPr>
      <w:r>
        <w:rPr>
          <w:kern w:val="0"/>
          <w:sz w:val="28"/>
          <w:szCs w:val="28"/>
        </w:rPr>
        <w:t>完善农村金融服务体系，推进设立村镇银行、农村小额信贷组织、农村信用合作组织和农村互助金融组织等创新型支农金融机构，加快组建村级金融服务组织。积极开展专业金融服务机构建设试点。探索建立乡村振兴信贷基金。加大政策性农业担保支持力度，县政策性农业担保机构对实施乡村振兴战略的担保贷款额不低于当年担保贷款发生额的70%。积极扩展融资渠道，积极争取政策性银行、世界银行、亚行和亚投行等机构支持。推动金融产品和服务方式创新，适度提高涉农贷款不良率、涉农金融机构存贷比的监管容忍度，加快完善征信、支付等农村金融基础服务体系。完善农村产权抵押融资制度设计、产品设计和风险资产处置机制设计。探索农村产权抵押融资资产收储机制。探索建立生态产品和农产品产权与期货交易市场，推动生态产品证券化试点。完善风险补偿政策。推进村级农村金融服务组织运行试点，探索乡村内生信用约束机制，加强农村产权抵押融资信息系统建设。引导和支持涉农企业上市或挂牌融资，鼓励涉农企业发行银行间市场债务融资工具、企业债、公司债和中小企业私募债。充分利用国家绿色金融政策，发挥开发性、政策性金融优势，为乡村振兴提供长周期、低成本的资金支持。大力发展农业保险，引导和鼓励保险机构开发适合新型农业经营主体需求的保险品种，探索将主要特色农产品纳入农业政策性保险范畴。探索在非政策性农业保险工作中适时引入农业保险经纪公司。</w:t>
      </w:r>
    </w:p>
    <w:p w14:paraId="4FB3EABD">
      <w:pPr>
        <w:rPr>
          <w:rFonts w:eastAsia="方正黑体_GBK"/>
        </w:rPr>
      </w:pPr>
      <w:bookmarkStart w:id="449" w:name="_Toc18658"/>
      <w:r>
        <w:rPr>
          <w:rFonts w:eastAsia="方正黑体_GBK"/>
        </w:rPr>
        <w:br w:type="page"/>
      </w:r>
    </w:p>
    <w:p w14:paraId="1EF71E59">
      <w:pPr>
        <w:pStyle w:val="3"/>
        <w:spacing w:line="480" w:lineRule="exact"/>
        <w:jc w:val="center"/>
        <w:rPr>
          <w:rFonts w:ascii="Times New Roman" w:hAnsi="Times New Roman" w:eastAsia="方正黑体_GBK"/>
          <w:b w:val="0"/>
          <w:bCs w:val="0"/>
          <w:kern w:val="2"/>
        </w:rPr>
      </w:pPr>
      <w:r>
        <w:rPr>
          <w:rFonts w:ascii="Times New Roman" w:hAnsi="Times New Roman" w:eastAsia="方正黑体_GBK"/>
          <w:b w:val="0"/>
          <w:bCs w:val="0"/>
          <w:kern w:val="2"/>
        </w:rPr>
        <w:t>第十一篇 有序推进规划实施</w:t>
      </w:r>
      <w:bookmarkEnd w:id="449"/>
    </w:p>
    <w:p w14:paraId="79F12F84">
      <w:pPr>
        <w:spacing w:line="480" w:lineRule="exact"/>
      </w:pPr>
    </w:p>
    <w:p w14:paraId="2254AC27">
      <w:pPr>
        <w:spacing w:line="480" w:lineRule="exact"/>
        <w:ind w:firstLine="560" w:firstLineChars="200"/>
        <w:rPr>
          <w:kern w:val="0"/>
          <w:sz w:val="28"/>
          <w:szCs w:val="28"/>
        </w:rPr>
      </w:pPr>
      <w:r>
        <w:rPr>
          <w:kern w:val="0"/>
          <w:sz w:val="28"/>
          <w:szCs w:val="28"/>
        </w:rPr>
        <w:t>切实将实施乡村振兴战略摆在优先位置。建立健全政府、市场、社会协同推进机制，科学配置各类资源，广泛动员全社会力量，运用市场化、法治化手段，最大程度激发各类主体活力和创造力，形成推动乡村振兴的强大合力。</w:t>
      </w:r>
      <w:bookmarkStart w:id="450" w:name="_Toc522043098"/>
      <w:bookmarkStart w:id="451" w:name="_Toc521853637"/>
      <w:bookmarkStart w:id="452" w:name="_Toc521865153"/>
      <w:bookmarkStart w:id="453" w:name="_Toc521352356"/>
      <w:bookmarkStart w:id="454" w:name="_Toc519079825"/>
    </w:p>
    <w:p w14:paraId="7599E466">
      <w:pPr>
        <w:adjustRightInd w:val="0"/>
        <w:spacing w:line="480" w:lineRule="exact"/>
        <w:ind w:firstLine="560" w:firstLineChars="200"/>
        <w:rPr>
          <w:rFonts w:eastAsia="宋体"/>
          <w:kern w:val="0"/>
          <w:sz w:val="28"/>
          <w:szCs w:val="28"/>
        </w:rPr>
      </w:pPr>
    </w:p>
    <w:p w14:paraId="545D0A21">
      <w:pPr>
        <w:pStyle w:val="4"/>
        <w:spacing w:line="480" w:lineRule="exact"/>
        <w:ind w:firstLine="0"/>
        <w:rPr>
          <w:bCs w:val="0"/>
          <w:sz w:val="36"/>
          <w:szCs w:val="36"/>
        </w:rPr>
      </w:pPr>
      <w:bookmarkStart w:id="455" w:name="_Toc21751"/>
      <w:r>
        <w:rPr>
          <w:bCs w:val="0"/>
          <w:sz w:val="36"/>
          <w:szCs w:val="36"/>
        </w:rPr>
        <w:t>第三十四章  强化组织保障</w:t>
      </w:r>
      <w:bookmarkEnd w:id="450"/>
      <w:bookmarkEnd w:id="451"/>
      <w:bookmarkEnd w:id="452"/>
      <w:bookmarkEnd w:id="453"/>
      <w:bookmarkEnd w:id="455"/>
    </w:p>
    <w:p w14:paraId="4A2640AD">
      <w:pPr>
        <w:spacing w:line="480" w:lineRule="exact"/>
        <w:ind w:firstLine="641"/>
        <w:rPr>
          <w:rFonts w:eastAsia="宋体"/>
          <w:kern w:val="0"/>
          <w:sz w:val="36"/>
          <w:szCs w:val="36"/>
        </w:rPr>
      </w:pPr>
    </w:p>
    <w:p w14:paraId="5174324A">
      <w:pPr>
        <w:spacing w:line="480" w:lineRule="exact"/>
        <w:ind w:firstLine="560" w:firstLineChars="200"/>
        <w:rPr>
          <w:kern w:val="0"/>
          <w:sz w:val="28"/>
          <w:szCs w:val="28"/>
        </w:rPr>
      </w:pPr>
      <w:r>
        <w:rPr>
          <w:kern w:val="0"/>
          <w:sz w:val="28"/>
          <w:szCs w:val="28"/>
        </w:rPr>
        <w:t>夯实党总揽全局、协调各方基础地位，强化党组织的领导核心作用，提高领导能力和水平，为实现乡村振兴提供坚强保证。</w:t>
      </w:r>
      <w:bookmarkStart w:id="456" w:name="_Toc521352357"/>
      <w:bookmarkStart w:id="457" w:name="_Toc521865154"/>
      <w:bookmarkStart w:id="458" w:name="_Toc522043099"/>
      <w:bookmarkStart w:id="459" w:name="_Toc521853638"/>
    </w:p>
    <w:p w14:paraId="1E4C12E0">
      <w:pPr>
        <w:pStyle w:val="5"/>
        <w:spacing w:line="480" w:lineRule="exact"/>
        <w:jc w:val="center"/>
        <w:rPr>
          <w:rFonts w:eastAsia="方正黑体_GBK"/>
          <w:b w:val="0"/>
          <w:bCs w:val="0"/>
          <w:sz w:val="28"/>
          <w:szCs w:val="28"/>
        </w:rPr>
      </w:pPr>
      <w:bookmarkStart w:id="460" w:name="_Toc5584"/>
      <w:r>
        <w:rPr>
          <w:rFonts w:eastAsia="方正黑体_GBK"/>
          <w:b w:val="0"/>
          <w:bCs w:val="0"/>
          <w:sz w:val="28"/>
          <w:szCs w:val="28"/>
        </w:rPr>
        <w:t>第一节  加强党的领导</w:t>
      </w:r>
      <w:bookmarkEnd w:id="454"/>
      <w:bookmarkEnd w:id="456"/>
      <w:bookmarkEnd w:id="457"/>
      <w:bookmarkEnd w:id="458"/>
      <w:bookmarkEnd w:id="459"/>
      <w:bookmarkEnd w:id="460"/>
    </w:p>
    <w:p w14:paraId="78219B06">
      <w:pPr>
        <w:spacing w:line="480" w:lineRule="exact"/>
        <w:ind w:firstLine="560" w:firstLineChars="200"/>
        <w:rPr>
          <w:kern w:val="0"/>
          <w:sz w:val="28"/>
          <w:szCs w:val="28"/>
        </w:rPr>
      </w:pPr>
      <w:bookmarkStart w:id="461" w:name="_Toc521865155"/>
      <w:bookmarkStart w:id="462" w:name="_Toc521853639"/>
      <w:bookmarkStart w:id="463" w:name="_Toc519079826"/>
      <w:bookmarkStart w:id="464" w:name="_Toc521352358"/>
      <w:bookmarkStart w:id="465" w:name="_Toc522043100"/>
      <w:r>
        <w:rPr>
          <w:kern w:val="0"/>
          <w:sz w:val="28"/>
          <w:szCs w:val="28"/>
        </w:rPr>
        <w:t>实施乡村振兴战略，党是组织和领导的核心，在乡村振兴的过程中加强和完善党的基层组织建设。县、乡（镇、街道）、村（社区）各级党组织书记要下大力气抓好</w:t>
      </w:r>
      <w:r>
        <w:rPr>
          <w:rFonts w:hint="eastAsia"/>
          <w:kern w:val="0"/>
          <w:sz w:val="28"/>
          <w:szCs w:val="28"/>
        </w:rPr>
        <w:t>“</w:t>
      </w:r>
      <w:r>
        <w:rPr>
          <w:kern w:val="0"/>
          <w:sz w:val="28"/>
          <w:szCs w:val="28"/>
        </w:rPr>
        <w:t>三农</w:t>
      </w:r>
      <w:r>
        <w:rPr>
          <w:rFonts w:hint="eastAsia"/>
          <w:kern w:val="0"/>
          <w:sz w:val="28"/>
          <w:szCs w:val="28"/>
        </w:rPr>
        <w:t>”</w:t>
      </w:r>
      <w:r>
        <w:rPr>
          <w:kern w:val="0"/>
          <w:sz w:val="28"/>
          <w:szCs w:val="28"/>
        </w:rPr>
        <w:t>工作，当好乡村振兴的</w:t>
      </w:r>
      <w:r>
        <w:rPr>
          <w:rFonts w:hint="eastAsia"/>
          <w:kern w:val="0"/>
          <w:sz w:val="28"/>
          <w:szCs w:val="28"/>
        </w:rPr>
        <w:t>“</w:t>
      </w:r>
      <w:r>
        <w:rPr>
          <w:kern w:val="0"/>
          <w:sz w:val="28"/>
          <w:szCs w:val="28"/>
        </w:rPr>
        <w:t>一线总指挥</w:t>
      </w:r>
      <w:r>
        <w:rPr>
          <w:rFonts w:hint="eastAsia"/>
          <w:kern w:val="0"/>
          <w:sz w:val="28"/>
          <w:szCs w:val="28"/>
        </w:rPr>
        <w:t>”</w:t>
      </w:r>
      <w:r>
        <w:rPr>
          <w:kern w:val="0"/>
          <w:sz w:val="28"/>
          <w:szCs w:val="28"/>
        </w:rPr>
        <w:t>。</w:t>
      </w:r>
      <w:r>
        <w:rPr>
          <w:rFonts w:hint="eastAsia"/>
          <w:kern w:val="0"/>
          <w:sz w:val="28"/>
          <w:szCs w:val="28"/>
        </w:rPr>
        <w:t>建立健全部门协同配合工作机制，</w:t>
      </w:r>
      <w:r>
        <w:rPr>
          <w:kern w:val="0"/>
          <w:sz w:val="28"/>
          <w:szCs w:val="28"/>
        </w:rPr>
        <w:t>各部门要按照部门职责，加强工作指导，强化资源要素支持和制度供给，做好协同配合，形成乡村振兴工作</w:t>
      </w:r>
      <w:r>
        <w:rPr>
          <w:rFonts w:hint="eastAsia"/>
          <w:kern w:val="0"/>
          <w:sz w:val="28"/>
          <w:szCs w:val="28"/>
        </w:rPr>
        <w:t>强大</w:t>
      </w:r>
      <w:r>
        <w:rPr>
          <w:kern w:val="0"/>
          <w:sz w:val="28"/>
          <w:szCs w:val="28"/>
        </w:rPr>
        <w:t>合力。坚持乡村振兴重大事项、重要问题、重要工作由党组织讨论决定机制，创新发展理念和工作方式方法，推动科学民主依法决策。加强乡村振兴的动态监测机制。完善和发挥县委农村工作</w:t>
      </w:r>
      <w:r>
        <w:rPr>
          <w:rFonts w:hint="eastAsia"/>
          <w:kern w:val="0"/>
          <w:sz w:val="28"/>
          <w:szCs w:val="28"/>
        </w:rPr>
        <w:t>暨</w:t>
      </w:r>
      <w:r>
        <w:rPr>
          <w:kern w:val="0"/>
          <w:sz w:val="28"/>
          <w:szCs w:val="28"/>
        </w:rPr>
        <w:t>实施乡村振兴</w:t>
      </w:r>
      <w:r>
        <w:rPr>
          <w:rFonts w:hint="eastAsia"/>
          <w:kern w:val="0"/>
          <w:sz w:val="28"/>
          <w:szCs w:val="28"/>
        </w:rPr>
        <w:t>战略</w:t>
      </w:r>
      <w:r>
        <w:rPr>
          <w:kern w:val="0"/>
          <w:sz w:val="28"/>
          <w:szCs w:val="28"/>
        </w:rPr>
        <w:t>领导小组职能，各部门抽调专人专职开展工作。将乡村振兴战略规划实施成效纳入各级党委、政府及有关部门的年度绩效考评内容，制定考核指标，定期开展考核、检查，考核结果作为有关领导干部年度考核、选拔任用的重要依据，确保完成各项目标任务。制定贯彻落实《中国共产党农村工作条例》工作方案。</w:t>
      </w:r>
    </w:p>
    <w:p w14:paraId="437FBB16">
      <w:pPr>
        <w:pStyle w:val="5"/>
        <w:spacing w:line="480" w:lineRule="exact"/>
        <w:jc w:val="center"/>
        <w:rPr>
          <w:rFonts w:eastAsia="方正黑体_GBK"/>
          <w:b w:val="0"/>
          <w:bCs w:val="0"/>
          <w:sz w:val="28"/>
          <w:szCs w:val="28"/>
        </w:rPr>
      </w:pPr>
      <w:bookmarkStart w:id="466" w:name="_Toc31787"/>
      <w:r>
        <w:rPr>
          <w:rFonts w:eastAsia="方正黑体_GBK"/>
          <w:b w:val="0"/>
          <w:bCs w:val="0"/>
          <w:sz w:val="28"/>
          <w:szCs w:val="28"/>
        </w:rPr>
        <w:t>第二节  强化法治保障</w:t>
      </w:r>
      <w:bookmarkEnd w:id="461"/>
      <w:bookmarkEnd w:id="462"/>
      <w:bookmarkEnd w:id="463"/>
      <w:bookmarkEnd w:id="464"/>
      <w:bookmarkEnd w:id="465"/>
      <w:bookmarkEnd w:id="466"/>
    </w:p>
    <w:p w14:paraId="1306F001">
      <w:pPr>
        <w:adjustRightInd w:val="0"/>
        <w:spacing w:line="480" w:lineRule="exact"/>
        <w:ind w:firstLine="560" w:firstLineChars="200"/>
        <w:rPr>
          <w:rFonts w:eastAsia="宋体"/>
          <w:kern w:val="0"/>
          <w:sz w:val="28"/>
          <w:szCs w:val="28"/>
        </w:rPr>
      </w:pPr>
      <w:r>
        <w:rPr>
          <w:kern w:val="0"/>
          <w:sz w:val="28"/>
          <w:szCs w:val="28"/>
        </w:rPr>
        <w:t>各级党委和政府要紧密围绕全县农业农村工作大局，善于运用法治思维和法治方式推进乡村振兴工作。在规划编制、项目安排、资金使用、监督管理等方面，提高规范化、制度化、</w:t>
      </w:r>
      <w:r>
        <w:rPr>
          <w:rFonts w:hint="eastAsia"/>
          <w:kern w:val="0"/>
          <w:sz w:val="28"/>
          <w:szCs w:val="28"/>
        </w:rPr>
        <w:t>法治化</w:t>
      </w:r>
      <w:r>
        <w:rPr>
          <w:kern w:val="0"/>
          <w:sz w:val="28"/>
          <w:szCs w:val="28"/>
        </w:rPr>
        <w:t>水平，努力为实施乡村振兴战略行动计划发挥法治服务保障作用。全面清理规范乡镇执法事项，厘清执法权责，分类规范乡镇授权执法和委托执法。严格执法人员资格管理，加大执法人员培训力度，加强对乡镇执法的指导监督，强化乡镇执法能力建设。建立基层综合执法协调联动机制，保障综合执法改革精神在乡镇落地。</w:t>
      </w:r>
      <w:bookmarkStart w:id="467" w:name="_Toc522043101"/>
    </w:p>
    <w:p w14:paraId="7B491492">
      <w:pPr>
        <w:pStyle w:val="5"/>
        <w:spacing w:line="480" w:lineRule="exact"/>
        <w:jc w:val="center"/>
        <w:rPr>
          <w:rFonts w:eastAsia="方正黑体_GBK"/>
          <w:b w:val="0"/>
          <w:bCs w:val="0"/>
          <w:sz w:val="28"/>
          <w:szCs w:val="28"/>
        </w:rPr>
      </w:pPr>
      <w:bookmarkStart w:id="468" w:name="_Toc1493"/>
      <w:r>
        <w:rPr>
          <w:rFonts w:eastAsia="方正黑体_GBK"/>
          <w:b w:val="0"/>
          <w:bCs w:val="0"/>
          <w:sz w:val="28"/>
          <w:szCs w:val="28"/>
        </w:rPr>
        <w:t>第三节  发挥农民主体作用</w:t>
      </w:r>
      <w:bookmarkEnd w:id="467"/>
      <w:bookmarkEnd w:id="468"/>
    </w:p>
    <w:p w14:paraId="18BBA1B7">
      <w:pPr>
        <w:spacing w:line="480" w:lineRule="exact"/>
        <w:ind w:firstLine="560" w:firstLineChars="200"/>
        <w:rPr>
          <w:kern w:val="0"/>
          <w:sz w:val="28"/>
          <w:szCs w:val="28"/>
        </w:rPr>
      </w:pPr>
      <w:bookmarkStart w:id="469" w:name="_Toc521352359"/>
      <w:bookmarkStart w:id="470" w:name="_Toc519079830"/>
      <w:bookmarkStart w:id="471" w:name="_Toc19542"/>
      <w:bookmarkStart w:id="472" w:name="_Toc521853640"/>
      <w:bookmarkStart w:id="473" w:name="_Toc522043102"/>
      <w:bookmarkStart w:id="474" w:name="_Toc521865156"/>
      <w:r>
        <w:rPr>
          <w:kern w:val="0"/>
          <w:sz w:val="28"/>
          <w:szCs w:val="28"/>
        </w:rPr>
        <w:t>农民不仅是乡村振兴的受益者，更是参与者、建设者。推进乡村振兴，决不能政府干、农民看。要充分尊重群众意愿，做到农民要什么、我们干什么，决不能大包大揽、包办代替，切实把发动群众贯穿于实施乡村振兴战略的全过程和各环节。要充分发挥农民主体作用，完善农民引导参与机制，通过先建后补、以工代赈、以奖代补、</w:t>
      </w:r>
      <w:r>
        <w:rPr>
          <w:rFonts w:hint="eastAsia"/>
          <w:kern w:val="0"/>
          <w:sz w:val="28"/>
          <w:szCs w:val="28"/>
        </w:rPr>
        <w:t>“</w:t>
      </w:r>
      <w:r>
        <w:rPr>
          <w:kern w:val="0"/>
          <w:sz w:val="28"/>
          <w:szCs w:val="28"/>
        </w:rPr>
        <w:t>一事一议</w:t>
      </w:r>
      <w:r>
        <w:rPr>
          <w:rFonts w:hint="eastAsia"/>
          <w:kern w:val="0"/>
          <w:sz w:val="28"/>
          <w:szCs w:val="28"/>
        </w:rPr>
        <w:t>”</w:t>
      </w:r>
      <w:r>
        <w:rPr>
          <w:kern w:val="0"/>
          <w:sz w:val="28"/>
          <w:szCs w:val="28"/>
        </w:rPr>
        <w:t>等方式，让农民和村级组织全过程参与</w:t>
      </w:r>
      <w:r>
        <w:rPr>
          <w:rFonts w:hint="eastAsia"/>
          <w:kern w:val="0"/>
          <w:sz w:val="28"/>
          <w:szCs w:val="28"/>
        </w:rPr>
        <w:t>政策制定、</w:t>
      </w:r>
      <w:r>
        <w:rPr>
          <w:kern w:val="0"/>
          <w:sz w:val="28"/>
          <w:szCs w:val="28"/>
        </w:rPr>
        <w:t>项目建设、设施管护。建立和完善农民参与乡村振兴制度，拓宽参与渠道，使广大农民能够有效参与乡村重要事务的决策和监督，形成群策群力、共建共享的乡村振兴新格局。</w:t>
      </w:r>
    </w:p>
    <w:p w14:paraId="79FDBDA3">
      <w:pPr>
        <w:pStyle w:val="5"/>
        <w:spacing w:line="480" w:lineRule="exact"/>
        <w:jc w:val="center"/>
        <w:rPr>
          <w:rFonts w:eastAsia="方正黑体_GBK"/>
          <w:b w:val="0"/>
          <w:bCs w:val="0"/>
          <w:sz w:val="28"/>
          <w:szCs w:val="28"/>
        </w:rPr>
      </w:pPr>
      <w:r>
        <w:rPr>
          <w:rFonts w:eastAsia="方正黑体_GBK"/>
          <w:b w:val="0"/>
          <w:bCs w:val="0"/>
          <w:sz w:val="28"/>
          <w:szCs w:val="28"/>
        </w:rPr>
        <w:t>第四节  动员社会参与</w:t>
      </w:r>
      <w:bookmarkEnd w:id="469"/>
      <w:bookmarkEnd w:id="470"/>
      <w:bookmarkEnd w:id="471"/>
      <w:bookmarkEnd w:id="472"/>
      <w:bookmarkEnd w:id="473"/>
      <w:bookmarkEnd w:id="474"/>
    </w:p>
    <w:p w14:paraId="17A07A7A">
      <w:pPr>
        <w:adjustRightInd w:val="0"/>
        <w:snapToGrid w:val="0"/>
        <w:spacing w:line="480" w:lineRule="exact"/>
        <w:ind w:firstLine="560" w:firstLineChars="200"/>
        <w:rPr>
          <w:rFonts w:eastAsia="宋体"/>
          <w:kern w:val="0"/>
          <w:sz w:val="28"/>
          <w:szCs w:val="28"/>
        </w:rPr>
      </w:pPr>
      <w:r>
        <w:rPr>
          <w:kern w:val="0"/>
          <w:sz w:val="28"/>
          <w:szCs w:val="28"/>
        </w:rPr>
        <w:t>搭建社会参与乡村振兴平台，加强组织动员，构建政府、市场、社会协同推进的乡村振兴参与机制。发挥群团组织、社会组织、商业服务机构的优势和力量，发挥各界人士的积极作用，最大限度凝聚全社会共识和力量，充分尊重群众意愿，服务群众的需求。表彰社会各界在乡村振兴中涌现的先进集体和个人，广泛宣传乡村振兴相关政策和全县乡村振兴的生动实践，发挥典型带动作用，提振精气神，形成全社会群策群力、共建共享的乡村振兴局面新形势</w:t>
      </w:r>
      <w:bookmarkStart w:id="475" w:name="_Toc521865157"/>
      <w:bookmarkStart w:id="476" w:name="_Toc521853641"/>
      <w:bookmarkStart w:id="477" w:name="_Toc521352360"/>
      <w:bookmarkStart w:id="478" w:name="_Toc522043103"/>
      <w:r>
        <w:rPr>
          <w:kern w:val="0"/>
          <w:sz w:val="28"/>
          <w:szCs w:val="28"/>
        </w:rPr>
        <w:t>。</w:t>
      </w:r>
    </w:p>
    <w:p w14:paraId="0C723691">
      <w:pPr>
        <w:adjustRightInd w:val="0"/>
        <w:snapToGrid w:val="0"/>
        <w:spacing w:line="480" w:lineRule="exact"/>
        <w:rPr>
          <w:rFonts w:eastAsia="宋体"/>
          <w:kern w:val="0"/>
          <w:sz w:val="28"/>
          <w:szCs w:val="28"/>
        </w:rPr>
      </w:pPr>
    </w:p>
    <w:p w14:paraId="5AB1AEA8">
      <w:pPr>
        <w:pStyle w:val="4"/>
        <w:spacing w:line="480" w:lineRule="exact"/>
        <w:ind w:firstLine="0"/>
        <w:rPr>
          <w:bCs w:val="0"/>
          <w:sz w:val="36"/>
          <w:szCs w:val="36"/>
        </w:rPr>
      </w:pPr>
      <w:bookmarkStart w:id="479" w:name="_Toc16709"/>
      <w:r>
        <w:rPr>
          <w:bCs w:val="0"/>
          <w:sz w:val="36"/>
          <w:szCs w:val="36"/>
        </w:rPr>
        <w:t>第三十五章</w:t>
      </w:r>
      <w:bookmarkStart w:id="480" w:name="_Toc519079827"/>
      <w:r>
        <w:rPr>
          <w:bCs w:val="0"/>
          <w:sz w:val="36"/>
          <w:szCs w:val="36"/>
        </w:rPr>
        <w:t xml:space="preserve">  </w:t>
      </w:r>
      <w:bookmarkEnd w:id="475"/>
      <w:bookmarkEnd w:id="476"/>
      <w:bookmarkEnd w:id="477"/>
      <w:bookmarkEnd w:id="478"/>
      <w:bookmarkEnd w:id="480"/>
      <w:r>
        <w:rPr>
          <w:bCs w:val="0"/>
          <w:sz w:val="36"/>
          <w:szCs w:val="36"/>
        </w:rPr>
        <w:t>坚持规划先行</w:t>
      </w:r>
      <w:bookmarkEnd w:id="479"/>
    </w:p>
    <w:p w14:paraId="528822E0">
      <w:pPr>
        <w:spacing w:line="480" w:lineRule="exact"/>
        <w:ind w:firstLine="641"/>
        <w:rPr>
          <w:rFonts w:eastAsia="宋体"/>
          <w:kern w:val="0"/>
          <w:sz w:val="36"/>
          <w:szCs w:val="36"/>
        </w:rPr>
      </w:pPr>
    </w:p>
    <w:p w14:paraId="7A35F5A9">
      <w:pPr>
        <w:spacing w:line="480" w:lineRule="exact"/>
        <w:ind w:firstLine="560" w:firstLineChars="200"/>
        <w:rPr>
          <w:kern w:val="0"/>
          <w:sz w:val="28"/>
          <w:szCs w:val="28"/>
        </w:rPr>
      </w:pPr>
      <w:r>
        <w:rPr>
          <w:kern w:val="0"/>
          <w:sz w:val="28"/>
          <w:szCs w:val="28"/>
        </w:rPr>
        <w:t>完善全县乡村振兴战略规划体系，建立规划实施目标管理责任制，做到乡村振兴事事有规可循、层层有人负责。</w:t>
      </w:r>
    </w:p>
    <w:p w14:paraId="2A1A2DDD">
      <w:pPr>
        <w:pStyle w:val="5"/>
        <w:spacing w:line="480" w:lineRule="exact"/>
        <w:jc w:val="center"/>
        <w:rPr>
          <w:rFonts w:eastAsia="方正黑体_GBK"/>
          <w:b w:val="0"/>
          <w:bCs w:val="0"/>
          <w:sz w:val="28"/>
          <w:szCs w:val="28"/>
        </w:rPr>
      </w:pPr>
      <w:bookmarkStart w:id="481" w:name="_Toc28760"/>
      <w:r>
        <w:rPr>
          <w:rFonts w:eastAsia="方正黑体_GBK"/>
          <w:b w:val="0"/>
          <w:bCs w:val="0"/>
          <w:sz w:val="28"/>
          <w:szCs w:val="28"/>
        </w:rPr>
        <w:t>第一节  突出规划引领</w:t>
      </w:r>
      <w:bookmarkEnd w:id="481"/>
    </w:p>
    <w:p w14:paraId="3054F29D">
      <w:pPr>
        <w:spacing w:line="480" w:lineRule="exact"/>
        <w:ind w:firstLine="560" w:firstLineChars="200"/>
        <w:rPr>
          <w:kern w:val="0"/>
          <w:sz w:val="28"/>
          <w:szCs w:val="28"/>
        </w:rPr>
      </w:pPr>
      <w:r>
        <w:rPr>
          <w:kern w:val="0"/>
          <w:sz w:val="28"/>
          <w:szCs w:val="28"/>
        </w:rPr>
        <w:t>加强各类规划的统筹管理和系统衔接，形成城乡融合、区域一体、多规合一的规划体系，制定《乡村振兴技术导则》供各乡镇街道和部门参考。各乡镇街道依照本规划科学编制本乡镇街道乡村振兴实施工作方案，明确本地区乡村振兴的具体思路、目标和任务，突出具体项目，细化实化政策措施，增强可操作性。规划方案的制定要加强参与性、注重实际、因村制宜，从本地的条件和实际工作需求出发，同时发挥规划对资源配置的导引作用。</w:t>
      </w:r>
      <w:bookmarkStart w:id="482" w:name="_Toc521352362"/>
      <w:bookmarkStart w:id="483" w:name="_Toc521853643"/>
      <w:bookmarkStart w:id="484" w:name="_Toc519079829"/>
      <w:bookmarkStart w:id="485" w:name="_Toc522043105"/>
      <w:bookmarkStart w:id="486" w:name="_Toc521865159"/>
    </w:p>
    <w:p w14:paraId="5405120C">
      <w:pPr>
        <w:pStyle w:val="5"/>
        <w:spacing w:line="480" w:lineRule="exact"/>
        <w:ind w:firstLine="2520" w:firstLineChars="900"/>
        <w:rPr>
          <w:rFonts w:eastAsia="方正黑体_GBK"/>
          <w:b w:val="0"/>
          <w:bCs w:val="0"/>
          <w:sz w:val="28"/>
          <w:szCs w:val="28"/>
        </w:rPr>
      </w:pPr>
      <w:bookmarkStart w:id="487" w:name="_Toc17391"/>
      <w:r>
        <w:rPr>
          <w:rFonts w:eastAsia="方正黑体_GBK"/>
          <w:b w:val="0"/>
          <w:bCs w:val="0"/>
          <w:sz w:val="28"/>
          <w:szCs w:val="28"/>
        </w:rPr>
        <w:t>第二节  注重典型带动</w:t>
      </w:r>
      <w:bookmarkEnd w:id="482"/>
      <w:bookmarkEnd w:id="483"/>
      <w:bookmarkEnd w:id="484"/>
      <w:bookmarkEnd w:id="485"/>
      <w:bookmarkEnd w:id="486"/>
      <w:bookmarkEnd w:id="487"/>
    </w:p>
    <w:p w14:paraId="19FEB760">
      <w:pPr>
        <w:spacing w:line="480" w:lineRule="exact"/>
        <w:ind w:firstLine="560" w:firstLineChars="200"/>
        <w:rPr>
          <w:kern w:val="0"/>
          <w:sz w:val="28"/>
          <w:szCs w:val="28"/>
        </w:rPr>
      </w:pPr>
      <w:r>
        <w:rPr>
          <w:kern w:val="0"/>
          <w:sz w:val="28"/>
          <w:szCs w:val="28"/>
        </w:rPr>
        <w:t>在推动乡村振兴中，既要坚持乡村的全面振兴和乡村全覆盖，也要突出重点地区、重点问题和重点环节，针对不同发展水平、不同类型的乡村，分类有序推进相关工作。对照规划提出的任务和目标，从本地区乡村发展的难点、焦点中寻找突破口和切入点，推动规划同实践探索良性互动、有机结合。分层分类开展乡村振兴试验示范，确定咸宜镇为市级乡村振兴重点帮扶乡镇，在鸡鸣乡、沿河乡开展脱贫攻坚与乡村振兴有效衔接探索试验，确定河鱼乡、岚天乡为乡村振兴综合示范乡镇，各乡镇街道结合自身实际各选取3—5个村开展试验示范。将全面推进与重点突破相结合，要加强指导和总结，及时发掘和提炼，努力形成一批可复制、可推广的典型经验，加强交流推广，带动各地稳步发展。</w:t>
      </w:r>
      <w:bookmarkStart w:id="488" w:name="_Toc519079831"/>
      <w:bookmarkStart w:id="489" w:name="_Toc521853644"/>
      <w:bookmarkStart w:id="490" w:name="_Toc522043106"/>
      <w:bookmarkStart w:id="491" w:name="_Toc521865160"/>
      <w:bookmarkStart w:id="492" w:name="_Toc521352363"/>
    </w:p>
    <w:p w14:paraId="1A7203EE">
      <w:pPr>
        <w:pStyle w:val="5"/>
        <w:spacing w:line="480" w:lineRule="exact"/>
        <w:jc w:val="center"/>
        <w:rPr>
          <w:rFonts w:eastAsia="方正黑体_GBK"/>
          <w:b w:val="0"/>
          <w:bCs w:val="0"/>
          <w:sz w:val="28"/>
          <w:szCs w:val="28"/>
        </w:rPr>
      </w:pPr>
      <w:bookmarkStart w:id="493" w:name="_Toc18281"/>
      <w:r>
        <w:rPr>
          <w:rFonts w:eastAsia="方正黑体_GBK"/>
          <w:b w:val="0"/>
          <w:bCs w:val="0"/>
          <w:sz w:val="28"/>
          <w:szCs w:val="28"/>
        </w:rPr>
        <w:t>第三节  抓好评估考核</w:t>
      </w:r>
      <w:bookmarkEnd w:id="488"/>
      <w:bookmarkEnd w:id="489"/>
      <w:bookmarkEnd w:id="490"/>
      <w:bookmarkEnd w:id="491"/>
      <w:bookmarkEnd w:id="492"/>
      <w:bookmarkEnd w:id="493"/>
    </w:p>
    <w:p w14:paraId="39B08F41">
      <w:pPr>
        <w:spacing w:line="480" w:lineRule="exact"/>
        <w:ind w:firstLine="560" w:firstLineChars="200"/>
        <w:rPr>
          <w:kern w:val="0"/>
          <w:sz w:val="28"/>
          <w:szCs w:val="28"/>
        </w:rPr>
      </w:pPr>
      <w:r>
        <w:rPr>
          <w:kern w:val="0"/>
          <w:sz w:val="28"/>
          <w:szCs w:val="28"/>
        </w:rPr>
        <w:t>将乡村振兴战略规划实施成效纳入各级党委、政府及有关部门的年度绩效考评内容，考核结果作为有关领导干部年度考核、选拔任用的重要依据，确保完成各项目标任务。探索制定和发布乡村振兴指数，定期开展乡村振兴效果评估，把成功经验和成熟做法固化下来，提炼上升为流程、制度和标准，加强建立健全完善、可持续的乡村振兴政策和制度体系。创新监测方式，加强乡村统计工作，运用现代信息技术建立大数据库，全面真实反映规划实施情况，为科学评估及决策提供支撑。进一步完善规划实施的民主监督机制，及时公开规划实施相关信息，接受全社会监督。</w:t>
      </w:r>
      <w:bookmarkStart w:id="494" w:name="_Toc519079828"/>
      <w:bookmarkStart w:id="495" w:name="_Toc521865161"/>
      <w:bookmarkStart w:id="496" w:name="_Toc521853645"/>
      <w:bookmarkStart w:id="497" w:name="_Toc521352364"/>
      <w:bookmarkStart w:id="498" w:name="_Toc522043107"/>
    </w:p>
    <w:p w14:paraId="13B796E2">
      <w:pPr>
        <w:adjustRightInd w:val="0"/>
        <w:spacing w:line="480" w:lineRule="exact"/>
        <w:ind w:firstLine="560" w:firstLineChars="200"/>
        <w:rPr>
          <w:rFonts w:eastAsia="宋体"/>
          <w:kern w:val="0"/>
          <w:sz w:val="28"/>
          <w:szCs w:val="28"/>
        </w:rPr>
      </w:pPr>
    </w:p>
    <w:p w14:paraId="35879A23">
      <w:pPr>
        <w:adjustRightInd w:val="0"/>
        <w:spacing w:line="480" w:lineRule="exact"/>
        <w:rPr>
          <w:rFonts w:eastAsia="宋体"/>
          <w:kern w:val="0"/>
          <w:sz w:val="28"/>
          <w:szCs w:val="28"/>
        </w:rPr>
      </w:pPr>
    </w:p>
    <w:p w14:paraId="4653238A">
      <w:pPr>
        <w:pStyle w:val="4"/>
        <w:spacing w:line="480" w:lineRule="exact"/>
        <w:ind w:firstLine="0"/>
        <w:rPr>
          <w:bCs w:val="0"/>
          <w:sz w:val="36"/>
          <w:szCs w:val="36"/>
        </w:rPr>
      </w:pPr>
      <w:bookmarkStart w:id="499" w:name="_Toc8237"/>
      <w:r>
        <w:rPr>
          <w:bCs w:val="0"/>
          <w:sz w:val="36"/>
          <w:szCs w:val="36"/>
        </w:rPr>
        <w:t>第三十六章</w:t>
      </w:r>
      <w:bookmarkEnd w:id="494"/>
      <w:r>
        <w:rPr>
          <w:bCs w:val="0"/>
          <w:sz w:val="36"/>
          <w:szCs w:val="36"/>
        </w:rPr>
        <w:t xml:space="preserve">  有序推进乡村振兴</w:t>
      </w:r>
      <w:bookmarkEnd w:id="495"/>
      <w:bookmarkEnd w:id="496"/>
      <w:bookmarkEnd w:id="497"/>
      <w:bookmarkEnd w:id="498"/>
      <w:bookmarkEnd w:id="499"/>
    </w:p>
    <w:p w14:paraId="615D6D29">
      <w:pPr>
        <w:spacing w:line="480" w:lineRule="exact"/>
        <w:ind w:firstLine="641"/>
        <w:rPr>
          <w:rFonts w:eastAsia="黑体"/>
          <w:sz w:val="36"/>
          <w:szCs w:val="36"/>
        </w:rPr>
      </w:pPr>
    </w:p>
    <w:p w14:paraId="3187F4C4">
      <w:pPr>
        <w:spacing w:line="480" w:lineRule="exact"/>
        <w:ind w:firstLine="560" w:firstLineChars="200"/>
        <w:rPr>
          <w:kern w:val="0"/>
          <w:sz w:val="28"/>
          <w:szCs w:val="28"/>
        </w:rPr>
      </w:pPr>
      <w:r>
        <w:rPr>
          <w:kern w:val="0"/>
          <w:sz w:val="28"/>
          <w:szCs w:val="28"/>
        </w:rPr>
        <w:t>充分认识乡村振兴任务的长期性、艰巨性，保持历史耐心和战略定力，避免超越发展阶段，统筹谋划，典型带动，有序推进，不搞一刀切，不搞齐步走</w:t>
      </w:r>
      <w:bookmarkStart w:id="500" w:name="_Toc521352365"/>
      <w:bookmarkStart w:id="501" w:name="_Toc522043108"/>
      <w:bookmarkStart w:id="502" w:name="_Toc521865162"/>
      <w:bookmarkStart w:id="503" w:name="_Toc521853646"/>
      <w:r>
        <w:rPr>
          <w:kern w:val="0"/>
          <w:sz w:val="28"/>
          <w:szCs w:val="28"/>
        </w:rPr>
        <w:t>。</w:t>
      </w:r>
    </w:p>
    <w:p w14:paraId="10DF7CD7">
      <w:pPr>
        <w:pStyle w:val="5"/>
        <w:spacing w:line="480" w:lineRule="exact"/>
        <w:jc w:val="center"/>
        <w:rPr>
          <w:rFonts w:eastAsia="方正黑体_GBK"/>
          <w:b w:val="0"/>
          <w:bCs w:val="0"/>
          <w:sz w:val="28"/>
          <w:szCs w:val="28"/>
        </w:rPr>
      </w:pPr>
      <w:bookmarkStart w:id="504" w:name="_Toc4727"/>
      <w:r>
        <w:rPr>
          <w:rFonts w:eastAsia="方正黑体_GBK"/>
          <w:b w:val="0"/>
          <w:bCs w:val="0"/>
          <w:sz w:val="28"/>
          <w:szCs w:val="28"/>
        </w:rPr>
        <w:t>第一节  准确聚焦阶段任务</w:t>
      </w:r>
      <w:bookmarkEnd w:id="500"/>
      <w:bookmarkEnd w:id="501"/>
      <w:bookmarkEnd w:id="502"/>
      <w:bookmarkEnd w:id="503"/>
      <w:bookmarkEnd w:id="504"/>
    </w:p>
    <w:p w14:paraId="36388C6E">
      <w:pPr>
        <w:adjustRightInd w:val="0"/>
        <w:spacing w:line="480" w:lineRule="exact"/>
        <w:ind w:firstLine="560" w:firstLineChars="200"/>
        <w:rPr>
          <w:rFonts w:eastAsia="宋体"/>
          <w:kern w:val="0"/>
          <w:sz w:val="28"/>
          <w:szCs w:val="28"/>
        </w:rPr>
      </w:pPr>
      <w:r>
        <w:rPr>
          <w:rFonts w:hint="eastAsia"/>
          <w:kern w:val="0"/>
          <w:sz w:val="28"/>
          <w:szCs w:val="28"/>
        </w:rPr>
        <w:t>“</w:t>
      </w:r>
      <w:r>
        <w:rPr>
          <w:kern w:val="0"/>
          <w:sz w:val="28"/>
          <w:szCs w:val="28"/>
        </w:rPr>
        <w:t>十四五</w:t>
      </w:r>
      <w:r>
        <w:rPr>
          <w:rFonts w:hint="eastAsia"/>
          <w:kern w:val="0"/>
          <w:sz w:val="28"/>
          <w:szCs w:val="28"/>
        </w:rPr>
        <w:t>”</w:t>
      </w:r>
      <w:r>
        <w:rPr>
          <w:kern w:val="0"/>
          <w:sz w:val="28"/>
          <w:szCs w:val="28"/>
        </w:rPr>
        <w:t>时期是城口全面建成小康社会、实现第一个百年奋斗目标之后，乘势而上开启</w:t>
      </w:r>
      <w:r>
        <w:rPr>
          <w:rFonts w:hint="eastAsia"/>
          <w:kern w:val="0"/>
          <w:sz w:val="28"/>
          <w:szCs w:val="28"/>
        </w:rPr>
        <w:t>全面建设社会主义现代化国家新征程</w:t>
      </w:r>
      <w:r>
        <w:rPr>
          <w:kern w:val="0"/>
          <w:sz w:val="28"/>
          <w:szCs w:val="28"/>
        </w:rPr>
        <w:t>、向第二个百年奋斗目标进军的第一个五年。要做好脱贫攻坚与乡村振兴有效衔接，重点加快城乡融合发展制度设计和政策创新，推动城乡公共资源均衡配置和基本公共服务均等化，推进乡村治理体系和治理能力现代化，全面提升农民精神风貌，为乡村振兴这盘大棋布好局。</w:t>
      </w:r>
      <w:bookmarkStart w:id="505" w:name="_Toc521853647"/>
      <w:bookmarkStart w:id="506" w:name="_Toc522043109"/>
      <w:bookmarkStart w:id="507" w:name="_Toc521352366"/>
      <w:bookmarkStart w:id="508" w:name="_Toc521865163"/>
    </w:p>
    <w:p w14:paraId="2464806C">
      <w:pPr>
        <w:pStyle w:val="5"/>
        <w:spacing w:line="480" w:lineRule="exact"/>
        <w:jc w:val="center"/>
        <w:rPr>
          <w:rFonts w:eastAsia="方正黑体_GBK"/>
          <w:b w:val="0"/>
          <w:bCs w:val="0"/>
          <w:sz w:val="28"/>
          <w:szCs w:val="28"/>
        </w:rPr>
      </w:pPr>
      <w:bookmarkStart w:id="509" w:name="_Toc4939"/>
      <w:r>
        <w:rPr>
          <w:rFonts w:eastAsia="方正黑体_GBK"/>
          <w:b w:val="0"/>
          <w:bCs w:val="0"/>
          <w:sz w:val="28"/>
          <w:szCs w:val="28"/>
        </w:rPr>
        <w:t>第二节  科学把握节奏力度</w:t>
      </w:r>
      <w:bookmarkEnd w:id="505"/>
      <w:bookmarkEnd w:id="506"/>
      <w:bookmarkEnd w:id="507"/>
      <w:bookmarkEnd w:id="508"/>
      <w:bookmarkEnd w:id="509"/>
    </w:p>
    <w:p w14:paraId="388C00EC">
      <w:pPr>
        <w:spacing w:line="480" w:lineRule="exact"/>
        <w:ind w:firstLine="560" w:firstLineChars="200"/>
        <w:rPr>
          <w:kern w:val="0"/>
          <w:sz w:val="28"/>
          <w:szCs w:val="28"/>
        </w:rPr>
      </w:pPr>
      <w:r>
        <w:rPr>
          <w:kern w:val="0"/>
          <w:sz w:val="28"/>
          <w:szCs w:val="28"/>
        </w:rPr>
        <w:t>坚持</w:t>
      </w:r>
      <w:r>
        <w:rPr>
          <w:rFonts w:hint="eastAsia"/>
          <w:kern w:val="0"/>
          <w:sz w:val="28"/>
          <w:szCs w:val="28"/>
        </w:rPr>
        <w:t>“</w:t>
      </w:r>
      <w:r>
        <w:rPr>
          <w:kern w:val="0"/>
          <w:sz w:val="28"/>
          <w:szCs w:val="28"/>
        </w:rPr>
        <w:t>结合实际、统筹思维、精准施策</w:t>
      </w:r>
      <w:r>
        <w:rPr>
          <w:rFonts w:hint="eastAsia"/>
          <w:kern w:val="0"/>
          <w:sz w:val="28"/>
          <w:szCs w:val="28"/>
        </w:rPr>
        <w:t>”</w:t>
      </w:r>
      <w:r>
        <w:rPr>
          <w:kern w:val="0"/>
          <w:sz w:val="28"/>
          <w:szCs w:val="28"/>
        </w:rPr>
        <w:t>，根据城口发展实际，合理设定阶段性目标任务和工作重点，分步实施，形成统筹推进的工作机制。加强主体、资源、政策和城乡协同发力，避免代替农民选择，引导农民摒弃</w:t>
      </w:r>
      <w:r>
        <w:rPr>
          <w:rFonts w:hint="eastAsia"/>
          <w:kern w:val="0"/>
          <w:sz w:val="28"/>
          <w:szCs w:val="28"/>
        </w:rPr>
        <w:t>“</w:t>
      </w:r>
      <w:r>
        <w:rPr>
          <w:kern w:val="0"/>
          <w:sz w:val="28"/>
          <w:szCs w:val="28"/>
        </w:rPr>
        <w:t>等靠要</w:t>
      </w:r>
      <w:r>
        <w:rPr>
          <w:rFonts w:hint="eastAsia"/>
          <w:kern w:val="0"/>
          <w:sz w:val="28"/>
          <w:szCs w:val="28"/>
        </w:rPr>
        <w:t>”</w:t>
      </w:r>
      <w:r>
        <w:rPr>
          <w:kern w:val="0"/>
          <w:sz w:val="28"/>
          <w:szCs w:val="28"/>
        </w:rPr>
        <w:t>思想，激发农村各类主体活力，激活乡村振兴内生动力，形成系统高效的运行机制。立足当前发展阶段，科学评估财政承受能力、集体经济实力和社会资本动力，依法合规谋划乡村振兴筹资渠道，避免负债搞建设，防止刮风搞运动，合理确定乡村基础设施、公共产品、制度保障等供给水平，形成可持续发展的长效机制。</w:t>
      </w:r>
      <w:bookmarkStart w:id="510" w:name="_Toc521865164"/>
      <w:bookmarkStart w:id="511" w:name="_Toc521853648"/>
      <w:bookmarkStart w:id="512" w:name="_Toc522043110"/>
      <w:bookmarkStart w:id="513" w:name="_Toc521352367"/>
    </w:p>
    <w:p w14:paraId="07606867">
      <w:pPr>
        <w:pStyle w:val="5"/>
        <w:spacing w:line="480" w:lineRule="exact"/>
        <w:jc w:val="center"/>
        <w:rPr>
          <w:rFonts w:eastAsia="方正黑体_GBK"/>
          <w:b w:val="0"/>
          <w:bCs w:val="0"/>
          <w:sz w:val="28"/>
          <w:szCs w:val="28"/>
        </w:rPr>
      </w:pPr>
      <w:bookmarkStart w:id="514" w:name="_Toc24936"/>
      <w:r>
        <w:rPr>
          <w:rFonts w:eastAsia="方正黑体_GBK"/>
          <w:b w:val="0"/>
          <w:bCs w:val="0"/>
          <w:sz w:val="28"/>
          <w:szCs w:val="28"/>
        </w:rPr>
        <w:t>第三节  梯次推进乡村振兴</w:t>
      </w:r>
      <w:bookmarkEnd w:id="510"/>
      <w:bookmarkEnd w:id="511"/>
      <w:bookmarkEnd w:id="512"/>
      <w:bookmarkEnd w:id="513"/>
      <w:bookmarkEnd w:id="514"/>
    </w:p>
    <w:p w14:paraId="7863A046">
      <w:pPr>
        <w:spacing w:line="480" w:lineRule="exact"/>
        <w:ind w:firstLine="560" w:firstLineChars="200"/>
        <w:rPr>
          <w:kern w:val="0"/>
          <w:sz w:val="28"/>
          <w:szCs w:val="28"/>
        </w:rPr>
      </w:pPr>
      <w:r>
        <w:rPr>
          <w:kern w:val="0"/>
          <w:sz w:val="28"/>
          <w:szCs w:val="28"/>
        </w:rPr>
        <w:t>科学把握城口乡村区域差异，尊重并发挥基层首创精神，发掘和总结典型经验，推动不同地区、不同发展阶段的乡村有序实现农业农村现代化。发挥引领区域示范作用，到2025年全县乡村振兴体制机制全面理顺，乡村振兴示范乡镇和示范村工作取得初步成效。到2035年全域基本实现农业农村现代化。</w:t>
      </w:r>
      <w:bookmarkEnd w:id="332"/>
      <w:bookmarkEnd w:id="333"/>
      <w:bookmarkEnd w:id="334"/>
      <w:bookmarkEnd w:id="335"/>
      <w:bookmarkEnd w:id="336"/>
    </w:p>
    <w:sectPr>
      <w:footerReference r:id="rId7" w:type="default"/>
      <w:pgSz w:w="11906" w:h="16838"/>
      <w:pgMar w:top="1440" w:right="1800" w:bottom="1440" w:left="1800" w:header="851" w:footer="992"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宋体-简">
    <w:altName w:val="方正粗黑宋简体"/>
    <w:panose1 w:val="00000000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儷宋 Pro">
    <w:altName w:val="Microsoft JhengHei"/>
    <w:panose1 w:val="00000000000000000000"/>
    <w:charset w:val="88"/>
    <w:family w:val="auto"/>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9955">
    <w:pPr>
      <w:pStyle w:val="13"/>
      <w:tabs>
        <w:tab w:val="clear" w:pos="8306"/>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path/>
          <v:fill on="f" focussize="0,0"/>
          <v:stroke on="f" weight="0.5pt" joinstyle="miter"/>
          <v:imagedata o:title=""/>
          <o:lock v:ext="edit"/>
          <v:textbox inset="0mm,0mm,0mm,0mm" style="mso-fit-shape-to-text:t;">
            <w:txbxContent>
              <w:p w14:paraId="51E43959">
                <w:pPr>
                  <w:pStyle w:val="1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969B">
    <w:pPr>
      <w:pStyle w:val="13"/>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95666038"/>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FCDA">
    <w:pPr>
      <w:pStyle w:val="13"/>
      <w:tabs>
        <w:tab w:val="clear" w:pos="8306"/>
      </w:tabs>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path/>
          <v:fill on="f" focussize="0,0"/>
          <v:stroke on="f" weight="0.5pt" joinstyle="miter"/>
          <v:imagedata o:title=""/>
          <o:lock v:ext="edit"/>
          <v:textbox inset="0mm,0mm,0mm,0mm" style="mso-fit-shape-to-text:t;">
            <w:txbxContent>
              <w:p w14:paraId="37D20438">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V</w:t>
                </w:r>
                <w:r>
                  <w:rPr>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729D">
    <w:pPr>
      <w:pStyle w:val="13"/>
      <w:tabs>
        <w:tab w:val="clear" w:pos="8306"/>
      </w:tabs>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path/>
          <v:fill on="f" focussize="0,0"/>
          <v:stroke on="f" weight="0.5pt" joinstyle="miter"/>
          <v:imagedata o:title=""/>
          <o:lock v:ext="edit"/>
          <v:textbox inset="0mm,0mm,0mm,0mm" style="mso-fit-shape-to-text:t;">
            <w:txbxContent>
              <w:p w14:paraId="08AE5809">
                <w:pPr>
                  <w:pStyle w:val="13"/>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EFA3">
    <w:pPr>
      <w:pStyle w:val="14"/>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D12FB"/>
    <w:multiLevelType w:val="singleLevel"/>
    <w:tmpl w:val="D44D12FB"/>
    <w:lvl w:ilvl="0" w:tentative="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0YWJkNTFlN2ZhMzIwMzk5Zjc5YmRkMDRhMDUyNDYifQ=="/>
  </w:docVars>
  <w:rsids>
    <w:rsidRoot w:val="009A3A51"/>
    <w:rsid w:val="00000D66"/>
    <w:rsid w:val="00006014"/>
    <w:rsid w:val="00007A13"/>
    <w:rsid w:val="00014A2A"/>
    <w:rsid w:val="00025863"/>
    <w:rsid w:val="000262FB"/>
    <w:rsid w:val="00026F28"/>
    <w:rsid w:val="00034607"/>
    <w:rsid w:val="0004196A"/>
    <w:rsid w:val="00042064"/>
    <w:rsid w:val="00043EEE"/>
    <w:rsid w:val="00055807"/>
    <w:rsid w:val="00056043"/>
    <w:rsid w:val="00061C44"/>
    <w:rsid w:val="00073162"/>
    <w:rsid w:val="00084941"/>
    <w:rsid w:val="00090376"/>
    <w:rsid w:val="000947EC"/>
    <w:rsid w:val="000A289A"/>
    <w:rsid w:val="000B4605"/>
    <w:rsid w:val="000C47D8"/>
    <w:rsid w:val="000E448F"/>
    <w:rsid w:val="000E49A4"/>
    <w:rsid w:val="000E4BB5"/>
    <w:rsid w:val="000E59C5"/>
    <w:rsid w:val="000F0393"/>
    <w:rsid w:val="000F5792"/>
    <w:rsid w:val="00100689"/>
    <w:rsid w:val="00125A9A"/>
    <w:rsid w:val="00135E2B"/>
    <w:rsid w:val="0014101C"/>
    <w:rsid w:val="001447F0"/>
    <w:rsid w:val="001500D9"/>
    <w:rsid w:val="00160DB0"/>
    <w:rsid w:val="0016194B"/>
    <w:rsid w:val="00167708"/>
    <w:rsid w:val="00185D89"/>
    <w:rsid w:val="001B7A53"/>
    <w:rsid w:val="001C2AC8"/>
    <w:rsid w:val="001C4C72"/>
    <w:rsid w:val="001C56F7"/>
    <w:rsid w:val="001C6270"/>
    <w:rsid w:val="001C7A76"/>
    <w:rsid w:val="001D0D19"/>
    <w:rsid w:val="001E074B"/>
    <w:rsid w:val="001E4BE4"/>
    <w:rsid w:val="001E683D"/>
    <w:rsid w:val="001E7A64"/>
    <w:rsid w:val="001F1259"/>
    <w:rsid w:val="001F4266"/>
    <w:rsid w:val="00202F9F"/>
    <w:rsid w:val="0021143C"/>
    <w:rsid w:val="0021174C"/>
    <w:rsid w:val="00217415"/>
    <w:rsid w:val="00217CB3"/>
    <w:rsid w:val="00220C7F"/>
    <w:rsid w:val="00220D39"/>
    <w:rsid w:val="00221EFD"/>
    <w:rsid w:val="002229AD"/>
    <w:rsid w:val="0023165E"/>
    <w:rsid w:val="0023549E"/>
    <w:rsid w:val="002354B8"/>
    <w:rsid w:val="00236DA0"/>
    <w:rsid w:val="0024383F"/>
    <w:rsid w:val="00245456"/>
    <w:rsid w:val="00246A9F"/>
    <w:rsid w:val="002530F8"/>
    <w:rsid w:val="00257665"/>
    <w:rsid w:val="00260B4E"/>
    <w:rsid w:val="00260FA8"/>
    <w:rsid w:val="0026126C"/>
    <w:rsid w:val="00262084"/>
    <w:rsid w:val="002622D8"/>
    <w:rsid w:val="00262E28"/>
    <w:rsid w:val="002637AE"/>
    <w:rsid w:val="00273922"/>
    <w:rsid w:val="00285B6D"/>
    <w:rsid w:val="00287101"/>
    <w:rsid w:val="002C0B6E"/>
    <w:rsid w:val="002C3000"/>
    <w:rsid w:val="002C4DE1"/>
    <w:rsid w:val="002C57A9"/>
    <w:rsid w:val="002C5BDD"/>
    <w:rsid w:val="002D6660"/>
    <w:rsid w:val="002D74DE"/>
    <w:rsid w:val="002D78C2"/>
    <w:rsid w:val="002E0939"/>
    <w:rsid w:val="002F09D0"/>
    <w:rsid w:val="002F2320"/>
    <w:rsid w:val="002F3FA8"/>
    <w:rsid w:val="002F6CB3"/>
    <w:rsid w:val="00303194"/>
    <w:rsid w:val="00307099"/>
    <w:rsid w:val="00310F03"/>
    <w:rsid w:val="0031308A"/>
    <w:rsid w:val="00321053"/>
    <w:rsid w:val="003553F6"/>
    <w:rsid w:val="00363A11"/>
    <w:rsid w:val="00380F2B"/>
    <w:rsid w:val="0038264A"/>
    <w:rsid w:val="0039012C"/>
    <w:rsid w:val="00392A4D"/>
    <w:rsid w:val="00393FF2"/>
    <w:rsid w:val="003A090C"/>
    <w:rsid w:val="003A2206"/>
    <w:rsid w:val="003A39C5"/>
    <w:rsid w:val="003B00D5"/>
    <w:rsid w:val="003B21FF"/>
    <w:rsid w:val="003B38BD"/>
    <w:rsid w:val="003B4363"/>
    <w:rsid w:val="003B5D7B"/>
    <w:rsid w:val="003B7204"/>
    <w:rsid w:val="003B7C18"/>
    <w:rsid w:val="003C06CA"/>
    <w:rsid w:val="003D382D"/>
    <w:rsid w:val="003D4DD6"/>
    <w:rsid w:val="003E4369"/>
    <w:rsid w:val="003E5249"/>
    <w:rsid w:val="003E6D52"/>
    <w:rsid w:val="003F548B"/>
    <w:rsid w:val="003F7C83"/>
    <w:rsid w:val="00406A46"/>
    <w:rsid w:val="004101DC"/>
    <w:rsid w:val="004106A9"/>
    <w:rsid w:val="00420798"/>
    <w:rsid w:val="004240EB"/>
    <w:rsid w:val="004315D0"/>
    <w:rsid w:val="00444609"/>
    <w:rsid w:val="00451C4F"/>
    <w:rsid w:val="0046027B"/>
    <w:rsid w:val="00462242"/>
    <w:rsid w:val="0046533F"/>
    <w:rsid w:val="0046691C"/>
    <w:rsid w:val="00470C0C"/>
    <w:rsid w:val="00472A52"/>
    <w:rsid w:val="00474CFE"/>
    <w:rsid w:val="00480BE3"/>
    <w:rsid w:val="0048178F"/>
    <w:rsid w:val="0048373A"/>
    <w:rsid w:val="00484974"/>
    <w:rsid w:val="0049502B"/>
    <w:rsid w:val="004A2EE8"/>
    <w:rsid w:val="004A43EC"/>
    <w:rsid w:val="004A73F4"/>
    <w:rsid w:val="004B4AA6"/>
    <w:rsid w:val="004B5FE7"/>
    <w:rsid w:val="004C0B83"/>
    <w:rsid w:val="004C3DF3"/>
    <w:rsid w:val="004C70B4"/>
    <w:rsid w:val="004C7EF2"/>
    <w:rsid w:val="004D0D36"/>
    <w:rsid w:val="004D3D1B"/>
    <w:rsid w:val="004D6E97"/>
    <w:rsid w:val="004F0A4E"/>
    <w:rsid w:val="005060FD"/>
    <w:rsid w:val="00512E1C"/>
    <w:rsid w:val="00526088"/>
    <w:rsid w:val="00533CEE"/>
    <w:rsid w:val="00560D7A"/>
    <w:rsid w:val="005640A1"/>
    <w:rsid w:val="00575821"/>
    <w:rsid w:val="0057667F"/>
    <w:rsid w:val="00580AF7"/>
    <w:rsid w:val="0058376C"/>
    <w:rsid w:val="005931D0"/>
    <w:rsid w:val="00596361"/>
    <w:rsid w:val="00596D0D"/>
    <w:rsid w:val="005A3343"/>
    <w:rsid w:val="005A53BD"/>
    <w:rsid w:val="005A60DB"/>
    <w:rsid w:val="005B07E2"/>
    <w:rsid w:val="005C36D0"/>
    <w:rsid w:val="005C37BF"/>
    <w:rsid w:val="005C3A23"/>
    <w:rsid w:val="005D43BF"/>
    <w:rsid w:val="005D7A30"/>
    <w:rsid w:val="005F2FB1"/>
    <w:rsid w:val="005F6849"/>
    <w:rsid w:val="00602BC4"/>
    <w:rsid w:val="0060745D"/>
    <w:rsid w:val="00617D4B"/>
    <w:rsid w:val="00620F49"/>
    <w:rsid w:val="006242A9"/>
    <w:rsid w:val="006248EB"/>
    <w:rsid w:val="00626D1F"/>
    <w:rsid w:val="006470DD"/>
    <w:rsid w:val="00655A9D"/>
    <w:rsid w:val="00661FA1"/>
    <w:rsid w:val="006628F2"/>
    <w:rsid w:val="00664164"/>
    <w:rsid w:val="00665C90"/>
    <w:rsid w:val="0067293D"/>
    <w:rsid w:val="0067450A"/>
    <w:rsid w:val="006776D4"/>
    <w:rsid w:val="00680F48"/>
    <w:rsid w:val="00681997"/>
    <w:rsid w:val="00684D9A"/>
    <w:rsid w:val="00692409"/>
    <w:rsid w:val="0069705C"/>
    <w:rsid w:val="006A5A28"/>
    <w:rsid w:val="006B0709"/>
    <w:rsid w:val="006B2347"/>
    <w:rsid w:val="006B321B"/>
    <w:rsid w:val="006B383B"/>
    <w:rsid w:val="006C101E"/>
    <w:rsid w:val="006C1223"/>
    <w:rsid w:val="006D370D"/>
    <w:rsid w:val="006F0822"/>
    <w:rsid w:val="006F7626"/>
    <w:rsid w:val="007002EC"/>
    <w:rsid w:val="00705337"/>
    <w:rsid w:val="00713CFE"/>
    <w:rsid w:val="00715AE8"/>
    <w:rsid w:val="00715D0F"/>
    <w:rsid w:val="00717C65"/>
    <w:rsid w:val="00725E70"/>
    <w:rsid w:val="0073749E"/>
    <w:rsid w:val="007418B7"/>
    <w:rsid w:val="00744D99"/>
    <w:rsid w:val="00753A73"/>
    <w:rsid w:val="007602C2"/>
    <w:rsid w:val="0079354B"/>
    <w:rsid w:val="007A10F3"/>
    <w:rsid w:val="007B2428"/>
    <w:rsid w:val="007B46C6"/>
    <w:rsid w:val="007C1AD8"/>
    <w:rsid w:val="007C7A92"/>
    <w:rsid w:val="007C7F47"/>
    <w:rsid w:val="007D223E"/>
    <w:rsid w:val="007D312B"/>
    <w:rsid w:val="007D6D29"/>
    <w:rsid w:val="007E61DA"/>
    <w:rsid w:val="007F457B"/>
    <w:rsid w:val="00800989"/>
    <w:rsid w:val="00816F9D"/>
    <w:rsid w:val="00817F3E"/>
    <w:rsid w:val="00820751"/>
    <w:rsid w:val="00823DD1"/>
    <w:rsid w:val="00826207"/>
    <w:rsid w:val="00840E8C"/>
    <w:rsid w:val="00844E48"/>
    <w:rsid w:val="00852B2E"/>
    <w:rsid w:val="00857F14"/>
    <w:rsid w:val="00863DB7"/>
    <w:rsid w:val="00865AB0"/>
    <w:rsid w:val="00865BC6"/>
    <w:rsid w:val="00873C43"/>
    <w:rsid w:val="00873E6E"/>
    <w:rsid w:val="00876077"/>
    <w:rsid w:val="00886727"/>
    <w:rsid w:val="00896112"/>
    <w:rsid w:val="00897BB9"/>
    <w:rsid w:val="008A5C86"/>
    <w:rsid w:val="008B4007"/>
    <w:rsid w:val="008B6B1B"/>
    <w:rsid w:val="008B6F1A"/>
    <w:rsid w:val="008D20F0"/>
    <w:rsid w:val="008D4533"/>
    <w:rsid w:val="008D5A1C"/>
    <w:rsid w:val="00914F43"/>
    <w:rsid w:val="0092188B"/>
    <w:rsid w:val="0092261B"/>
    <w:rsid w:val="00922758"/>
    <w:rsid w:val="00947381"/>
    <w:rsid w:val="00957BFD"/>
    <w:rsid w:val="00957E51"/>
    <w:rsid w:val="00971E0B"/>
    <w:rsid w:val="009745A3"/>
    <w:rsid w:val="00974A38"/>
    <w:rsid w:val="00984B09"/>
    <w:rsid w:val="00984E14"/>
    <w:rsid w:val="009950D3"/>
    <w:rsid w:val="009A3A51"/>
    <w:rsid w:val="009B495B"/>
    <w:rsid w:val="009B6F6B"/>
    <w:rsid w:val="009D716D"/>
    <w:rsid w:val="009E6C19"/>
    <w:rsid w:val="00A01E17"/>
    <w:rsid w:val="00A07B4B"/>
    <w:rsid w:val="00A07EA2"/>
    <w:rsid w:val="00A10324"/>
    <w:rsid w:val="00A12705"/>
    <w:rsid w:val="00A21F3B"/>
    <w:rsid w:val="00A25E00"/>
    <w:rsid w:val="00A272A1"/>
    <w:rsid w:val="00A40555"/>
    <w:rsid w:val="00A53E73"/>
    <w:rsid w:val="00A60260"/>
    <w:rsid w:val="00A65F24"/>
    <w:rsid w:val="00A67286"/>
    <w:rsid w:val="00A70315"/>
    <w:rsid w:val="00A72618"/>
    <w:rsid w:val="00A87AC9"/>
    <w:rsid w:val="00A90D13"/>
    <w:rsid w:val="00AA3B06"/>
    <w:rsid w:val="00AA3DA0"/>
    <w:rsid w:val="00AA662F"/>
    <w:rsid w:val="00AB4C73"/>
    <w:rsid w:val="00AB7360"/>
    <w:rsid w:val="00AC3F79"/>
    <w:rsid w:val="00AC6A6F"/>
    <w:rsid w:val="00AC6C74"/>
    <w:rsid w:val="00AC7AE6"/>
    <w:rsid w:val="00AE0FEE"/>
    <w:rsid w:val="00AE3594"/>
    <w:rsid w:val="00AF2B6B"/>
    <w:rsid w:val="00AF2F82"/>
    <w:rsid w:val="00AF4314"/>
    <w:rsid w:val="00B00E78"/>
    <w:rsid w:val="00B10E48"/>
    <w:rsid w:val="00B2213B"/>
    <w:rsid w:val="00B63AB6"/>
    <w:rsid w:val="00B646DA"/>
    <w:rsid w:val="00B9044F"/>
    <w:rsid w:val="00BA1538"/>
    <w:rsid w:val="00BB42CB"/>
    <w:rsid w:val="00BB7021"/>
    <w:rsid w:val="00BC33BA"/>
    <w:rsid w:val="00BC458B"/>
    <w:rsid w:val="00BD27DC"/>
    <w:rsid w:val="00BD470F"/>
    <w:rsid w:val="00BE0CCE"/>
    <w:rsid w:val="00BE4821"/>
    <w:rsid w:val="00BF0B9F"/>
    <w:rsid w:val="00BF3DD5"/>
    <w:rsid w:val="00BF4F49"/>
    <w:rsid w:val="00BF6B92"/>
    <w:rsid w:val="00BF706C"/>
    <w:rsid w:val="00BF763C"/>
    <w:rsid w:val="00C00CBA"/>
    <w:rsid w:val="00C02BE6"/>
    <w:rsid w:val="00C102CA"/>
    <w:rsid w:val="00C160EE"/>
    <w:rsid w:val="00C16BA5"/>
    <w:rsid w:val="00C16FCF"/>
    <w:rsid w:val="00C17CBD"/>
    <w:rsid w:val="00C205EE"/>
    <w:rsid w:val="00C273AC"/>
    <w:rsid w:val="00C35436"/>
    <w:rsid w:val="00C3630A"/>
    <w:rsid w:val="00C36A78"/>
    <w:rsid w:val="00C522A8"/>
    <w:rsid w:val="00C524C8"/>
    <w:rsid w:val="00C5664C"/>
    <w:rsid w:val="00C57B3A"/>
    <w:rsid w:val="00C63D3E"/>
    <w:rsid w:val="00C77278"/>
    <w:rsid w:val="00CA327A"/>
    <w:rsid w:val="00CA3D00"/>
    <w:rsid w:val="00CB1CE5"/>
    <w:rsid w:val="00CB5AB1"/>
    <w:rsid w:val="00CC0EA0"/>
    <w:rsid w:val="00CC1383"/>
    <w:rsid w:val="00CC2873"/>
    <w:rsid w:val="00CD1154"/>
    <w:rsid w:val="00CF327A"/>
    <w:rsid w:val="00CF3B68"/>
    <w:rsid w:val="00D11901"/>
    <w:rsid w:val="00D26473"/>
    <w:rsid w:val="00D43A5B"/>
    <w:rsid w:val="00D5405C"/>
    <w:rsid w:val="00D55C84"/>
    <w:rsid w:val="00D56332"/>
    <w:rsid w:val="00D57687"/>
    <w:rsid w:val="00D8025E"/>
    <w:rsid w:val="00D838B4"/>
    <w:rsid w:val="00D86E66"/>
    <w:rsid w:val="00D9206B"/>
    <w:rsid w:val="00DA3D32"/>
    <w:rsid w:val="00DA535C"/>
    <w:rsid w:val="00DA5E76"/>
    <w:rsid w:val="00DA7121"/>
    <w:rsid w:val="00DA7B01"/>
    <w:rsid w:val="00DC110C"/>
    <w:rsid w:val="00DC25AF"/>
    <w:rsid w:val="00DC45AB"/>
    <w:rsid w:val="00DC4C7B"/>
    <w:rsid w:val="00DC4EE8"/>
    <w:rsid w:val="00DE53B8"/>
    <w:rsid w:val="00DF0E14"/>
    <w:rsid w:val="00E009DF"/>
    <w:rsid w:val="00E06AFB"/>
    <w:rsid w:val="00E13344"/>
    <w:rsid w:val="00E14328"/>
    <w:rsid w:val="00E17C74"/>
    <w:rsid w:val="00E228BC"/>
    <w:rsid w:val="00E3744B"/>
    <w:rsid w:val="00E42773"/>
    <w:rsid w:val="00E564A2"/>
    <w:rsid w:val="00E63038"/>
    <w:rsid w:val="00E708AB"/>
    <w:rsid w:val="00E77EA8"/>
    <w:rsid w:val="00E83E32"/>
    <w:rsid w:val="00E9357D"/>
    <w:rsid w:val="00E9468B"/>
    <w:rsid w:val="00E96018"/>
    <w:rsid w:val="00E96EAD"/>
    <w:rsid w:val="00EA5BD7"/>
    <w:rsid w:val="00EA700C"/>
    <w:rsid w:val="00EB73DE"/>
    <w:rsid w:val="00EC6DB3"/>
    <w:rsid w:val="00ED2B24"/>
    <w:rsid w:val="00ED6D8F"/>
    <w:rsid w:val="00EE4106"/>
    <w:rsid w:val="00F00311"/>
    <w:rsid w:val="00F04B7D"/>
    <w:rsid w:val="00F06089"/>
    <w:rsid w:val="00F174D8"/>
    <w:rsid w:val="00F23B3A"/>
    <w:rsid w:val="00F24597"/>
    <w:rsid w:val="00F24F7B"/>
    <w:rsid w:val="00F26402"/>
    <w:rsid w:val="00F3175D"/>
    <w:rsid w:val="00F447A8"/>
    <w:rsid w:val="00F5053C"/>
    <w:rsid w:val="00F53BB9"/>
    <w:rsid w:val="00F563A0"/>
    <w:rsid w:val="00F62C24"/>
    <w:rsid w:val="00F6640F"/>
    <w:rsid w:val="00F75D36"/>
    <w:rsid w:val="00F7684A"/>
    <w:rsid w:val="00F84999"/>
    <w:rsid w:val="00F864E5"/>
    <w:rsid w:val="00F95EAA"/>
    <w:rsid w:val="00FA3B08"/>
    <w:rsid w:val="00FB0532"/>
    <w:rsid w:val="00FF5AED"/>
    <w:rsid w:val="00FF729F"/>
    <w:rsid w:val="01161F97"/>
    <w:rsid w:val="012075A1"/>
    <w:rsid w:val="01302D7E"/>
    <w:rsid w:val="01421C58"/>
    <w:rsid w:val="018E216A"/>
    <w:rsid w:val="019679E4"/>
    <w:rsid w:val="019A1967"/>
    <w:rsid w:val="01B27483"/>
    <w:rsid w:val="01E71165"/>
    <w:rsid w:val="02216D2F"/>
    <w:rsid w:val="023E5415"/>
    <w:rsid w:val="030F4E90"/>
    <w:rsid w:val="033549CB"/>
    <w:rsid w:val="03A568CF"/>
    <w:rsid w:val="03BB5A06"/>
    <w:rsid w:val="03E230A1"/>
    <w:rsid w:val="041A75AA"/>
    <w:rsid w:val="04271133"/>
    <w:rsid w:val="04285216"/>
    <w:rsid w:val="0428662D"/>
    <w:rsid w:val="049524B6"/>
    <w:rsid w:val="04A760CB"/>
    <w:rsid w:val="04B2031D"/>
    <w:rsid w:val="04B72166"/>
    <w:rsid w:val="04CB144C"/>
    <w:rsid w:val="0506776C"/>
    <w:rsid w:val="0538445A"/>
    <w:rsid w:val="054A6269"/>
    <w:rsid w:val="0551536D"/>
    <w:rsid w:val="057527A0"/>
    <w:rsid w:val="057C63F0"/>
    <w:rsid w:val="05A10201"/>
    <w:rsid w:val="05E76AC6"/>
    <w:rsid w:val="060249EF"/>
    <w:rsid w:val="061F4299"/>
    <w:rsid w:val="06221BB9"/>
    <w:rsid w:val="0678793C"/>
    <w:rsid w:val="06864B89"/>
    <w:rsid w:val="06DA4B5A"/>
    <w:rsid w:val="06F625D8"/>
    <w:rsid w:val="071E7971"/>
    <w:rsid w:val="072E67FD"/>
    <w:rsid w:val="074774B7"/>
    <w:rsid w:val="07590AAC"/>
    <w:rsid w:val="075A4D37"/>
    <w:rsid w:val="07BFCE16"/>
    <w:rsid w:val="082D212A"/>
    <w:rsid w:val="08534746"/>
    <w:rsid w:val="08562C3F"/>
    <w:rsid w:val="085D36B4"/>
    <w:rsid w:val="08720278"/>
    <w:rsid w:val="0879480F"/>
    <w:rsid w:val="08C61E01"/>
    <w:rsid w:val="09080EF9"/>
    <w:rsid w:val="09212C3D"/>
    <w:rsid w:val="09274789"/>
    <w:rsid w:val="09286AF3"/>
    <w:rsid w:val="093F070D"/>
    <w:rsid w:val="0941770C"/>
    <w:rsid w:val="09A259C7"/>
    <w:rsid w:val="0A06497E"/>
    <w:rsid w:val="0A280952"/>
    <w:rsid w:val="0A6C3DEC"/>
    <w:rsid w:val="0A802040"/>
    <w:rsid w:val="0AA4482A"/>
    <w:rsid w:val="0AB0209D"/>
    <w:rsid w:val="0ABF15DC"/>
    <w:rsid w:val="0AEA474B"/>
    <w:rsid w:val="0AFF782D"/>
    <w:rsid w:val="0B0A72F3"/>
    <w:rsid w:val="0B2A4D14"/>
    <w:rsid w:val="0B45006A"/>
    <w:rsid w:val="0B6264F7"/>
    <w:rsid w:val="0B7C37FB"/>
    <w:rsid w:val="0BB32B30"/>
    <w:rsid w:val="0BB422C0"/>
    <w:rsid w:val="0BE30723"/>
    <w:rsid w:val="0C185056"/>
    <w:rsid w:val="0C3248F3"/>
    <w:rsid w:val="0C611CC8"/>
    <w:rsid w:val="0C671CFF"/>
    <w:rsid w:val="0C936537"/>
    <w:rsid w:val="0C9D256A"/>
    <w:rsid w:val="0CB1245F"/>
    <w:rsid w:val="0CB21601"/>
    <w:rsid w:val="0CBF4FA9"/>
    <w:rsid w:val="0CCB30FA"/>
    <w:rsid w:val="0CD50A71"/>
    <w:rsid w:val="0D1A384C"/>
    <w:rsid w:val="0D4C1B66"/>
    <w:rsid w:val="0D686A83"/>
    <w:rsid w:val="0D7E7B19"/>
    <w:rsid w:val="0DC22A4F"/>
    <w:rsid w:val="0DDB0877"/>
    <w:rsid w:val="0DF7639E"/>
    <w:rsid w:val="0E49559D"/>
    <w:rsid w:val="0E7F5D13"/>
    <w:rsid w:val="0E8B6E6C"/>
    <w:rsid w:val="0F4A465C"/>
    <w:rsid w:val="0FAA78E0"/>
    <w:rsid w:val="0FDF4DE9"/>
    <w:rsid w:val="0FF357C3"/>
    <w:rsid w:val="0FF66233"/>
    <w:rsid w:val="10075168"/>
    <w:rsid w:val="104D5BC1"/>
    <w:rsid w:val="105019DF"/>
    <w:rsid w:val="10594E99"/>
    <w:rsid w:val="106060FF"/>
    <w:rsid w:val="10690B7D"/>
    <w:rsid w:val="10781538"/>
    <w:rsid w:val="1079492B"/>
    <w:rsid w:val="10A8019C"/>
    <w:rsid w:val="10A8354F"/>
    <w:rsid w:val="10E469E1"/>
    <w:rsid w:val="11111FC4"/>
    <w:rsid w:val="111C4CAC"/>
    <w:rsid w:val="111F4A28"/>
    <w:rsid w:val="1141118B"/>
    <w:rsid w:val="114E5679"/>
    <w:rsid w:val="11593AE8"/>
    <w:rsid w:val="11856E79"/>
    <w:rsid w:val="11985169"/>
    <w:rsid w:val="11A57CF9"/>
    <w:rsid w:val="11BF43BB"/>
    <w:rsid w:val="11EE5ADC"/>
    <w:rsid w:val="124A4ABC"/>
    <w:rsid w:val="1269242E"/>
    <w:rsid w:val="12CF6BD8"/>
    <w:rsid w:val="12F17607"/>
    <w:rsid w:val="135549F8"/>
    <w:rsid w:val="13776D6C"/>
    <w:rsid w:val="13E43657"/>
    <w:rsid w:val="13F71B08"/>
    <w:rsid w:val="140A0A20"/>
    <w:rsid w:val="141A4D0A"/>
    <w:rsid w:val="141E7BA0"/>
    <w:rsid w:val="143C6FCB"/>
    <w:rsid w:val="144016FD"/>
    <w:rsid w:val="14833488"/>
    <w:rsid w:val="148C5833"/>
    <w:rsid w:val="14AF6F8B"/>
    <w:rsid w:val="14B34EAF"/>
    <w:rsid w:val="14B466FE"/>
    <w:rsid w:val="14D10F01"/>
    <w:rsid w:val="14D9071E"/>
    <w:rsid w:val="14FB0E34"/>
    <w:rsid w:val="15533D04"/>
    <w:rsid w:val="15832433"/>
    <w:rsid w:val="158617DC"/>
    <w:rsid w:val="15A64595"/>
    <w:rsid w:val="15A802D1"/>
    <w:rsid w:val="15F03463"/>
    <w:rsid w:val="160F76AA"/>
    <w:rsid w:val="161843F4"/>
    <w:rsid w:val="1626009E"/>
    <w:rsid w:val="1649205E"/>
    <w:rsid w:val="165949FA"/>
    <w:rsid w:val="16CB7A1E"/>
    <w:rsid w:val="16FF0CAA"/>
    <w:rsid w:val="17086DD5"/>
    <w:rsid w:val="17506429"/>
    <w:rsid w:val="17B17716"/>
    <w:rsid w:val="17BC12AC"/>
    <w:rsid w:val="17D97073"/>
    <w:rsid w:val="18050DC8"/>
    <w:rsid w:val="181233C5"/>
    <w:rsid w:val="181A7CF7"/>
    <w:rsid w:val="18382A8C"/>
    <w:rsid w:val="18406ED1"/>
    <w:rsid w:val="18961C1F"/>
    <w:rsid w:val="18B07C45"/>
    <w:rsid w:val="18BF4BA9"/>
    <w:rsid w:val="18C90866"/>
    <w:rsid w:val="18E20658"/>
    <w:rsid w:val="18EC2055"/>
    <w:rsid w:val="18EC780C"/>
    <w:rsid w:val="19286371"/>
    <w:rsid w:val="196E7D77"/>
    <w:rsid w:val="19864250"/>
    <w:rsid w:val="19875F78"/>
    <w:rsid w:val="1995592F"/>
    <w:rsid w:val="19D337BC"/>
    <w:rsid w:val="19E3103B"/>
    <w:rsid w:val="1A10450F"/>
    <w:rsid w:val="1A537C97"/>
    <w:rsid w:val="1A62399C"/>
    <w:rsid w:val="1A822D7F"/>
    <w:rsid w:val="1A9548E1"/>
    <w:rsid w:val="1A9A1D0C"/>
    <w:rsid w:val="1B1626E1"/>
    <w:rsid w:val="1B330B45"/>
    <w:rsid w:val="1B814605"/>
    <w:rsid w:val="1BB241F4"/>
    <w:rsid w:val="1BB334C8"/>
    <w:rsid w:val="1BC60647"/>
    <w:rsid w:val="1BD40577"/>
    <w:rsid w:val="1BE80CE9"/>
    <w:rsid w:val="1C1A7381"/>
    <w:rsid w:val="1C5A2595"/>
    <w:rsid w:val="1C6C5B36"/>
    <w:rsid w:val="1C97349D"/>
    <w:rsid w:val="1CCE0600"/>
    <w:rsid w:val="1CDC498C"/>
    <w:rsid w:val="1D222704"/>
    <w:rsid w:val="1D6D7D90"/>
    <w:rsid w:val="1DC67DBA"/>
    <w:rsid w:val="1DEE7BA0"/>
    <w:rsid w:val="1E301319"/>
    <w:rsid w:val="1E544784"/>
    <w:rsid w:val="1E7519AA"/>
    <w:rsid w:val="1E7F7F11"/>
    <w:rsid w:val="1E853218"/>
    <w:rsid w:val="1E8D7D81"/>
    <w:rsid w:val="1EB06043"/>
    <w:rsid w:val="1EDE38F5"/>
    <w:rsid w:val="1F1B545C"/>
    <w:rsid w:val="1F327D82"/>
    <w:rsid w:val="1F773ACD"/>
    <w:rsid w:val="1F7C4A07"/>
    <w:rsid w:val="1F8D6E0E"/>
    <w:rsid w:val="1F984115"/>
    <w:rsid w:val="1FAA07A2"/>
    <w:rsid w:val="1FAA22AD"/>
    <w:rsid w:val="1FB81F67"/>
    <w:rsid w:val="1FFF1668"/>
    <w:rsid w:val="200403A7"/>
    <w:rsid w:val="202F3AD3"/>
    <w:rsid w:val="206E747E"/>
    <w:rsid w:val="209955E1"/>
    <w:rsid w:val="20B019CF"/>
    <w:rsid w:val="20DB7551"/>
    <w:rsid w:val="20E47416"/>
    <w:rsid w:val="20F25E54"/>
    <w:rsid w:val="212233EC"/>
    <w:rsid w:val="2145299E"/>
    <w:rsid w:val="21544286"/>
    <w:rsid w:val="215758A6"/>
    <w:rsid w:val="21621E9C"/>
    <w:rsid w:val="21A86185"/>
    <w:rsid w:val="2200088F"/>
    <w:rsid w:val="222B77CD"/>
    <w:rsid w:val="22642778"/>
    <w:rsid w:val="22B6408E"/>
    <w:rsid w:val="22BD45A3"/>
    <w:rsid w:val="22CC7C1F"/>
    <w:rsid w:val="22DB45ED"/>
    <w:rsid w:val="22DC782B"/>
    <w:rsid w:val="22DF188C"/>
    <w:rsid w:val="23342345"/>
    <w:rsid w:val="23511AE2"/>
    <w:rsid w:val="23677212"/>
    <w:rsid w:val="236D6CC6"/>
    <w:rsid w:val="23816778"/>
    <w:rsid w:val="23A71894"/>
    <w:rsid w:val="23AE07E7"/>
    <w:rsid w:val="23DA3263"/>
    <w:rsid w:val="23E815C2"/>
    <w:rsid w:val="23ED2C19"/>
    <w:rsid w:val="24393858"/>
    <w:rsid w:val="2445396F"/>
    <w:rsid w:val="24B4002F"/>
    <w:rsid w:val="2507439C"/>
    <w:rsid w:val="250D2F8C"/>
    <w:rsid w:val="250F215D"/>
    <w:rsid w:val="251D4DF6"/>
    <w:rsid w:val="25371699"/>
    <w:rsid w:val="25444D7B"/>
    <w:rsid w:val="255F5950"/>
    <w:rsid w:val="25621489"/>
    <w:rsid w:val="257171D3"/>
    <w:rsid w:val="258C0EBA"/>
    <w:rsid w:val="25B42FBB"/>
    <w:rsid w:val="25CB45CB"/>
    <w:rsid w:val="25DD7391"/>
    <w:rsid w:val="25E448F4"/>
    <w:rsid w:val="25FF6043"/>
    <w:rsid w:val="261163E3"/>
    <w:rsid w:val="26373E0F"/>
    <w:rsid w:val="265C3AF0"/>
    <w:rsid w:val="265F1F45"/>
    <w:rsid w:val="265F69C2"/>
    <w:rsid w:val="26624ECC"/>
    <w:rsid w:val="26A265C7"/>
    <w:rsid w:val="26A6783D"/>
    <w:rsid w:val="26B01482"/>
    <w:rsid w:val="26B837FA"/>
    <w:rsid w:val="26BD0568"/>
    <w:rsid w:val="26EC3E8F"/>
    <w:rsid w:val="270C1999"/>
    <w:rsid w:val="276A2657"/>
    <w:rsid w:val="27827FF4"/>
    <w:rsid w:val="279413BE"/>
    <w:rsid w:val="27FC0BBF"/>
    <w:rsid w:val="283521F4"/>
    <w:rsid w:val="2838760B"/>
    <w:rsid w:val="284C6922"/>
    <w:rsid w:val="288B4233"/>
    <w:rsid w:val="28D623B3"/>
    <w:rsid w:val="28E46E88"/>
    <w:rsid w:val="28EB290A"/>
    <w:rsid w:val="291934F1"/>
    <w:rsid w:val="29B13CD9"/>
    <w:rsid w:val="29CF66DB"/>
    <w:rsid w:val="2A034666"/>
    <w:rsid w:val="2A073C33"/>
    <w:rsid w:val="2A0E4E40"/>
    <w:rsid w:val="2A105DB7"/>
    <w:rsid w:val="2A2245CA"/>
    <w:rsid w:val="2A4E6FB1"/>
    <w:rsid w:val="2A5E7C0B"/>
    <w:rsid w:val="2A6E191D"/>
    <w:rsid w:val="2A8B78C8"/>
    <w:rsid w:val="2A9A546F"/>
    <w:rsid w:val="2AB86C3F"/>
    <w:rsid w:val="2AD86817"/>
    <w:rsid w:val="2ADA3457"/>
    <w:rsid w:val="2B192CF9"/>
    <w:rsid w:val="2B585BEA"/>
    <w:rsid w:val="2B7B490C"/>
    <w:rsid w:val="2B825330"/>
    <w:rsid w:val="2B9455C7"/>
    <w:rsid w:val="2BA230AB"/>
    <w:rsid w:val="2BA24450"/>
    <w:rsid w:val="2BD163C9"/>
    <w:rsid w:val="2BF72413"/>
    <w:rsid w:val="2C2026B1"/>
    <w:rsid w:val="2C2A3D36"/>
    <w:rsid w:val="2C4B0B99"/>
    <w:rsid w:val="2C4C07CD"/>
    <w:rsid w:val="2C87286D"/>
    <w:rsid w:val="2C8E27FB"/>
    <w:rsid w:val="2CBDFA13"/>
    <w:rsid w:val="2D0226A4"/>
    <w:rsid w:val="2D266D58"/>
    <w:rsid w:val="2D7336C6"/>
    <w:rsid w:val="2D85739C"/>
    <w:rsid w:val="2DC04568"/>
    <w:rsid w:val="2DCA7A16"/>
    <w:rsid w:val="2DF16882"/>
    <w:rsid w:val="2DF96331"/>
    <w:rsid w:val="2E0265CF"/>
    <w:rsid w:val="2E1762E5"/>
    <w:rsid w:val="2E1B5C72"/>
    <w:rsid w:val="2E4400A4"/>
    <w:rsid w:val="2E50458B"/>
    <w:rsid w:val="2E603234"/>
    <w:rsid w:val="2E721272"/>
    <w:rsid w:val="2E763227"/>
    <w:rsid w:val="2EC75050"/>
    <w:rsid w:val="2EE51378"/>
    <w:rsid w:val="2EE837FB"/>
    <w:rsid w:val="2F254763"/>
    <w:rsid w:val="2F3E45CF"/>
    <w:rsid w:val="2F4345D2"/>
    <w:rsid w:val="2FBD3C9A"/>
    <w:rsid w:val="2FC818CE"/>
    <w:rsid w:val="2FEAD019"/>
    <w:rsid w:val="300504EE"/>
    <w:rsid w:val="301056CD"/>
    <w:rsid w:val="301910B2"/>
    <w:rsid w:val="301D303E"/>
    <w:rsid w:val="302B59B3"/>
    <w:rsid w:val="303E39ED"/>
    <w:rsid w:val="304F4DFF"/>
    <w:rsid w:val="307C3C90"/>
    <w:rsid w:val="307F7D66"/>
    <w:rsid w:val="30903257"/>
    <w:rsid w:val="31057EBB"/>
    <w:rsid w:val="311A7578"/>
    <w:rsid w:val="316F08A3"/>
    <w:rsid w:val="3183819B"/>
    <w:rsid w:val="31E40ADF"/>
    <w:rsid w:val="31EF1228"/>
    <w:rsid w:val="326C0675"/>
    <w:rsid w:val="327378DC"/>
    <w:rsid w:val="3285601E"/>
    <w:rsid w:val="32C14636"/>
    <w:rsid w:val="32C941CB"/>
    <w:rsid w:val="32CF7BBC"/>
    <w:rsid w:val="32D01F83"/>
    <w:rsid w:val="32D45F6A"/>
    <w:rsid w:val="32E23BD4"/>
    <w:rsid w:val="32F91C7C"/>
    <w:rsid w:val="33045A13"/>
    <w:rsid w:val="331250D1"/>
    <w:rsid w:val="3321420E"/>
    <w:rsid w:val="33392A46"/>
    <w:rsid w:val="333E44CF"/>
    <w:rsid w:val="333E6B14"/>
    <w:rsid w:val="3374671D"/>
    <w:rsid w:val="337F09A6"/>
    <w:rsid w:val="339A0495"/>
    <w:rsid w:val="33D35779"/>
    <w:rsid w:val="33EB06EF"/>
    <w:rsid w:val="33F42CB2"/>
    <w:rsid w:val="33F46BFA"/>
    <w:rsid w:val="33FC5003"/>
    <w:rsid w:val="344D617C"/>
    <w:rsid w:val="346B48DA"/>
    <w:rsid w:val="34721CB1"/>
    <w:rsid w:val="349066A4"/>
    <w:rsid w:val="34E16A96"/>
    <w:rsid w:val="34EA107D"/>
    <w:rsid w:val="353D1DE9"/>
    <w:rsid w:val="353D2679"/>
    <w:rsid w:val="35605940"/>
    <w:rsid w:val="35757A1D"/>
    <w:rsid w:val="359E5AE9"/>
    <w:rsid w:val="35DB6A95"/>
    <w:rsid w:val="35DF002E"/>
    <w:rsid w:val="35E910D5"/>
    <w:rsid w:val="363B4D53"/>
    <w:rsid w:val="367C7A33"/>
    <w:rsid w:val="36DC2670"/>
    <w:rsid w:val="36F06012"/>
    <w:rsid w:val="36F761A3"/>
    <w:rsid w:val="37036425"/>
    <w:rsid w:val="373E21BC"/>
    <w:rsid w:val="37BB7D01"/>
    <w:rsid w:val="37BC3A27"/>
    <w:rsid w:val="37C45C5A"/>
    <w:rsid w:val="37D24F98"/>
    <w:rsid w:val="382016AE"/>
    <w:rsid w:val="385F0328"/>
    <w:rsid w:val="38987AD5"/>
    <w:rsid w:val="38C34CEC"/>
    <w:rsid w:val="38D5199C"/>
    <w:rsid w:val="38ED73AB"/>
    <w:rsid w:val="39062B1A"/>
    <w:rsid w:val="391B7E0C"/>
    <w:rsid w:val="396C22F8"/>
    <w:rsid w:val="398938C7"/>
    <w:rsid w:val="39B75D1B"/>
    <w:rsid w:val="39B956C1"/>
    <w:rsid w:val="39BF69F2"/>
    <w:rsid w:val="39D43B90"/>
    <w:rsid w:val="39D76D52"/>
    <w:rsid w:val="39E3173B"/>
    <w:rsid w:val="39E936CE"/>
    <w:rsid w:val="39EA2CE5"/>
    <w:rsid w:val="3A094AE4"/>
    <w:rsid w:val="3A3A1BDD"/>
    <w:rsid w:val="3A43087A"/>
    <w:rsid w:val="3A437759"/>
    <w:rsid w:val="3A81572F"/>
    <w:rsid w:val="3AC70974"/>
    <w:rsid w:val="3AC87114"/>
    <w:rsid w:val="3B2C1E2E"/>
    <w:rsid w:val="3B3A0037"/>
    <w:rsid w:val="3B655A90"/>
    <w:rsid w:val="3B7767A4"/>
    <w:rsid w:val="3B8D38F0"/>
    <w:rsid w:val="3BA753BB"/>
    <w:rsid w:val="3BFFE1AD"/>
    <w:rsid w:val="3C0318DB"/>
    <w:rsid w:val="3C065B01"/>
    <w:rsid w:val="3C077D95"/>
    <w:rsid w:val="3C217D4A"/>
    <w:rsid w:val="3CB473B3"/>
    <w:rsid w:val="3CD63F5A"/>
    <w:rsid w:val="3CFD0038"/>
    <w:rsid w:val="3D3051AD"/>
    <w:rsid w:val="3D3B1600"/>
    <w:rsid w:val="3D50785F"/>
    <w:rsid w:val="3D5C0AE8"/>
    <w:rsid w:val="3D975686"/>
    <w:rsid w:val="3DB67B2A"/>
    <w:rsid w:val="3DBB1EB5"/>
    <w:rsid w:val="3DD63AFF"/>
    <w:rsid w:val="3DFB40DF"/>
    <w:rsid w:val="3DFF1059"/>
    <w:rsid w:val="3EAB2C05"/>
    <w:rsid w:val="3EAF3E1C"/>
    <w:rsid w:val="3EBA1E45"/>
    <w:rsid w:val="3EDB5855"/>
    <w:rsid w:val="3EE352D4"/>
    <w:rsid w:val="3EEE3FB3"/>
    <w:rsid w:val="3EFDA89E"/>
    <w:rsid w:val="3F634883"/>
    <w:rsid w:val="3F6D715E"/>
    <w:rsid w:val="3F9008C5"/>
    <w:rsid w:val="3F966B98"/>
    <w:rsid w:val="3FB4C32B"/>
    <w:rsid w:val="3FB922B1"/>
    <w:rsid w:val="3FC85152"/>
    <w:rsid w:val="3FFD8344"/>
    <w:rsid w:val="3FFFE8A7"/>
    <w:rsid w:val="400E47FA"/>
    <w:rsid w:val="404478D4"/>
    <w:rsid w:val="40595C86"/>
    <w:rsid w:val="406956D5"/>
    <w:rsid w:val="406A3AE4"/>
    <w:rsid w:val="40A14D91"/>
    <w:rsid w:val="40AE50F0"/>
    <w:rsid w:val="40D86F3A"/>
    <w:rsid w:val="40DE584C"/>
    <w:rsid w:val="40E969A5"/>
    <w:rsid w:val="412852BB"/>
    <w:rsid w:val="4149138A"/>
    <w:rsid w:val="415B3BBA"/>
    <w:rsid w:val="4163656A"/>
    <w:rsid w:val="418B5C7B"/>
    <w:rsid w:val="41A73ACD"/>
    <w:rsid w:val="41D12D93"/>
    <w:rsid w:val="4215745B"/>
    <w:rsid w:val="4257397C"/>
    <w:rsid w:val="426B678F"/>
    <w:rsid w:val="428A7020"/>
    <w:rsid w:val="42EE70BA"/>
    <w:rsid w:val="42F00B75"/>
    <w:rsid w:val="42FC2913"/>
    <w:rsid w:val="43266568"/>
    <w:rsid w:val="435720AF"/>
    <w:rsid w:val="443F20E8"/>
    <w:rsid w:val="447E262B"/>
    <w:rsid w:val="447F6535"/>
    <w:rsid w:val="44904458"/>
    <w:rsid w:val="44CF1FAF"/>
    <w:rsid w:val="44D55C08"/>
    <w:rsid w:val="455472C6"/>
    <w:rsid w:val="45837052"/>
    <w:rsid w:val="45B45D6F"/>
    <w:rsid w:val="46247183"/>
    <w:rsid w:val="4697323F"/>
    <w:rsid w:val="46BA3342"/>
    <w:rsid w:val="46BC664E"/>
    <w:rsid w:val="46D527BA"/>
    <w:rsid w:val="473F161B"/>
    <w:rsid w:val="474E20ED"/>
    <w:rsid w:val="476F3A10"/>
    <w:rsid w:val="4776ADB5"/>
    <w:rsid w:val="477E7592"/>
    <w:rsid w:val="478452AE"/>
    <w:rsid w:val="47AA31A0"/>
    <w:rsid w:val="47CA04EC"/>
    <w:rsid w:val="47DA6F88"/>
    <w:rsid w:val="48175733"/>
    <w:rsid w:val="485441D1"/>
    <w:rsid w:val="48592377"/>
    <w:rsid w:val="487A3338"/>
    <w:rsid w:val="48C80076"/>
    <w:rsid w:val="49186349"/>
    <w:rsid w:val="49262D1E"/>
    <w:rsid w:val="494209EF"/>
    <w:rsid w:val="494850B8"/>
    <w:rsid w:val="495A652F"/>
    <w:rsid w:val="495F3AA7"/>
    <w:rsid w:val="497C1393"/>
    <w:rsid w:val="49B121A1"/>
    <w:rsid w:val="49DD55E8"/>
    <w:rsid w:val="49E01D64"/>
    <w:rsid w:val="4A042C55"/>
    <w:rsid w:val="4A07300F"/>
    <w:rsid w:val="4A0B195B"/>
    <w:rsid w:val="4A2B3EDF"/>
    <w:rsid w:val="4A4411CC"/>
    <w:rsid w:val="4A622998"/>
    <w:rsid w:val="4A7E7EEE"/>
    <w:rsid w:val="4A841D00"/>
    <w:rsid w:val="4AB76B95"/>
    <w:rsid w:val="4AED7BF3"/>
    <w:rsid w:val="4B0847D9"/>
    <w:rsid w:val="4B174B68"/>
    <w:rsid w:val="4B193D35"/>
    <w:rsid w:val="4B2852B3"/>
    <w:rsid w:val="4B8335E8"/>
    <w:rsid w:val="4BAD3C70"/>
    <w:rsid w:val="4BD53934"/>
    <w:rsid w:val="4BD90266"/>
    <w:rsid w:val="4BEF150E"/>
    <w:rsid w:val="4C2128B9"/>
    <w:rsid w:val="4C3A7D58"/>
    <w:rsid w:val="4C4202B9"/>
    <w:rsid w:val="4C91009C"/>
    <w:rsid w:val="4D814977"/>
    <w:rsid w:val="4DC45F88"/>
    <w:rsid w:val="4DEF524B"/>
    <w:rsid w:val="4E382EA2"/>
    <w:rsid w:val="4E73EC6A"/>
    <w:rsid w:val="4E842D85"/>
    <w:rsid w:val="4E8D6957"/>
    <w:rsid w:val="4EAB06B2"/>
    <w:rsid w:val="4EB60BAD"/>
    <w:rsid w:val="4EBE79D0"/>
    <w:rsid w:val="4EC20478"/>
    <w:rsid w:val="4ED1282C"/>
    <w:rsid w:val="4EDB0DCD"/>
    <w:rsid w:val="4EDB7EF4"/>
    <w:rsid w:val="4EF36E4B"/>
    <w:rsid w:val="4F005408"/>
    <w:rsid w:val="4F034B12"/>
    <w:rsid w:val="4F1A71AF"/>
    <w:rsid w:val="4F2F4DFF"/>
    <w:rsid w:val="4F336222"/>
    <w:rsid w:val="4F58018D"/>
    <w:rsid w:val="4FA17010"/>
    <w:rsid w:val="4FFDDA64"/>
    <w:rsid w:val="501B1B82"/>
    <w:rsid w:val="50513D7A"/>
    <w:rsid w:val="506C083B"/>
    <w:rsid w:val="509D66CF"/>
    <w:rsid w:val="50C117AD"/>
    <w:rsid w:val="51264E41"/>
    <w:rsid w:val="513F1DF1"/>
    <w:rsid w:val="518519DA"/>
    <w:rsid w:val="51A8043E"/>
    <w:rsid w:val="51F22090"/>
    <w:rsid w:val="521103A3"/>
    <w:rsid w:val="52D00432"/>
    <w:rsid w:val="52D13E33"/>
    <w:rsid w:val="53053BCF"/>
    <w:rsid w:val="530C5CD1"/>
    <w:rsid w:val="531F10D1"/>
    <w:rsid w:val="532A366C"/>
    <w:rsid w:val="53CE238B"/>
    <w:rsid w:val="53E150DC"/>
    <w:rsid w:val="53E8162E"/>
    <w:rsid w:val="543C5BB4"/>
    <w:rsid w:val="54597C77"/>
    <w:rsid w:val="5478586B"/>
    <w:rsid w:val="548A1011"/>
    <w:rsid w:val="54963335"/>
    <w:rsid w:val="54B71533"/>
    <w:rsid w:val="54B959B4"/>
    <w:rsid w:val="551A2E9C"/>
    <w:rsid w:val="551B2BBA"/>
    <w:rsid w:val="552E61E8"/>
    <w:rsid w:val="553409C3"/>
    <w:rsid w:val="55347448"/>
    <w:rsid w:val="555E3DEF"/>
    <w:rsid w:val="56057D46"/>
    <w:rsid w:val="56544F00"/>
    <w:rsid w:val="565A45FA"/>
    <w:rsid w:val="56613C1D"/>
    <w:rsid w:val="566B7C5B"/>
    <w:rsid w:val="56DE2636"/>
    <w:rsid w:val="5722168B"/>
    <w:rsid w:val="57927715"/>
    <w:rsid w:val="57AF808F"/>
    <w:rsid w:val="57C77F10"/>
    <w:rsid w:val="57CF23D2"/>
    <w:rsid w:val="57FB0B62"/>
    <w:rsid w:val="58333334"/>
    <w:rsid w:val="583369B9"/>
    <w:rsid w:val="587972E1"/>
    <w:rsid w:val="587F3EB6"/>
    <w:rsid w:val="588F7818"/>
    <w:rsid w:val="58EB7DCC"/>
    <w:rsid w:val="58F637BC"/>
    <w:rsid w:val="59057145"/>
    <w:rsid w:val="59171914"/>
    <w:rsid w:val="593E645B"/>
    <w:rsid w:val="59522DFA"/>
    <w:rsid w:val="59971886"/>
    <w:rsid w:val="59B1261F"/>
    <w:rsid w:val="59C04244"/>
    <w:rsid w:val="59EC1626"/>
    <w:rsid w:val="5A1477AF"/>
    <w:rsid w:val="5A44375A"/>
    <w:rsid w:val="5A4F371E"/>
    <w:rsid w:val="5A527EE7"/>
    <w:rsid w:val="5A750DDF"/>
    <w:rsid w:val="5AC45A43"/>
    <w:rsid w:val="5AD15DFD"/>
    <w:rsid w:val="5AD16026"/>
    <w:rsid w:val="5B4B3A5F"/>
    <w:rsid w:val="5B905049"/>
    <w:rsid w:val="5BA86B61"/>
    <w:rsid w:val="5BD12A51"/>
    <w:rsid w:val="5BD1327F"/>
    <w:rsid w:val="5C5164AA"/>
    <w:rsid w:val="5C7117F4"/>
    <w:rsid w:val="5CDD07CC"/>
    <w:rsid w:val="5D0B2C3C"/>
    <w:rsid w:val="5D29028D"/>
    <w:rsid w:val="5D3D4EBB"/>
    <w:rsid w:val="5D3E61A7"/>
    <w:rsid w:val="5D7D38A5"/>
    <w:rsid w:val="5D7F4959"/>
    <w:rsid w:val="5D9670D6"/>
    <w:rsid w:val="5E1745DE"/>
    <w:rsid w:val="5E182083"/>
    <w:rsid w:val="5E4A35B0"/>
    <w:rsid w:val="5E5A570A"/>
    <w:rsid w:val="5E6A4A4A"/>
    <w:rsid w:val="5E6F6010"/>
    <w:rsid w:val="5E875C10"/>
    <w:rsid w:val="5E986605"/>
    <w:rsid w:val="5EB0756E"/>
    <w:rsid w:val="5EB47ABE"/>
    <w:rsid w:val="5ED32936"/>
    <w:rsid w:val="5F072378"/>
    <w:rsid w:val="5F07A9C3"/>
    <w:rsid w:val="5F3029F9"/>
    <w:rsid w:val="5F3E55B8"/>
    <w:rsid w:val="5F44590E"/>
    <w:rsid w:val="5FD2019A"/>
    <w:rsid w:val="5FD86029"/>
    <w:rsid w:val="5FE3EA0A"/>
    <w:rsid w:val="5FF7960D"/>
    <w:rsid w:val="5FF7F7F6"/>
    <w:rsid w:val="5FF89144"/>
    <w:rsid w:val="600A19C7"/>
    <w:rsid w:val="603F3335"/>
    <w:rsid w:val="605471DD"/>
    <w:rsid w:val="608A2138"/>
    <w:rsid w:val="60EE7490"/>
    <w:rsid w:val="610542D2"/>
    <w:rsid w:val="611D663C"/>
    <w:rsid w:val="61340A17"/>
    <w:rsid w:val="615E1AEE"/>
    <w:rsid w:val="61717CC5"/>
    <w:rsid w:val="61970957"/>
    <w:rsid w:val="61B2403F"/>
    <w:rsid w:val="61B91866"/>
    <w:rsid w:val="621B6766"/>
    <w:rsid w:val="621E0049"/>
    <w:rsid w:val="6246498A"/>
    <w:rsid w:val="624F361C"/>
    <w:rsid w:val="62527F8F"/>
    <w:rsid w:val="626160F8"/>
    <w:rsid w:val="62B67E95"/>
    <w:rsid w:val="62DD3133"/>
    <w:rsid w:val="63437E32"/>
    <w:rsid w:val="634866C9"/>
    <w:rsid w:val="63614471"/>
    <w:rsid w:val="63665877"/>
    <w:rsid w:val="63804644"/>
    <w:rsid w:val="63DC07A2"/>
    <w:rsid w:val="63E573E3"/>
    <w:rsid w:val="63EF743D"/>
    <w:rsid w:val="64081ACC"/>
    <w:rsid w:val="6425488E"/>
    <w:rsid w:val="644378DF"/>
    <w:rsid w:val="645320A4"/>
    <w:rsid w:val="648A5BEF"/>
    <w:rsid w:val="64C3311E"/>
    <w:rsid w:val="64C975D5"/>
    <w:rsid w:val="64CC5189"/>
    <w:rsid w:val="658E0978"/>
    <w:rsid w:val="65CE094F"/>
    <w:rsid w:val="65F34242"/>
    <w:rsid w:val="665105F9"/>
    <w:rsid w:val="665C2C0C"/>
    <w:rsid w:val="665E7786"/>
    <w:rsid w:val="66620B33"/>
    <w:rsid w:val="666927DF"/>
    <w:rsid w:val="66A0163B"/>
    <w:rsid w:val="66BD6B97"/>
    <w:rsid w:val="6741754A"/>
    <w:rsid w:val="674F5B66"/>
    <w:rsid w:val="679A2193"/>
    <w:rsid w:val="67EA2001"/>
    <w:rsid w:val="68194623"/>
    <w:rsid w:val="68541B0A"/>
    <w:rsid w:val="689437D7"/>
    <w:rsid w:val="68CE21E6"/>
    <w:rsid w:val="69262139"/>
    <w:rsid w:val="693F2EFD"/>
    <w:rsid w:val="69A26C66"/>
    <w:rsid w:val="69E357FE"/>
    <w:rsid w:val="69E8779F"/>
    <w:rsid w:val="69F00F58"/>
    <w:rsid w:val="6A2A15F7"/>
    <w:rsid w:val="6A6873FD"/>
    <w:rsid w:val="6A9D3E59"/>
    <w:rsid w:val="6AD40923"/>
    <w:rsid w:val="6ADF2597"/>
    <w:rsid w:val="6AF24B6D"/>
    <w:rsid w:val="6AFB6BC9"/>
    <w:rsid w:val="6B14212A"/>
    <w:rsid w:val="6B21182F"/>
    <w:rsid w:val="6B302112"/>
    <w:rsid w:val="6B321184"/>
    <w:rsid w:val="6B457482"/>
    <w:rsid w:val="6B6D0653"/>
    <w:rsid w:val="6B780D96"/>
    <w:rsid w:val="6BAF6360"/>
    <w:rsid w:val="6BB02ED8"/>
    <w:rsid w:val="6BB74168"/>
    <w:rsid w:val="6BD72329"/>
    <w:rsid w:val="6BFF21F5"/>
    <w:rsid w:val="6C283106"/>
    <w:rsid w:val="6C7E0046"/>
    <w:rsid w:val="6C88034D"/>
    <w:rsid w:val="6CBC7FE6"/>
    <w:rsid w:val="6CC208E9"/>
    <w:rsid w:val="6CF4511C"/>
    <w:rsid w:val="6CF51849"/>
    <w:rsid w:val="6D7F0554"/>
    <w:rsid w:val="6DBD793B"/>
    <w:rsid w:val="6E04599A"/>
    <w:rsid w:val="6E35451C"/>
    <w:rsid w:val="6E371618"/>
    <w:rsid w:val="6E437335"/>
    <w:rsid w:val="6E816BA9"/>
    <w:rsid w:val="6E874C0A"/>
    <w:rsid w:val="6EA1744D"/>
    <w:rsid w:val="6EA31C16"/>
    <w:rsid w:val="6EA34A84"/>
    <w:rsid w:val="6EB842F8"/>
    <w:rsid w:val="6EED6224"/>
    <w:rsid w:val="6EFC27BC"/>
    <w:rsid w:val="6F05297A"/>
    <w:rsid w:val="6F093330"/>
    <w:rsid w:val="6F4806B3"/>
    <w:rsid w:val="6F9D79AC"/>
    <w:rsid w:val="6FB833CE"/>
    <w:rsid w:val="6FBF8787"/>
    <w:rsid w:val="6FE77212"/>
    <w:rsid w:val="6FF78CAF"/>
    <w:rsid w:val="70111D60"/>
    <w:rsid w:val="707C2C5F"/>
    <w:rsid w:val="707E59C7"/>
    <w:rsid w:val="708427C9"/>
    <w:rsid w:val="70960407"/>
    <w:rsid w:val="70A7096B"/>
    <w:rsid w:val="70A808BB"/>
    <w:rsid w:val="70E32B82"/>
    <w:rsid w:val="70EA770E"/>
    <w:rsid w:val="7100021C"/>
    <w:rsid w:val="71200D43"/>
    <w:rsid w:val="712C13EC"/>
    <w:rsid w:val="71612ACE"/>
    <w:rsid w:val="71B51C35"/>
    <w:rsid w:val="71C561EA"/>
    <w:rsid w:val="71CF4379"/>
    <w:rsid w:val="71D415F5"/>
    <w:rsid w:val="71DF0410"/>
    <w:rsid w:val="71F7112F"/>
    <w:rsid w:val="72411015"/>
    <w:rsid w:val="727C2A43"/>
    <w:rsid w:val="72865C90"/>
    <w:rsid w:val="728A0419"/>
    <w:rsid w:val="72C559CE"/>
    <w:rsid w:val="72D00902"/>
    <w:rsid w:val="72D10FC0"/>
    <w:rsid w:val="72FF25E1"/>
    <w:rsid w:val="730167D2"/>
    <w:rsid w:val="731834DE"/>
    <w:rsid w:val="731F7E26"/>
    <w:rsid w:val="732B743F"/>
    <w:rsid w:val="735768BB"/>
    <w:rsid w:val="735F4222"/>
    <w:rsid w:val="739F666A"/>
    <w:rsid w:val="73B02897"/>
    <w:rsid w:val="73E45563"/>
    <w:rsid w:val="73EF9BAC"/>
    <w:rsid w:val="74F6A1D3"/>
    <w:rsid w:val="751E1E38"/>
    <w:rsid w:val="752D4267"/>
    <w:rsid w:val="755A40EE"/>
    <w:rsid w:val="7575249E"/>
    <w:rsid w:val="75831646"/>
    <w:rsid w:val="75BBF6E0"/>
    <w:rsid w:val="75C4591E"/>
    <w:rsid w:val="75C70BAE"/>
    <w:rsid w:val="75F3126E"/>
    <w:rsid w:val="761C5CA5"/>
    <w:rsid w:val="761E4571"/>
    <w:rsid w:val="76361DAA"/>
    <w:rsid w:val="767E050B"/>
    <w:rsid w:val="76AA40BF"/>
    <w:rsid w:val="76B15807"/>
    <w:rsid w:val="76E36725"/>
    <w:rsid w:val="76ED1989"/>
    <w:rsid w:val="76FD4EC1"/>
    <w:rsid w:val="77371576"/>
    <w:rsid w:val="7739575B"/>
    <w:rsid w:val="773A459F"/>
    <w:rsid w:val="776803A5"/>
    <w:rsid w:val="77B761A0"/>
    <w:rsid w:val="77CF2644"/>
    <w:rsid w:val="77DF9FFC"/>
    <w:rsid w:val="78073B4A"/>
    <w:rsid w:val="783945E7"/>
    <w:rsid w:val="78426EFF"/>
    <w:rsid w:val="786800F1"/>
    <w:rsid w:val="78751F08"/>
    <w:rsid w:val="78A57D98"/>
    <w:rsid w:val="78FC4874"/>
    <w:rsid w:val="79066B05"/>
    <w:rsid w:val="79390ACE"/>
    <w:rsid w:val="794138C5"/>
    <w:rsid w:val="797540A4"/>
    <w:rsid w:val="79907AAE"/>
    <w:rsid w:val="799560BA"/>
    <w:rsid w:val="79A3464B"/>
    <w:rsid w:val="79B13BAC"/>
    <w:rsid w:val="79D15497"/>
    <w:rsid w:val="79D51A60"/>
    <w:rsid w:val="79F2434C"/>
    <w:rsid w:val="7A1066D3"/>
    <w:rsid w:val="7A234749"/>
    <w:rsid w:val="7A4B3C0A"/>
    <w:rsid w:val="7A7264E2"/>
    <w:rsid w:val="7A755D68"/>
    <w:rsid w:val="7A795ED5"/>
    <w:rsid w:val="7A8B607A"/>
    <w:rsid w:val="7A933E2F"/>
    <w:rsid w:val="7AB01D6D"/>
    <w:rsid w:val="7AED5201"/>
    <w:rsid w:val="7AEEC14C"/>
    <w:rsid w:val="7B0A6523"/>
    <w:rsid w:val="7B1F15E7"/>
    <w:rsid w:val="7B3362AB"/>
    <w:rsid w:val="7B691F67"/>
    <w:rsid w:val="7BAF6746"/>
    <w:rsid w:val="7BB31BAB"/>
    <w:rsid w:val="7BD6858D"/>
    <w:rsid w:val="7BDFB780"/>
    <w:rsid w:val="7BEF018D"/>
    <w:rsid w:val="7CBF1C5F"/>
    <w:rsid w:val="7CD44FAF"/>
    <w:rsid w:val="7CE96340"/>
    <w:rsid w:val="7D0E116B"/>
    <w:rsid w:val="7D155569"/>
    <w:rsid w:val="7D1722E7"/>
    <w:rsid w:val="7D41174E"/>
    <w:rsid w:val="7D712E2D"/>
    <w:rsid w:val="7D766C2B"/>
    <w:rsid w:val="7D7D966B"/>
    <w:rsid w:val="7D894AAD"/>
    <w:rsid w:val="7D9A1A01"/>
    <w:rsid w:val="7D9E56F6"/>
    <w:rsid w:val="7DE64E76"/>
    <w:rsid w:val="7E17330C"/>
    <w:rsid w:val="7E220C67"/>
    <w:rsid w:val="7E240A54"/>
    <w:rsid w:val="7E7721C3"/>
    <w:rsid w:val="7E9F4F78"/>
    <w:rsid w:val="7ECF138E"/>
    <w:rsid w:val="7EDA6081"/>
    <w:rsid w:val="7EDE68CD"/>
    <w:rsid w:val="7EDF1606"/>
    <w:rsid w:val="7EFD8E11"/>
    <w:rsid w:val="7F0A09D3"/>
    <w:rsid w:val="7F1C25EF"/>
    <w:rsid w:val="7F3F9FD9"/>
    <w:rsid w:val="7F500818"/>
    <w:rsid w:val="7F747BC9"/>
    <w:rsid w:val="7F872836"/>
    <w:rsid w:val="7FC251E5"/>
    <w:rsid w:val="7FCF1D08"/>
    <w:rsid w:val="7FDF49BA"/>
    <w:rsid w:val="7FF9B91C"/>
    <w:rsid w:val="7FFA2EEE"/>
    <w:rsid w:val="7FFC0B4B"/>
    <w:rsid w:val="7FFF517E"/>
    <w:rsid w:val="946B6084"/>
    <w:rsid w:val="9EF9F098"/>
    <w:rsid w:val="A667D398"/>
    <w:rsid w:val="A66F5852"/>
    <w:rsid w:val="AFF96ECA"/>
    <w:rsid w:val="AFFE9E2A"/>
    <w:rsid w:val="B5F726D2"/>
    <w:rsid w:val="B65F9896"/>
    <w:rsid w:val="B6FD042E"/>
    <w:rsid w:val="B7BFAA3D"/>
    <w:rsid w:val="B7E7E329"/>
    <w:rsid w:val="BABE4D67"/>
    <w:rsid w:val="BBCFC0DB"/>
    <w:rsid w:val="BD618328"/>
    <w:rsid w:val="BDFEB4BC"/>
    <w:rsid w:val="BF5EF3B0"/>
    <w:rsid w:val="BFB7CFAE"/>
    <w:rsid w:val="BFFB55EE"/>
    <w:rsid w:val="C77C3C39"/>
    <w:rsid w:val="CD7FFFA0"/>
    <w:rsid w:val="D570B02A"/>
    <w:rsid w:val="D77F0103"/>
    <w:rsid w:val="D7BE8F1D"/>
    <w:rsid w:val="D7BF38B0"/>
    <w:rsid w:val="D7BFE68F"/>
    <w:rsid w:val="DCAF8764"/>
    <w:rsid w:val="DD7F0BD8"/>
    <w:rsid w:val="DD9F8C15"/>
    <w:rsid w:val="DEFDCD1A"/>
    <w:rsid w:val="DF714A0A"/>
    <w:rsid w:val="DFD321CC"/>
    <w:rsid w:val="E77F1063"/>
    <w:rsid w:val="EA4FE6BA"/>
    <w:rsid w:val="EA6FA83A"/>
    <w:rsid w:val="EDFED89F"/>
    <w:rsid w:val="F59F7054"/>
    <w:rsid w:val="F5FFBC04"/>
    <w:rsid w:val="F6DF104B"/>
    <w:rsid w:val="F7F264B1"/>
    <w:rsid w:val="FAFB957B"/>
    <w:rsid w:val="FAFF60D3"/>
    <w:rsid w:val="FB9F63B8"/>
    <w:rsid w:val="FBFFE44A"/>
    <w:rsid w:val="FDEB97B4"/>
    <w:rsid w:val="FDEFE7FE"/>
    <w:rsid w:val="FDFDE27A"/>
    <w:rsid w:val="FDFF1B01"/>
    <w:rsid w:val="FDFF751C"/>
    <w:rsid w:val="FE7F6FC7"/>
    <w:rsid w:val="FE8D59E5"/>
    <w:rsid w:val="FEEF23AA"/>
    <w:rsid w:val="FFB9701A"/>
    <w:rsid w:val="FFBB33EB"/>
    <w:rsid w:val="FFBF7882"/>
    <w:rsid w:val="FFE32D2D"/>
    <w:rsid w:val="FFE95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semiHidden="0" w:name="Balloon Text"/>
    <w:lsdException w:qFormat="1" w:uiPriority="3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30"/>
    <w:qFormat/>
    <w:uiPriority w:val="0"/>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29"/>
    <w:qFormat/>
    <w:uiPriority w:val="0"/>
    <w:pPr>
      <w:spacing w:line="600" w:lineRule="exact"/>
      <w:ind w:firstLine="640"/>
      <w:jc w:val="center"/>
      <w:outlineLvl w:val="1"/>
    </w:pPr>
    <w:rPr>
      <w:rFonts w:eastAsia="方正黑体_GBK"/>
      <w:bCs/>
      <w:szCs w:val="32"/>
    </w:rPr>
  </w:style>
  <w:style w:type="paragraph" w:styleId="5">
    <w:name w:val="heading 3"/>
    <w:basedOn w:val="1"/>
    <w:next w:val="1"/>
    <w:link w:val="31"/>
    <w:qFormat/>
    <w:uiPriority w:val="9"/>
    <w:pPr>
      <w:keepNext/>
      <w:keepLines/>
      <w:spacing w:before="260" w:after="260" w:line="416" w:lineRule="auto"/>
      <w:outlineLvl w:val="2"/>
    </w:pPr>
    <w:rPr>
      <w:b/>
      <w:bCs/>
      <w:szCs w:val="32"/>
    </w:rPr>
  </w:style>
  <w:style w:type="paragraph" w:styleId="6">
    <w:name w:val="heading 4"/>
    <w:basedOn w:val="1"/>
    <w:next w:val="1"/>
    <w:link w:val="32"/>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7">
    <w:name w:val="toc 7"/>
    <w:basedOn w:val="1"/>
    <w:next w:val="1"/>
    <w:unhideWhenUsed/>
    <w:qFormat/>
    <w:uiPriority w:val="39"/>
    <w:pPr>
      <w:ind w:left="2520" w:leftChars="1200"/>
    </w:pPr>
    <w:rPr>
      <w:rFonts w:ascii="等线" w:hAnsi="等线" w:eastAsia="等线"/>
      <w:sz w:val="21"/>
      <w:szCs w:val="22"/>
    </w:rPr>
  </w:style>
  <w:style w:type="paragraph" w:styleId="8">
    <w:name w:val="annotation text"/>
    <w:basedOn w:val="1"/>
    <w:link w:val="33"/>
    <w:unhideWhenUsed/>
    <w:qFormat/>
    <w:uiPriority w:val="99"/>
    <w:pPr>
      <w:jc w:val="left"/>
    </w:pPr>
  </w:style>
  <w:style w:type="paragraph" w:styleId="9">
    <w:name w:val="toc 5"/>
    <w:basedOn w:val="1"/>
    <w:next w:val="1"/>
    <w:unhideWhenUsed/>
    <w:qFormat/>
    <w:uiPriority w:val="39"/>
    <w:pPr>
      <w:ind w:left="1680" w:leftChars="800"/>
    </w:pPr>
    <w:rPr>
      <w:rFonts w:ascii="等线" w:hAnsi="等线" w:eastAsia="等线"/>
      <w:sz w:val="21"/>
      <w:szCs w:val="22"/>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rFonts w:ascii="等线" w:hAnsi="等线" w:eastAsia="等线"/>
      <w:sz w:val="21"/>
      <w:szCs w:val="22"/>
    </w:rPr>
  </w:style>
  <w:style w:type="paragraph" w:styleId="12">
    <w:name w:val="Balloon Text"/>
    <w:basedOn w:val="1"/>
    <w:link w:val="34"/>
    <w:unhideWhenUsed/>
    <w:qFormat/>
    <w:uiPriority w:val="99"/>
    <w:rPr>
      <w:sz w:val="18"/>
      <w:szCs w:val="18"/>
    </w:rPr>
  </w:style>
  <w:style w:type="paragraph" w:styleId="13">
    <w:name w:val="footer"/>
    <w:basedOn w:val="1"/>
    <w:link w:val="35"/>
    <w:unhideWhenUsed/>
    <w:qFormat/>
    <w:uiPriority w:val="99"/>
    <w:pPr>
      <w:tabs>
        <w:tab w:val="center" w:pos="4153"/>
        <w:tab w:val="right" w:pos="8306"/>
      </w:tabs>
      <w:snapToGrid w:val="0"/>
      <w:jc w:val="left"/>
    </w:pPr>
    <w:rPr>
      <w:sz w:val="18"/>
      <w:szCs w:val="18"/>
    </w:rPr>
  </w:style>
  <w:style w:type="paragraph" w:styleId="1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rPr>
      <w:rFonts w:ascii="等线" w:hAnsi="等线" w:eastAsia="等线"/>
      <w:sz w:val="21"/>
      <w:szCs w:val="22"/>
    </w:rPr>
  </w:style>
  <w:style w:type="paragraph" w:styleId="17">
    <w:name w:val="toc 6"/>
    <w:basedOn w:val="1"/>
    <w:next w:val="1"/>
    <w:unhideWhenUsed/>
    <w:qFormat/>
    <w:uiPriority w:val="39"/>
    <w:pPr>
      <w:ind w:left="2100" w:leftChars="1000"/>
    </w:pPr>
    <w:rPr>
      <w:rFonts w:ascii="等线" w:hAnsi="等线" w:eastAsia="等线"/>
      <w:sz w:val="21"/>
      <w:szCs w:val="22"/>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rPr>
      <w:rFonts w:ascii="等线" w:hAnsi="等线" w:eastAsia="等线"/>
      <w:sz w:val="21"/>
      <w:szCs w:val="22"/>
    </w:rPr>
  </w:style>
  <w:style w:type="paragraph" w:styleId="20">
    <w:name w:val="HTML Preformatted"/>
    <w:basedOn w:val="1"/>
    <w:unhideWhenUsed/>
    <w:qFormat/>
    <w:uiPriority w:val="99"/>
    <w:pPr>
      <w:autoSpaceDE w:val="0"/>
    </w:pPr>
    <w:rPr>
      <w:rFonts w:ascii="宋体" w:hAnsi="宋体" w:eastAsia="宋体" w:cs="宋体"/>
      <w:sz w:val="24"/>
      <w:szCs w:val="24"/>
    </w:rPr>
  </w:style>
  <w:style w:type="paragraph" w:styleId="21">
    <w:name w:val="Normal (Web)"/>
    <w:basedOn w:val="1"/>
    <w:unhideWhenUsed/>
    <w:qFormat/>
    <w:uiPriority w:val="99"/>
    <w:pPr>
      <w:autoSpaceDE w:val="0"/>
    </w:pPr>
    <w:rPr>
      <w:sz w:val="24"/>
      <w:szCs w:val="24"/>
    </w:rPr>
  </w:style>
  <w:style w:type="paragraph" w:styleId="22">
    <w:name w:val="annotation subject"/>
    <w:basedOn w:val="8"/>
    <w:next w:val="8"/>
    <w:link w:val="37"/>
    <w:unhideWhenUsed/>
    <w:qFormat/>
    <w:uiPriority w:val="99"/>
    <w:rPr>
      <w:b/>
      <w:bCs/>
    </w:rPr>
  </w:style>
  <w:style w:type="table" w:styleId="24">
    <w:name w:val="Table Grid"/>
    <w:basedOn w:val="2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mphasis"/>
    <w:qFormat/>
    <w:uiPriority w:val="20"/>
    <w:rPr>
      <w:i/>
    </w:rPr>
  </w:style>
  <w:style w:type="character" w:styleId="27">
    <w:name w:val="Hyperlink"/>
    <w:unhideWhenUsed/>
    <w:qFormat/>
    <w:uiPriority w:val="99"/>
    <w:rPr>
      <w:color w:val="0563C1"/>
      <w:u w:val="single"/>
    </w:rPr>
  </w:style>
  <w:style w:type="character" w:styleId="28">
    <w:name w:val="annotation reference"/>
    <w:unhideWhenUsed/>
    <w:qFormat/>
    <w:uiPriority w:val="99"/>
    <w:rPr>
      <w:sz w:val="21"/>
      <w:szCs w:val="21"/>
    </w:rPr>
  </w:style>
  <w:style w:type="character" w:customStyle="1" w:styleId="29">
    <w:name w:val="标题 2 Char"/>
    <w:link w:val="4"/>
    <w:qFormat/>
    <w:uiPriority w:val="0"/>
    <w:rPr>
      <w:rFonts w:ascii="Times New Roman" w:hAnsi="Times New Roman" w:eastAsia="方正黑体_GBK" w:cs="Times New Roman"/>
      <w:bCs/>
      <w:sz w:val="32"/>
      <w:szCs w:val="32"/>
    </w:rPr>
  </w:style>
  <w:style w:type="character" w:customStyle="1" w:styleId="30">
    <w:name w:val="标题 1 Char"/>
    <w:link w:val="3"/>
    <w:qFormat/>
    <w:uiPriority w:val="0"/>
    <w:rPr>
      <w:b/>
      <w:bCs/>
      <w:kern w:val="44"/>
      <w:sz w:val="44"/>
      <w:szCs w:val="44"/>
    </w:rPr>
  </w:style>
  <w:style w:type="character" w:customStyle="1" w:styleId="31">
    <w:name w:val="标题 3 Char"/>
    <w:link w:val="5"/>
    <w:qFormat/>
    <w:uiPriority w:val="9"/>
    <w:rPr>
      <w:rFonts w:ascii="Times New Roman" w:hAnsi="Times New Roman" w:eastAsia="方正仿宋_GBK" w:cs="Times New Roman"/>
      <w:b/>
      <w:bCs/>
      <w:sz w:val="32"/>
      <w:szCs w:val="32"/>
    </w:rPr>
  </w:style>
  <w:style w:type="character" w:customStyle="1" w:styleId="32">
    <w:name w:val="标题 4 Char"/>
    <w:link w:val="6"/>
    <w:qFormat/>
    <w:uiPriority w:val="9"/>
    <w:rPr>
      <w:rFonts w:ascii="等线 Light" w:hAnsi="等线 Light" w:eastAsia="等线 Light" w:cs="Times New Roman"/>
      <w:b/>
      <w:bCs/>
      <w:kern w:val="2"/>
      <w:sz w:val="28"/>
      <w:szCs w:val="28"/>
    </w:rPr>
  </w:style>
  <w:style w:type="character" w:customStyle="1" w:styleId="33">
    <w:name w:val="批注文字 Char"/>
    <w:link w:val="8"/>
    <w:semiHidden/>
    <w:qFormat/>
    <w:uiPriority w:val="99"/>
    <w:rPr>
      <w:rFonts w:eastAsia="方正仿宋_GBK"/>
      <w:kern w:val="2"/>
      <w:sz w:val="32"/>
    </w:rPr>
  </w:style>
  <w:style w:type="character" w:customStyle="1" w:styleId="34">
    <w:name w:val="批注框文本 Char"/>
    <w:link w:val="12"/>
    <w:semiHidden/>
    <w:qFormat/>
    <w:uiPriority w:val="99"/>
    <w:rPr>
      <w:rFonts w:ascii="Times New Roman" w:hAnsi="Times New Roman" w:eastAsia="方正仿宋_GBK" w:cs="Times New Roman"/>
      <w:kern w:val="2"/>
      <w:sz w:val="18"/>
      <w:szCs w:val="18"/>
    </w:rPr>
  </w:style>
  <w:style w:type="character" w:customStyle="1" w:styleId="35">
    <w:name w:val="页脚 Char"/>
    <w:link w:val="13"/>
    <w:qFormat/>
    <w:uiPriority w:val="99"/>
    <w:rPr>
      <w:rFonts w:ascii="Times New Roman" w:hAnsi="Times New Roman" w:eastAsia="方正仿宋_GBK" w:cs="Times New Roman"/>
      <w:sz w:val="18"/>
      <w:szCs w:val="18"/>
    </w:rPr>
  </w:style>
  <w:style w:type="character" w:customStyle="1" w:styleId="36">
    <w:name w:val="页眉 Char"/>
    <w:link w:val="14"/>
    <w:qFormat/>
    <w:uiPriority w:val="99"/>
    <w:rPr>
      <w:rFonts w:ascii="Times New Roman" w:hAnsi="Times New Roman" w:eastAsia="方正仿宋_GBK" w:cs="Times New Roman"/>
      <w:sz w:val="18"/>
      <w:szCs w:val="18"/>
    </w:rPr>
  </w:style>
  <w:style w:type="character" w:customStyle="1" w:styleId="37">
    <w:name w:val="批注主题 Char"/>
    <w:link w:val="22"/>
    <w:semiHidden/>
    <w:qFormat/>
    <w:uiPriority w:val="99"/>
    <w:rPr>
      <w:rFonts w:eastAsia="方正仿宋_GBK"/>
      <w:b/>
      <w:bCs/>
      <w:kern w:val="2"/>
      <w:sz w:val="32"/>
    </w:rPr>
  </w:style>
  <w:style w:type="character" w:customStyle="1" w:styleId="38">
    <w:name w:val="15"/>
    <w:qFormat/>
    <w:uiPriority w:val="0"/>
    <w:rPr>
      <w:rFonts w:hint="default" w:ascii="Calibri" w:hAnsi="Calibri" w:cs="Calibri"/>
      <w:b/>
      <w:bCs/>
      <w:sz w:val="20"/>
      <w:szCs w:val="20"/>
    </w:rPr>
  </w:style>
  <w:style w:type="character" w:customStyle="1" w:styleId="39">
    <w:name w:val="未处理的提及1"/>
    <w:unhideWhenUsed/>
    <w:qFormat/>
    <w:uiPriority w:val="99"/>
    <w:rPr>
      <w:color w:val="605E5C"/>
      <w:shd w:val="clear" w:color="auto" w:fill="E1DFDD"/>
    </w:rPr>
  </w:style>
  <w:style w:type="character" w:customStyle="1" w:styleId="40">
    <w:name w:val="未处理的提及2"/>
    <w:unhideWhenUsed/>
    <w:qFormat/>
    <w:uiPriority w:val="99"/>
    <w:rPr>
      <w:color w:val="605E5C"/>
      <w:shd w:val="clear" w:color="auto" w:fill="E1DFDD"/>
    </w:rPr>
  </w:style>
  <w:style w:type="paragraph" w:customStyle="1" w:styleId="41">
    <w:name w:val="TOC 标题1"/>
    <w:basedOn w:val="3"/>
    <w:next w:val="1"/>
    <w:unhideWhenUsed/>
    <w:qFormat/>
    <w:uiPriority w:val="39"/>
    <w:pPr>
      <w:widowControl/>
      <w:spacing w:before="480" w:after="0" w:line="276" w:lineRule="auto"/>
      <w:jc w:val="left"/>
      <w:outlineLvl w:val="9"/>
    </w:pPr>
    <w:rPr>
      <w:rFonts w:ascii="等线 Light" w:hAnsi="等线 Light" w:eastAsia="等线 Light"/>
      <w:color w:val="2F5496"/>
      <w:kern w:val="0"/>
      <w:sz w:val="28"/>
      <w:szCs w:val="28"/>
    </w:rPr>
  </w:style>
  <w:style w:type="paragraph" w:styleId="42">
    <w:name w:val="List Paragraph"/>
    <w:basedOn w:val="1"/>
    <w:qFormat/>
    <w:uiPriority w:val="99"/>
    <w:pPr>
      <w:ind w:firstLine="420" w:firstLineChars="200"/>
    </w:pPr>
  </w:style>
  <w:style w:type="paragraph" w:customStyle="1" w:styleId="43">
    <w:name w:val="列表段落1"/>
    <w:basedOn w:val="1"/>
    <w:qFormat/>
    <w:uiPriority w:val="34"/>
    <w:pPr>
      <w:ind w:firstLine="420" w:firstLineChars="200"/>
    </w:pPr>
    <w:rPr>
      <w:rFonts w:ascii="等线" w:hAnsi="等线" w:eastAsia="等线"/>
      <w:sz w:val="21"/>
      <w:szCs w:val="22"/>
    </w:rPr>
  </w:style>
  <w:style w:type="paragraph" w:customStyle="1" w:styleId="44">
    <w:name w:val="样式1"/>
    <w:basedOn w:val="1"/>
    <w:qFormat/>
    <w:uiPriority w:val="0"/>
    <w:rPr>
      <w:rFonts w:eastAsia="宋体-简"/>
    </w:rPr>
  </w:style>
  <w:style w:type="character" w:customStyle="1" w:styleId="45">
    <w:name w:val="bjh-p"/>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15700</Words>
  <Characters>16318</Characters>
  <Lines>479</Lines>
  <Paragraphs>135</Paragraphs>
  <TotalTime>0</TotalTime>
  <ScaleCrop>false</ScaleCrop>
  <LinksUpToDate>false</LinksUpToDate>
  <CharactersWithSpaces>16846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2021-07-22T01:39:00Z</dcterms:created>
  <dc:creator>罗 士轩</dc:creator>
  <cp:lastModifiedBy>彼岸花开七色天</cp:lastModifiedBy>
  <cp:lastPrinted>2021-09-25T09:41:00Z</cp:lastPrinted>
  <dcterms:modified xsi:type="dcterms:W3CDTF">2025-08-12T01:17:02Z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SaveFontToCloudKey">
    <vt:lpwstr>25598503_cloud</vt:lpwstr>
  </property>
  <property fmtid="{D5CDD505-2E9C-101B-9397-08002B2CF9AE}" pid="4" name="ICV">
    <vt:lpwstr>9AEE13168C7B474F934515F9D0C45A20</vt:lpwstr>
  </property>
  <property fmtid="{D5CDD505-2E9C-101B-9397-08002B2CF9AE}" pid="5" name="KSOTemplateDocerSaveRecord">
    <vt:lpwstr>eyJoZGlkIjoiOWM5YjhiNTFjNDEzMDUxZTY3YWU1OTkzNWUyY2E3NTMiLCJ1c2VySWQiOiI3MjM2MTUzNTcifQ==</vt:lpwstr>
  </property>
</Properties>
</file>