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bCs/>
          <w:sz w:val="44"/>
        </w:rPr>
      </w:pPr>
    </w:p>
    <w:p>
      <w:pPr>
        <w:spacing w:line="560" w:lineRule="exact"/>
        <w:jc w:val="center"/>
        <w:rPr>
          <w:rFonts w:eastAsia="方正小标宋_GBK"/>
          <w:bCs/>
          <w:sz w:val="44"/>
        </w:rPr>
      </w:pPr>
    </w:p>
    <w:p>
      <w:pPr>
        <w:spacing w:line="560" w:lineRule="exact"/>
        <w:jc w:val="center"/>
        <w:rPr>
          <w:rFonts w:eastAsia="方正小标宋_GBK"/>
          <w:bCs/>
          <w:sz w:val="44"/>
        </w:rPr>
      </w:pPr>
      <w:r>
        <w:rPr>
          <w:rFonts w:eastAsia="方正小标宋_GBK"/>
          <w:bCs/>
          <w:sz w:val="44"/>
        </w:rPr>
        <w:t>城口县201</w:t>
      </w:r>
      <w:r>
        <w:rPr>
          <w:rFonts w:hint="eastAsia" w:eastAsia="方正小标宋_GBK"/>
          <w:bCs/>
          <w:sz w:val="44"/>
        </w:rPr>
        <w:t>9</w:t>
      </w:r>
      <w:r>
        <w:rPr>
          <w:rFonts w:eastAsia="方正小标宋_GBK"/>
          <w:bCs/>
          <w:sz w:val="44"/>
        </w:rPr>
        <w:t>年预算执行情况和20</w:t>
      </w:r>
      <w:r>
        <w:rPr>
          <w:rFonts w:hint="eastAsia" w:eastAsia="方正小标宋_GBK"/>
          <w:bCs/>
          <w:sz w:val="44"/>
        </w:rPr>
        <w:t>20</w:t>
      </w:r>
      <w:r>
        <w:rPr>
          <w:rFonts w:eastAsia="方正小标宋_GBK"/>
          <w:bCs/>
          <w:sz w:val="44"/>
        </w:rPr>
        <w:t>年预算</w:t>
      </w:r>
    </w:p>
    <w:p>
      <w:pPr>
        <w:spacing w:line="560" w:lineRule="exact"/>
        <w:jc w:val="center"/>
        <w:rPr>
          <w:rFonts w:eastAsia="方正小标宋_GBK"/>
          <w:bCs/>
          <w:sz w:val="44"/>
        </w:rPr>
      </w:pPr>
      <w:r>
        <w:rPr>
          <w:rFonts w:hint="eastAsia" w:eastAsia="方正小标宋_GBK"/>
          <w:bCs/>
          <w:sz w:val="44"/>
        </w:rPr>
        <w:t>（</w:t>
      </w:r>
      <w:r>
        <w:rPr>
          <w:rFonts w:eastAsia="方正小标宋_GBK"/>
          <w:bCs/>
          <w:sz w:val="44"/>
        </w:rPr>
        <w:t>草案</w:t>
      </w:r>
      <w:r>
        <w:rPr>
          <w:rFonts w:hint="eastAsia" w:eastAsia="方正小标宋_GBK"/>
          <w:bCs/>
          <w:sz w:val="44"/>
        </w:rPr>
        <w:t>）的</w:t>
      </w:r>
      <w:r>
        <w:rPr>
          <w:rFonts w:eastAsia="方正小标宋_GBK"/>
          <w:bCs/>
          <w:sz w:val="44"/>
        </w:rPr>
        <w:t>报告</w:t>
      </w:r>
    </w:p>
    <w:p>
      <w:pPr>
        <w:spacing w:line="560" w:lineRule="exact"/>
      </w:pPr>
    </w:p>
    <w:p>
      <w:pPr>
        <w:spacing w:line="560" w:lineRule="exact"/>
      </w:pPr>
    </w:p>
    <w:p>
      <w:pPr>
        <w:autoSpaceDE w:val="0"/>
        <w:autoSpaceDN w:val="0"/>
        <w:adjustRightInd w:val="0"/>
        <w:spacing w:line="560" w:lineRule="exact"/>
        <w:rPr>
          <w:rFonts w:eastAsia="方正仿宋_GBK"/>
          <w:sz w:val="32"/>
          <w:szCs w:val="32"/>
        </w:rPr>
      </w:pPr>
      <w:r>
        <w:rPr>
          <w:rFonts w:eastAsia="方正仿宋_GBK"/>
          <w:sz w:val="32"/>
          <w:szCs w:val="32"/>
        </w:rPr>
        <w:t>各位代表：</w:t>
      </w:r>
    </w:p>
    <w:p>
      <w:pPr>
        <w:autoSpaceDE w:val="0"/>
        <w:autoSpaceDN w:val="0"/>
        <w:adjustRightInd w:val="0"/>
        <w:spacing w:line="560" w:lineRule="exact"/>
        <w:ind w:firstLine="640" w:firstLineChars="200"/>
        <w:rPr>
          <w:rFonts w:eastAsia="方正仿宋_GBK"/>
          <w:sz w:val="32"/>
          <w:szCs w:val="32"/>
        </w:rPr>
      </w:pPr>
      <w:r>
        <w:rPr>
          <w:rFonts w:eastAsia="方正仿宋_GBK"/>
          <w:sz w:val="32"/>
          <w:szCs w:val="32"/>
        </w:rPr>
        <w:t>受县人民政府委托，现将</w:t>
      </w:r>
      <w:r>
        <w:rPr>
          <w:rFonts w:hint="eastAsia" w:eastAsia="方正仿宋_GBK"/>
          <w:sz w:val="32"/>
          <w:szCs w:val="32"/>
        </w:rPr>
        <w:t>《</w:t>
      </w:r>
      <w:r>
        <w:rPr>
          <w:rFonts w:eastAsia="方正仿宋_GBK"/>
          <w:sz w:val="32"/>
          <w:szCs w:val="32"/>
        </w:rPr>
        <w:t>城口县201</w:t>
      </w:r>
      <w:r>
        <w:rPr>
          <w:rFonts w:hint="eastAsia" w:eastAsia="方正仿宋_GBK"/>
          <w:sz w:val="32"/>
          <w:szCs w:val="32"/>
        </w:rPr>
        <w:t>9</w:t>
      </w:r>
      <w:r>
        <w:rPr>
          <w:rFonts w:eastAsia="方正仿宋_GBK"/>
          <w:sz w:val="32"/>
          <w:szCs w:val="32"/>
        </w:rPr>
        <w:t>年预算执行情况和20</w:t>
      </w:r>
      <w:r>
        <w:rPr>
          <w:rFonts w:hint="eastAsia" w:eastAsia="方正仿宋_GBK"/>
          <w:sz w:val="32"/>
          <w:szCs w:val="32"/>
        </w:rPr>
        <w:t>20</w:t>
      </w:r>
      <w:r>
        <w:rPr>
          <w:rFonts w:eastAsia="方正仿宋_GBK"/>
          <w:sz w:val="32"/>
          <w:szCs w:val="32"/>
        </w:rPr>
        <w:t>年预算</w:t>
      </w:r>
      <w:r>
        <w:rPr>
          <w:rFonts w:hint="eastAsia" w:eastAsia="方正仿宋_GBK"/>
          <w:sz w:val="32"/>
          <w:szCs w:val="32"/>
        </w:rPr>
        <w:t>（</w:t>
      </w:r>
      <w:r>
        <w:rPr>
          <w:rFonts w:eastAsia="方正仿宋_GBK"/>
          <w:sz w:val="32"/>
          <w:szCs w:val="32"/>
        </w:rPr>
        <w:t>草案</w:t>
      </w:r>
      <w:r>
        <w:rPr>
          <w:rFonts w:hint="eastAsia" w:eastAsia="方正仿宋_GBK"/>
          <w:sz w:val="32"/>
          <w:szCs w:val="32"/>
        </w:rPr>
        <w:t>）</w:t>
      </w:r>
      <w:r>
        <w:rPr>
          <w:rFonts w:eastAsia="方正仿宋_GBK"/>
          <w:sz w:val="32"/>
          <w:szCs w:val="32"/>
        </w:rPr>
        <w:t>的报告</w:t>
      </w:r>
      <w:r>
        <w:rPr>
          <w:rFonts w:hint="eastAsia" w:eastAsia="方正仿宋_GBK"/>
          <w:sz w:val="32"/>
          <w:szCs w:val="32"/>
        </w:rPr>
        <w:t>》</w:t>
      </w:r>
      <w:r>
        <w:rPr>
          <w:rFonts w:eastAsia="方正仿宋_GBK"/>
          <w:sz w:val="32"/>
          <w:szCs w:val="32"/>
        </w:rPr>
        <w:t>提请大会审查，并请各位政协委员提出意见。</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一、2019年预算执行情况</w:t>
      </w:r>
    </w:p>
    <w:p>
      <w:pPr>
        <w:autoSpaceDE w:val="0"/>
        <w:autoSpaceDN w:val="0"/>
        <w:adjustRightInd w:val="0"/>
        <w:spacing w:line="560" w:lineRule="exact"/>
        <w:ind w:firstLine="640" w:firstLineChars="200"/>
        <w:rPr>
          <w:rFonts w:eastAsia="方正仿宋_GBK"/>
          <w:color w:val="000000"/>
          <w:sz w:val="32"/>
          <w:szCs w:val="32"/>
        </w:rPr>
      </w:pP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全县财政工作</w:t>
      </w:r>
      <w:r>
        <w:rPr>
          <w:rFonts w:eastAsia="方正仿宋_GBK"/>
          <w:sz w:val="32"/>
          <w:szCs w:val="32"/>
        </w:rPr>
        <w:t>以习近平新时代中国特色社会主义思想为指导</w:t>
      </w:r>
      <w:r>
        <w:rPr>
          <w:rFonts w:hint="eastAsia" w:eastAsia="方正仿宋_GBK"/>
          <w:sz w:val="32"/>
          <w:szCs w:val="32"/>
        </w:rPr>
        <w:t>，</w:t>
      </w:r>
      <w:r>
        <w:rPr>
          <w:rFonts w:hint="eastAsia" w:ascii="方正仿宋_GBK" w:eastAsia="方正仿宋_GBK"/>
          <w:sz w:val="32"/>
        </w:rPr>
        <w:t>全面贯彻落实党的十九大和十九届二中、三中、四中全会精神，</w:t>
      </w:r>
      <w:r>
        <w:rPr>
          <w:rFonts w:ascii="方正仿宋_GBK" w:eastAsia="方正仿宋_GBK"/>
          <w:color w:val="000000"/>
          <w:sz w:val="32"/>
          <w:szCs w:val="32"/>
        </w:rPr>
        <w:t>在县委的坚强领导下，在县人大、县政协的监督支持下，我们</w:t>
      </w:r>
      <w:r>
        <w:rPr>
          <w:rFonts w:hint="eastAsia" w:ascii="方正仿宋_GBK" w:eastAsia="方正仿宋_GBK"/>
          <w:sz w:val="32"/>
        </w:rPr>
        <w:t>紧紧围绕县委重大决策部署，积极应对减收增支形势，坚持稳中求进的工作总基调，</w:t>
      </w:r>
      <w:r>
        <w:rPr>
          <w:rFonts w:ascii="方正仿宋_GBK" w:eastAsia="方正仿宋_GBK"/>
          <w:bCs/>
          <w:color w:val="000000"/>
          <w:sz w:val="32"/>
          <w:szCs w:val="32"/>
        </w:rPr>
        <w:t>落实“五大”发展理念，实施</w:t>
      </w:r>
      <w:r>
        <w:rPr>
          <w:rFonts w:hint="eastAsia" w:ascii="方正仿宋_GBK" w:eastAsia="方正仿宋_GBK"/>
          <w:sz w:val="32"/>
        </w:rPr>
        <w:t>积极的财政政策，牢固树立依法理财理念，深入推进财税改革，着力抓好强“三保”、促发展、保重点、防风险各项工作，艰难地完成了县十七届人大三次会议、县十七届人大常委会第二十次会议批准的预算及调整预算计划，全面完成了各项财政工作任务。</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（一）一般公共预算执行情况</w:t>
      </w:r>
      <w:bookmarkStart w:id="0" w:name="OLE_LINK1"/>
    </w:p>
    <w:p>
      <w:pPr>
        <w:spacing w:line="560" w:lineRule="exact"/>
        <w:ind w:firstLine="640" w:firstLineChars="200"/>
        <w:rPr>
          <w:rFonts w:ascii="方正楷体_GBK" w:eastAsia="方正楷体_GBK"/>
          <w:sz w:val="32"/>
          <w:szCs w:val="32"/>
        </w:rPr>
      </w:pPr>
    </w:p>
    <w:tbl>
      <w:tblPr>
        <w:tblStyle w:val="8"/>
        <w:tblpPr w:leftFromText="180" w:rightFromText="180" w:vertAnchor="text" w:horzAnchor="margin" w:tblpXSpec="center" w:tblpY="179"/>
        <w:tblW w:w="9754" w:type="dxa"/>
        <w:tblInd w:w="0" w:type="dxa"/>
        <w:tblLayout w:type="fixed"/>
        <w:tblCellMar>
          <w:top w:w="0" w:type="dxa"/>
          <w:left w:w="108" w:type="dxa"/>
          <w:bottom w:w="0" w:type="dxa"/>
          <w:right w:w="108" w:type="dxa"/>
        </w:tblCellMar>
      </w:tblPr>
      <w:tblGrid>
        <w:gridCol w:w="1876"/>
        <w:gridCol w:w="952"/>
        <w:gridCol w:w="1007"/>
        <w:gridCol w:w="931"/>
        <w:gridCol w:w="2216"/>
        <w:gridCol w:w="910"/>
        <w:gridCol w:w="890"/>
        <w:gridCol w:w="972"/>
      </w:tblGrid>
      <w:tr>
        <w:tblPrEx>
          <w:tblCellMar>
            <w:top w:w="0" w:type="dxa"/>
            <w:left w:w="108" w:type="dxa"/>
            <w:bottom w:w="0" w:type="dxa"/>
            <w:right w:w="108" w:type="dxa"/>
          </w:tblCellMar>
        </w:tblPrEx>
        <w:trPr>
          <w:trHeight w:val="616" w:hRule="atLeast"/>
        </w:trPr>
        <w:tc>
          <w:tcPr>
            <w:tcW w:w="9754" w:type="dxa"/>
            <w:gridSpan w:val="8"/>
            <w:tcBorders>
              <w:top w:val="nil"/>
              <w:left w:val="nil"/>
              <w:bottom w:val="nil"/>
              <w:right w:val="nil"/>
            </w:tcBorders>
            <w:shd w:val="clear" w:color="auto" w:fill="auto"/>
            <w:vAlign w:val="center"/>
          </w:tcPr>
          <w:p>
            <w:pPr>
              <w:widowControl/>
              <w:spacing w:line="560" w:lineRule="exact"/>
              <w:jc w:val="center"/>
              <w:rPr>
                <w:rFonts w:ascii="方正黑体_GBK" w:hAnsi="宋体" w:eastAsia="方正黑体_GBK" w:cs="宋体"/>
                <w:color w:val="000000"/>
                <w:kern w:val="0"/>
                <w:sz w:val="36"/>
                <w:szCs w:val="36"/>
              </w:rPr>
            </w:pPr>
            <w:r>
              <w:rPr>
                <w:rFonts w:hint="eastAsia" w:ascii="方正黑体_GBK" w:hAnsi="宋体" w:eastAsia="方正黑体_GBK" w:cs="宋体"/>
                <w:color w:val="000000"/>
                <w:kern w:val="0"/>
                <w:sz w:val="36"/>
                <w:szCs w:val="36"/>
              </w:rPr>
              <w:t>城口县2019年一般公共预算收支平衡表</w:t>
            </w:r>
          </w:p>
        </w:tc>
      </w:tr>
      <w:tr>
        <w:tblPrEx>
          <w:tblCellMar>
            <w:top w:w="0" w:type="dxa"/>
            <w:left w:w="108" w:type="dxa"/>
            <w:bottom w:w="0" w:type="dxa"/>
            <w:right w:w="108" w:type="dxa"/>
          </w:tblCellMar>
        </w:tblPrEx>
        <w:trPr>
          <w:trHeight w:val="278" w:hRule="atLeast"/>
        </w:trPr>
        <w:tc>
          <w:tcPr>
            <w:tcW w:w="1876"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52"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1007"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31"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4988" w:type="dxa"/>
            <w:gridSpan w:val="4"/>
            <w:tcBorders>
              <w:top w:val="nil"/>
              <w:left w:val="nil"/>
              <w:bottom w:val="single" w:color="auto" w:sz="12" w:space="0"/>
              <w:right w:val="nil"/>
            </w:tcBorders>
            <w:shd w:val="clear" w:color="auto" w:fill="auto"/>
            <w:vAlign w:val="center"/>
          </w:tcPr>
          <w:p>
            <w:pPr>
              <w:widowControl/>
              <w:spacing w:line="560" w:lineRule="exact"/>
              <w:ind w:right="480" w:firstLine="960" w:firstLineChars="400"/>
              <w:jc w:val="right"/>
              <w:rPr>
                <w:rFonts w:ascii="方正仿宋_GBK" w:hAnsi="宋体" w:eastAsia="方正仿宋_GBK" w:cs="宋体"/>
                <w:color w:val="000000"/>
                <w:kern w:val="0"/>
                <w:sz w:val="24"/>
                <w:szCs w:val="32"/>
              </w:rPr>
            </w:pPr>
            <w:r>
              <w:rPr>
                <w:rFonts w:hint="eastAsia" w:ascii="方正仿宋_GBK" w:hAnsi="宋体" w:eastAsia="方正仿宋_GBK" w:cs="宋体"/>
                <w:color w:val="000000"/>
                <w:kern w:val="0"/>
                <w:sz w:val="24"/>
                <w:szCs w:val="32"/>
              </w:rPr>
              <w:t>单位：万元</w:t>
            </w:r>
          </w:p>
        </w:tc>
      </w:tr>
      <w:tr>
        <w:tblPrEx>
          <w:tblCellMar>
            <w:top w:w="0" w:type="dxa"/>
            <w:left w:w="108" w:type="dxa"/>
            <w:bottom w:w="0" w:type="dxa"/>
            <w:right w:w="108" w:type="dxa"/>
          </w:tblCellMar>
        </w:tblPrEx>
        <w:trPr>
          <w:trHeight w:val="502" w:hRule="atLeast"/>
        </w:trPr>
        <w:tc>
          <w:tcPr>
            <w:tcW w:w="1876"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收      入</w:t>
            </w:r>
          </w:p>
        </w:tc>
        <w:tc>
          <w:tcPr>
            <w:tcW w:w="952"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0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3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c>
          <w:tcPr>
            <w:tcW w:w="2216"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支      出</w:t>
            </w:r>
          </w:p>
        </w:tc>
        <w:tc>
          <w:tcPr>
            <w:tcW w:w="91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89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71"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309197</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512898</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540358</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309197</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512898</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540358</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一、全县收入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44500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43340</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bCs/>
                <w:color w:val="000000"/>
                <w:kern w:val="0"/>
              </w:rPr>
            </w:pPr>
            <w:r>
              <w:rPr>
                <w:rFonts w:hint="eastAsia"/>
                <w:b/>
                <w:bCs/>
                <w:color w:val="000000"/>
                <w:kern w:val="0"/>
              </w:rPr>
              <w:t>43483</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一、全县支出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299197</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495998　</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bCs/>
                <w:color w:val="000000"/>
                <w:kern w:val="0"/>
              </w:rPr>
            </w:pPr>
            <w:r>
              <w:rPr>
                <w:rFonts w:hint="eastAsia"/>
                <w:b/>
                <w:bCs/>
                <w:color w:val="000000"/>
                <w:kern w:val="0"/>
              </w:rPr>
              <w:t>446297</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税收收入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28300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26580</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26506</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县本级支出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279303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445997</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388255</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非税收入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16200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16760</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16977</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乡镇级支出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19894</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50001</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58042</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二、上级补助收入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222448</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357418</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bCs/>
                <w:color w:val="000000"/>
                <w:kern w:val="0"/>
              </w:rPr>
            </w:pPr>
            <w:r>
              <w:rPr>
                <w:rFonts w:hint="eastAsia"/>
                <w:b/>
                <w:bCs/>
                <w:color w:val="000000"/>
                <w:kern w:val="0"/>
              </w:rPr>
              <w:t>372345</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二、转移性支出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10000　</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16900</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bCs/>
                <w:color w:val="000000"/>
                <w:kern w:val="0"/>
              </w:rPr>
            </w:pPr>
            <w:r>
              <w:rPr>
                <w:rFonts w:hint="eastAsia"/>
                <w:b/>
                <w:bCs/>
                <w:color w:val="000000"/>
                <w:kern w:val="0"/>
              </w:rPr>
              <w:t>93989</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返还性收入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1552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1552</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1552</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上解支出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10000</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12000</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ind w:firstLine="103" w:firstLineChars="49"/>
              <w:jc w:val="right"/>
              <w:rPr>
                <w:b/>
                <w:bCs/>
                <w:color w:val="000000"/>
                <w:kern w:val="0"/>
              </w:rPr>
            </w:pPr>
            <w:r>
              <w:rPr>
                <w:rFonts w:hint="eastAsia"/>
                <w:b/>
                <w:bCs/>
                <w:color w:val="000000"/>
                <w:kern w:val="0"/>
              </w:rPr>
              <w:t>12507</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16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sz w:val="16"/>
              </w:rPr>
              <w:t>一般性转移支付收入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117592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184704</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187455</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0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sz w:val="20"/>
              </w:rPr>
              <w:t>地方债务还本支出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4900</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ind w:firstLine="103" w:firstLineChars="49"/>
              <w:jc w:val="right"/>
              <w:rPr>
                <w:b/>
                <w:bCs/>
                <w:color w:val="000000"/>
                <w:kern w:val="0"/>
              </w:rPr>
            </w:pPr>
            <w:r>
              <w:rPr>
                <w:rFonts w:hint="eastAsia"/>
                <w:b/>
                <w:bCs/>
                <w:color w:val="000000"/>
                <w:kern w:val="0"/>
              </w:rPr>
              <w:t>5543</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18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sz w:val="18"/>
              </w:rPr>
              <w:t>专项转移支付收入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103304</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eastAsia="方正仿宋_GBK"/>
                <w:b/>
                <w:color w:val="000000"/>
                <w:kern w:val="0"/>
              </w:rPr>
              <w:t>171162</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color w:val="000000"/>
                <w:kern w:val="0"/>
              </w:rPr>
            </w:pPr>
            <w:r>
              <w:rPr>
                <w:rFonts w:hint="eastAsia"/>
                <w:b/>
                <w:color w:val="000000"/>
                <w:kern w:val="0"/>
              </w:rPr>
              <w:t>183340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16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sz w:val="16"/>
              </w:rPr>
              <w:t>安排预算稳定调节基金</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bCs/>
                <w:color w:val="000000"/>
                <w:kern w:val="0"/>
              </w:rPr>
            </w:pPr>
            <w:r>
              <w:rPr>
                <w:rFonts w:hint="eastAsia"/>
                <w:b/>
                <w:bCs/>
                <w:color w:val="000000"/>
                <w:kern w:val="0"/>
              </w:rPr>
              <w:t>35500</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三、债券转贷收入</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59900</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bCs/>
                <w:color w:val="000000"/>
                <w:kern w:val="0"/>
              </w:rPr>
            </w:pPr>
            <w:r>
              <w:rPr>
                <w:rFonts w:hint="eastAsia"/>
                <w:b/>
                <w:bCs/>
                <w:color w:val="000000"/>
                <w:kern w:val="0"/>
              </w:rPr>
              <w:t>59900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结转下年支出</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40512</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四、调入资金</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14000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24000</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b/>
                <w:bCs/>
                <w:color w:val="000000"/>
                <w:kern w:val="0"/>
              </w:rPr>
            </w:pPr>
            <w:r>
              <w:rPr>
                <w:rFonts w:hint="eastAsia"/>
                <w:b/>
                <w:bCs/>
                <w:color w:val="000000"/>
                <w:kern w:val="0"/>
              </w:rPr>
              <w:t>36390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县本级结转</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rPr>
                <w:rFonts w:eastAsia="方正仿宋_GBK"/>
                <w:b/>
                <w:color w:val="000000"/>
                <w:kern w:val="0"/>
              </w:rPr>
            </w:pPr>
            <w:r>
              <w:rPr>
                <w:rFonts w:hint="eastAsia" w:eastAsia="方正仿宋_GBK"/>
                <w:b/>
                <w:color w:val="000000"/>
                <w:kern w:val="0"/>
              </w:rPr>
              <w:t>　</w:t>
            </w:r>
          </w:p>
        </w:tc>
        <w:tc>
          <w:tcPr>
            <w:tcW w:w="97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37309</w:t>
            </w:r>
          </w:p>
        </w:tc>
      </w:tr>
      <w:tr>
        <w:tblPrEx>
          <w:tblCellMar>
            <w:top w:w="0" w:type="dxa"/>
            <w:left w:w="108" w:type="dxa"/>
            <w:bottom w:w="0" w:type="dxa"/>
            <w:right w:w="108" w:type="dxa"/>
          </w:tblCellMar>
        </w:tblPrEx>
        <w:trPr>
          <w:trHeight w:val="412" w:hRule="atLeast"/>
        </w:trPr>
        <w:tc>
          <w:tcPr>
            <w:tcW w:w="1876"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五、上年结转收入</w:t>
            </w:r>
          </w:p>
        </w:tc>
        <w:tc>
          <w:tcPr>
            <w:tcW w:w="95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28249</w:t>
            </w:r>
          </w:p>
        </w:tc>
        <w:tc>
          <w:tcPr>
            <w:tcW w:w="100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right"/>
              <w:rPr>
                <w:rFonts w:eastAsia="方正仿宋_GBK"/>
                <w:b/>
                <w:bCs/>
                <w:color w:val="000000"/>
                <w:kern w:val="0"/>
              </w:rPr>
            </w:pPr>
            <w:r>
              <w:rPr>
                <w:rFonts w:eastAsia="方正仿宋_GBK"/>
                <w:b/>
                <w:bCs/>
                <w:color w:val="000000"/>
                <w:kern w:val="0"/>
              </w:rPr>
              <w:t>28240</w:t>
            </w:r>
          </w:p>
        </w:tc>
        <w:tc>
          <w:tcPr>
            <w:tcW w:w="93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right"/>
              <w:rPr>
                <w:b/>
                <w:bCs/>
                <w:color w:val="000000"/>
                <w:kern w:val="0"/>
              </w:rPr>
            </w:pPr>
            <w:r>
              <w:rPr>
                <w:rFonts w:hint="eastAsia"/>
                <w:b/>
                <w:bCs/>
                <w:color w:val="000000"/>
                <w:kern w:val="0"/>
              </w:rPr>
              <w:t>28240</w:t>
            </w:r>
          </w:p>
        </w:tc>
        <w:tc>
          <w:tcPr>
            <w:tcW w:w="221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乡镇级结转</w:t>
            </w:r>
          </w:p>
        </w:tc>
        <w:tc>
          <w:tcPr>
            <w:tcW w:w="91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righ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89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righ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7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60" w:lineRule="exact"/>
              <w:jc w:val="right"/>
              <w:rPr>
                <w:b/>
                <w:color w:val="000000"/>
                <w:kern w:val="0"/>
              </w:rPr>
            </w:pPr>
            <w:r>
              <w:rPr>
                <w:rFonts w:hint="eastAsia"/>
                <w:b/>
                <w:color w:val="000000"/>
                <w:kern w:val="0"/>
              </w:rPr>
              <w:t>3203</w:t>
            </w:r>
          </w:p>
        </w:tc>
      </w:tr>
    </w:tbl>
    <w:p>
      <w:pPr>
        <w:spacing w:line="560" w:lineRule="exact"/>
        <w:ind w:firstLine="640" w:firstLineChars="200"/>
        <w:rPr>
          <w:rFonts w:eastAsia="方正仿宋_GBK"/>
          <w:sz w:val="32"/>
          <w:szCs w:val="32"/>
        </w:rPr>
      </w:pPr>
      <w:r>
        <w:rPr>
          <w:rFonts w:hint="eastAsia" w:eastAsia="方正仿宋_GBK"/>
          <w:bCs/>
          <w:sz w:val="32"/>
          <w:szCs w:val="32"/>
        </w:rPr>
        <w:t>1.</w:t>
      </w:r>
      <w:r>
        <w:rPr>
          <w:rFonts w:eastAsia="方正仿宋_GBK"/>
          <w:bCs/>
          <w:sz w:val="32"/>
          <w:szCs w:val="32"/>
        </w:rPr>
        <w:t>收入预算执行情况。</w:t>
      </w:r>
      <w:bookmarkEnd w:id="0"/>
      <w:r>
        <w:rPr>
          <w:rFonts w:hint="eastAsia" w:eastAsia="方正仿宋_GBK"/>
          <w:sz w:val="32"/>
          <w:szCs w:val="32"/>
        </w:rPr>
        <w:t>受宏观经济下行、大规模减税降费政策全面落地实施、耕地指标跨省交易收入入库政策调整等减收因素叠加影响，县级财政收入减收形势十分严峻。经多次认真分析研判，并报经县十七届人大常委会第二十次会议审查批准， 2019年全县一般公共预算收入同比增幅由十七届三次会议批准的7%调整到3%，实际</w:t>
      </w:r>
      <w:r>
        <w:rPr>
          <w:rFonts w:eastAsia="方正仿宋_GBK"/>
          <w:sz w:val="32"/>
          <w:szCs w:val="32"/>
        </w:rPr>
        <w:t>完成</w:t>
      </w:r>
      <w:r>
        <w:rPr>
          <w:rFonts w:hint="eastAsia" w:eastAsia="方正仿宋_GBK"/>
          <w:sz w:val="32"/>
          <w:szCs w:val="32"/>
        </w:rPr>
        <w:t>43483</w:t>
      </w:r>
      <w:r>
        <w:rPr>
          <w:rFonts w:eastAsia="方正仿宋_GBK"/>
          <w:sz w:val="32"/>
          <w:szCs w:val="32"/>
        </w:rPr>
        <w:t>万元（税收收入完成</w:t>
      </w:r>
      <w:r>
        <w:rPr>
          <w:rFonts w:hint="eastAsia" w:eastAsia="方正仿宋_GBK"/>
          <w:sz w:val="32"/>
          <w:szCs w:val="32"/>
        </w:rPr>
        <w:t>26506</w:t>
      </w:r>
      <w:r>
        <w:rPr>
          <w:rFonts w:eastAsia="方正仿宋_GBK"/>
          <w:sz w:val="32"/>
          <w:szCs w:val="32"/>
        </w:rPr>
        <w:t>万元，非税收入完成</w:t>
      </w:r>
      <w:r>
        <w:rPr>
          <w:rFonts w:hint="eastAsia" w:eastAsia="方正仿宋_GBK"/>
          <w:sz w:val="32"/>
          <w:szCs w:val="32"/>
        </w:rPr>
        <w:t>16977</w:t>
      </w:r>
      <w:r>
        <w:rPr>
          <w:rFonts w:eastAsia="方正仿宋_GBK"/>
          <w:sz w:val="32"/>
          <w:szCs w:val="32"/>
        </w:rPr>
        <w:t>万元），同比增长</w:t>
      </w:r>
      <w:r>
        <w:rPr>
          <w:rFonts w:hint="eastAsia" w:eastAsia="方正仿宋_GBK"/>
          <w:sz w:val="32"/>
          <w:szCs w:val="32"/>
        </w:rPr>
        <w:t>3</w:t>
      </w:r>
      <w:r>
        <w:rPr>
          <w:rFonts w:eastAsia="方正仿宋_GBK"/>
          <w:sz w:val="32"/>
          <w:szCs w:val="32"/>
        </w:rPr>
        <w:t>%，</w:t>
      </w:r>
      <w:r>
        <w:rPr>
          <w:rFonts w:hint="eastAsia" w:eastAsia="方正仿宋_GBK"/>
          <w:sz w:val="32"/>
          <w:szCs w:val="32"/>
        </w:rPr>
        <w:t>超额完成调整后的收入计划。</w:t>
      </w:r>
      <w:r>
        <w:rPr>
          <w:rFonts w:eastAsia="方正仿宋_GBK"/>
          <w:sz w:val="32"/>
          <w:szCs w:val="32"/>
        </w:rPr>
        <w:t>加上上级转移支付收入</w:t>
      </w:r>
      <w:r>
        <w:rPr>
          <w:rFonts w:hint="eastAsia" w:eastAsia="方正仿宋_GBK"/>
          <w:sz w:val="32"/>
          <w:szCs w:val="32"/>
        </w:rPr>
        <w:t>372345</w:t>
      </w:r>
      <w:r>
        <w:rPr>
          <w:rFonts w:eastAsia="方正仿宋_GBK"/>
          <w:sz w:val="32"/>
          <w:szCs w:val="32"/>
        </w:rPr>
        <w:t>万元、地方政府债券转贷收入</w:t>
      </w:r>
      <w:r>
        <w:rPr>
          <w:rFonts w:hint="eastAsia" w:eastAsia="方正仿宋_GBK"/>
          <w:sz w:val="32"/>
          <w:szCs w:val="32"/>
        </w:rPr>
        <w:t>59900</w:t>
      </w:r>
      <w:r>
        <w:rPr>
          <w:rFonts w:eastAsia="方正仿宋_GBK"/>
          <w:sz w:val="32"/>
          <w:szCs w:val="32"/>
        </w:rPr>
        <w:t>万元、调入预算稳定调节基金</w:t>
      </w:r>
      <w:r>
        <w:rPr>
          <w:rFonts w:hint="eastAsia" w:eastAsia="方正仿宋_GBK"/>
          <w:sz w:val="32"/>
          <w:szCs w:val="32"/>
        </w:rPr>
        <w:t>12000</w:t>
      </w:r>
      <w:r>
        <w:rPr>
          <w:rFonts w:eastAsia="方正仿宋_GBK"/>
          <w:sz w:val="32"/>
          <w:szCs w:val="32"/>
        </w:rPr>
        <w:t>万元、政府性基金预算调入</w:t>
      </w:r>
      <w:r>
        <w:rPr>
          <w:rFonts w:hint="eastAsia" w:eastAsia="方正仿宋_GBK"/>
          <w:sz w:val="32"/>
          <w:szCs w:val="32"/>
        </w:rPr>
        <w:t>21440</w:t>
      </w:r>
      <w:r>
        <w:rPr>
          <w:rFonts w:eastAsia="方正仿宋_GBK"/>
          <w:sz w:val="32"/>
          <w:szCs w:val="32"/>
        </w:rPr>
        <w:t>万元、国有资本经营预算调入</w:t>
      </w:r>
      <w:r>
        <w:rPr>
          <w:rFonts w:hint="eastAsia" w:eastAsia="方正仿宋_GBK"/>
          <w:sz w:val="32"/>
          <w:szCs w:val="32"/>
        </w:rPr>
        <w:t>2950</w:t>
      </w:r>
      <w:r>
        <w:rPr>
          <w:rFonts w:eastAsia="方正仿宋_GBK"/>
          <w:sz w:val="32"/>
          <w:szCs w:val="32"/>
        </w:rPr>
        <w:t>万元和上年结转收入</w:t>
      </w:r>
      <w:r>
        <w:rPr>
          <w:rFonts w:hint="eastAsia" w:eastAsia="方正仿宋_GBK"/>
          <w:sz w:val="32"/>
          <w:szCs w:val="32"/>
        </w:rPr>
        <w:t>28240</w:t>
      </w:r>
      <w:r>
        <w:rPr>
          <w:rFonts w:eastAsia="方正仿宋_GBK"/>
          <w:sz w:val="32"/>
          <w:szCs w:val="32"/>
        </w:rPr>
        <w:t>万元后，收入总计</w:t>
      </w:r>
      <w:r>
        <w:rPr>
          <w:rFonts w:hint="eastAsia" w:eastAsia="方正仿宋_GBK"/>
          <w:sz w:val="32"/>
          <w:szCs w:val="32"/>
        </w:rPr>
        <w:t>540358</w:t>
      </w:r>
      <w:r>
        <w:rPr>
          <w:rFonts w:eastAsia="方正仿宋_GBK"/>
          <w:sz w:val="32"/>
          <w:szCs w:val="32"/>
        </w:rPr>
        <w:t>万元。</w:t>
      </w:r>
    </w:p>
    <w:p>
      <w:pPr>
        <w:spacing w:line="560" w:lineRule="exact"/>
        <w:ind w:firstLine="640" w:firstLineChars="200"/>
        <w:rPr>
          <w:rFonts w:eastAsia="方正仿宋_GBK"/>
          <w:b/>
          <w:sz w:val="32"/>
          <w:szCs w:val="32"/>
        </w:rPr>
      </w:pPr>
      <w:r>
        <w:rPr>
          <w:rFonts w:eastAsia="方正仿宋_GBK"/>
          <w:sz w:val="32"/>
          <w:szCs w:val="32"/>
        </w:rPr>
        <w:t>城口县十七届人大</w:t>
      </w:r>
      <w:r>
        <w:rPr>
          <w:rFonts w:hint="eastAsia" w:eastAsia="方正仿宋_GBK"/>
          <w:sz w:val="32"/>
          <w:szCs w:val="32"/>
        </w:rPr>
        <w:t>三</w:t>
      </w:r>
      <w:r>
        <w:rPr>
          <w:rFonts w:eastAsia="方正仿宋_GBK"/>
          <w:sz w:val="32"/>
          <w:szCs w:val="32"/>
        </w:rPr>
        <w:t>次会议批准的年初一般公共预算总财力</w:t>
      </w:r>
      <w:r>
        <w:rPr>
          <w:rFonts w:hint="eastAsia" w:eastAsia="方正仿宋_GBK"/>
          <w:sz w:val="32"/>
          <w:szCs w:val="32"/>
        </w:rPr>
        <w:t>309197</w:t>
      </w:r>
      <w:r>
        <w:rPr>
          <w:rFonts w:eastAsia="方正仿宋_GBK"/>
          <w:sz w:val="32"/>
          <w:szCs w:val="32"/>
        </w:rPr>
        <w:t>万元，预算执行中一般公共预算</w:t>
      </w:r>
      <w:r>
        <w:rPr>
          <w:rFonts w:hint="eastAsia" w:eastAsia="方正仿宋_GBK"/>
          <w:sz w:val="32"/>
          <w:szCs w:val="32"/>
        </w:rPr>
        <w:t>财力</w:t>
      </w:r>
      <w:r>
        <w:rPr>
          <w:rFonts w:eastAsia="方正仿宋_GBK"/>
          <w:sz w:val="32"/>
          <w:szCs w:val="32"/>
        </w:rPr>
        <w:t>发生了</w:t>
      </w:r>
      <w:r>
        <w:rPr>
          <w:rFonts w:hint="eastAsia" w:eastAsia="方正仿宋_GBK"/>
          <w:sz w:val="32"/>
          <w:szCs w:val="32"/>
        </w:rPr>
        <w:t>7</w:t>
      </w:r>
      <w:r>
        <w:rPr>
          <w:rFonts w:eastAsia="方正仿宋_GBK"/>
          <w:sz w:val="32"/>
          <w:szCs w:val="32"/>
        </w:rPr>
        <w:t>项变动，共增加财力</w:t>
      </w:r>
      <w:r>
        <w:rPr>
          <w:rFonts w:hint="eastAsia" w:eastAsia="方正仿宋_GBK"/>
          <w:sz w:val="32"/>
          <w:szCs w:val="32"/>
        </w:rPr>
        <w:t>231161</w:t>
      </w:r>
      <w:r>
        <w:rPr>
          <w:rFonts w:eastAsia="方正仿宋_GBK"/>
          <w:sz w:val="32"/>
          <w:szCs w:val="32"/>
        </w:rPr>
        <w:t>万元：</w:t>
      </w:r>
      <w:r>
        <w:rPr>
          <w:rFonts w:eastAsia="方正仿宋_GBK"/>
          <w:b/>
          <w:sz w:val="32"/>
          <w:szCs w:val="32"/>
        </w:rPr>
        <w:t>一是</w:t>
      </w:r>
      <w:r>
        <w:rPr>
          <w:rFonts w:eastAsia="方正仿宋_GBK"/>
          <w:sz w:val="32"/>
          <w:szCs w:val="32"/>
        </w:rPr>
        <w:t>县本级收入</w:t>
      </w:r>
      <w:r>
        <w:rPr>
          <w:rFonts w:hint="eastAsia" w:eastAsia="方正仿宋_GBK"/>
          <w:sz w:val="32"/>
          <w:szCs w:val="32"/>
        </w:rPr>
        <w:t>减少1017</w:t>
      </w:r>
      <w:r>
        <w:rPr>
          <w:rFonts w:eastAsia="方正仿宋_GBK"/>
          <w:sz w:val="32"/>
          <w:szCs w:val="32"/>
        </w:rPr>
        <w:t>万元</w:t>
      </w:r>
      <w:r>
        <w:rPr>
          <w:rFonts w:hint="eastAsia" w:eastAsia="方正仿宋_GBK"/>
          <w:sz w:val="32"/>
          <w:szCs w:val="32"/>
        </w:rPr>
        <w:t>（经县十七届人大常委会第二十次会议审查批准调减计划1160万元）</w:t>
      </w:r>
      <w:r>
        <w:rPr>
          <w:rFonts w:eastAsia="方正仿宋_GBK"/>
          <w:sz w:val="32"/>
          <w:szCs w:val="32"/>
        </w:rPr>
        <w:t>；</w:t>
      </w:r>
      <w:r>
        <w:rPr>
          <w:rFonts w:eastAsia="方正仿宋_GBK"/>
          <w:b/>
          <w:sz w:val="32"/>
          <w:szCs w:val="32"/>
        </w:rPr>
        <w:t>二是</w:t>
      </w:r>
      <w:r>
        <w:rPr>
          <w:rFonts w:eastAsia="方正仿宋_GBK"/>
          <w:sz w:val="32"/>
          <w:szCs w:val="32"/>
        </w:rPr>
        <w:t>一般性转移支付收入增加</w:t>
      </w:r>
      <w:r>
        <w:rPr>
          <w:rFonts w:hint="eastAsia" w:eastAsia="方正仿宋_GBK"/>
          <w:sz w:val="32"/>
          <w:szCs w:val="32"/>
        </w:rPr>
        <w:t>69862</w:t>
      </w:r>
      <w:r>
        <w:rPr>
          <w:rFonts w:eastAsia="方正仿宋_GBK"/>
          <w:sz w:val="32"/>
          <w:szCs w:val="32"/>
        </w:rPr>
        <w:t>万元；</w:t>
      </w:r>
      <w:r>
        <w:rPr>
          <w:rFonts w:eastAsia="方正仿宋_GBK"/>
          <w:b/>
          <w:sz w:val="32"/>
          <w:szCs w:val="32"/>
        </w:rPr>
        <w:t>三是</w:t>
      </w:r>
      <w:r>
        <w:rPr>
          <w:rFonts w:eastAsia="方正仿宋_GBK"/>
          <w:sz w:val="32"/>
          <w:szCs w:val="32"/>
        </w:rPr>
        <w:t>专项转移支付收入增加</w:t>
      </w:r>
      <w:r>
        <w:rPr>
          <w:rFonts w:hint="eastAsia" w:eastAsia="方正仿宋_GBK"/>
          <w:sz w:val="32"/>
          <w:szCs w:val="32"/>
        </w:rPr>
        <w:t>80035</w:t>
      </w:r>
      <w:r>
        <w:rPr>
          <w:rFonts w:eastAsia="方正仿宋_GBK"/>
          <w:sz w:val="32"/>
          <w:szCs w:val="32"/>
        </w:rPr>
        <w:t>万元；</w:t>
      </w:r>
      <w:r>
        <w:rPr>
          <w:rFonts w:eastAsia="方正仿宋_GBK"/>
          <w:b/>
          <w:sz w:val="32"/>
          <w:szCs w:val="32"/>
        </w:rPr>
        <w:t>四是</w:t>
      </w:r>
      <w:r>
        <w:rPr>
          <w:rFonts w:eastAsia="方正仿宋_GBK"/>
          <w:sz w:val="32"/>
          <w:szCs w:val="32"/>
        </w:rPr>
        <w:t>地方政府一般债券转贷收入</w:t>
      </w:r>
      <w:r>
        <w:rPr>
          <w:rFonts w:hint="eastAsia" w:eastAsia="方正仿宋_GBK"/>
          <w:sz w:val="32"/>
          <w:szCs w:val="32"/>
        </w:rPr>
        <w:t>59900</w:t>
      </w:r>
      <w:r>
        <w:rPr>
          <w:rFonts w:eastAsia="方正仿宋_GBK"/>
          <w:sz w:val="32"/>
          <w:szCs w:val="32"/>
        </w:rPr>
        <w:t>万元；</w:t>
      </w:r>
      <w:r>
        <w:rPr>
          <w:rFonts w:eastAsia="方正仿宋_GBK"/>
          <w:b/>
          <w:sz w:val="32"/>
          <w:szCs w:val="32"/>
        </w:rPr>
        <w:t>五是</w:t>
      </w:r>
      <w:r>
        <w:rPr>
          <w:rFonts w:eastAsia="方正仿宋_GBK"/>
          <w:sz w:val="32"/>
          <w:szCs w:val="32"/>
        </w:rPr>
        <w:t>政府性基金预算</w:t>
      </w:r>
      <w:r>
        <w:rPr>
          <w:rFonts w:hint="eastAsia" w:eastAsia="方正仿宋_GBK"/>
          <w:sz w:val="32"/>
          <w:szCs w:val="32"/>
        </w:rPr>
        <w:t>调入21440万元；</w:t>
      </w:r>
      <w:r>
        <w:rPr>
          <w:rFonts w:hint="eastAsia" w:eastAsia="方正仿宋_GBK"/>
          <w:b/>
          <w:bCs/>
          <w:sz w:val="32"/>
          <w:szCs w:val="32"/>
        </w:rPr>
        <w:t>六是</w:t>
      </w:r>
      <w:r>
        <w:rPr>
          <w:rFonts w:hint="eastAsia" w:eastAsia="方正仿宋_GBK"/>
          <w:sz w:val="32"/>
          <w:szCs w:val="32"/>
        </w:rPr>
        <w:t>国有资本经营预算</w:t>
      </w:r>
      <w:r>
        <w:rPr>
          <w:rFonts w:eastAsia="方正仿宋_GBK"/>
          <w:sz w:val="32"/>
          <w:szCs w:val="32"/>
        </w:rPr>
        <w:t>调入</w:t>
      </w:r>
      <w:r>
        <w:rPr>
          <w:rFonts w:hint="eastAsia" w:eastAsia="方正仿宋_GBK"/>
          <w:sz w:val="32"/>
          <w:szCs w:val="32"/>
        </w:rPr>
        <w:t>950</w:t>
      </w:r>
      <w:r>
        <w:rPr>
          <w:rFonts w:eastAsia="方正仿宋_GBK"/>
          <w:sz w:val="32"/>
          <w:szCs w:val="32"/>
        </w:rPr>
        <w:t>万元</w:t>
      </w:r>
      <w:r>
        <w:rPr>
          <w:rFonts w:hint="eastAsia" w:eastAsia="方正仿宋_GBK"/>
          <w:sz w:val="32"/>
          <w:szCs w:val="32"/>
        </w:rPr>
        <w:t>；</w:t>
      </w:r>
      <w:r>
        <w:rPr>
          <w:rFonts w:hint="eastAsia" w:eastAsia="方正仿宋_GBK"/>
          <w:b/>
          <w:bCs/>
          <w:sz w:val="32"/>
          <w:szCs w:val="32"/>
        </w:rPr>
        <w:t>七是</w:t>
      </w:r>
      <w:r>
        <w:rPr>
          <w:rFonts w:hint="eastAsia" w:eastAsia="方正仿宋_GBK"/>
          <w:sz w:val="32"/>
          <w:szCs w:val="32"/>
        </w:rPr>
        <w:t>上年结转减少9万元（市县两级对账调整）</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bCs/>
          <w:sz w:val="32"/>
          <w:szCs w:val="32"/>
        </w:rPr>
        <w:t>2.</w:t>
      </w:r>
      <w:r>
        <w:rPr>
          <w:rFonts w:eastAsia="方正仿宋_GBK"/>
          <w:bCs/>
          <w:sz w:val="32"/>
          <w:szCs w:val="32"/>
        </w:rPr>
        <w:t>支出预算执行情况。</w:t>
      </w:r>
      <w:r>
        <w:rPr>
          <w:rFonts w:hint="eastAsia" w:eastAsia="方正仿宋_GBK"/>
          <w:sz w:val="32"/>
          <w:szCs w:val="32"/>
        </w:rPr>
        <w:t>全县</w:t>
      </w:r>
      <w:r>
        <w:rPr>
          <w:rFonts w:eastAsia="方正仿宋_GBK"/>
          <w:sz w:val="32"/>
          <w:szCs w:val="32"/>
        </w:rPr>
        <w:t>一般公共预算支出</w:t>
      </w:r>
      <w:r>
        <w:rPr>
          <w:rFonts w:hint="eastAsia" w:eastAsia="方正仿宋_GBK"/>
          <w:sz w:val="32"/>
          <w:szCs w:val="32"/>
        </w:rPr>
        <w:t>446297</w:t>
      </w:r>
      <w:r>
        <w:rPr>
          <w:rFonts w:eastAsia="方正仿宋_GBK"/>
          <w:sz w:val="32"/>
          <w:szCs w:val="32"/>
        </w:rPr>
        <w:t>万元，同比增长</w:t>
      </w:r>
      <w:r>
        <w:rPr>
          <w:rFonts w:hint="eastAsia" w:eastAsia="方正仿宋_GBK"/>
          <w:sz w:val="32"/>
          <w:szCs w:val="32"/>
        </w:rPr>
        <w:t>11</w:t>
      </w:r>
      <w:r>
        <w:rPr>
          <w:rFonts w:eastAsia="方正仿宋_GBK"/>
          <w:sz w:val="32"/>
          <w:szCs w:val="32"/>
        </w:rPr>
        <w:t>%，完成预算的</w:t>
      </w:r>
      <w:r>
        <w:rPr>
          <w:rFonts w:hint="eastAsia" w:eastAsia="方正仿宋_GBK"/>
          <w:sz w:val="32"/>
          <w:szCs w:val="32"/>
        </w:rPr>
        <w:t>92</w:t>
      </w:r>
      <w:r>
        <w:rPr>
          <w:rFonts w:eastAsia="方正仿宋_GBK"/>
          <w:sz w:val="32"/>
          <w:szCs w:val="32"/>
        </w:rPr>
        <w:t>%，加上上解支出</w:t>
      </w:r>
      <w:r>
        <w:rPr>
          <w:rFonts w:hint="eastAsia" w:eastAsia="方正仿宋_GBK"/>
          <w:sz w:val="32"/>
          <w:szCs w:val="32"/>
        </w:rPr>
        <w:t>12507</w:t>
      </w:r>
      <w:r>
        <w:rPr>
          <w:rFonts w:eastAsia="方正仿宋_GBK"/>
          <w:sz w:val="32"/>
          <w:szCs w:val="32"/>
        </w:rPr>
        <w:t>万元、地方政府性债务还本支出</w:t>
      </w:r>
      <w:r>
        <w:rPr>
          <w:rFonts w:hint="eastAsia" w:eastAsia="方正仿宋_GBK"/>
          <w:sz w:val="32"/>
          <w:szCs w:val="32"/>
        </w:rPr>
        <w:t>5543</w:t>
      </w:r>
      <w:r>
        <w:rPr>
          <w:rFonts w:eastAsia="方正仿宋_GBK"/>
          <w:sz w:val="32"/>
          <w:szCs w:val="32"/>
        </w:rPr>
        <w:t>万元、补充预算稳定调节基金</w:t>
      </w:r>
      <w:r>
        <w:rPr>
          <w:rFonts w:hint="eastAsia" w:eastAsia="方正仿宋_GBK"/>
          <w:sz w:val="32"/>
          <w:szCs w:val="32"/>
        </w:rPr>
        <w:t>35500</w:t>
      </w:r>
      <w:r>
        <w:rPr>
          <w:rFonts w:eastAsia="方正仿宋_GBK"/>
          <w:sz w:val="32"/>
          <w:szCs w:val="32"/>
        </w:rPr>
        <w:t>万元和结转下年支出</w:t>
      </w:r>
      <w:r>
        <w:rPr>
          <w:rFonts w:hint="eastAsia" w:eastAsia="方正仿宋_GBK"/>
          <w:sz w:val="32"/>
          <w:szCs w:val="32"/>
        </w:rPr>
        <w:t>40512</w:t>
      </w:r>
      <w:r>
        <w:rPr>
          <w:rFonts w:eastAsia="方正仿宋_GBK"/>
          <w:sz w:val="32"/>
          <w:szCs w:val="32"/>
        </w:rPr>
        <w:t>万元后，支出总计为</w:t>
      </w:r>
      <w:r>
        <w:rPr>
          <w:rFonts w:hint="eastAsia" w:eastAsia="方正仿宋_GBK"/>
          <w:sz w:val="32"/>
          <w:szCs w:val="32"/>
        </w:rPr>
        <w:t>540358</w:t>
      </w:r>
      <w:r>
        <w:rPr>
          <w:rFonts w:eastAsia="方正仿宋_GBK"/>
          <w:sz w:val="32"/>
          <w:szCs w:val="32"/>
        </w:rPr>
        <w:t>万元（一般公共预算新增财力</w:t>
      </w:r>
      <w:r>
        <w:rPr>
          <w:rFonts w:hint="eastAsia" w:eastAsia="方正仿宋_GBK"/>
          <w:sz w:val="32"/>
          <w:szCs w:val="32"/>
        </w:rPr>
        <w:t>231161</w:t>
      </w:r>
      <w:r>
        <w:rPr>
          <w:rFonts w:eastAsia="方正仿宋_GBK"/>
          <w:sz w:val="32"/>
          <w:szCs w:val="32"/>
        </w:rPr>
        <w:t>万元</w:t>
      </w:r>
      <w:r>
        <w:rPr>
          <w:rFonts w:hint="eastAsia" w:eastAsia="方正仿宋_GBK"/>
          <w:sz w:val="32"/>
          <w:szCs w:val="32"/>
        </w:rPr>
        <w:t>的</w:t>
      </w:r>
      <w:r>
        <w:rPr>
          <w:rFonts w:eastAsia="方正仿宋_GBK"/>
          <w:sz w:val="32"/>
          <w:szCs w:val="32"/>
        </w:rPr>
        <w:t>支出</w:t>
      </w:r>
      <w:r>
        <w:rPr>
          <w:rFonts w:hint="eastAsia" w:eastAsia="方正仿宋_GBK"/>
          <w:sz w:val="32"/>
          <w:szCs w:val="32"/>
        </w:rPr>
        <w:t>安排</w:t>
      </w:r>
      <w:r>
        <w:rPr>
          <w:rFonts w:eastAsia="方正仿宋_GBK"/>
          <w:sz w:val="32"/>
          <w:szCs w:val="32"/>
        </w:rPr>
        <w:t>情况</w:t>
      </w:r>
      <w:r>
        <w:rPr>
          <w:rFonts w:hint="eastAsia" w:eastAsia="方正仿宋_GBK"/>
          <w:sz w:val="32"/>
          <w:szCs w:val="32"/>
        </w:rPr>
        <w:t>具体如下</w:t>
      </w:r>
      <w:r>
        <w:rPr>
          <w:rFonts w:eastAsia="方正仿宋_GBK"/>
          <w:sz w:val="32"/>
          <w:szCs w:val="32"/>
        </w:rPr>
        <w:t>：</w:t>
      </w:r>
      <w:r>
        <w:rPr>
          <w:rFonts w:eastAsia="方正仿宋_GBK"/>
          <w:b/>
          <w:sz w:val="32"/>
          <w:szCs w:val="32"/>
        </w:rPr>
        <w:t>一是</w:t>
      </w:r>
      <w:r>
        <w:rPr>
          <w:rFonts w:hint="eastAsia" w:eastAsia="方正仿宋_GBK"/>
          <w:sz w:val="32"/>
          <w:szCs w:val="32"/>
        </w:rPr>
        <w:t>新增</w:t>
      </w:r>
      <w:r>
        <w:rPr>
          <w:rFonts w:eastAsia="方正仿宋_GBK"/>
          <w:sz w:val="32"/>
          <w:szCs w:val="32"/>
        </w:rPr>
        <w:t>定向转移支付和专项转移支付</w:t>
      </w:r>
      <w:r>
        <w:rPr>
          <w:rFonts w:hint="eastAsia" w:eastAsia="方正仿宋_GBK"/>
          <w:sz w:val="32"/>
          <w:szCs w:val="32"/>
        </w:rPr>
        <w:t>141549</w:t>
      </w:r>
      <w:r>
        <w:rPr>
          <w:rFonts w:eastAsia="方正仿宋_GBK"/>
          <w:sz w:val="32"/>
          <w:szCs w:val="32"/>
        </w:rPr>
        <w:t>万元根据上级文件精神</w:t>
      </w:r>
      <w:r>
        <w:rPr>
          <w:rFonts w:hint="eastAsia" w:eastAsia="方正仿宋_GBK"/>
          <w:sz w:val="32"/>
          <w:szCs w:val="32"/>
        </w:rPr>
        <w:t>对应安排支出</w:t>
      </w:r>
      <w:r>
        <w:rPr>
          <w:rFonts w:eastAsia="方正仿宋_GBK"/>
          <w:sz w:val="32"/>
          <w:szCs w:val="32"/>
        </w:rPr>
        <w:t>；</w:t>
      </w:r>
      <w:r>
        <w:rPr>
          <w:rFonts w:eastAsia="方正仿宋_GBK"/>
          <w:b/>
          <w:sz w:val="32"/>
          <w:szCs w:val="32"/>
        </w:rPr>
        <w:t>二是</w:t>
      </w:r>
      <w:r>
        <w:rPr>
          <w:rFonts w:eastAsia="方正仿宋_GBK"/>
          <w:sz w:val="32"/>
          <w:szCs w:val="32"/>
        </w:rPr>
        <w:t>政府一般债券转贷收入</w:t>
      </w:r>
      <w:r>
        <w:rPr>
          <w:rFonts w:hint="eastAsia" w:eastAsia="方正仿宋_GBK"/>
          <w:sz w:val="32"/>
          <w:szCs w:val="32"/>
        </w:rPr>
        <w:t>59900</w:t>
      </w:r>
      <w:r>
        <w:rPr>
          <w:rFonts w:eastAsia="方正仿宋_GBK"/>
          <w:sz w:val="32"/>
          <w:szCs w:val="32"/>
        </w:rPr>
        <w:t>万元</w:t>
      </w:r>
      <w:r>
        <w:rPr>
          <w:rFonts w:hint="eastAsia" w:eastAsia="方正仿宋_GBK"/>
          <w:sz w:val="32"/>
          <w:szCs w:val="32"/>
        </w:rPr>
        <w:t>全额安排用于偿还到期债券本金、易地扶贫搬迁和支持县域重点项目建设；</w:t>
      </w:r>
      <w:r>
        <w:rPr>
          <w:rFonts w:eastAsia="方正仿宋_GBK"/>
          <w:b/>
          <w:sz w:val="32"/>
          <w:szCs w:val="32"/>
        </w:rPr>
        <w:t>三是</w:t>
      </w:r>
      <w:r>
        <w:rPr>
          <w:rFonts w:hint="eastAsia" w:eastAsia="方正仿宋_GBK"/>
          <w:sz w:val="32"/>
          <w:szCs w:val="32"/>
        </w:rPr>
        <w:t>新增财力18275</w:t>
      </w:r>
      <w:r>
        <w:rPr>
          <w:rFonts w:eastAsia="方正仿宋_GBK"/>
          <w:sz w:val="32"/>
          <w:szCs w:val="32"/>
        </w:rPr>
        <w:t>万元</w:t>
      </w:r>
      <w:r>
        <w:rPr>
          <w:rFonts w:hint="eastAsia" w:eastAsia="方正仿宋_GBK"/>
          <w:sz w:val="32"/>
          <w:szCs w:val="32"/>
        </w:rPr>
        <w:t>安排用于结算</w:t>
      </w:r>
      <w:r>
        <w:rPr>
          <w:rFonts w:eastAsia="方正仿宋_GBK"/>
          <w:sz w:val="32"/>
          <w:szCs w:val="32"/>
        </w:rPr>
        <w:t>201</w:t>
      </w:r>
      <w:r>
        <w:rPr>
          <w:rFonts w:hint="eastAsia" w:eastAsia="方正仿宋_GBK"/>
          <w:sz w:val="32"/>
          <w:szCs w:val="32"/>
        </w:rPr>
        <w:t>8</w:t>
      </w:r>
      <w:r>
        <w:rPr>
          <w:rFonts w:eastAsia="方正仿宋_GBK"/>
          <w:sz w:val="32"/>
          <w:szCs w:val="32"/>
        </w:rPr>
        <w:t>年公务员</w:t>
      </w:r>
      <w:r>
        <w:rPr>
          <w:rFonts w:hint="eastAsia" w:eastAsia="方正仿宋_GBK"/>
          <w:sz w:val="32"/>
          <w:szCs w:val="32"/>
        </w:rPr>
        <w:t>政府</w:t>
      </w:r>
      <w:r>
        <w:rPr>
          <w:rFonts w:eastAsia="方正仿宋_GBK"/>
          <w:sz w:val="32"/>
          <w:szCs w:val="32"/>
        </w:rPr>
        <w:t>目标绩效奖、事业人员超额绩效工资和离退休人员健康休养费等人员待遇，兑现201</w:t>
      </w:r>
      <w:r>
        <w:rPr>
          <w:rFonts w:hint="eastAsia" w:eastAsia="方正仿宋_GBK"/>
          <w:sz w:val="32"/>
          <w:szCs w:val="32"/>
        </w:rPr>
        <w:t>9</w:t>
      </w:r>
      <w:r>
        <w:rPr>
          <w:rFonts w:eastAsia="方正仿宋_GBK"/>
          <w:sz w:val="32"/>
          <w:szCs w:val="32"/>
        </w:rPr>
        <w:t>公务员月考核、预发事业人员部分超额绩效工资</w:t>
      </w:r>
      <w:r>
        <w:rPr>
          <w:rFonts w:hint="eastAsia" w:eastAsia="方正仿宋_GBK"/>
          <w:sz w:val="32"/>
          <w:szCs w:val="32"/>
        </w:rPr>
        <w:t>等“三保”支出；</w:t>
      </w:r>
      <w:r>
        <w:rPr>
          <w:rFonts w:hint="eastAsia" w:eastAsia="方正仿宋_GBK"/>
          <w:b/>
          <w:sz w:val="32"/>
          <w:szCs w:val="32"/>
        </w:rPr>
        <w:t>四是</w:t>
      </w:r>
      <w:r>
        <w:rPr>
          <w:rFonts w:hint="eastAsia" w:eastAsia="方正仿宋_GBK"/>
          <w:sz w:val="32"/>
          <w:szCs w:val="32"/>
        </w:rPr>
        <w:t>调入政府性基金11440万元全额用于补充预算稳定调节基金</w:t>
      </w:r>
      <w:r>
        <w:rPr>
          <w:rFonts w:eastAsia="方正仿宋_GBK"/>
          <w:sz w:val="32"/>
          <w:szCs w:val="32"/>
        </w:rPr>
        <w:t>）。</w:t>
      </w:r>
    </w:p>
    <w:p>
      <w:pPr>
        <w:spacing w:line="560" w:lineRule="exact"/>
        <w:ind w:firstLine="640" w:firstLineChars="200"/>
        <w:jc w:val="left"/>
        <w:rPr>
          <w:rFonts w:eastAsia="方正仿宋_GBK"/>
          <w:b/>
          <w:sz w:val="32"/>
          <w:szCs w:val="32"/>
        </w:rPr>
      </w:pPr>
      <w:r>
        <w:rPr>
          <w:rFonts w:hint="eastAsia" w:eastAsia="方正仿宋_GBK"/>
          <w:bCs/>
          <w:sz w:val="32"/>
          <w:szCs w:val="32"/>
        </w:rPr>
        <w:t>分支出功能科目执行情况如下：</w:t>
      </w:r>
    </w:p>
    <w:p>
      <w:pPr>
        <w:spacing w:line="560" w:lineRule="exact"/>
        <w:ind w:firstLine="640" w:firstLineChars="200"/>
        <w:rPr>
          <w:rFonts w:eastAsia="方正仿宋_GBK"/>
          <w:sz w:val="32"/>
          <w:szCs w:val="32"/>
        </w:rPr>
      </w:pPr>
      <w:r>
        <w:rPr>
          <w:rFonts w:eastAsia="方正仿宋_GBK"/>
          <w:sz w:val="32"/>
          <w:szCs w:val="32"/>
        </w:rPr>
        <w:t>——一般公共服务支出</w:t>
      </w:r>
      <w:r>
        <w:rPr>
          <w:rFonts w:hint="eastAsia" w:eastAsia="方正仿宋_GBK"/>
          <w:sz w:val="32"/>
          <w:szCs w:val="32"/>
        </w:rPr>
        <w:t>29750</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——国防支出</w:t>
      </w:r>
      <w:r>
        <w:rPr>
          <w:rFonts w:hint="eastAsia" w:eastAsia="方正仿宋_GBK"/>
          <w:sz w:val="32"/>
          <w:szCs w:val="32"/>
        </w:rPr>
        <w:t>90</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——公共安全支出</w:t>
      </w:r>
      <w:r>
        <w:rPr>
          <w:rFonts w:hint="eastAsia" w:eastAsia="方正仿宋_GBK"/>
          <w:sz w:val="32"/>
          <w:szCs w:val="32"/>
        </w:rPr>
        <w:t>10234</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——教育支出</w:t>
      </w:r>
      <w:r>
        <w:rPr>
          <w:rFonts w:hint="eastAsia" w:eastAsia="方正仿宋_GBK"/>
          <w:sz w:val="32"/>
          <w:szCs w:val="32"/>
        </w:rPr>
        <w:t>57561</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——科学技术支出</w:t>
      </w:r>
      <w:r>
        <w:rPr>
          <w:rFonts w:hint="eastAsia" w:eastAsia="方正仿宋_GBK"/>
          <w:sz w:val="32"/>
          <w:szCs w:val="32"/>
        </w:rPr>
        <w:t>458</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——文化</w:t>
      </w:r>
      <w:r>
        <w:rPr>
          <w:rFonts w:hint="eastAsia" w:eastAsia="方正仿宋_GBK"/>
          <w:sz w:val="32"/>
          <w:szCs w:val="32"/>
        </w:rPr>
        <w:t>旅游</w:t>
      </w:r>
      <w:r>
        <w:rPr>
          <w:rFonts w:eastAsia="方正仿宋_GBK"/>
          <w:sz w:val="32"/>
          <w:szCs w:val="32"/>
        </w:rPr>
        <w:t>体育与传媒支出</w:t>
      </w:r>
      <w:r>
        <w:rPr>
          <w:rFonts w:hint="eastAsia" w:eastAsia="方正仿宋_GBK"/>
          <w:sz w:val="32"/>
          <w:szCs w:val="32"/>
        </w:rPr>
        <w:t>4646</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——社会保障和就业支出</w:t>
      </w:r>
      <w:r>
        <w:rPr>
          <w:rFonts w:hint="eastAsia" w:eastAsia="方正仿宋_GBK"/>
          <w:sz w:val="32"/>
          <w:szCs w:val="32"/>
        </w:rPr>
        <w:t>39499</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卫生健康</w:t>
      </w:r>
      <w:r>
        <w:rPr>
          <w:rFonts w:eastAsia="方正仿宋_GBK"/>
          <w:sz w:val="32"/>
          <w:szCs w:val="32"/>
        </w:rPr>
        <w:t>支出</w:t>
      </w:r>
      <w:r>
        <w:rPr>
          <w:rFonts w:hint="eastAsia" w:eastAsia="方正仿宋_GBK"/>
          <w:sz w:val="32"/>
          <w:szCs w:val="32"/>
        </w:rPr>
        <w:t>32496</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——节能环保支出</w:t>
      </w:r>
      <w:r>
        <w:rPr>
          <w:rFonts w:hint="eastAsia" w:eastAsia="方正仿宋_GBK"/>
          <w:sz w:val="32"/>
          <w:szCs w:val="32"/>
        </w:rPr>
        <w:t>22129</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——城乡社区支出</w:t>
      </w:r>
      <w:r>
        <w:rPr>
          <w:rFonts w:hint="eastAsia" w:eastAsia="方正仿宋_GBK"/>
          <w:sz w:val="32"/>
          <w:szCs w:val="32"/>
        </w:rPr>
        <w:t>47621</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——农林水支出</w:t>
      </w:r>
      <w:r>
        <w:rPr>
          <w:rFonts w:hint="eastAsia" w:eastAsia="方正仿宋_GBK"/>
          <w:sz w:val="32"/>
          <w:szCs w:val="32"/>
        </w:rPr>
        <w:t>114854</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——交通运输支出</w:t>
      </w:r>
      <w:r>
        <w:rPr>
          <w:rFonts w:hint="eastAsia" w:eastAsia="方正仿宋_GBK"/>
          <w:sz w:val="32"/>
          <w:szCs w:val="32"/>
        </w:rPr>
        <w:t>53276</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——资源勘探电力信息等支出</w:t>
      </w:r>
      <w:r>
        <w:rPr>
          <w:rFonts w:hint="eastAsia" w:eastAsia="方正仿宋_GBK"/>
          <w:sz w:val="32"/>
          <w:szCs w:val="32"/>
        </w:rPr>
        <w:t>643</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——商业服务业等支出</w:t>
      </w:r>
      <w:r>
        <w:rPr>
          <w:rFonts w:hint="eastAsia" w:eastAsia="方正仿宋_GBK"/>
          <w:sz w:val="32"/>
          <w:szCs w:val="32"/>
        </w:rPr>
        <w:t>613</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金融</w:t>
      </w:r>
      <w:r>
        <w:rPr>
          <w:rFonts w:eastAsia="方正仿宋_GBK"/>
          <w:sz w:val="32"/>
          <w:szCs w:val="32"/>
        </w:rPr>
        <w:t>支出</w:t>
      </w:r>
      <w:r>
        <w:rPr>
          <w:rFonts w:hint="eastAsia" w:eastAsia="方正仿宋_GBK"/>
          <w:sz w:val="32"/>
          <w:szCs w:val="32"/>
        </w:rPr>
        <w:t>611</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自然资源</w:t>
      </w:r>
      <w:r>
        <w:rPr>
          <w:rFonts w:eastAsia="方正仿宋_GBK"/>
          <w:sz w:val="32"/>
          <w:szCs w:val="32"/>
        </w:rPr>
        <w:t>海洋气象等支出</w:t>
      </w:r>
      <w:r>
        <w:rPr>
          <w:rFonts w:hint="eastAsia" w:eastAsia="方正仿宋_GBK"/>
          <w:sz w:val="32"/>
          <w:szCs w:val="32"/>
        </w:rPr>
        <w:t>4005</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——住房保障支出</w:t>
      </w:r>
      <w:r>
        <w:rPr>
          <w:rFonts w:hint="eastAsia" w:eastAsia="方正仿宋_GBK"/>
          <w:sz w:val="32"/>
          <w:szCs w:val="32"/>
        </w:rPr>
        <w:t>13530</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——粮油物资储备支出</w:t>
      </w:r>
      <w:r>
        <w:rPr>
          <w:rFonts w:hint="eastAsia" w:eastAsia="方正仿宋_GBK"/>
          <w:sz w:val="32"/>
          <w:szCs w:val="32"/>
        </w:rPr>
        <w:t>65</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灾害防治及应急管理</w:t>
      </w:r>
      <w:r>
        <w:rPr>
          <w:rFonts w:eastAsia="方正仿宋_GBK"/>
          <w:sz w:val="32"/>
          <w:szCs w:val="32"/>
        </w:rPr>
        <w:t>支出</w:t>
      </w:r>
      <w:r>
        <w:rPr>
          <w:rFonts w:hint="eastAsia" w:eastAsia="方正仿宋_GBK"/>
          <w:sz w:val="32"/>
          <w:szCs w:val="32"/>
        </w:rPr>
        <w:t>2161</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——其他支出</w:t>
      </w:r>
      <w:r>
        <w:rPr>
          <w:rFonts w:hint="eastAsia" w:eastAsia="方正仿宋_GBK"/>
          <w:sz w:val="32"/>
          <w:szCs w:val="32"/>
        </w:rPr>
        <w:t>3025</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sz w:val="32"/>
          <w:szCs w:val="32"/>
        </w:rPr>
        <w:t>——债务发行费用支出</w:t>
      </w:r>
      <w:r>
        <w:rPr>
          <w:rFonts w:hint="eastAsia" w:eastAsia="方正仿宋_GBK"/>
          <w:sz w:val="32"/>
          <w:szCs w:val="32"/>
        </w:rPr>
        <w:t>1</w:t>
      </w:r>
      <w:r>
        <w:rPr>
          <w:rFonts w:eastAsia="方正仿宋_GBK"/>
          <w:sz w:val="32"/>
          <w:szCs w:val="32"/>
        </w:rPr>
        <w:t>万元；</w:t>
      </w:r>
    </w:p>
    <w:tbl>
      <w:tblPr>
        <w:tblStyle w:val="8"/>
        <w:tblpPr w:leftFromText="180" w:rightFromText="180" w:vertAnchor="text" w:horzAnchor="margin" w:tblpXSpec="center" w:tblpY="802"/>
        <w:tblW w:w="10018" w:type="dxa"/>
        <w:tblInd w:w="0" w:type="dxa"/>
        <w:tblLayout w:type="fixed"/>
        <w:tblCellMar>
          <w:top w:w="0" w:type="dxa"/>
          <w:left w:w="108" w:type="dxa"/>
          <w:bottom w:w="0" w:type="dxa"/>
          <w:right w:w="108" w:type="dxa"/>
        </w:tblCellMar>
      </w:tblPr>
      <w:tblGrid>
        <w:gridCol w:w="1952"/>
        <w:gridCol w:w="991"/>
        <w:gridCol w:w="1048"/>
        <w:gridCol w:w="968"/>
        <w:gridCol w:w="2012"/>
        <w:gridCol w:w="1066"/>
        <w:gridCol w:w="1067"/>
        <w:gridCol w:w="914"/>
      </w:tblGrid>
      <w:tr>
        <w:tblPrEx>
          <w:tblCellMar>
            <w:top w:w="0" w:type="dxa"/>
            <w:left w:w="108" w:type="dxa"/>
            <w:bottom w:w="0" w:type="dxa"/>
            <w:right w:w="108" w:type="dxa"/>
          </w:tblCellMar>
        </w:tblPrEx>
        <w:trPr>
          <w:trHeight w:val="368" w:hRule="atLeast"/>
        </w:trPr>
        <w:tc>
          <w:tcPr>
            <w:tcW w:w="10018" w:type="dxa"/>
            <w:gridSpan w:val="8"/>
            <w:tcBorders>
              <w:top w:val="nil"/>
              <w:left w:val="nil"/>
              <w:bottom w:val="nil"/>
              <w:right w:val="nil"/>
            </w:tcBorders>
            <w:shd w:val="clear" w:color="auto" w:fill="auto"/>
            <w:vAlign w:val="center"/>
          </w:tcPr>
          <w:p>
            <w:pPr>
              <w:widowControl/>
              <w:spacing w:line="560" w:lineRule="exact"/>
              <w:jc w:val="center"/>
              <w:rPr>
                <w:rFonts w:ascii="方正黑体_GBK" w:hAnsi="宋体" w:eastAsia="方正黑体_GBK" w:cs="宋体"/>
                <w:color w:val="000000"/>
                <w:kern w:val="0"/>
                <w:sz w:val="36"/>
                <w:szCs w:val="36"/>
              </w:rPr>
            </w:pPr>
            <w:r>
              <w:rPr>
                <w:rFonts w:hint="eastAsia" w:ascii="方正黑体_GBK" w:hAnsi="宋体" w:eastAsia="方正黑体_GBK" w:cs="宋体"/>
                <w:color w:val="000000"/>
                <w:kern w:val="0"/>
                <w:sz w:val="36"/>
                <w:szCs w:val="36"/>
              </w:rPr>
              <w:t>城口县2019年政府性基金预算收支平衡表</w:t>
            </w:r>
          </w:p>
        </w:tc>
      </w:tr>
      <w:tr>
        <w:tblPrEx>
          <w:tblCellMar>
            <w:top w:w="0" w:type="dxa"/>
            <w:left w:w="108" w:type="dxa"/>
            <w:bottom w:w="0" w:type="dxa"/>
            <w:right w:w="108" w:type="dxa"/>
          </w:tblCellMar>
        </w:tblPrEx>
        <w:trPr>
          <w:trHeight w:val="166" w:hRule="atLeast"/>
        </w:trPr>
        <w:tc>
          <w:tcPr>
            <w:tcW w:w="1952"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91"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1048"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68"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5058" w:type="dxa"/>
            <w:gridSpan w:val="4"/>
            <w:tcBorders>
              <w:top w:val="nil"/>
              <w:left w:val="nil"/>
              <w:bottom w:val="single" w:color="auto" w:sz="12" w:space="0"/>
              <w:right w:val="nil"/>
            </w:tcBorders>
            <w:shd w:val="clear" w:color="auto" w:fill="auto"/>
            <w:vAlign w:val="center"/>
          </w:tcPr>
          <w:p>
            <w:pPr>
              <w:widowControl/>
              <w:spacing w:line="560" w:lineRule="exact"/>
              <w:ind w:right="480" w:firstLine="960" w:firstLineChars="400"/>
              <w:jc w:val="right"/>
              <w:rPr>
                <w:rFonts w:ascii="方正仿宋_GBK" w:hAnsi="宋体" w:eastAsia="方正仿宋_GBK" w:cs="宋体"/>
                <w:color w:val="000000"/>
                <w:kern w:val="0"/>
                <w:sz w:val="24"/>
                <w:szCs w:val="32"/>
              </w:rPr>
            </w:pPr>
            <w:r>
              <w:rPr>
                <w:rFonts w:hint="eastAsia" w:ascii="方正仿宋_GBK" w:hAnsi="宋体" w:eastAsia="方正仿宋_GBK" w:cs="宋体"/>
                <w:color w:val="000000"/>
                <w:kern w:val="0"/>
                <w:sz w:val="24"/>
                <w:szCs w:val="32"/>
              </w:rPr>
              <w:t>单位：万元</w:t>
            </w:r>
          </w:p>
        </w:tc>
      </w:tr>
      <w:tr>
        <w:tblPrEx>
          <w:tblCellMar>
            <w:top w:w="0" w:type="dxa"/>
            <w:left w:w="108" w:type="dxa"/>
            <w:bottom w:w="0" w:type="dxa"/>
            <w:right w:w="108" w:type="dxa"/>
          </w:tblCellMar>
        </w:tblPrEx>
        <w:trPr>
          <w:trHeight w:val="299" w:hRule="atLeast"/>
        </w:trPr>
        <w:tc>
          <w:tcPr>
            <w:tcW w:w="1952"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收      入</w:t>
            </w:r>
          </w:p>
        </w:tc>
        <w:tc>
          <w:tcPr>
            <w:tcW w:w="99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4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6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c>
          <w:tcPr>
            <w:tcW w:w="2012"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支      出</w:t>
            </w:r>
          </w:p>
        </w:tc>
        <w:tc>
          <w:tcPr>
            <w:tcW w:w="1066"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6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14"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56298</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hint="eastAsia" w:eastAsia="方正仿宋_GBK"/>
                <w:b/>
                <w:color w:val="000000"/>
                <w:kern w:val="0"/>
              </w:rPr>
              <w:t>83949</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color w:val="000000"/>
                <w:kern w:val="0"/>
              </w:rPr>
            </w:pPr>
            <w:r>
              <w:rPr>
                <w:b/>
                <w:color w:val="000000"/>
                <w:kern w:val="0"/>
              </w:rPr>
              <w:t>126597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56298</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83949</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color w:val="000000"/>
                <w:kern w:val="0"/>
              </w:rPr>
            </w:pPr>
            <w:r>
              <w:rPr>
                <w:rFonts w:hint="eastAsia"/>
                <w:b/>
                <w:color w:val="000000"/>
                <w:kern w:val="0"/>
              </w:rPr>
              <w:t>126597</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一、县级收入</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bCs/>
                <w:color w:val="000000"/>
                <w:kern w:val="0"/>
              </w:rPr>
            </w:pPr>
            <w:r>
              <w:rPr>
                <w:rFonts w:eastAsia="方正仿宋_GBK"/>
                <w:b/>
                <w:color w:val="000000"/>
                <w:kern w:val="0"/>
              </w:rPr>
              <w:t>20000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bCs/>
                <w:color w:val="000000"/>
                <w:kern w:val="0"/>
              </w:rPr>
            </w:pPr>
            <w:r>
              <w:rPr>
                <w:rFonts w:eastAsia="方正仿宋_GBK"/>
                <w:b/>
                <w:color w:val="000000"/>
                <w:kern w:val="0"/>
              </w:rPr>
              <w:t>20000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bCs/>
                <w:color w:val="000000"/>
                <w:kern w:val="0"/>
              </w:rPr>
            </w:pPr>
            <w:r>
              <w:rPr>
                <w:b/>
                <w:bCs/>
                <w:color w:val="000000"/>
                <w:kern w:val="0"/>
              </w:rPr>
              <w:t>20000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一、全县支出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55298</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72949</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bCs/>
                <w:color w:val="000000"/>
                <w:kern w:val="0"/>
              </w:rPr>
            </w:pPr>
            <w:r>
              <w:rPr>
                <w:rFonts w:hint="eastAsia"/>
                <w:b/>
                <w:bCs/>
                <w:color w:val="000000"/>
                <w:kern w:val="0"/>
              </w:rPr>
              <w:t>81635</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城市基础设施建设配套费收入</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3000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color w:val="000000"/>
                <w:kern w:val="0"/>
              </w:rPr>
            </w:pPr>
            <w:r>
              <w:rPr>
                <w:b/>
                <w:color w:val="000000"/>
                <w:kern w:val="0"/>
              </w:rPr>
              <w:t>3519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县本级支出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54528</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hint="eastAsia" w:eastAsia="方正仿宋_GBK"/>
                <w:b/>
                <w:color w:val="000000"/>
                <w:kern w:val="0"/>
              </w:rPr>
              <w:t>70088</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color w:val="000000"/>
                <w:kern w:val="0"/>
              </w:rPr>
            </w:pPr>
            <w:r>
              <w:rPr>
                <w:rFonts w:hint="eastAsia"/>
                <w:b/>
                <w:color w:val="000000"/>
                <w:kern w:val="0"/>
              </w:rPr>
              <w:t>78900</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国有土地使用权出让收入</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17000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17000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color w:val="000000"/>
                <w:kern w:val="0"/>
              </w:rPr>
            </w:pPr>
            <w:r>
              <w:rPr>
                <w:b/>
                <w:color w:val="000000"/>
                <w:kern w:val="0"/>
              </w:rPr>
              <w:t>16481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乡镇级支出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770</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hint="eastAsia" w:eastAsia="方正仿宋_GBK"/>
                <w:b/>
                <w:color w:val="000000"/>
                <w:kern w:val="0"/>
              </w:rPr>
              <w:t>2861</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color w:val="000000"/>
                <w:kern w:val="0"/>
              </w:rPr>
            </w:pPr>
            <w:r>
              <w:rPr>
                <w:rFonts w:hint="eastAsia"/>
                <w:b/>
                <w:color w:val="000000"/>
                <w:kern w:val="0"/>
              </w:rPr>
              <w:t>2735</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二、上级补助收入</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bCs/>
                <w:color w:val="000000"/>
                <w:kern w:val="0"/>
              </w:rPr>
            </w:pPr>
            <w:r>
              <w:rPr>
                <w:rFonts w:eastAsia="方正仿宋_GBK"/>
                <w:b/>
                <w:bCs/>
                <w:color w:val="000000"/>
                <w:kern w:val="0"/>
              </w:rPr>
              <w:t>3603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bCs/>
                <w:color w:val="000000"/>
                <w:kern w:val="0"/>
              </w:rPr>
            </w:pPr>
            <w:r>
              <w:rPr>
                <w:rFonts w:eastAsia="方正仿宋_GBK"/>
                <w:b/>
                <w:bCs/>
                <w:color w:val="000000"/>
                <w:kern w:val="0"/>
              </w:rPr>
              <w:t>31593</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bCs/>
                <w:color w:val="000000"/>
                <w:kern w:val="0"/>
              </w:rPr>
            </w:pPr>
            <w:r>
              <w:rPr>
                <w:b/>
                <w:bCs/>
                <w:color w:val="000000"/>
                <w:kern w:val="0"/>
              </w:rPr>
              <w:t>74277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二、转移性支出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1000</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11000</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bCs/>
                <w:color w:val="000000"/>
                <w:kern w:val="0"/>
              </w:rPr>
            </w:pPr>
            <w:r>
              <w:rPr>
                <w:rFonts w:hint="eastAsia"/>
                <w:b/>
                <w:bCs/>
                <w:color w:val="000000"/>
                <w:kern w:val="0"/>
              </w:rPr>
              <w:t>44962</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b/>
                <w:bCs/>
                <w:color w:val="000000"/>
                <w:kern w:val="0"/>
              </w:rPr>
              <w:t>三、上年结转收入</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32695</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32356</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b/>
                <w:color w:val="000000"/>
                <w:kern w:val="0"/>
              </w:rPr>
            </w:pPr>
            <w:r>
              <w:rPr>
                <w:b/>
                <w:color w:val="000000"/>
                <w:kern w:val="0"/>
              </w:rPr>
              <w:t>32320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上解支出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1000</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1000</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bCs/>
                <w:color w:val="000000"/>
                <w:kern w:val="0"/>
              </w:rPr>
            </w:pPr>
            <w:r>
              <w:rPr>
                <w:rFonts w:hint="eastAsia"/>
                <w:b/>
                <w:bCs/>
                <w:color w:val="000000"/>
                <w:kern w:val="0"/>
              </w:rPr>
              <w:t>610</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0" w:firstLineChars="200"/>
              <w:jc w:val="left"/>
              <w:rPr>
                <w:color w:val="000000"/>
                <w:kern w:val="0"/>
              </w:rPr>
            </w:pPr>
            <w:r>
              <w:rPr>
                <w:color w:val="000000"/>
                <w:kern w:val="0"/>
              </w:rPr>
              <w:t>　</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调出资金</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b/>
                <w:color w:val="000000"/>
                <w:kern w:val="0"/>
              </w:rPr>
            </w:pPr>
            <w:r>
              <w:rPr>
                <w:rFonts w:eastAsia="方正仿宋_GBK"/>
                <w:b/>
                <w:color w:val="000000"/>
                <w:kern w:val="0"/>
              </w:rPr>
              <w:t>10000</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bCs/>
                <w:color w:val="000000"/>
                <w:kern w:val="0"/>
              </w:rPr>
            </w:pPr>
            <w:r>
              <w:rPr>
                <w:rFonts w:hint="eastAsia"/>
                <w:b/>
                <w:bCs/>
                <w:color w:val="000000"/>
                <w:kern w:val="0"/>
              </w:rPr>
              <w:t>21440</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2" w:firstLineChars="200"/>
              <w:jc w:val="left"/>
              <w:rPr>
                <w:b/>
                <w:bCs/>
                <w:color w:val="000000"/>
                <w:kern w:val="0"/>
              </w:rPr>
            </w:pPr>
            <w:r>
              <w:rPr>
                <w:b/>
                <w:bCs/>
                <w:color w:val="000000"/>
                <w:kern w:val="0"/>
              </w:rPr>
              <w:t>　</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结转下年支出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color w:val="000000"/>
                <w:kern w:val="0"/>
              </w:rPr>
            </w:pPr>
            <w:r>
              <w:rPr>
                <w:rFonts w:hint="eastAsia"/>
                <w:b/>
                <w:color w:val="000000"/>
                <w:kern w:val="0"/>
              </w:rPr>
              <w:t>22912</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2" w:firstLineChars="200"/>
              <w:jc w:val="left"/>
              <w:rPr>
                <w:b/>
                <w:bCs/>
                <w:color w:val="000000"/>
                <w:kern w:val="0"/>
              </w:rPr>
            </w:pPr>
            <w:r>
              <w:rPr>
                <w:b/>
                <w:bCs/>
                <w:color w:val="000000"/>
                <w:kern w:val="0"/>
              </w:rPr>
              <w:t>　</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县本级结转</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14"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left"/>
              <w:rPr>
                <w:b/>
                <w:color w:val="000000"/>
                <w:kern w:val="0"/>
              </w:rPr>
            </w:pPr>
            <w:r>
              <w:rPr>
                <w:rFonts w:hint="eastAsia"/>
                <w:b/>
                <w:color w:val="000000"/>
                <w:kern w:val="0"/>
              </w:rPr>
              <w:t>22463</w:t>
            </w:r>
          </w:p>
        </w:tc>
      </w:tr>
      <w:tr>
        <w:tblPrEx>
          <w:tblCellMar>
            <w:top w:w="0" w:type="dxa"/>
            <w:left w:w="108" w:type="dxa"/>
            <w:bottom w:w="0" w:type="dxa"/>
            <w:right w:w="108" w:type="dxa"/>
          </w:tblCellMar>
        </w:tblPrEx>
        <w:trPr>
          <w:trHeight w:val="245" w:hRule="atLeast"/>
        </w:trPr>
        <w:tc>
          <w:tcPr>
            <w:tcW w:w="1952"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p>
        </w:tc>
        <w:tc>
          <w:tcPr>
            <w:tcW w:w="99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104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96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ind w:firstLine="422" w:firstLineChars="200"/>
              <w:jc w:val="left"/>
              <w:rPr>
                <w:b/>
                <w:bCs/>
                <w:color w:val="000000"/>
                <w:kern w:val="0"/>
              </w:rPr>
            </w:pPr>
            <w:r>
              <w:rPr>
                <w:b/>
                <w:bCs/>
                <w:color w:val="000000"/>
                <w:kern w:val="0"/>
              </w:rPr>
              <w:t>　</w:t>
            </w:r>
          </w:p>
        </w:tc>
        <w:tc>
          <w:tcPr>
            <w:tcW w:w="201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乡镇级结转</w:t>
            </w:r>
          </w:p>
        </w:tc>
        <w:tc>
          <w:tcPr>
            <w:tcW w:w="106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6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14"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60" w:lineRule="exact"/>
              <w:jc w:val="left"/>
              <w:rPr>
                <w:b/>
                <w:color w:val="000000"/>
                <w:kern w:val="0"/>
              </w:rPr>
            </w:pPr>
            <w:r>
              <w:rPr>
                <w:b/>
                <w:color w:val="000000"/>
                <w:kern w:val="0"/>
              </w:rPr>
              <w:t>　</w:t>
            </w:r>
            <w:r>
              <w:rPr>
                <w:rFonts w:hint="eastAsia"/>
                <w:b/>
                <w:color w:val="000000"/>
                <w:kern w:val="0"/>
              </w:rPr>
              <w:t>449</w:t>
            </w:r>
          </w:p>
        </w:tc>
      </w:tr>
    </w:tbl>
    <w:p>
      <w:pPr>
        <w:spacing w:line="560" w:lineRule="exact"/>
        <w:ind w:firstLine="640" w:firstLineChars="200"/>
        <w:rPr>
          <w:rFonts w:eastAsia="方正仿宋_GBK"/>
          <w:sz w:val="32"/>
          <w:szCs w:val="32"/>
        </w:rPr>
      </w:pPr>
      <w:r>
        <w:rPr>
          <w:rFonts w:eastAsia="方正仿宋_GBK"/>
          <w:sz w:val="32"/>
          <w:szCs w:val="32"/>
        </w:rPr>
        <w:t>——债务付息支出</w:t>
      </w:r>
      <w:r>
        <w:rPr>
          <w:rFonts w:hint="eastAsia" w:eastAsia="方正仿宋_GBK"/>
          <w:sz w:val="32"/>
          <w:szCs w:val="32"/>
        </w:rPr>
        <w:t>9029</w:t>
      </w:r>
      <w:r>
        <w:rPr>
          <w:rFonts w:eastAsia="方正仿宋_GBK"/>
          <w:sz w:val="32"/>
          <w:szCs w:val="32"/>
        </w:rPr>
        <w:t>万元。</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（二）政府性基金预算执行情况</w:t>
      </w:r>
    </w:p>
    <w:p>
      <w:pPr>
        <w:spacing w:line="560" w:lineRule="exact"/>
        <w:ind w:firstLine="640" w:firstLineChars="200"/>
        <w:rPr>
          <w:rFonts w:eastAsia="方正仿宋_GBK"/>
          <w:b/>
          <w:sz w:val="32"/>
          <w:szCs w:val="32"/>
        </w:rPr>
      </w:pPr>
      <w:r>
        <w:rPr>
          <w:rFonts w:eastAsia="方正仿宋_GBK"/>
          <w:bCs/>
          <w:sz w:val="32"/>
          <w:szCs w:val="32"/>
        </w:rPr>
        <w:t>1.收入预算执行情况。</w:t>
      </w:r>
      <w:r>
        <w:rPr>
          <w:rFonts w:hint="eastAsia" w:eastAsia="方正仿宋_GBK"/>
          <w:sz w:val="32"/>
          <w:szCs w:val="32"/>
        </w:rPr>
        <w:t>全县</w:t>
      </w:r>
      <w:r>
        <w:rPr>
          <w:rFonts w:eastAsia="方正仿宋_GBK"/>
          <w:sz w:val="32"/>
          <w:szCs w:val="32"/>
        </w:rPr>
        <w:t>政府性基金收入</w:t>
      </w:r>
      <w:r>
        <w:rPr>
          <w:rFonts w:hint="eastAsia" w:eastAsia="方正仿宋_GBK"/>
          <w:sz w:val="32"/>
          <w:szCs w:val="32"/>
        </w:rPr>
        <w:t>20000</w:t>
      </w:r>
      <w:r>
        <w:rPr>
          <w:rFonts w:eastAsia="方正仿宋_GBK"/>
          <w:sz w:val="32"/>
          <w:szCs w:val="32"/>
        </w:rPr>
        <w:t>万元，完成预算的</w:t>
      </w:r>
      <w:r>
        <w:rPr>
          <w:rFonts w:hint="eastAsia" w:eastAsia="方正仿宋_GBK"/>
          <w:sz w:val="32"/>
          <w:szCs w:val="32"/>
        </w:rPr>
        <w:t>100</w:t>
      </w:r>
      <w:r>
        <w:rPr>
          <w:rFonts w:eastAsia="方正仿宋_GBK"/>
          <w:sz w:val="32"/>
          <w:szCs w:val="32"/>
        </w:rPr>
        <w:t>%，</w:t>
      </w:r>
      <w:r>
        <w:rPr>
          <w:rFonts w:hint="eastAsia" w:eastAsia="方正仿宋_GBK"/>
          <w:sz w:val="32"/>
          <w:szCs w:val="32"/>
        </w:rPr>
        <w:t>圆满完成十七届人大三次会议批准的收入计划。</w:t>
      </w:r>
      <w:r>
        <w:rPr>
          <w:rFonts w:eastAsia="方正仿宋_GBK"/>
          <w:sz w:val="32"/>
          <w:szCs w:val="32"/>
        </w:rPr>
        <w:t>加上上级补助收入</w:t>
      </w:r>
      <w:r>
        <w:rPr>
          <w:rFonts w:hint="eastAsia" w:eastAsia="方正仿宋_GBK"/>
          <w:sz w:val="32"/>
          <w:szCs w:val="32"/>
        </w:rPr>
        <w:t>74277</w:t>
      </w:r>
      <w:r>
        <w:rPr>
          <w:rFonts w:eastAsia="方正仿宋_GBK"/>
          <w:sz w:val="32"/>
          <w:szCs w:val="32"/>
        </w:rPr>
        <w:t>万元、上年结转收入</w:t>
      </w:r>
      <w:r>
        <w:rPr>
          <w:rFonts w:hint="eastAsia" w:eastAsia="方正仿宋_GBK"/>
          <w:sz w:val="32"/>
          <w:szCs w:val="32"/>
        </w:rPr>
        <w:t>32320</w:t>
      </w:r>
      <w:r>
        <w:rPr>
          <w:rFonts w:eastAsia="方正仿宋_GBK"/>
          <w:sz w:val="32"/>
          <w:szCs w:val="32"/>
        </w:rPr>
        <w:t>万元，收入总计</w:t>
      </w:r>
      <w:r>
        <w:rPr>
          <w:rFonts w:hint="eastAsia" w:eastAsia="方正仿宋_GBK"/>
          <w:sz w:val="32"/>
          <w:szCs w:val="32"/>
        </w:rPr>
        <w:t>126597</w:t>
      </w:r>
      <w:r>
        <w:rPr>
          <w:rFonts w:eastAsia="方正仿宋_GBK"/>
          <w:sz w:val="32"/>
          <w:szCs w:val="32"/>
        </w:rPr>
        <w:t>万元。</w:t>
      </w:r>
    </w:p>
    <w:p>
      <w:pPr>
        <w:spacing w:line="560" w:lineRule="exact"/>
        <w:ind w:firstLine="640" w:firstLineChars="200"/>
        <w:rPr>
          <w:rFonts w:eastAsia="方正仿宋_GBK"/>
          <w:b/>
          <w:sz w:val="32"/>
          <w:szCs w:val="32"/>
        </w:rPr>
      </w:pPr>
      <w:r>
        <w:rPr>
          <w:rFonts w:eastAsia="方正仿宋_GBK"/>
          <w:bCs/>
          <w:sz w:val="32"/>
          <w:szCs w:val="32"/>
        </w:rPr>
        <w:t>2.支出预算执行情况。</w:t>
      </w:r>
      <w:r>
        <w:rPr>
          <w:rFonts w:hint="eastAsia" w:eastAsia="方正仿宋_GBK"/>
          <w:sz w:val="32"/>
          <w:szCs w:val="32"/>
        </w:rPr>
        <w:t>全县</w:t>
      </w:r>
      <w:r>
        <w:rPr>
          <w:rFonts w:eastAsia="方正仿宋_GBK"/>
          <w:sz w:val="32"/>
          <w:szCs w:val="32"/>
        </w:rPr>
        <w:t>政府性基金支出</w:t>
      </w:r>
      <w:r>
        <w:rPr>
          <w:rFonts w:hint="eastAsia" w:eastAsia="方正仿宋_GBK"/>
          <w:sz w:val="32"/>
          <w:szCs w:val="32"/>
        </w:rPr>
        <w:t>81635</w:t>
      </w:r>
      <w:r>
        <w:rPr>
          <w:rFonts w:eastAsia="方正仿宋_GBK"/>
          <w:sz w:val="32"/>
          <w:szCs w:val="32"/>
        </w:rPr>
        <w:t>万元，完成预算的</w:t>
      </w:r>
      <w:r>
        <w:rPr>
          <w:rFonts w:hint="eastAsia" w:eastAsia="方正仿宋_GBK"/>
          <w:sz w:val="32"/>
          <w:szCs w:val="32"/>
        </w:rPr>
        <w:t>78</w:t>
      </w:r>
      <w:r>
        <w:rPr>
          <w:rFonts w:eastAsia="方正仿宋_GBK"/>
          <w:sz w:val="32"/>
          <w:szCs w:val="32"/>
        </w:rPr>
        <w:t>%，加上上解支出</w:t>
      </w:r>
      <w:r>
        <w:rPr>
          <w:rFonts w:hint="eastAsia" w:eastAsia="方正仿宋_GBK"/>
          <w:sz w:val="32"/>
          <w:szCs w:val="32"/>
        </w:rPr>
        <w:t>610</w:t>
      </w:r>
      <w:r>
        <w:rPr>
          <w:rFonts w:eastAsia="方正仿宋_GBK"/>
          <w:sz w:val="32"/>
          <w:szCs w:val="32"/>
        </w:rPr>
        <w:t>万元，调出到一般公共预算</w:t>
      </w:r>
      <w:r>
        <w:rPr>
          <w:rFonts w:hint="eastAsia" w:eastAsia="方正仿宋_GBK"/>
          <w:sz w:val="32"/>
          <w:szCs w:val="32"/>
        </w:rPr>
        <w:t>21440</w:t>
      </w:r>
      <w:r>
        <w:rPr>
          <w:rFonts w:eastAsia="方正仿宋_GBK"/>
          <w:sz w:val="32"/>
          <w:szCs w:val="32"/>
        </w:rPr>
        <w:t>万元和结转下年支出</w:t>
      </w:r>
      <w:r>
        <w:rPr>
          <w:rFonts w:hint="eastAsia" w:eastAsia="方正仿宋_GBK"/>
          <w:sz w:val="32"/>
          <w:szCs w:val="32"/>
        </w:rPr>
        <w:t>22912</w:t>
      </w:r>
      <w:r>
        <w:rPr>
          <w:rFonts w:eastAsia="方正仿宋_GBK"/>
          <w:sz w:val="32"/>
          <w:szCs w:val="32"/>
        </w:rPr>
        <w:t>万元后，支出总计</w:t>
      </w:r>
      <w:r>
        <w:rPr>
          <w:rFonts w:hint="eastAsia" w:eastAsia="方正仿宋_GBK"/>
          <w:sz w:val="32"/>
          <w:szCs w:val="32"/>
        </w:rPr>
        <w:t>126597</w:t>
      </w:r>
      <w:r>
        <w:rPr>
          <w:rFonts w:eastAsia="方正仿宋_GBK"/>
          <w:sz w:val="32"/>
          <w:szCs w:val="32"/>
        </w:rPr>
        <w:t>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分支出功能科目执行情况如下：</w:t>
      </w:r>
    </w:p>
    <w:p>
      <w:pPr>
        <w:spacing w:line="560" w:lineRule="exact"/>
        <w:ind w:firstLine="640" w:firstLineChars="200"/>
        <w:rPr>
          <w:rFonts w:eastAsia="方正仿宋_GBK"/>
          <w:sz w:val="32"/>
          <w:szCs w:val="32"/>
          <w:lang w:val="zh-CN"/>
        </w:rPr>
      </w:pPr>
      <w:r>
        <w:rPr>
          <w:rFonts w:hint="eastAsia" w:eastAsia="方正仿宋_GBK"/>
          <w:sz w:val="32"/>
          <w:szCs w:val="32"/>
          <w:lang w:val="zh-CN"/>
        </w:rPr>
        <w:t>——文化旅游体育与传传媒支出36万元；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——社会保障和就业支出1733万元；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——城乡社区支出73203万元；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——农林水支出1377万元；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——其他支出2181万元；</w:t>
      </w:r>
    </w:p>
    <w:p>
      <w:pPr>
        <w:spacing w:line="560" w:lineRule="exact"/>
        <w:ind w:firstLine="640" w:firstLineChars="200"/>
        <w:rPr>
          <w:rFonts w:eastAsia="方正仿宋_GBK"/>
          <w:sz w:val="32"/>
          <w:szCs w:val="32"/>
          <w:lang w:val="zh-CN"/>
        </w:rPr>
      </w:pPr>
      <w:r>
        <w:rPr>
          <w:rFonts w:hint="eastAsia" w:eastAsia="方正仿宋_GBK"/>
          <w:sz w:val="32"/>
          <w:szCs w:val="32"/>
          <w:lang w:val="zh-CN"/>
        </w:rPr>
        <w:t>——债务付息支出369万元。</w:t>
      </w:r>
    </w:p>
    <w:p>
      <w:pPr>
        <w:spacing w:line="560" w:lineRule="exact"/>
        <w:rPr>
          <w:rFonts w:ascii="方正楷体_GBK" w:eastAsia="方正楷体_GBK"/>
          <w:bCs/>
          <w:sz w:val="32"/>
          <w:szCs w:val="32"/>
        </w:rPr>
      </w:pPr>
      <w:r>
        <w:rPr>
          <w:rFonts w:hint="eastAsia" w:ascii="方正楷体_GBK" w:eastAsia="方正楷体_GBK"/>
          <w:bCs/>
          <w:sz w:val="32"/>
          <w:szCs w:val="32"/>
        </w:rPr>
        <w:t>（三）国有资本经营预算执行情况</w:t>
      </w:r>
    </w:p>
    <w:tbl>
      <w:tblPr>
        <w:tblStyle w:val="8"/>
        <w:tblpPr w:leftFromText="180" w:rightFromText="180" w:vertAnchor="text" w:horzAnchor="margin" w:tblpXSpec="center" w:tblpY="248"/>
        <w:tblW w:w="9755" w:type="dxa"/>
        <w:tblInd w:w="0" w:type="dxa"/>
        <w:tblLayout w:type="fixed"/>
        <w:tblCellMar>
          <w:top w:w="0" w:type="dxa"/>
          <w:left w:w="108" w:type="dxa"/>
          <w:bottom w:w="0" w:type="dxa"/>
          <w:right w:w="108" w:type="dxa"/>
        </w:tblCellMar>
      </w:tblPr>
      <w:tblGrid>
        <w:gridCol w:w="1902"/>
        <w:gridCol w:w="965"/>
        <w:gridCol w:w="1020"/>
        <w:gridCol w:w="943"/>
        <w:gridCol w:w="1960"/>
        <w:gridCol w:w="1037"/>
        <w:gridCol w:w="1038"/>
        <w:gridCol w:w="890"/>
      </w:tblGrid>
      <w:tr>
        <w:tblPrEx>
          <w:tblCellMar>
            <w:top w:w="0" w:type="dxa"/>
            <w:left w:w="108" w:type="dxa"/>
            <w:bottom w:w="0" w:type="dxa"/>
            <w:right w:w="108" w:type="dxa"/>
          </w:tblCellMar>
        </w:tblPrEx>
        <w:trPr>
          <w:trHeight w:val="711" w:hRule="atLeast"/>
        </w:trPr>
        <w:tc>
          <w:tcPr>
            <w:tcW w:w="9755" w:type="dxa"/>
            <w:gridSpan w:val="8"/>
            <w:tcBorders>
              <w:top w:val="nil"/>
              <w:left w:val="nil"/>
              <w:bottom w:val="nil"/>
              <w:right w:val="nil"/>
            </w:tcBorders>
            <w:shd w:val="clear" w:color="auto" w:fill="auto"/>
            <w:vAlign w:val="center"/>
          </w:tcPr>
          <w:p>
            <w:pPr>
              <w:widowControl/>
              <w:spacing w:line="560" w:lineRule="exact"/>
              <w:jc w:val="center"/>
              <w:rPr>
                <w:rFonts w:ascii="方正黑体_GBK" w:hAnsi="宋体" w:eastAsia="方正黑体_GBK" w:cs="宋体"/>
                <w:color w:val="000000"/>
                <w:kern w:val="0"/>
                <w:sz w:val="36"/>
                <w:szCs w:val="36"/>
              </w:rPr>
            </w:pPr>
            <w:r>
              <w:rPr>
                <w:rFonts w:hint="eastAsia" w:ascii="方正黑体_GBK" w:hAnsi="宋体" w:eastAsia="方正黑体_GBK" w:cs="宋体"/>
                <w:color w:val="000000"/>
                <w:kern w:val="0"/>
                <w:sz w:val="36"/>
                <w:szCs w:val="36"/>
              </w:rPr>
              <w:t>城口县2019年国有资本经营预算收支平衡表</w:t>
            </w:r>
          </w:p>
        </w:tc>
      </w:tr>
      <w:tr>
        <w:tblPrEx>
          <w:tblCellMar>
            <w:top w:w="0" w:type="dxa"/>
            <w:left w:w="108" w:type="dxa"/>
            <w:bottom w:w="0" w:type="dxa"/>
            <w:right w:w="108" w:type="dxa"/>
          </w:tblCellMar>
        </w:tblPrEx>
        <w:trPr>
          <w:trHeight w:val="319" w:hRule="atLeast"/>
        </w:trPr>
        <w:tc>
          <w:tcPr>
            <w:tcW w:w="1902"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65"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1020"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943" w:type="dxa"/>
            <w:tcBorders>
              <w:top w:val="nil"/>
              <w:left w:val="nil"/>
              <w:bottom w:val="single" w:color="auto" w:sz="12" w:space="0"/>
              <w:right w:val="nil"/>
            </w:tcBorders>
            <w:shd w:val="clear" w:color="auto" w:fill="auto"/>
            <w:vAlign w:val="center"/>
          </w:tcPr>
          <w:p>
            <w:pPr>
              <w:widowControl/>
              <w:spacing w:line="560" w:lineRule="exact"/>
              <w:ind w:firstLine="640" w:firstLineChars="200"/>
              <w:jc w:val="left"/>
              <w:rPr>
                <w:color w:val="000000"/>
                <w:kern w:val="0"/>
                <w:sz w:val="32"/>
                <w:szCs w:val="32"/>
              </w:rPr>
            </w:pPr>
          </w:p>
        </w:tc>
        <w:tc>
          <w:tcPr>
            <w:tcW w:w="4925" w:type="dxa"/>
            <w:gridSpan w:val="4"/>
            <w:tcBorders>
              <w:top w:val="nil"/>
              <w:left w:val="nil"/>
              <w:bottom w:val="single" w:color="auto" w:sz="12" w:space="0"/>
              <w:right w:val="nil"/>
            </w:tcBorders>
            <w:shd w:val="clear" w:color="auto" w:fill="auto"/>
            <w:vAlign w:val="center"/>
          </w:tcPr>
          <w:p>
            <w:pPr>
              <w:widowControl/>
              <w:spacing w:line="560" w:lineRule="exact"/>
              <w:ind w:right="480" w:firstLine="960" w:firstLineChars="400"/>
              <w:jc w:val="right"/>
              <w:rPr>
                <w:rFonts w:ascii="方正仿宋_GBK" w:hAnsi="宋体" w:eastAsia="方正仿宋_GBK" w:cs="宋体"/>
                <w:color w:val="000000"/>
                <w:kern w:val="0"/>
                <w:sz w:val="24"/>
                <w:szCs w:val="32"/>
              </w:rPr>
            </w:pPr>
            <w:r>
              <w:rPr>
                <w:rFonts w:hint="eastAsia" w:ascii="方正仿宋_GBK" w:hAnsi="宋体" w:eastAsia="方正仿宋_GBK" w:cs="宋体"/>
                <w:color w:val="000000"/>
                <w:kern w:val="0"/>
                <w:sz w:val="24"/>
                <w:szCs w:val="32"/>
              </w:rPr>
              <w:t>单位：万元</w:t>
            </w:r>
          </w:p>
        </w:tc>
      </w:tr>
      <w:tr>
        <w:tblPrEx>
          <w:tblCellMar>
            <w:top w:w="0" w:type="dxa"/>
            <w:left w:w="108" w:type="dxa"/>
            <w:bottom w:w="0" w:type="dxa"/>
            <w:right w:w="108" w:type="dxa"/>
          </w:tblCellMar>
        </w:tblPrEx>
        <w:trPr>
          <w:trHeight w:val="579" w:hRule="atLeast"/>
        </w:trPr>
        <w:tc>
          <w:tcPr>
            <w:tcW w:w="1902"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收      入</w:t>
            </w:r>
          </w:p>
        </w:tc>
        <w:tc>
          <w:tcPr>
            <w:tcW w:w="965"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2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43"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c>
          <w:tcPr>
            <w:tcW w:w="196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支      出</w:t>
            </w:r>
          </w:p>
        </w:tc>
        <w:tc>
          <w:tcPr>
            <w:tcW w:w="103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3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890"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3550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2950</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2960</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000000"/>
                <w:kern w:val="0"/>
              </w:rPr>
            </w:pPr>
            <w:r>
              <w:rPr>
                <w:rFonts w:hint="eastAsia" w:ascii="方正仿宋_GBK" w:hAnsi="宋体" w:eastAsia="方正仿宋_GBK" w:cs="宋体"/>
                <w:color w:val="000000"/>
                <w:kern w:val="0"/>
              </w:rPr>
              <w:t>总计</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3550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2950</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b/>
                <w:color w:val="000000"/>
                <w:kern w:val="0"/>
              </w:rPr>
            </w:pPr>
            <w:r>
              <w:rPr>
                <w:rFonts w:hint="eastAsia"/>
                <w:b/>
                <w:color w:val="000000"/>
                <w:sz w:val="24"/>
              </w:rPr>
              <w:t>2960</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一、县级收入</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3550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2950</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2960</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一、县级支出</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1550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950</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b/>
                <w:bCs/>
                <w:color w:val="000000"/>
                <w:kern w:val="0"/>
              </w:rPr>
            </w:pP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利润收入</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1750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1750</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1760</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县本级支出</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1550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950</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ind w:firstLine="422" w:firstLineChars="200"/>
              <w:jc w:val="center"/>
              <w:rPr>
                <w:b/>
                <w:color w:val="000000"/>
                <w:kern w:val="0"/>
              </w:rPr>
            </w:pPr>
          </w:p>
        </w:tc>
      </w:tr>
      <w:tr>
        <w:tblPrEx>
          <w:tblCellMar>
            <w:top w:w="0" w:type="dxa"/>
            <w:left w:w="108" w:type="dxa"/>
            <w:bottom w:w="0" w:type="dxa"/>
            <w:right w:w="108" w:type="dxa"/>
          </w:tblCellMar>
        </w:tblPrEx>
        <w:trPr>
          <w:trHeight w:val="1102" w:hRule="atLeast"/>
        </w:trPr>
        <w:tc>
          <w:tcPr>
            <w:tcW w:w="1902"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其他国有资本经营预算收入</w:t>
            </w:r>
          </w:p>
        </w:tc>
        <w:tc>
          <w:tcPr>
            <w:tcW w:w="96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1800</w:t>
            </w:r>
          </w:p>
        </w:tc>
        <w:tc>
          <w:tcPr>
            <w:tcW w:w="102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1200</w:t>
            </w:r>
          </w:p>
        </w:tc>
        <w:tc>
          <w:tcPr>
            <w:tcW w:w="94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1200</w:t>
            </w:r>
          </w:p>
        </w:tc>
        <w:tc>
          <w:tcPr>
            <w:tcW w:w="196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乡镇级支出</w:t>
            </w:r>
          </w:p>
        </w:tc>
        <w:tc>
          <w:tcPr>
            <w:tcW w:w="103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center"/>
              <w:rPr>
                <w:b/>
                <w:color w:val="000000"/>
                <w:sz w:val="24"/>
              </w:rPr>
            </w:pPr>
          </w:p>
        </w:tc>
        <w:tc>
          <w:tcPr>
            <w:tcW w:w="10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center"/>
              <w:rPr>
                <w:b/>
                <w:color w:val="000000"/>
                <w:sz w:val="24"/>
              </w:rPr>
            </w:pPr>
          </w:p>
        </w:tc>
        <w:tc>
          <w:tcPr>
            <w:tcW w:w="890"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60" w:lineRule="exact"/>
              <w:ind w:firstLine="422" w:firstLineChars="200"/>
              <w:jc w:val="center"/>
              <w:rPr>
                <w:b/>
                <w:color w:val="000000"/>
                <w:kern w:val="0"/>
              </w:rPr>
            </w:pPr>
          </w:p>
        </w:tc>
      </w:tr>
      <w:tr>
        <w:tblPrEx>
          <w:tblCellMar>
            <w:top w:w="0" w:type="dxa"/>
            <w:left w:w="108" w:type="dxa"/>
            <w:bottom w:w="0" w:type="dxa"/>
            <w:right w:w="108" w:type="dxa"/>
          </w:tblCellMar>
        </w:tblPrEx>
        <w:tc>
          <w:tcPr>
            <w:tcW w:w="1902"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收      入</w:t>
            </w:r>
          </w:p>
        </w:tc>
        <w:tc>
          <w:tcPr>
            <w:tcW w:w="965"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2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943"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c>
          <w:tcPr>
            <w:tcW w:w="196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支      出</w:t>
            </w:r>
          </w:p>
        </w:tc>
        <w:tc>
          <w:tcPr>
            <w:tcW w:w="103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预算数</w:t>
            </w:r>
          </w:p>
        </w:tc>
        <w:tc>
          <w:tcPr>
            <w:tcW w:w="103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调整数</w:t>
            </w:r>
          </w:p>
        </w:tc>
        <w:tc>
          <w:tcPr>
            <w:tcW w:w="890"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rFonts w:ascii="方正黑体_GBK" w:hAnsi="宋体" w:eastAsia="方正黑体_GBK" w:cs="宋体"/>
                <w:color w:val="000000"/>
                <w:kern w:val="0"/>
              </w:rPr>
            </w:pPr>
            <w:r>
              <w:rPr>
                <w:rFonts w:hint="eastAsia" w:ascii="方正黑体_GBK" w:hAnsi="宋体" w:eastAsia="方正黑体_GBK" w:cs="宋体"/>
                <w:color w:val="000000"/>
                <w:kern w:val="0"/>
              </w:rPr>
              <w:t>执行数</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二、上级补助收入</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b/>
                <w:bCs/>
                <w:color w:val="000000"/>
                <w:kern w:val="0"/>
              </w:rPr>
            </w:pPr>
            <w:r>
              <w:rPr>
                <w:rFonts w:hint="eastAsia" w:eastAsia="方正仿宋_GBK"/>
                <w:b/>
                <w:bCs/>
                <w:color w:val="000000"/>
                <w:kern w:val="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b/>
                <w:bCs/>
                <w:color w:val="000000"/>
                <w:kern w:val="0"/>
              </w:rPr>
            </w:pPr>
            <w:r>
              <w:rPr>
                <w:rFonts w:hint="eastAsia" w:eastAsia="方正仿宋_GBK"/>
                <w:b/>
                <w:bCs/>
                <w:color w:val="000000"/>
                <w:kern w:val="0"/>
              </w:rPr>
              <w:t>　</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2" w:firstLineChars="200"/>
              <w:jc w:val="center"/>
              <w:rPr>
                <w:b/>
                <w:bCs/>
                <w:color w:val="000000"/>
                <w:kern w:val="0"/>
              </w:rPr>
            </w:pP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r>
              <w:rPr>
                <w:rFonts w:hint="eastAsia" w:ascii="方正楷体_GBK" w:hAnsi="宋体" w:eastAsia="方正楷体_GBK" w:cs="宋体"/>
                <w:b/>
                <w:bCs/>
                <w:color w:val="000000"/>
                <w:kern w:val="0"/>
              </w:rPr>
              <w:t>二、转移性支出</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2000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2000</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b/>
                <w:bCs/>
                <w:color w:val="000000"/>
                <w:kern w:val="0"/>
              </w:rPr>
            </w:pPr>
            <w:r>
              <w:rPr>
                <w:rFonts w:hint="eastAsia"/>
                <w:b/>
                <w:color w:val="000000"/>
                <w:sz w:val="24"/>
              </w:rPr>
              <w:t>2950</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b/>
                <w:bCs/>
                <w:color w:val="000000"/>
                <w:kern w:val="0"/>
              </w:rPr>
              <w:t>三、上年结转收入</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0" w:firstLineChars="200"/>
              <w:jc w:val="left"/>
              <w:rPr>
                <w:color w:val="000000"/>
                <w:kern w:val="0"/>
              </w:rPr>
            </w:pPr>
            <w:r>
              <w:rPr>
                <w:color w:val="000000"/>
                <w:kern w:val="0"/>
              </w:rPr>
              <w:t>　</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调出资金</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b/>
                <w:color w:val="000000"/>
                <w:sz w:val="24"/>
              </w:rPr>
              <w:t>2000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b/>
                <w:color w:val="000000"/>
                <w:sz w:val="24"/>
              </w:rPr>
            </w:pPr>
            <w:r>
              <w:rPr>
                <w:rFonts w:hint="eastAsia"/>
                <w:b/>
                <w:color w:val="000000"/>
                <w:sz w:val="24"/>
              </w:rPr>
              <w:t>2</w:t>
            </w:r>
            <w:r>
              <w:rPr>
                <w:b/>
                <w:color w:val="000000"/>
                <w:sz w:val="24"/>
              </w:rPr>
              <w:t>000</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b/>
                <w:color w:val="000000"/>
                <w:sz w:val="24"/>
              </w:rPr>
            </w:pPr>
            <w:r>
              <w:rPr>
                <w:rFonts w:hint="eastAsia"/>
                <w:b/>
                <w:color w:val="000000"/>
                <w:sz w:val="24"/>
              </w:rPr>
              <w:t>2950</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rPr>
            </w:pPr>
            <w:r>
              <w:rPr>
                <w:rFonts w:hint="eastAsia" w:ascii="方正仿宋_GBK" w:hAnsi="宋体" w:eastAsia="方正仿宋_GBK" w:cs="宋体"/>
                <w:color w:val="000000"/>
                <w:kern w:val="0"/>
              </w:rPr>
              <w:t>　</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420" w:firstLineChars="200"/>
              <w:jc w:val="left"/>
              <w:rPr>
                <w:color w:val="000000"/>
                <w:kern w:val="0"/>
              </w:rPr>
            </w:pPr>
            <w:r>
              <w:rPr>
                <w:color w:val="000000"/>
                <w:kern w:val="0"/>
              </w:rPr>
              <w:t>　</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结转下年支出</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color w:val="000000"/>
                <w:kern w:val="0"/>
              </w:rPr>
            </w:pPr>
            <w:r>
              <w:rPr>
                <w:rFonts w:hint="eastAsia" w:ascii="方正仿宋_GBK" w:hAnsi="宋体" w:eastAsia="方正仿宋_GBK" w:cs="宋体"/>
                <w:b/>
                <w:color w:val="000000"/>
                <w:kern w:val="0"/>
              </w:rPr>
              <w:t>　</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color w:val="000000"/>
                <w:kern w:val="0"/>
              </w:rPr>
            </w:pPr>
            <w:r>
              <w:rPr>
                <w:rFonts w:hint="eastAsia" w:ascii="方正仿宋_GBK" w:hAnsi="宋体" w:eastAsia="方正仿宋_GBK" w:cs="宋体"/>
                <w:b/>
                <w:color w:val="000000"/>
                <w:kern w:val="0"/>
              </w:rPr>
              <w:t>　</w:t>
            </w:r>
          </w:p>
        </w:tc>
        <w:tc>
          <w:tcPr>
            <w:tcW w:w="890"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560" w:lineRule="exact"/>
              <w:jc w:val="center"/>
              <w:rPr>
                <w:b/>
                <w:color w:val="000000"/>
                <w:sz w:val="24"/>
              </w:rPr>
            </w:pPr>
            <w:r>
              <w:rPr>
                <w:rFonts w:hint="eastAsia"/>
                <w:b/>
                <w:color w:val="000000"/>
                <w:sz w:val="24"/>
              </w:rPr>
              <w:t>10</w:t>
            </w:r>
          </w:p>
        </w:tc>
      </w:tr>
      <w:tr>
        <w:tblPrEx>
          <w:tblCellMar>
            <w:top w:w="0" w:type="dxa"/>
            <w:left w:w="108" w:type="dxa"/>
            <w:bottom w:w="0" w:type="dxa"/>
            <w:right w:w="108" w:type="dxa"/>
          </w:tblCellMar>
        </w:tblPrEx>
        <w:trPr>
          <w:trHeight w:val="473" w:hRule="atLeast"/>
        </w:trPr>
        <w:tc>
          <w:tcPr>
            <w:tcW w:w="1902"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60" w:lineRule="exact"/>
              <w:jc w:val="left"/>
              <w:rPr>
                <w:rFonts w:ascii="方正楷体_GBK" w:hAnsi="宋体" w:eastAsia="方正楷体_GBK" w:cs="宋体"/>
                <w:b/>
                <w:bCs/>
                <w:color w:val="000000"/>
                <w:kern w:val="0"/>
              </w:rPr>
            </w:pPr>
          </w:p>
        </w:tc>
        <w:tc>
          <w:tcPr>
            <w:tcW w:w="96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102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bCs/>
                <w:color w:val="000000"/>
                <w:kern w:val="0"/>
              </w:rPr>
            </w:pPr>
            <w:r>
              <w:rPr>
                <w:rFonts w:hint="eastAsia" w:ascii="方正仿宋_GBK" w:hAnsi="宋体" w:eastAsia="方正仿宋_GBK" w:cs="宋体"/>
                <w:b/>
                <w:bCs/>
                <w:color w:val="000000"/>
                <w:kern w:val="0"/>
              </w:rPr>
              <w:t>　</w:t>
            </w:r>
          </w:p>
        </w:tc>
        <w:tc>
          <w:tcPr>
            <w:tcW w:w="94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ind w:firstLine="422" w:firstLineChars="200"/>
              <w:jc w:val="left"/>
              <w:rPr>
                <w:b/>
                <w:bCs/>
                <w:color w:val="000000"/>
                <w:kern w:val="0"/>
              </w:rPr>
            </w:pPr>
            <w:r>
              <w:rPr>
                <w:b/>
                <w:bCs/>
                <w:color w:val="000000"/>
                <w:kern w:val="0"/>
              </w:rPr>
              <w:t>　</w:t>
            </w:r>
          </w:p>
        </w:tc>
        <w:tc>
          <w:tcPr>
            <w:tcW w:w="196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ind w:firstLine="210" w:firstLineChars="100"/>
              <w:jc w:val="left"/>
              <w:rPr>
                <w:rFonts w:ascii="方正仿宋_GBK" w:hAnsi="宋体" w:eastAsia="方正仿宋_GBK" w:cs="宋体"/>
                <w:color w:val="000000"/>
                <w:kern w:val="0"/>
              </w:rPr>
            </w:pPr>
            <w:r>
              <w:rPr>
                <w:rFonts w:hint="eastAsia" w:ascii="方正仿宋_GBK" w:hAnsi="宋体" w:eastAsia="方正仿宋_GBK" w:cs="宋体"/>
                <w:color w:val="000000"/>
                <w:kern w:val="0"/>
              </w:rPr>
              <w:t>　县本级结转</w:t>
            </w:r>
          </w:p>
        </w:tc>
        <w:tc>
          <w:tcPr>
            <w:tcW w:w="103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color w:val="000000"/>
                <w:kern w:val="0"/>
              </w:rPr>
            </w:pPr>
            <w:r>
              <w:rPr>
                <w:rFonts w:hint="eastAsia" w:ascii="方正仿宋_GBK" w:hAnsi="宋体" w:eastAsia="方正仿宋_GBK" w:cs="宋体"/>
                <w:b/>
                <w:color w:val="000000"/>
                <w:kern w:val="0"/>
              </w:rPr>
              <w:t>　</w:t>
            </w:r>
          </w:p>
        </w:tc>
        <w:tc>
          <w:tcPr>
            <w:tcW w:w="10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560" w:lineRule="exact"/>
              <w:jc w:val="left"/>
              <w:rPr>
                <w:rFonts w:ascii="方正仿宋_GBK" w:hAnsi="宋体" w:eastAsia="方正仿宋_GBK" w:cs="宋体"/>
                <w:b/>
                <w:color w:val="000000"/>
                <w:kern w:val="0"/>
              </w:rPr>
            </w:pPr>
            <w:r>
              <w:rPr>
                <w:rFonts w:hint="eastAsia" w:ascii="方正仿宋_GBK" w:hAnsi="宋体" w:eastAsia="方正仿宋_GBK" w:cs="宋体"/>
                <w:b/>
                <w:color w:val="000000"/>
                <w:kern w:val="0"/>
              </w:rPr>
              <w:t>　</w:t>
            </w:r>
          </w:p>
        </w:tc>
        <w:tc>
          <w:tcPr>
            <w:tcW w:w="890"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60" w:lineRule="exact"/>
              <w:jc w:val="center"/>
              <w:rPr>
                <w:b/>
                <w:color w:val="000000"/>
                <w:sz w:val="24"/>
              </w:rPr>
            </w:pPr>
            <w:r>
              <w:rPr>
                <w:rFonts w:hint="eastAsia"/>
                <w:b/>
                <w:color w:val="000000"/>
                <w:sz w:val="24"/>
              </w:rPr>
              <w:t>10</w:t>
            </w:r>
          </w:p>
        </w:tc>
      </w:tr>
    </w:tbl>
    <w:p>
      <w:pPr>
        <w:spacing w:line="560" w:lineRule="exact"/>
        <w:ind w:firstLine="640" w:firstLineChars="200"/>
        <w:rPr>
          <w:rFonts w:eastAsia="方正仿宋_GBK"/>
          <w:sz w:val="32"/>
          <w:szCs w:val="32"/>
        </w:rPr>
      </w:pPr>
      <w:r>
        <w:rPr>
          <w:rFonts w:eastAsia="方正仿宋_GBK"/>
          <w:bCs/>
          <w:sz w:val="32"/>
          <w:szCs w:val="32"/>
        </w:rPr>
        <w:t>1.收入预算执行情况</w:t>
      </w:r>
      <w:r>
        <w:rPr>
          <w:rFonts w:eastAsia="方正仿宋_GBK"/>
          <w:b/>
          <w:sz w:val="32"/>
          <w:szCs w:val="32"/>
        </w:rPr>
        <w:t>。</w:t>
      </w:r>
      <w:r>
        <w:rPr>
          <w:rFonts w:hint="eastAsia" w:eastAsia="方正仿宋_GBK"/>
          <w:sz w:val="32"/>
          <w:szCs w:val="32"/>
        </w:rPr>
        <w:t>经县十七届人大常委会第二十次会议审查批准，全县国有资本经营预算收入计划从年初的3550万元调整到2950万元，同比增幅由年初的22%调整到1%。2019年实际</w:t>
      </w:r>
      <w:r>
        <w:rPr>
          <w:rFonts w:eastAsia="方正仿宋_GBK"/>
          <w:sz w:val="32"/>
          <w:szCs w:val="32"/>
        </w:rPr>
        <w:t>完成</w:t>
      </w:r>
      <w:r>
        <w:rPr>
          <w:rFonts w:hint="eastAsia" w:eastAsia="方正仿宋_GBK"/>
          <w:sz w:val="32"/>
          <w:szCs w:val="32"/>
        </w:rPr>
        <w:t>2960</w:t>
      </w:r>
      <w:r>
        <w:rPr>
          <w:rFonts w:eastAsia="方正仿宋_GBK"/>
          <w:sz w:val="32"/>
          <w:szCs w:val="32"/>
        </w:rPr>
        <w:t>万元，完成</w:t>
      </w:r>
      <w:r>
        <w:rPr>
          <w:rFonts w:hint="eastAsia" w:eastAsia="方正仿宋_GBK"/>
          <w:sz w:val="32"/>
          <w:szCs w:val="32"/>
        </w:rPr>
        <w:t>调整</w:t>
      </w:r>
      <w:r>
        <w:rPr>
          <w:rFonts w:eastAsia="方正仿宋_GBK"/>
          <w:sz w:val="32"/>
          <w:szCs w:val="32"/>
        </w:rPr>
        <w:t>预算的</w:t>
      </w:r>
      <w:r>
        <w:rPr>
          <w:rFonts w:hint="eastAsia" w:eastAsia="方正仿宋_GBK"/>
          <w:sz w:val="32"/>
          <w:szCs w:val="32"/>
        </w:rPr>
        <w:t>100</w:t>
      </w:r>
      <w:r>
        <w:rPr>
          <w:rFonts w:eastAsia="方正仿宋_GBK"/>
          <w:sz w:val="32"/>
          <w:szCs w:val="32"/>
        </w:rPr>
        <w:t>%</w:t>
      </w:r>
      <w:r>
        <w:rPr>
          <w:rFonts w:hint="eastAsia" w:eastAsia="方正仿宋_GBK"/>
          <w:sz w:val="32"/>
          <w:szCs w:val="32"/>
        </w:rPr>
        <w:t>，超额完成调整后的收入计划。无</w:t>
      </w:r>
      <w:r>
        <w:rPr>
          <w:rFonts w:eastAsia="方正仿宋_GBK"/>
          <w:sz w:val="32"/>
          <w:szCs w:val="32"/>
        </w:rPr>
        <w:t>上年结转</w:t>
      </w:r>
      <w:r>
        <w:rPr>
          <w:rFonts w:hint="eastAsia" w:eastAsia="方正仿宋_GBK"/>
          <w:sz w:val="32"/>
          <w:szCs w:val="32"/>
        </w:rPr>
        <w:t>等其它收入</w:t>
      </w:r>
      <w:r>
        <w:rPr>
          <w:rFonts w:eastAsia="方正仿宋_GBK"/>
          <w:sz w:val="32"/>
          <w:szCs w:val="32"/>
        </w:rPr>
        <w:t>，收入总计</w:t>
      </w:r>
      <w:r>
        <w:rPr>
          <w:rFonts w:hint="eastAsia" w:eastAsia="方正仿宋_GBK"/>
          <w:sz w:val="32"/>
          <w:szCs w:val="32"/>
        </w:rPr>
        <w:t>2960</w:t>
      </w:r>
      <w:r>
        <w:rPr>
          <w:rFonts w:eastAsia="方正仿宋_GBK"/>
          <w:sz w:val="32"/>
          <w:szCs w:val="32"/>
        </w:rPr>
        <w:t>万元。</w:t>
      </w:r>
    </w:p>
    <w:p>
      <w:pPr>
        <w:spacing w:line="560" w:lineRule="exact"/>
        <w:ind w:firstLine="640" w:firstLineChars="200"/>
        <w:rPr>
          <w:rFonts w:eastAsia="方正仿宋_GBK"/>
          <w:sz w:val="32"/>
          <w:szCs w:val="32"/>
        </w:rPr>
      </w:pPr>
      <w:r>
        <w:rPr>
          <w:rFonts w:eastAsia="方正仿宋_GBK"/>
          <w:bCs/>
          <w:sz w:val="32"/>
          <w:szCs w:val="32"/>
        </w:rPr>
        <w:t>2.支出预算执行情况。</w:t>
      </w:r>
      <w:r>
        <w:rPr>
          <w:rFonts w:hint="eastAsia" w:eastAsia="方正仿宋_GBK"/>
          <w:sz w:val="32"/>
          <w:szCs w:val="32"/>
        </w:rPr>
        <w:t>全县</w:t>
      </w:r>
      <w:r>
        <w:rPr>
          <w:rFonts w:eastAsia="方正仿宋_GBK"/>
          <w:sz w:val="32"/>
          <w:szCs w:val="32"/>
        </w:rPr>
        <w:t>国有资本经营预算</w:t>
      </w:r>
      <w:r>
        <w:rPr>
          <w:rFonts w:hint="eastAsia" w:eastAsia="方正仿宋_GBK"/>
          <w:sz w:val="32"/>
          <w:szCs w:val="32"/>
        </w:rPr>
        <w:t>收入2950万元</w:t>
      </w:r>
      <w:r>
        <w:rPr>
          <w:rFonts w:eastAsia="方正仿宋_GBK"/>
          <w:sz w:val="32"/>
          <w:szCs w:val="32"/>
        </w:rPr>
        <w:t>调出到一般公共预算</w:t>
      </w:r>
      <w:r>
        <w:rPr>
          <w:rFonts w:hint="eastAsia" w:eastAsia="方正仿宋_GBK"/>
          <w:sz w:val="32"/>
          <w:szCs w:val="32"/>
        </w:rPr>
        <w:t>统筹安排支出，结转下年支出10万元，支出总计2960万元。</w:t>
      </w:r>
    </w:p>
    <w:p>
      <w:pPr>
        <w:spacing w:line="560" w:lineRule="exact"/>
        <w:ind w:firstLine="640" w:firstLineChars="200"/>
        <w:rPr>
          <w:rFonts w:ascii="方正楷体_GBK" w:eastAsia="方正楷体_GBK"/>
          <w:b/>
          <w:sz w:val="32"/>
          <w:szCs w:val="32"/>
        </w:rPr>
      </w:pPr>
      <w:r>
        <w:rPr>
          <w:rFonts w:hint="eastAsia" w:ascii="方正楷体_GBK" w:eastAsia="方正楷体_GBK"/>
          <w:bCs/>
          <w:sz w:val="32"/>
          <w:szCs w:val="32"/>
        </w:rPr>
        <w:t>（四）社会保险基金预算执行情况</w:t>
      </w:r>
    </w:p>
    <w:p>
      <w:pPr>
        <w:spacing w:line="560" w:lineRule="exact"/>
        <w:ind w:firstLine="640" w:firstLineChars="200"/>
        <w:rPr>
          <w:rFonts w:eastAsia="方正仿宋_GBK"/>
          <w:sz w:val="32"/>
          <w:szCs w:val="32"/>
        </w:rPr>
      </w:pPr>
      <w:r>
        <w:rPr>
          <w:rFonts w:eastAsia="方正仿宋_GBK"/>
          <w:sz w:val="32"/>
          <w:szCs w:val="32"/>
        </w:rPr>
        <w:t>社会保险基金纳入全市统筹，由市财政局</w:t>
      </w:r>
      <w:r>
        <w:rPr>
          <w:rFonts w:hint="eastAsia" w:eastAsia="方正仿宋_GBK"/>
          <w:sz w:val="32"/>
          <w:szCs w:val="32"/>
        </w:rPr>
        <w:t>统一</w:t>
      </w:r>
      <w:r>
        <w:rPr>
          <w:rFonts w:eastAsia="方正仿宋_GBK"/>
          <w:sz w:val="32"/>
          <w:szCs w:val="32"/>
        </w:rPr>
        <w:t>编制全市预决算，目前市级决算正在办理，</w:t>
      </w:r>
      <w:r>
        <w:rPr>
          <w:rFonts w:hint="eastAsia" w:eastAsia="方正仿宋_GBK"/>
          <w:sz w:val="32"/>
          <w:szCs w:val="32"/>
        </w:rPr>
        <w:t>相关收支数据尚未发布。</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（五）预算稳定调节基金和预备费动用情况</w:t>
      </w:r>
    </w:p>
    <w:p>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201</w:t>
      </w:r>
      <w:r>
        <w:rPr>
          <w:rFonts w:hint="eastAsia" w:eastAsia="方正仿宋_GBK"/>
          <w:sz w:val="32"/>
          <w:szCs w:val="32"/>
        </w:rPr>
        <w:t>8</w:t>
      </w:r>
      <w:r>
        <w:rPr>
          <w:rFonts w:eastAsia="方正仿宋_GBK"/>
          <w:sz w:val="32"/>
          <w:szCs w:val="32"/>
        </w:rPr>
        <w:t>年决算办理设立的预算稳定调节基金</w:t>
      </w:r>
      <w:r>
        <w:rPr>
          <w:rFonts w:hint="eastAsia" w:eastAsia="方正仿宋_GBK"/>
          <w:sz w:val="32"/>
          <w:szCs w:val="32"/>
        </w:rPr>
        <w:t>12000</w:t>
      </w:r>
      <w:r>
        <w:rPr>
          <w:rFonts w:eastAsia="方正仿宋_GBK"/>
          <w:sz w:val="32"/>
          <w:szCs w:val="32"/>
        </w:rPr>
        <w:t>万元已全部</w:t>
      </w:r>
      <w:r>
        <w:rPr>
          <w:rFonts w:hint="eastAsia" w:eastAsia="方正仿宋_GBK"/>
          <w:sz w:val="32"/>
          <w:szCs w:val="32"/>
        </w:rPr>
        <w:t>动</w:t>
      </w:r>
      <w:r>
        <w:rPr>
          <w:rFonts w:eastAsia="方正仿宋_GBK"/>
          <w:sz w:val="32"/>
          <w:szCs w:val="32"/>
        </w:rPr>
        <w:t>用，201</w:t>
      </w:r>
      <w:r>
        <w:rPr>
          <w:rFonts w:hint="eastAsia" w:eastAsia="方正仿宋_GBK"/>
          <w:sz w:val="32"/>
          <w:szCs w:val="32"/>
        </w:rPr>
        <w:t>9</w:t>
      </w:r>
      <w:r>
        <w:rPr>
          <w:rFonts w:eastAsia="方正仿宋_GBK"/>
          <w:sz w:val="32"/>
          <w:szCs w:val="32"/>
        </w:rPr>
        <w:t>年决算办理时</w:t>
      </w:r>
      <w:r>
        <w:rPr>
          <w:rFonts w:hint="eastAsia" w:eastAsia="方正仿宋_GBK"/>
          <w:sz w:val="32"/>
          <w:szCs w:val="32"/>
        </w:rPr>
        <w:t>通过盘活存量资金、调入政府性基金结余、收回单位未执行基本支出等措施安排35500</w:t>
      </w:r>
      <w:r>
        <w:rPr>
          <w:rFonts w:eastAsia="方正仿宋_GBK"/>
          <w:sz w:val="32"/>
          <w:szCs w:val="32"/>
        </w:rPr>
        <w:t>万元，201</w:t>
      </w:r>
      <w:r>
        <w:rPr>
          <w:rFonts w:hint="eastAsia" w:eastAsia="方正仿宋_GBK"/>
          <w:sz w:val="32"/>
          <w:szCs w:val="32"/>
        </w:rPr>
        <w:t>9</w:t>
      </w:r>
      <w:r>
        <w:rPr>
          <w:rFonts w:eastAsia="方正仿宋_GBK"/>
          <w:sz w:val="32"/>
          <w:szCs w:val="32"/>
        </w:rPr>
        <w:t>年末预算稳定调节基金总额</w:t>
      </w:r>
      <w:r>
        <w:rPr>
          <w:rFonts w:hint="eastAsia" w:eastAsia="方正仿宋_GBK"/>
          <w:sz w:val="32"/>
          <w:szCs w:val="32"/>
        </w:rPr>
        <w:t>35500</w:t>
      </w:r>
      <w:r>
        <w:rPr>
          <w:rFonts w:eastAsia="方正仿宋_GBK"/>
          <w:sz w:val="32"/>
          <w:szCs w:val="32"/>
        </w:rPr>
        <w:t>万元。</w:t>
      </w:r>
    </w:p>
    <w:p>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201</w:t>
      </w:r>
      <w:r>
        <w:rPr>
          <w:rFonts w:hint="eastAsia" w:eastAsia="方正仿宋_GBK"/>
          <w:sz w:val="32"/>
          <w:szCs w:val="32"/>
        </w:rPr>
        <w:t>9</w:t>
      </w:r>
      <w:r>
        <w:rPr>
          <w:rFonts w:eastAsia="方正仿宋_GBK"/>
          <w:sz w:val="32"/>
          <w:szCs w:val="32"/>
        </w:rPr>
        <w:t>年初预算时</w:t>
      </w:r>
      <w:r>
        <w:rPr>
          <w:rFonts w:hint="eastAsia" w:eastAsia="方正仿宋_GBK"/>
          <w:sz w:val="32"/>
          <w:szCs w:val="32"/>
        </w:rPr>
        <w:t>设立</w:t>
      </w:r>
      <w:r>
        <w:rPr>
          <w:rFonts w:eastAsia="方正仿宋_GBK"/>
          <w:sz w:val="32"/>
          <w:szCs w:val="32"/>
        </w:rPr>
        <w:t>预备费</w:t>
      </w:r>
      <w:r>
        <w:rPr>
          <w:rFonts w:hint="eastAsia" w:eastAsia="方正仿宋_GBK"/>
          <w:sz w:val="32"/>
          <w:szCs w:val="32"/>
        </w:rPr>
        <w:t>2908</w:t>
      </w:r>
      <w:r>
        <w:rPr>
          <w:rFonts w:eastAsia="方正仿宋_GBK"/>
          <w:sz w:val="32"/>
          <w:szCs w:val="32"/>
        </w:rPr>
        <w:t>万元，安排</w:t>
      </w:r>
      <w:r>
        <w:rPr>
          <w:rFonts w:hint="eastAsia" w:eastAsia="方正仿宋_GBK"/>
          <w:sz w:val="32"/>
          <w:szCs w:val="32"/>
        </w:rPr>
        <w:t>资金80</w:t>
      </w:r>
      <w:r>
        <w:rPr>
          <w:rFonts w:eastAsia="方正仿宋_GBK"/>
          <w:sz w:val="32"/>
          <w:szCs w:val="32"/>
        </w:rPr>
        <w:t>万元</w:t>
      </w:r>
      <w:r>
        <w:rPr>
          <w:rFonts w:hint="eastAsia" w:eastAsia="方正仿宋_GBK"/>
          <w:sz w:val="32"/>
          <w:szCs w:val="32"/>
        </w:rPr>
        <w:t>处置厚坪乡交通事故善后事宜；安排资金185万元用于兑现困难群众临时物价补贴；安排81万元用于处置公安犯罪嫌疑人死亡善后支出。</w:t>
      </w:r>
      <w:r>
        <w:rPr>
          <w:rFonts w:eastAsia="方正仿宋_GBK"/>
          <w:sz w:val="32"/>
          <w:szCs w:val="32"/>
        </w:rPr>
        <w:t>未动用预备费</w:t>
      </w:r>
      <w:r>
        <w:rPr>
          <w:rFonts w:hint="eastAsia" w:eastAsia="方正仿宋_GBK"/>
          <w:sz w:val="32"/>
          <w:szCs w:val="32"/>
        </w:rPr>
        <w:t>2562</w:t>
      </w:r>
      <w:r>
        <w:rPr>
          <w:rFonts w:eastAsia="方正仿宋_GBK"/>
          <w:sz w:val="32"/>
          <w:szCs w:val="32"/>
        </w:rPr>
        <w:t>万元全额收回补充预算稳定调节基金。</w:t>
      </w:r>
    </w:p>
    <w:p>
      <w:pPr>
        <w:spacing w:line="560" w:lineRule="exact"/>
        <w:ind w:firstLine="640" w:firstLineChars="200"/>
        <w:rPr>
          <w:rFonts w:eastAsia="方正仿宋_GBK"/>
          <w:bCs/>
          <w:sz w:val="32"/>
          <w:szCs w:val="32"/>
        </w:rPr>
      </w:pPr>
      <w:r>
        <w:rPr>
          <w:rFonts w:hint="eastAsia" w:ascii="方正楷体_GBK" w:eastAsia="方正楷体_GBK"/>
          <w:bCs/>
          <w:sz w:val="32"/>
          <w:szCs w:val="32"/>
        </w:rPr>
        <w:t>（六）政府债务余额及变动情况。</w:t>
      </w:r>
      <w:r>
        <w:rPr>
          <w:rFonts w:eastAsia="方正仿宋_GBK"/>
          <w:sz w:val="32"/>
          <w:szCs w:val="32"/>
        </w:rPr>
        <w:t>截至目前，我县政府债务余额为</w:t>
      </w:r>
      <w:r>
        <w:rPr>
          <w:rFonts w:hint="eastAsia" w:eastAsia="方正仿宋_GBK"/>
          <w:sz w:val="32"/>
          <w:szCs w:val="32"/>
        </w:rPr>
        <w:t>29.48</w:t>
      </w:r>
      <w:r>
        <w:rPr>
          <w:rFonts w:eastAsia="方正仿宋_GBK"/>
          <w:sz w:val="32"/>
          <w:szCs w:val="32"/>
        </w:rPr>
        <w:t>亿元，政府债务率为</w:t>
      </w:r>
      <w:r>
        <w:rPr>
          <w:rFonts w:hint="eastAsia" w:eastAsia="方正仿宋_GBK"/>
          <w:sz w:val="32"/>
          <w:szCs w:val="32"/>
        </w:rPr>
        <w:t>51.54</w:t>
      </w:r>
      <w:r>
        <w:rPr>
          <w:rFonts w:eastAsia="方正仿宋_GBK"/>
          <w:sz w:val="32"/>
          <w:szCs w:val="32"/>
        </w:rPr>
        <w:t>%，与年初债务余额23.</w:t>
      </w:r>
      <w:r>
        <w:rPr>
          <w:rFonts w:hint="eastAsia" w:eastAsia="方正仿宋_GBK"/>
          <w:sz w:val="32"/>
          <w:szCs w:val="32"/>
        </w:rPr>
        <w:t>56</w:t>
      </w:r>
      <w:r>
        <w:rPr>
          <w:rFonts w:eastAsia="方正仿宋_GBK"/>
          <w:sz w:val="32"/>
          <w:szCs w:val="32"/>
        </w:rPr>
        <w:t>亿元相比</w:t>
      </w:r>
      <w:r>
        <w:rPr>
          <w:rFonts w:hint="eastAsia" w:eastAsia="方正仿宋_GBK"/>
          <w:sz w:val="32"/>
          <w:szCs w:val="32"/>
        </w:rPr>
        <w:t>净</w:t>
      </w:r>
      <w:r>
        <w:rPr>
          <w:rFonts w:eastAsia="方正仿宋_GBK"/>
          <w:sz w:val="32"/>
          <w:szCs w:val="32"/>
        </w:rPr>
        <w:t>增加</w:t>
      </w:r>
      <w:r>
        <w:rPr>
          <w:rFonts w:hint="eastAsia" w:eastAsia="方正仿宋_GBK"/>
          <w:sz w:val="32"/>
          <w:szCs w:val="32"/>
        </w:rPr>
        <w:t>5.92亿</w:t>
      </w:r>
      <w:r>
        <w:rPr>
          <w:rFonts w:eastAsia="方正仿宋_GBK"/>
          <w:sz w:val="32"/>
          <w:szCs w:val="32"/>
        </w:rPr>
        <w:t>元</w:t>
      </w:r>
      <w:r>
        <w:rPr>
          <w:rFonts w:hint="eastAsia" w:eastAsia="方正仿宋_GBK"/>
          <w:sz w:val="32"/>
          <w:szCs w:val="32"/>
        </w:rPr>
        <w:t>（</w:t>
      </w:r>
      <w:r>
        <w:rPr>
          <w:rFonts w:eastAsia="方正仿宋_GBK"/>
          <w:sz w:val="32"/>
          <w:szCs w:val="32"/>
        </w:rPr>
        <w:t>其中：新增政府债券</w:t>
      </w:r>
      <w:r>
        <w:rPr>
          <w:rFonts w:hint="eastAsia" w:eastAsia="方正仿宋_GBK"/>
          <w:sz w:val="32"/>
          <w:szCs w:val="32"/>
        </w:rPr>
        <w:t>5.99</w:t>
      </w:r>
      <w:r>
        <w:rPr>
          <w:rFonts w:eastAsia="方正仿宋_GBK"/>
          <w:sz w:val="32"/>
          <w:szCs w:val="32"/>
        </w:rPr>
        <w:t>亿元，外债转贷新增提款</w:t>
      </w:r>
      <w:r>
        <w:rPr>
          <w:rFonts w:hint="eastAsia" w:eastAsia="方正仿宋_GBK"/>
          <w:sz w:val="32"/>
          <w:szCs w:val="32"/>
        </w:rPr>
        <w:t>0.48</w:t>
      </w:r>
      <w:r>
        <w:rPr>
          <w:rFonts w:eastAsia="方正仿宋_GBK"/>
          <w:sz w:val="32"/>
          <w:szCs w:val="32"/>
        </w:rPr>
        <w:t>亿元</w:t>
      </w:r>
      <w:r>
        <w:rPr>
          <w:rFonts w:hint="eastAsia" w:eastAsia="方正仿宋_GBK"/>
          <w:sz w:val="32"/>
          <w:szCs w:val="32"/>
        </w:rPr>
        <w:t>，当年偿还0.55亿元）。年末</w:t>
      </w:r>
      <w:r>
        <w:rPr>
          <w:rFonts w:eastAsia="方正仿宋_GBK"/>
          <w:sz w:val="32"/>
          <w:szCs w:val="32"/>
        </w:rPr>
        <w:t>政府债务余额在29.6亿元限额内，政府</w:t>
      </w:r>
      <w:r>
        <w:rPr>
          <w:rFonts w:hint="eastAsia" w:eastAsia="方正仿宋_GBK"/>
          <w:sz w:val="32"/>
          <w:szCs w:val="32"/>
        </w:rPr>
        <w:t>债务</w:t>
      </w:r>
      <w:r>
        <w:rPr>
          <w:rFonts w:eastAsia="方正仿宋_GBK"/>
          <w:sz w:val="32"/>
          <w:szCs w:val="32"/>
        </w:rPr>
        <w:t>风险总体可控。同时政府隐性债务规模较大，偿债能力较弱，风险不容忽视。</w:t>
      </w:r>
    </w:p>
    <w:p>
      <w:pPr>
        <w:spacing w:line="560" w:lineRule="exact"/>
        <w:ind w:firstLine="640" w:firstLineChars="200"/>
        <w:rPr>
          <w:rFonts w:eastAsia="方正仿宋_GBK"/>
          <w:sz w:val="32"/>
          <w:szCs w:val="32"/>
        </w:rPr>
      </w:pPr>
      <w:r>
        <w:rPr>
          <w:rFonts w:eastAsia="方正仿宋_GBK"/>
          <w:sz w:val="32"/>
          <w:szCs w:val="32"/>
        </w:rPr>
        <w:t>这里需要特别说明的是</w:t>
      </w:r>
      <w:r>
        <w:rPr>
          <w:rFonts w:hint="eastAsia" w:eastAsia="方正仿宋_GBK"/>
          <w:sz w:val="32"/>
          <w:szCs w:val="32"/>
        </w:rPr>
        <w:t>，</w:t>
      </w:r>
      <w:r>
        <w:rPr>
          <w:rFonts w:eastAsia="方正仿宋_GBK"/>
          <w:sz w:val="32"/>
          <w:szCs w:val="32"/>
        </w:rPr>
        <w:t>目前201</w:t>
      </w:r>
      <w:r>
        <w:rPr>
          <w:rFonts w:hint="eastAsia" w:eastAsia="方正仿宋_GBK"/>
          <w:sz w:val="32"/>
          <w:szCs w:val="32"/>
        </w:rPr>
        <w:t>9</w:t>
      </w:r>
      <w:r>
        <w:rPr>
          <w:rFonts w:eastAsia="方正仿宋_GBK"/>
          <w:sz w:val="32"/>
          <w:szCs w:val="32"/>
        </w:rPr>
        <w:t>年的财政决算正在办理，</w:t>
      </w:r>
      <w:r>
        <w:rPr>
          <w:rFonts w:hint="eastAsia" w:eastAsia="方正仿宋_GBK"/>
          <w:sz w:val="32"/>
          <w:szCs w:val="32"/>
        </w:rPr>
        <w:t>市级上解支出数据尚未锁定，收支</w:t>
      </w:r>
      <w:r>
        <w:rPr>
          <w:rFonts w:eastAsia="方正仿宋_GBK"/>
          <w:sz w:val="32"/>
          <w:szCs w:val="32"/>
        </w:rPr>
        <w:t>数据还需市财政局审核确认，结转</w:t>
      </w:r>
      <w:r>
        <w:rPr>
          <w:rFonts w:hint="eastAsia" w:eastAsia="方正仿宋_GBK"/>
          <w:sz w:val="32"/>
          <w:szCs w:val="32"/>
        </w:rPr>
        <w:t>及部分支出功能科目</w:t>
      </w:r>
      <w:r>
        <w:rPr>
          <w:rFonts w:eastAsia="方正仿宋_GBK"/>
          <w:sz w:val="32"/>
          <w:szCs w:val="32"/>
        </w:rPr>
        <w:t>数据可能会有调整。</w:t>
      </w:r>
      <w:r>
        <w:rPr>
          <w:rFonts w:hint="eastAsia" w:eastAsia="方正仿宋_GBK"/>
          <w:sz w:val="32"/>
          <w:szCs w:val="32"/>
        </w:rPr>
        <w:t>相关变动情况</w:t>
      </w:r>
      <w:r>
        <w:rPr>
          <w:rFonts w:eastAsia="方正仿宋_GBK"/>
          <w:sz w:val="32"/>
          <w:szCs w:val="32"/>
        </w:rPr>
        <w:t>我们将严格按照《预算法》的要求，</w:t>
      </w:r>
      <w:r>
        <w:rPr>
          <w:rFonts w:hint="eastAsia" w:eastAsia="方正仿宋_GBK"/>
          <w:sz w:val="32"/>
          <w:szCs w:val="32"/>
        </w:rPr>
        <w:t>在《2019年财政决算报告》中</w:t>
      </w:r>
      <w:r>
        <w:rPr>
          <w:rFonts w:eastAsia="方正仿宋_GBK"/>
          <w:sz w:val="32"/>
          <w:szCs w:val="32"/>
        </w:rPr>
        <w:t>向县人大常委会报告。</w:t>
      </w:r>
    </w:p>
    <w:p>
      <w:pPr>
        <w:spacing w:line="560" w:lineRule="exact"/>
        <w:ind w:firstLine="640" w:firstLineChars="200"/>
        <w:rPr>
          <w:rFonts w:eastAsia="方正仿宋_GBK"/>
          <w:sz w:val="32"/>
          <w:szCs w:val="32"/>
        </w:rPr>
      </w:pPr>
      <w:r>
        <w:rPr>
          <w:rFonts w:hint="eastAsia" w:ascii="方正楷体_GBK" w:eastAsia="方正楷体_GBK"/>
          <w:sz w:val="32"/>
          <w:szCs w:val="32"/>
        </w:rPr>
        <w:t>（七）人大决议及审议意见落实情况。</w:t>
      </w:r>
      <w:r>
        <w:rPr>
          <w:rFonts w:hint="eastAsia" w:eastAsia="方正仿宋_GBK"/>
          <w:sz w:val="32"/>
          <w:szCs w:val="32"/>
        </w:rPr>
        <w:t>一年以来，我们认真落实人大决议，严格执行县十七届人大三次会议、县十七届人大常委二十次会议批准的预算和调整预算，认真办理人大常委会提出的审议意见，严格落实</w:t>
      </w:r>
      <w:r>
        <w:rPr>
          <w:rFonts w:eastAsia="方正仿宋_GBK"/>
          <w:sz w:val="32"/>
          <w:szCs w:val="32"/>
        </w:rPr>
        <w:t>人大决议。</w:t>
      </w:r>
      <w:r>
        <w:rPr>
          <w:rFonts w:hint="eastAsia" w:eastAsia="方正仿宋_GBK"/>
          <w:sz w:val="32"/>
          <w:szCs w:val="32"/>
        </w:rPr>
        <w:t>针对县十七届人大常委</w:t>
      </w:r>
      <w:r>
        <w:rPr>
          <w:rFonts w:hint="eastAsia" w:eastAsia="方正仿宋_GBK"/>
          <w:sz w:val="32"/>
          <w:szCs w:val="32"/>
          <w:lang w:eastAsia="zh-CN"/>
        </w:rPr>
        <w:t>会</w:t>
      </w:r>
      <w:r>
        <w:rPr>
          <w:rFonts w:hint="eastAsia" w:eastAsia="方正仿宋_GBK"/>
          <w:sz w:val="32"/>
          <w:szCs w:val="32"/>
        </w:rPr>
        <w:t>二十次会议指出：</w:t>
      </w:r>
      <w:r>
        <w:rPr>
          <w:rFonts w:eastAsia="方正仿宋_GBK"/>
          <w:sz w:val="32"/>
          <w:szCs w:val="32"/>
        </w:rPr>
        <w:t>“财政收入减收因素多</w:t>
      </w:r>
      <w:r>
        <w:rPr>
          <w:rFonts w:hint="eastAsia" w:eastAsia="方正仿宋_GBK"/>
          <w:sz w:val="32"/>
          <w:szCs w:val="32"/>
        </w:rPr>
        <w:t>、</w:t>
      </w:r>
      <w:r>
        <w:rPr>
          <w:rFonts w:eastAsia="方正仿宋_GBK"/>
          <w:sz w:val="32"/>
          <w:szCs w:val="32"/>
        </w:rPr>
        <w:t>政府性基金和国有资本经营预算收入进度严重滞后，收入差口巨大”</w:t>
      </w:r>
      <w:r>
        <w:rPr>
          <w:rFonts w:hint="eastAsia" w:eastAsia="方正仿宋_GBK"/>
          <w:sz w:val="32"/>
          <w:szCs w:val="32"/>
        </w:rPr>
        <w:t>的审议意见，我们</w:t>
      </w:r>
      <w:r>
        <w:rPr>
          <w:rFonts w:eastAsia="方正仿宋_GBK"/>
          <w:sz w:val="32"/>
          <w:szCs w:val="32"/>
        </w:rPr>
        <w:t>多次</w:t>
      </w:r>
      <w:r>
        <w:rPr>
          <w:rFonts w:hint="eastAsia" w:eastAsia="方正仿宋_GBK"/>
          <w:sz w:val="32"/>
          <w:szCs w:val="32"/>
        </w:rPr>
        <w:t>召集会议</w:t>
      </w:r>
      <w:r>
        <w:rPr>
          <w:rFonts w:eastAsia="方正仿宋_GBK"/>
          <w:sz w:val="32"/>
          <w:szCs w:val="32"/>
        </w:rPr>
        <w:t>专题研究，深</w:t>
      </w:r>
      <w:r>
        <w:rPr>
          <w:rFonts w:hint="eastAsia" w:eastAsia="方正仿宋_GBK"/>
          <w:sz w:val="32"/>
          <w:szCs w:val="32"/>
        </w:rPr>
        <w:t>入分</w:t>
      </w:r>
      <w:r>
        <w:rPr>
          <w:rFonts w:eastAsia="方正仿宋_GBK"/>
          <w:sz w:val="32"/>
          <w:szCs w:val="32"/>
        </w:rPr>
        <w:t>析滞后原因，</w:t>
      </w:r>
      <w:r>
        <w:rPr>
          <w:rFonts w:hint="eastAsia" w:eastAsia="方正仿宋_GBK"/>
          <w:sz w:val="32"/>
          <w:szCs w:val="32"/>
        </w:rPr>
        <w:t>加大投资增税、招商引税、严管征税等措施，</w:t>
      </w:r>
      <w:r>
        <w:rPr>
          <w:rFonts w:eastAsia="方正仿宋_GBK"/>
          <w:sz w:val="32"/>
          <w:szCs w:val="32"/>
        </w:rPr>
        <w:t>挖掘增收潜力，</w:t>
      </w:r>
      <w:r>
        <w:rPr>
          <w:rFonts w:hint="eastAsia" w:eastAsia="方正仿宋_GBK"/>
          <w:sz w:val="32"/>
          <w:szCs w:val="32"/>
        </w:rPr>
        <w:t>依法调整</w:t>
      </w:r>
      <w:r>
        <w:rPr>
          <w:rFonts w:eastAsia="方正仿宋_GBK"/>
          <w:sz w:val="32"/>
          <w:szCs w:val="32"/>
        </w:rPr>
        <w:t>计划任务，压实收入征管责任</w:t>
      </w:r>
      <w:r>
        <w:rPr>
          <w:rFonts w:hint="eastAsia" w:eastAsia="方正仿宋_GBK"/>
          <w:sz w:val="32"/>
          <w:szCs w:val="32"/>
        </w:rPr>
        <w:t>，全面完成了一般公共预算收入、政府性基金预算收入和国有资本经营预算收入的年度计划。针对县十七届人大常委会二十次会议指出：</w:t>
      </w:r>
      <w:r>
        <w:rPr>
          <w:rFonts w:eastAsia="方正仿宋_GBK"/>
          <w:sz w:val="32"/>
          <w:szCs w:val="32"/>
        </w:rPr>
        <w:t xml:space="preserve"> “刚性支出不断增长，财政资金调度困难</w:t>
      </w:r>
      <w:r>
        <w:rPr>
          <w:rFonts w:hint="eastAsia" w:eastAsia="方正仿宋_GBK"/>
          <w:sz w:val="32"/>
          <w:szCs w:val="32"/>
        </w:rPr>
        <w:t>”的</w:t>
      </w:r>
      <w:r>
        <w:rPr>
          <w:rFonts w:eastAsia="方正仿宋_GBK"/>
          <w:sz w:val="32"/>
          <w:szCs w:val="32"/>
        </w:rPr>
        <w:t>审议意见</w:t>
      </w:r>
      <w:r>
        <w:rPr>
          <w:rFonts w:hint="eastAsia" w:eastAsia="方正仿宋_GBK"/>
          <w:sz w:val="32"/>
          <w:szCs w:val="32"/>
        </w:rPr>
        <w:t>，我们多渠道筹集资金19.74亿元，足额保障财政供养人员国标待遇和市级补丁政策；全面落实困难群体、教育、卫生、计生、健康、文化、科技等基本民生领域的支出政策；全力保障县、乡、村三级政权的基本运转；严格国库款管理，增强调度能力，全力履行“三保”支出兜底责任。</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（八）2019年主要财政工作</w:t>
      </w:r>
    </w:p>
    <w:p>
      <w:pPr>
        <w:spacing w:line="560" w:lineRule="exact"/>
        <w:ind w:firstLine="640" w:firstLineChars="200"/>
        <w:rPr>
          <w:rFonts w:eastAsia="方正仿宋_GBK"/>
          <w:bCs/>
          <w:sz w:val="32"/>
          <w:szCs w:val="32"/>
        </w:rPr>
      </w:pPr>
      <w:r>
        <w:rPr>
          <w:rFonts w:hint="eastAsia" w:eastAsia="方正仿宋_GBK"/>
          <w:sz w:val="32"/>
          <w:szCs w:val="32"/>
        </w:rPr>
        <w:t>1.求真务实推改革，助力县域经济转型升级。</w:t>
      </w:r>
      <w:r>
        <w:rPr>
          <w:rFonts w:hint="eastAsia" w:eastAsia="方正仿宋_GBK"/>
          <w:b/>
          <w:bCs/>
          <w:sz w:val="32"/>
          <w:szCs w:val="32"/>
        </w:rPr>
        <w:t>一是</w:t>
      </w:r>
      <w:r>
        <w:rPr>
          <w:rFonts w:eastAsia="方正仿宋_GBK"/>
          <w:sz w:val="32"/>
          <w:szCs w:val="32"/>
        </w:rPr>
        <w:t>以供给侧结构性改革为主线，精准推进调低增值税税率、“6+2”普惠性减税、提高个人所得税起征点、实施个人所得税专项扣除等税制改革，</w:t>
      </w:r>
      <w:r>
        <w:rPr>
          <w:rFonts w:hint="eastAsia" w:eastAsia="方正仿宋_GBK"/>
          <w:sz w:val="32"/>
          <w:szCs w:val="32"/>
        </w:rPr>
        <w:t>全年</w:t>
      </w:r>
      <w:r>
        <w:rPr>
          <w:rFonts w:eastAsia="方正仿宋_GBK"/>
          <w:sz w:val="32"/>
          <w:szCs w:val="32"/>
        </w:rPr>
        <w:t>累计减轻企业税费负担</w:t>
      </w:r>
      <w:r>
        <w:rPr>
          <w:rFonts w:hint="eastAsia" w:eastAsia="方正仿宋_GBK"/>
          <w:sz w:val="32"/>
          <w:szCs w:val="32"/>
        </w:rPr>
        <w:t>0.8</w:t>
      </w:r>
      <w:r>
        <w:rPr>
          <w:rFonts w:eastAsia="方正仿宋_GBK"/>
          <w:sz w:val="32"/>
          <w:szCs w:val="32"/>
        </w:rPr>
        <w:t>亿元左右，</w:t>
      </w:r>
      <w:r>
        <w:rPr>
          <w:rFonts w:hint="eastAsia" w:eastAsia="方正仿宋_GBK"/>
          <w:sz w:val="32"/>
          <w:szCs w:val="32"/>
        </w:rPr>
        <w:t>切实</w:t>
      </w:r>
      <w:r>
        <w:rPr>
          <w:rFonts w:eastAsia="方正仿宋_GBK"/>
          <w:sz w:val="32"/>
          <w:szCs w:val="32"/>
        </w:rPr>
        <w:t>降低企业发展成本，释放市场活力。</w:t>
      </w:r>
      <w:r>
        <w:rPr>
          <w:rFonts w:hint="eastAsia" w:eastAsia="方正仿宋_GBK"/>
          <w:b/>
          <w:sz w:val="32"/>
          <w:szCs w:val="32"/>
        </w:rPr>
        <w:t>二是</w:t>
      </w:r>
      <w:r>
        <w:rPr>
          <w:rFonts w:hint="eastAsia" w:eastAsia="方正仿宋_GBK"/>
          <w:sz w:val="32"/>
          <w:szCs w:val="32"/>
        </w:rPr>
        <w:t>管好用活已设立</w:t>
      </w:r>
      <w:r>
        <w:rPr>
          <w:rFonts w:eastAsia="方正仿宋_GBK"/>
          <w:sz w:val="32"/>
          <w:szCs w:val="32"/>
        </w:rPr>
        <w:t>“大巴山森林人家融资担保基金”“创业种子基金”“</w:t>
      </w:r>
      <w:r>
        <w:rPr>
          <w:rFonts w:hint="eastAsia" w:eastAsia="方正仿宋_GBK"/>
          <w:sz w:val="32"/>
          <w:szCs w:val="32"/>
        </w:rPr>
        <w:t>助保贷资金池</w:t>
      </w:r>
      <w:r>
        <w:rPr>
          <w:rFonts w:eastAsia="方正仿宋_GBK"/>
          <w:sz w:val="32"/>
          <w:szCs w:val="32"/>
        </w:rPr>
        <w:t>”</w:t>
      </w:r>
      <w:r>
        <w:rPr>
          <w:rFonts w:hint="eastAsia" w:eastAsia="方正仿宋_GBK"/>
          <w:sz w:val="32"/>
          <w:szCs w:val="32"/>
        </w:rPr>
        <w:t>“农业创业投资基金”、供销易贷”等9支产业基金，变财政补助为贴息贴保，充分发挥财政资金“四两拨千斤”撬动功能，引导社会资本、银行资本11.6亿元投入实体经济，切实缓解实体经济融资难、融资贵问题。</w:t>
      </w:r>
      <w:r>
        <w:rPr>
          <w:rFonts w:hint="eastAsia" w:eastAsia="方正仿宋_GBK"/>
          <w:b/>
          <w:sz w:val="32"/>
          <w:szCs w:val="32"/>
        </w:rPr>
        <w:t>三是</w:t>
      </w:r>
      <w:r>
        <w:rPr>
          <w:rFonts w:eastAsia="方正仿宋_GBK"/>
          <w:bCs/>
          <w:sz w:val="32"/>
          <w:szCs w:val="32"/>
        </w:rPr>
        <w:t>以国库集中支付电子化改革为核心，以扩大集中支付资金范围为重点，全面深化国库集中支付制度改革工作。</w:t>
      </w:r>
      <w:r>
        <w:rPr>
          <w:rFonts w:hint="eastAsia" w:eastAsia="方正仿宋_GBK"/>
          <w:bCs/>
          <w:sz w:val="32"/>
          <w:szCs w:val="32"/>
        </w:rPr>
        <w:t>2019年国库集中支付电子化改革覆盖所有预算单位、所有资金范围，</w:t>
      </w:r>
      <w:r>
        <w:rPr>
          <w:rFonts w:eastAsia="方正仿宋_GBK"/>
          <w:bCs/>
          <w:sz w:val="32"/>
          <w:szCs w:val="32"/>
        </w:rPr>
        <w:t>集中支付</w:t>
      </w:r>
      <w:r>
        <w:rPr>
          <w:rFonts w:hint="eastAsia" w:eastAsia="方正仿宋_GBK"/>
          <w:bCs/>
          <w:sz w:val="32"/>
          <w:szCs w:val="32"/>
        </w:rPr>
        <w:t>总额达38.94</w:t>
      </w:r>
      <w:r>
        <w:rPr>
          <w:rFonts w:eastAsia="方正仿宋_GBK"/>
          <w:bCs/>
          <w:sz w:val="32"/>
          <w:szCs w:val="32"/>
        </w:rPr>
        <w:t>亿元，集中</w:t>
      </w:r>
      <w:r>
        <w:rPr>
          <w:rFonts w:hint="eastAsia" w:eastAsia="方正仿宋_GBK"/>
          <w:bCs/>
          <w:sz w:val="32"/>
          <w:szCs w:val="32"/>
        </w:rPr>
        <w:t>支付占比</w:t>
      </w:r>
      <w:r>
        <w:rPr>
          <w:rFonts w:eastAsia="方正仿宋_GBK"/>
          <w:bCs/>
          <w:sz w:val="32"/>
          <w:szCs w:val="32"/>
        </w:rPr>
        <w:t>达</w:t>
      </w:r>
      <w:r>
        <w:rPr>
          <w:rFonts w:hint="eastAsia" w:eastAsia="方正仿宋_GBK"/>
          <w:bCs/>
          <w:sz w:val="32"/>
          <w:szCs w:val="32"/>
        </w:rPr>
        <w:t>69</w:t>
      </w:r>
      <w:r>
        <w:rPr>
          <w:rFonts w:eastAsia="方正仿宋_GBK"/>
          <w:bCs/>
          <w:sz w:val="32"/>
          <w:szCs w:val="32"/>
        </w:rPr>
        <w:t>%。</w:t>
      </w:r>
      <w:r>
        <w:rPr>
          <w:rFonts w:hint="eastAsia" w:eastAsia="方正仿宋_GBK"/>
          <w:b/>
          <w:bCs/>
          <w:sz w:val="32"/>
          <w:szCs w:val="32"/>
        </w:rPr>
        <w:t>四是</w:t>
      </w:r>
      <w:r>
        <w:rPr>
          <w:rFonts w:eastAsia="方正仿宋_GBK"/>
          <w:bCs/>
          <w:sz w:val="32"/>
          <w:szCs w:val="32"/>
        </w:rPr>
        <w:t>坚持</w:t>
      </w:r>
      <w:r>
        <w:rPr>
          <w:rFonts w:hint="eastAsia" w:eastAsia="方正仿宋_GBK"/>
          <w:bCs/>
          <w:sz w:val="32"/>
          <w:szCs w:val="32"/>
        </w:rPr>
        <w:t xml:space="preserve"> “用钱必问效，效差必问责，无效必追责”</w:t>
      </w:r>
      <w:r>
        <w:rPr>
          <w:rFonts w:eastAsia="方正仿宋_GBK"/>
          <w:bCs/>
          <w:sz w:val="32"/>
          <w:szCs w:val="32"/>
        </w:rPr>
        <w:t>全面预算绩效管理理念，</w:t>
      </w:r>
      <w:r>
        <w:rPr>
          <w:rFonts w:hint="eastAsia" w:eastAsia="方正仿宋_GBK"/>
          <w:bCs/>
          <w:sz w:val="32"/>
          <w:szCs w:val="32"/>
        </w:rPr>
        <w:t>出台</w:t>
      </w:r>
      <w:r>
        <w:rPr>
          <w:rFonts w:eastAsia="方正仿宋_GBK"/>
          <w:bCs/>
          <w:sz w:val="32"/>
          <w:szCs w:val="32"/>
        </w:rPr>
        <w:t>《关于全面实施预算绩效管理的实施意见》《城口县扶贫项目资金绩效管理实施细则》，</w:t>
      </w:r>
      <w:r>
        <w:rPr>
          <w:rFonts w:hint="eastAsia" w:eastAsia="方正仿宋_GBK"/>
          <w:bCs/>
          <w:sz w:val="32"/>
          <w:szCs w:val="32"/>
        </w:rPr>
        <w:t>健全</w:t>
      </w:r>
      <w:r>
        <w:rPr>
          <w:rFonts w:eastAsia="方正仿宋_GBK"/>
          <w:bCs/>
          <w:sz w:val="32"/>
          <w:szCs w:val="32"/>
        </w:rPr>
        <w:t>全面预算绩效管理制度体系，积极探索全面预算绩效管理评价指标体系，</w:t>
      </w:r>
      <w:r>
        <w:rPr>
          <w:rFonts w:hint="eastAsia" w:eastAsia="方正仿宋_GBK"/>
          <w:bCs/>
          <w:sz w:val="32"/>
          <w:szCs w:val="32"/>
        </w:rPr>
        <w:t>扎实推进全面预算绩效管理改革工作。2019年在预算单位全面开展绩效自评的基础上，组织开展49</w:t>
      </w:r>
      <w:r>
        <w:rPr>
          <w:rFonts w:eastAsia="方正仿宋_GBK"/>
          <w:bCs/>
          <w:sz w:val="32"/>
          <w:szCs w:val="32"/>
        </w:rPr>
        <w:t>个重点项目绩效评价工作，涉及资金</w:t>
      </w:r>
      <w:r>
        <w:rPr>
          <w:rFonts w:hint="eastAsia" w:eastAsia="方正仿宋_GBK"/>
          <w:bCs/>
          <w:sz w:val="32"/>
          <w:szCs w:val="32"/>
        </w:rPr>
        <w:t>17.44</w:t>
      </w:r>
      <w:r>
        <w:rPr>
          <w:rFonts w:eastAsia="方正仿宋_GBK"/>
          <w:bCs/>
          <w:sz w:val="32"/>
          <w:szCs w:val="32"/>
        </w:rPr>
        <w:t>亿元。</w:t>
      </w:r>
      <w:r>
        <w:rPr>
          <w:rFonts w:hint="eastAsia" w:eastAsia="方正仿宋_GBK"/>
          <w:b/>
          <w:bCs/>
          <w:sz w:val="32"/>
          <w:szCs w:val="32"/>
        </w:rPr>
        <w:t>五是</w:t>
      </w:r>
      <w:r>
        <w:rPr>
          <w:rFonts w:eastAsia="方正仿宋_GBK"/>
          <w:sz w:val="32"/>
          <w:szCs w:val="32"/>
        </w:rPr>
        <w:t>积极对接市与区县财政事权与支出责任划分改革，</w:t>
      </w:r>
      <w:r>
        <w:rPr>
          <w:rFonts w:eastAsia="方正仿宋_GBK"/>
          <w:bCs/>
          <w:sz w:val="32"/>
          <w:szCs w:val="32"/>
        </w:rPr>
        <w:t>持续深入推进国资国企、</w:t>
      </w:r>
      <w:r>
        <w:rPr>
          <w:rFonts w:eastAsia="方正仿宋_GBK"/>
          <w:sz w:val="32"/>
          <w:szCs w:val="32"/>
        </w:rPr>
        <w:t>政府财务报告、政府会计制度</w:t>
      </w:r>
      <w:r>
        <w:rPr>
          <w:rFonts w:hint="eastAsia" w:eastAsia="方正仿宋_GBK"/>
          <w:sz w:val="32"/>
          <w:szCs w:val="32"/>
        </w:rPr>
        <w:t>、</w:t>
      </w:r>
      <w:r>
        <w:rPr>
          <w:rFonts w:eastAsia="方正仿宋_GBK"/>
          <w:sz w:val="32"/>
          <w:szCs w:val="32"/>
        </w:rPr>
        <w:t>政府采购管理</w:t>
      </w:r>
      <w:r>
        <w:rPr>
          <w:rFonts w:hint="eastAsia" w:eastAsia="方正仿宋_GBK"/>
          <w:sz w:val="32"/>
          <w:szCs w:val="32"/>
        </w:rPr>
        <w:t>、放管服</w:t>
      </w:r>
      <w:r>
        <w:rPr>
          <w:rFonts w:eastAsia="方正仿宋_GBK"/>
          <w:sz w:val="32"/>
          <w:szCs w:val="32"/>
        </w:rPr>
        <w:t>等其他改革工作</w:t>
      </w:r>
      <w:r>
        <w:rPr>
          <w:rFonts w:hint="eastAsia" w:eastAsia="方正仿宋_GBK"/>
          <w:sz w:val="32"/>
          <w:szCs w:val="32"/>
        </w:rPr>
        <w:t>，优化营商环境，提升服务能力，助力县域经济发展</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2.千方百计聚财力，兜牢“三保”支出责任。</w:t>
      </w:r>
      <w:r>
        <w:rPr>
          <w:rFonts w:hint="eastAsia" w:eastAsia="方正仿宋_GBK"/>
          <w:b/>
          <w:sz w:val="32"/>
          <w:szCs w:val="32"/>
        </w:rPr>
        <w:t>一是</w:t>
      </w:r>
      <w:r>
        <w:rPr>
          <w:rFonts w:hint="eastAsia" w:eastAsia="方正仿宋_GBK"/>
          <w:sz w:val="32"/>
          <w:szCs w:val="32"/>
        </w:rPr>
        <w:t>扎实抓好收入征管。面对大规模减税政策带来0.8亿元减收缺口，我们坚持定期研判收入形势，积极盘活资源资产，狠抓投资项目结决算办理，全面清理单位存款利息、资产租金等非税收入，扎实抓好房地产、建筑、服务、批发零售等行业的税费征管，主动拓展增收渠道。严格执行</w:t>
      </w:r>
      <w:r>
        <w:rPr>
          <w:rFonts w:eastAsia="方正仿宋_GBK"/>
          <w:sz w:val="32"/>
          <w:szCs w:val="32"/>
        </w:rPr>
        <w:t>收入</w:t>
      </w:r>
      <w:r>
        <w:rPr>
          <w:rFonts w:hint="eastAsia" w:eastAsia="方正仿宋_GBK"/>
          <w:sz w:val="32"/>
          <w:szCs w:val="32"/>
        </w:rPr>
        <w:t>指导</w:t>
      </w:r>
      <w:r>
        <w:rPr>
          <w:rFonts w:eastAsia="方正仿宋_GBK"/>
          <w:sz w:val="32"/>
          <w:szCs w:val="32"/>
        </w:rPr>
        <w:t>计划完成与支出保障挂钩的考核机制</w:t>
      </w:r>
      <w:r>
        <w:rPr>
          <w:rFonts w:hint="eastAsia" w:eastAsia="方正仿宋_GBK"/>
          <w:sz w:val="32"/>
          <w:szCs w:val="32"/>
        </w:rPr>
        <w:t>，全面压实征管部门责任。持续创新征管方式，依法催收房地产企业欠税欠费，</w:t>
      </w:r>
      <w:r>
        <w:rPr>
          <w:rFonts w:eastAsia="方正仿宋_GBK"/>
          <w:sz w:val="32"/>
          <w:szCs w:val="32"/>
        </w:rPr>
        <w:t>确保</w:t>
      </w:r>
      <w:r>
        <w:rPr>
          <w:rFonts w:hint="eastAsia" w:eastAsia="方正仿宋_GBK"/>
          <w:sz w:val="32"/>
          <w:szCs w:val="32"/>
        </w:rPr>
        <w:t>各类财政</w:t>
      </w:r>
      <w:r>
        <w:rPr>
          <w:rFonts w:eastAsia="方正仿宋_GBK"/>
          <w:sz w:val="32"/>
          <w:szCs w:val="32"/>
        </w:rPr>
        <w:t>收入应收尽收、及时解缴、全额入库。</w:t>
      </w:r>
      <w:r>
        <w:rPr>
          <w:rFonts w:hint="eastAsia" w:eastAsia="方正仿宋_GBK"/>
          <w:b/>
          <w:sz w:val="32"/>
          <w:szCs w:val="32"/>
        </w:rPr>
        <w:t>二是</w:t>
      </w:r>
      <w:r>
        <w:rPr>
          <w:rFonts w:hint="eastAsia" w:eastAsia="方正仿宋_GBK"/>
          <w:sz w:val="32"/>
          <w:szCs w:val="32"/>
        </w:rPr>
        <w:t>扎实做好向上争取工作。县委、县政府主要领导多次到市委、市政府、市财政局汇报财政工作，争取上级财政在“三保”财力、新增债券以及专项资金方面给予我县特殊支持。全程参与市对区县财政“三保”承受能力评估，摸准“三保”缺口家底。积极争取市政府出台《关于支持区县开展转移支付统筹的通知》，增强财政统筹能力。2019年，我们争取市级困难财力补助1.02亿元，比上年增加0.52亿元；争取新增债券5.99亿元，同比增长19%；争取各类专款26.57亿元，同比增长16%。</w:t>
      </w:r>
      <w:r>
        <w:rPr>
          <w:rFonts w:hint="eastAsia" w:eastAsia="方正仿宋_GBK"/>
          <w:b/>
          <w:sz w:val="32"/>
          <w:szCs w:val="32"/>
        </w:rPr>
        <w:t>三是</w:t>
      </w:r>
      <w:r>
        <w:rPr>
          <w:rFonts w:hint="eastAsia" w:eastAsia="方正仿宋_GBK"/>
          <w:sz w:val="32"/>
          <w:szCs w:val="32"/>
        </w:rPr>
        <w:t>扎实开展资金统筹和支出结构调整。出台《城口县存量资金管理办法》，修订《城口县扶贫资金统筹整合办法》，全力抓好财政存量资金、市级专项资金、涉农资金统筹整合，大力开展支出结构调整，千方百计聚财力强“三保”。2019年盘活财政存量资金0.7亿元、统筹市级资金1.5亿元，调整支出结构1.82亿元，财政保障能力显著增强。</w:t>
      </w:r>
      <w:r>
        <w:rPr>
          <w:rFonts w:hint="eastAsia" w:eastAsia="方正仿宋_GBK"/>
          <w:b/>
          <w:sz w:val="32"/>
          <w:szCs w:val="32"/>
        </w:rPr>
        <w:t>四是</w:t>
      </w:r>
      <w:r>
        <w:rPr>
          <w:rFonts w:hint="eastAsia" w:eastAsia="方正仿宋_GBK"/>
          <w:sz w:val="32"/>
          <w:szCs w:val="32"/>
        </w:rPr>
        <w:t>扎实履行“三保”兜底责任。累计筹集资金13.5亿元，足额保障财政供养人员国标待遇，足额兑现公务员政府目标绩效奖、公务员平时考核奖、事业人员超额绩效工资、差旅费限高和离退休人员健康休养费等改革性人员待遇政策。筹集资金1.44亿元，足额保障低保、特困、优抚、残疾、医疗救助、孤儿等困难群体各项待遇。累计筹集资金3.28亿元，落实教育、卫生、计生、健康、文化、体育、科技等基本民生领域支出政策。累计筹集资金1.52亿元，兑现村、社区干部待遇和保障县、乡、村三级政权的基本运转，2019年“三保”支出保障责任已全面履行到位。</w:t>
      </w:r>
    </w:p>
    <w:p>
      <w:pPr>
        <w:spacing w:line="560" w:lineRule="exact"/>
        <w:ind w:firstLine="640" w:firstLineChars="200"/>
        <w:rPr>
          <w:rFonts w:eastAsia="方正仿宋_GBK"/>
          <w:bCs/>
          <w:sz w:val="32"/>
          <w:szCs w:val="32"/>
        </w:rPr>
      </w:pPr>
      <w:r>
        <w:rPr>
          <w:rFonts w:hint="eastAsia" w:eastAsia="方正仿宋_GBK"/>
          <w:sz w:val="32"/>
          <w:szCs w:val="32"/>
        </w:rPr>
        <w:t>3.攻坚克难抓统筹，保障“重点”支出需求。</w:t>
      </w:r>
      <w:r>
        <w:rPr>
          <w:rFonts w:hint="eastAsia" w:eastAsia="方正仿宋_GBK"/>
          <w:b/>
          <w:sz w:val="32"/>
          <w:szCs w:val="32"/>
        </w:rPr>
        <w:t>一是</w:t>
      </w:r>
      <w:r>
        <w:rPr>
          <w:rFonts w:hint="eastAsia" w:eastAsia="方正仿宋_GBK"/>
          <w:bCs/>
          <w:sz w:val="32"/>
          <w:szCs w:val="32"/>
        </w:rPr>
        <w:t>全力推进脱贫攻坚工作。以项目为引领、统筹整合为抓手、</w:t>
      </w:r>
      <w:r>
        <w:rPr>
          <w:rFonts w:eastAsia="方正仿宋_GBK"/>
          <w:bCs/>
          <w:sz w:val="32"/>
          <w:szCs w:val="32"/>
        </w:rPr>
        <w:t>资金监管为核心，</w:t>
      </w:r>
      <w:r>
        <w:rPr>
          <w:rFonts w:hint="eastAsia" w:eastAsia="方正仿宋_GBK"/>
          <w:bCs/>
          <w:sz w:val="32"/>
          <w:szCs w:val="32"/>
        </w:rPr>
        <w:t>狠抓涉农资金统筹，全力确保脱贫攻坚支出需求。2019年，我们</w:t>
      </w:r>
      <w:r>
        <w:rPr>
          <w:rFonts w:eastAsia="方正仿宋_GBK"/>
          <w:bCs/>
          <w:sz w:val="32"/>
          <w:szCs w:val="32"/>
        </w:rPr>
        <w:t>累计筹集资金</w:t>
      </w:r>
      <w:r>
        <w:rPr>
          <w:rFonts w:hint="eastAsia" w:eastAsia="方正仿宋_GBK"/>
          <w:bCs/>
          <w:sz w:val="32"/>
          <w:szCs w:val="32"/>
        </w:rPr>
        <w:t>8.3</w:t>
      </w:r>
      <w:r>
        <w:rPr>
          <w:rFonts w:eastAsia="方正仿宋_GBK"/>
          <w:bCs/>
          <w:sz w:val="32"/>
          <w:szCs w:val="32"/>
        </w:rPr>
        <w:t>亿元</w:t>
      </w:r>
      <w:r>
        <w:rPr>
          <w:rFonts w:hint="eastAsia" w:eastAsia="方正仿宋_GBK"/>
          <w:bCs/>
          <w:sz w:val="32"/>
          <w:szCs w:val="32"/>
        </w:rPr>
        <w:t>用于脱贫攻坚工作，</w:t>
      </w:r>
      <w:r>
        <w:rPr>
          <w:rFonts w:eastAsia="方正仿宋_GBK"/>
          <w:bCs/>
          <w:sz w:val="32"/>
          <w:szCs w:val="32"/>
        </w:rPr>
        <w:t>启动2015～2019年</w:t>
      </w:r>
      <w:r>
        <w:rPr>
          <w:rFonts w:hint="eastAsia" w:eastAsia="方正仿宋_GBK"/>
          <w:bCs/>
          <w:sz w:val="32"/>
          <w:szCs w:val="32"/>
        </w:rPr>
        <w:t>43.2</w:t>
      </w:r>
      <w:r>
        <w:rPr>
          <w:rFonts w:eastAsia="方正仿宋_GBK"/>
          <w:bCs/>
          <w:sz w:val="32"/>
          <w:szCs w:val="32"/>
        </w:rPr>
        <w:t>亿元的扶贫项目资金绩效评价工作</w:t>
      </w:r>
      <w:r>
        <w:rPr>
          <w:rFonts w:hint="eastAsia" w:eastAsia="方正仿宋_GBK"/>
          <w:bCs/>
          <w:sz w:val="32"/>
          <w:szCs w:val="32"/>
        </w:rPr>
        <w:t>，为决战决胜脱贫攻坚战工作奠定坚实基础</w:t>
      </w:r>
      <w:r>
        <w:rPr>
          <w:rFonts w:eastAsia="方正仿宋_GBK"/>
          <w:bCs/>
          <w:sz w:val="32"/>
          <w:szCs w:val="32"/>
        </w:rPr>
        <w:t>。</w:t>
      </w:r>
      <w:r>
        <w:rPr>
          <w:rFonts w:hint="eastAsia" w:eastAsia="方正仿宋_GBK"/>
          <w:b/>
          <w:bCs/>
          <w:sz w:val="32"/>
          <w:szCs w:val="32"/>
        </w:rPr>
        <w:t>二是</w:t>
      </w:r>
      <w:r>
        <w:rPr>
          <w:rFonts w:hint="eastAsia" w:eastAsia="方正仿宋_GBK"/>
          <w:bCs/>
          <w:sz w:val="32"/>
          <w:szCs w:val="32"/>
        </w:rPr>
        <w:t>全力保障城市建设、旅游产业、环保能力等重点支出需求。</w:t>
      </w:r>
      <w:r>
        <w:rPr>
          <w:rFonts w:eastAsia="方正仿宋_GBK"/>
          <w:bCs/>
          <w:sz w:val="32"/>
          <w:szCs w:val="32"/>
        </w:rPr>
        <w:t>深入研究重点支出领域上级投入政策和融资政策，探索</w:t>
      </w:r>
      <w:r>
        <w:rPr>
          <w:rFonts w:hint="eastAsia" w:eastAsia="方正仿宋_GBK"/>
          <w:bCs/>
          <w:sz w:val="32"/>
          <w:szCs w:val="32"/>
        </w:rPr>
        <w:t>多渠道资金筹集机制</w:t>
      </w:r>
      <w:r>
        <w:rPr>
          <w:rFonts w:eastAsia="方正仿宋_GBK"/>
          <w:bCs/>
          <w:sz w:val="32"/>
          <w:szCs w:val="32"/>
        </w:rPr>
        <w:t>，抓好上级专项、新增政府债券和融资资金</w:t>
      </w:r>
      <w:r>
        <w:rPr>
          <w:rFonts w:hint="eastAsia" w:eastAsia="方正仿宋_GBK"/>
          <w:bCs/>
          <w:sz w:val="32"/>
          <w:szCs w:val="32"/>
        </w:rPr>
        <w:t>的</w:t>
      </w:r>
      <w:r>
        <w:rPr>
          <w:rFonts w:eastAsia="方正仿宋_GBK"/>
          <w:bCs/>
          <w:sz w:val="32"/>
          <w:szCs w:val="32"/>
        </w:rPr>
        <w:t>统筹使用，</w:t>
      </w:r>
      <w:r>
        <w:rPr>
          <w:rFonts w:eastAsia="方正仿宋_GBK"/>
          <w:sz w:val="32"/>
          <w:szCs w:val="32"/>
        </w:rPr>
        <w:t>有力保障</w:t>
      </w:r>
      <w:r>
        <w:rPr>
          <w:rFonts w:eastAsia="方正仿宋_GBK"/>
          <w:bCs/>
          <w:sz w:val="32"/>
          <w:szCs w:val="32"/>
        </w:rPr>
        <w:t>城市建设、旅游产业、环保能力</w:t>
      </w:r>
      <w:r>
        <w:rPr>
          <w:rFonts w:hint="eastAsia" w:eastAsia="方正仿宋_GBK"/>
          <w:bCs/>
          <w:sz w:val="32"/>
          <w:szCs w:val="32"/>
        </w:rPr>
        <w:t>及县委县政府确定的</w:t>
      </w:r>
      <w:r>
        <w:rPr>
          <w:rFonts w:eastAsia="方正仿宋_GBK"/>
          <w:sz w:val="32"/>
          <w:szCs w:val="32"/>
        </w:rPr>
        <w:t>重点支出资金需求。</w:t>
      </w:r>
      <w:r>
        <w:rPr>
          <w:rFonts w:hint="eastAsia" w:eastAsia="方正仿宋_GBK"/>
          <w:sz w:val="32"/>
          <w:szCs w:val="32"/>
        </w:rPr>
        <w:t>2019年</w:t>
      </w:r>
      <w:r>
        <w:rPr>
          <w:rFonts w:eastAsia="方正仿宋_GBK"/>
          <w:sz w:val="32"/>
          <w:szCs w:val="32"/>
        </w:rPr>
        <w:t>筹集资金</w:t>
      </w:r>
      <w:r>
        <w:rPr>
          <w:rFonts w:hint="eastAsia" w:eastAsia="方正仿宋_GBK"/>
          <w:sz w:val="32"/>
          <w:szCs w:val="32"/>
        </w:rPr>
        <w:t>11.68</w:t>
      </w:r>
      <w:r>
        <w:rPr>
          <w:rFonts w:eastAsia="方正仿宋_GBK"/>
          <w:sz w:val="32"/>
          <w:szCs w:val="32"/>
        </w:rPr>
        <w:t>亿元，</w:t>
      </w:r>
      <w:r>
        <w:rPr>
          <w:rFonts w:hint="eastAsia" w:eastAsia="方正仿宋_GBK"/>
          <w:sz w:val="32"/>
          <w:szCs w:val="32"/>
        </w:rPr>
        <w:t>支持</w:t>
      </w:r>
      <w:r>
        <w:rPr>
          <w:rFonts w:eastAsia="方正仿宋_GBK"/>
          <w:sz w:val="32"/>
          <w:szCs w:val="32"/>
        </w:rPr>
        <w:t>任河流域综合整治、</w:t>
      </w:r>
      <w:r>
        <w:rPr>
          <w:rFonts w:hint="eastAsia" w:eastAsia="方正仿宋_GBK"/>
          <w:sz w:val="32"/>
          <w:szCs w:val="32"/>
        </w:rPr>
        <w:t>城区教育资源、老旧小区改造、征地拆迁、</w:t>
      </w:r>
      <w:r>
        <w:rPr>
          <w:rFonts w:eastAsia="方正仿宋_GBK"/>
          <w:sz w:val="32"/>
          <w:szCs w:val="32"/>
        </w:rPr>
        <w:t>土城老街“4A”级景区改造、红军公园一级环山步道升级改造等重点项目</w:t>
      </w:r>
      <w:r>
        <w:rPr>
          <w:rFonts w:hint="eastAsia" w:eastAsia="方正仿宋_GBK"/>
          <w:sz w:val="32"/>
          <w:szCs w:val="32"/>
        </w:rPr>
        <w:t>建设，全面提升城市品质；</w:t>
      </w:r>
      <w:r>
        <w:rPr>
          <w:rFonts w:eastAsia="方正仿宋_GBK"/>
          <w:sz w:val="32"/>
          <w:szCs w:val="32"/>
        </w:rPr>
        <w:t>筹集资金</w:t>
      </w:r>
      <w:r>
        <w:rPr>
          <w:rFonts w:hint="eastAsia" w:eastAsia="方正仿宋_GBK"/>
          <w:sz w:val="32"/>
          <w:szCs w:val="32"/>
        </w:rPr>
        <w:t>5.71</w:t>
      </w:r>
      <w:r>
        <w:rPr>
          <w:rFonts w:eastAsia="方正仿宋_GBK"/>
          <w:sz w:val="32"/>
          <w:szCs w:val="32"/>
        </w:rPr>
        <w:t>亿元，支持亢谷、黄安坝、九重山等核心景区建设，推进全域乡村旅游发展，助力农文旅融合发展</w:t>
      </w:r>
      <w:r>
        <w:rPr>
          <w:rFonts w:hint="eastAsia" w:eastAsia="方正仿宋_GBK"/>
          <w:sz w:val="32"/>
          <w:szCs w:val="32"/>
        </w:rPr>
        <w:t>；筹集资金10.79亿元，支持交通基础设施建设，提升路网密度；筹</w:t>
      </w:r>
      <w:r>
        <w:rPr>
          <w:rFonts w:hint="eastAsia" w:eastAsia="方正仿宋_GBK"/>
          <w:sz w:val="32"/>
          <w:szCs w:val="32"/>
          <w:lang w:eastAsia="zh-CN"/>
        </w:rPr>
        <w:t>集</w:t>
      </w:r>
      <w:bookmarkStart w:id="1" w:name="_GoBack"/>
      <w:bookmarkEnd w:id="1"/>
      <w:r>
        <w:rPr>
          <w:rFonts w:hint="eastAsia" w:eastAsia="方正仿宋_GBK"/>
          <w:sz w:val="32"/>
          <w:szCs w:val="32"/>
        </w:rPr>
        <w:t>资金1.08亿元，实施农村薄弱学校改造提升工程，扩大学前教育资源，切实改善各级各类学校办学条件；</w:t>
      </w:r>
      <w:r>
        <w:rPr>
          <w:rFonts w:eastAsia="方正仿宋_GBK"/>
          <w:sz w:val="32"/>
          <w:szCs w:val="32"/>
        </w:rPr>
        <w:t>筹集资金</w:t>
      </w:r>
      <w:r>
        <w:rPr>
          <w:rFonts w:hint="eastAsia" w:eastAsia="方正仿宋_GBK"/>
          <w:sz w:val="32"/>
          <w:szCs w:val="32"/>
        </w:rPr>
        <w:t>2.13</w:t>
      </w:r>
      <w:r>
        <w:rPr>
          <w:rFonts w:eastAsia="方正仿宋_GBK"/>
          <w:sz w:val="32"/>
          <w:szCs w:val="32"/>
        </w:rPr>
        <w:t>亿元，用于环保基础能力建设</w:t>
      </w:r>
      <w:r>
        <w:rPr>
          <w:rFonts w:hint="eastAsia" w:eastAsia="方正仿宋_GBK"/>
          <w:sz w:val="32"/>
          <w:szCs w:val="32"/>
        </w:rPr>
        <w:t>，</w:t>
      </w:r>
      <w:r>
        <w:rPr>
          <w:rFonts w:eastAsia="方正仿宋_GBK"/>
          <w:sz w:val="32"/>
          <w:szCs w:val="32"/>
        </w:rPr>
        <w:t>支持打好污染防治攻坚战。</w:t>
      </w:r>
    </w:p>
    <w:p>
      <w:pPr>
        <w:spacing w:line="560" w:lineRule="exact"/>
        <w:ind w:firstLine="640" w:firstLineChars="200"/>
        <w:rPr>
          <w:rFonts w:eastAsia="方正仿宋_GBK"/>
          <w:sz w:val="32"/>
          <w:szCs w:val="32"/>
        </w:rPr>
      </w:pPr>
      <w:r>
        <w:rPr>
          <w:rFonts w:hint="eastAsia" w:eastAsia="方正仿宋_GBK"/>
          <w:sz w:val="32"/>
          <w:szCs w:val="32"/>
        </w:rPr>
        <w:t>4.全力以赴防风险，保障财政经济平稳运行。</w:t>
      </w:r>
      <w:r>
        <w:rPr>
          <w:rFonts w:hint="eastAsia" w:eastAsia="方正仿宋_GBK"/>
          <w:b/>
          <w:sz w:val="32"/>
          <w:szCs w:val="32"/>
        </w:rPr>
        <w:t>一是</w:t>
      </w:r>
      <w:r>
        <w:rPr>
          <w:rFonts w:hint="eastAsia" w:eastAsia="方正仿宋_GBK"/>
          <w:sz w:val="32"/>
          <w:szCs w:val="32"/>
        </w:rPr>
        <w:t>压实债务化解责任。</w:t>
      </w:r>
      <w:r>
        <w:rPr>
          <w:rFonts w:eastAsia="方正仿宋_GBK"/>
          <w:sz w:val="32"/>
          <w:szCs w:val="32"/>
        </w:rPr>
        <w:t>按照隐性政府债务使用单位和支出方向，分行业分单位</w:t>
      </w:r>
      <w:r>
        <w:rPr>
          <w:rFonts w:hint="eastAsia" w:eastAsia="方正仿宋_GBK"/>
          <w:sz w:val="32"/>
          <w:szCs w:val="32"/>
        </w:rPr>
        <w:t>落实</w:t>
      </w:r>
      <w:r>
        <w:rPr>
          <w:rFonts w:eastAsia="方正仿宋_GBK"/>
          <w:sz w:val="32"/>
          <w:szCs w:val="32"/>
        </w:rPr>
        <w:t>化解责任，</w:t>
      </w:r>
      <w:r>
        <w:rPr>
          <w:rFonts w:hint="eastAsia" w:eastAsia="方正仿宋_GBK"/>
          <w:sz w:val="32"/>
          <w:szCs w:val="32"/>
        </w:rPr>
        <w:t>建立从</w:t>
      </w:r>
      <w:r>
        <w:rPr>
          <w:rFonts w:eastAsia="方正仿宋_GBK"/>
          <w:sz w:val="32"/>
          <w:szCs w:val="32"/>
        </w:rPr>
        <w:t>承贷主体向使用主体转变的政府隐性债务风险化解</w:t>
      </w:r>
      <w:r>
        <w:rPr>
          <w:rFonts w:hint="eastAsia" w:eastAsia="方正仿宋_GBK"/>
          <w:sz w:val="32"/>
          <w:szCs w:val="32"/>
        </w:rPr>
        <w:t>机制</w:t>
      </w:r>
      <w:r>
        <w:rPr>
          <w:rFonts w:eastAsia="方正仿宋_GBK"/>
          <w:sz w:val="32"/>
          <w:szCs w:val="32"/>
        </w:rPr>
        <w:t>。严禁政府投资项目超标超预算实施，严禁县级行政事业单位随意举债，严</w:t>
      </w:r>
      <w:r>
        <w:rPr>
          <w:rFonts w:hint="eastAsia" w:eastAsia="方正仿宋_GBK"/>
          <w:sz w:val="32"/>
          <w:szCs w:val="32"/>
        </w:rPr>
        <w:t>控</w:t>
      </w:r>
      <w:r>
        <w:rPr>
          <w:rFonts w:eastAsia="方正仿宋_GBK"/>
          <w:sz w:val="32"/>
          <w:szCs w:val="32"/>
        </w:rPr>
        <w:t>政府隐性债务增量。</w:t>
      </w:r>
      <w:r>
        <w:rPr>
          <w:rFonts w:hint="eastAsia" w:eastAsia="方正仿宋_GBK"/>
          <w:sz w:val="32"/>
          <w:szCs w:val="32"/>
        </w:rPr>
        <w:t>2019年我们多渠道筹集资金10.96亿元，偿还到期存量政府债务本息，坚决打好债务风险防控战。</w:t>
      </w:r>
      <w:r>
        <w:rPr>
          <w:rFonts w:hint="eastAsia" w:eastAsia="方正仿宋_GBK"/>
          <w:b/>
          <w:sz w:val="32"/>
          <w:szCs w:val="32"/>
        </w:rPr>
        <w:t>二是</w:t>
      </w:r>
      <w:r>
        <w:rPr>
          <w:rFonts w:hint="eastAsia" w:eastAsia="方正仿宋_GBK"/>
          <w:sz w:val="32"/>
          <w:szCs w:val="32"/>
        </w:rPr>
        <w:t>扎实履行财政监督职责。重点</w:t>
      </w:r>
      <w:r>
        <w:rPr>
          <w:rFonts w:eastAsia="方正仿宋_GBK"/>
          <w:sz w:val="32"/>
          <w:szCs w:val="32"/>
        </w:rPr>
        <w:t>围绕扶贫资金</w:t>
      </w:r>
      <w:r>
        <w:rPr>
          <w:rFonts w:hint="eastAsia" w:eastAsia="方正仿宋_GBK"/>
          <w:sz w:val="32"/>
          <w:szCs w:val="32"/>
        </w:rPr>
        <w:t>、会计核算、内控制度</w:t>
      </w:r>
      <w:r>
        <w:rPr>
          <w:rFonts w:eastAsia="方正仿宋_GBK"/>
          <w:sz w:val="32"/>
          <w:szCs w:val="32"/>
        </w:rPr>
        <w:t>和预算执行等重点内容，</w:t>
      </w:r>
      <w:r>
        <w:rPr>
          <w:rFonts w:hint="eastAsia" w:eastAsia="方正仿宋_GBK"/>
          <w:sz w:val="32"/>
          <w:szCs w:val="32"/>
        </w:rPr>
        <w:t>扎实开展</w:t>
      </w:r>
      <w:r>
        <w:rPr>
          <w:rFonts w:eastAsia="方正仿宋_GBK"/>
          <w:sz w:val="32"/>
          <w:szCs w:val="32"/>
        </w:rPr>
        <w:t>财政监督检查，</w:t>
      </w:r>
      <w:r>
        <w:rPr>
          <w:rFonts w:hint="eastAsia" w:eastAsia="方正仿宋_GBK"/>
          <w:sz w:val="32"/>
          <w:szCs w:val="32"/>
        </w:rPr>
        <w:t>督促扶贫巡视问题整改，100%完成整改任务</w:t>
      </w:r>
      <w:r>
        <w:rPr>
          <w:rFonts w:eastAsia="方正仿宋_GBK"/>
          <w:sz w:val="32"/>
          <w:szCs w:val="32"/>
        </w:rPr>
        <w:t>。</w:t>
      </w:r>
      <w:r>
        <w:rPr>
          <w:rFonts w:hint="eastAsia" w:eastAsia="方正仿宋_GBK"/>
          <w:sz w:val="32"/>
          <w:szCs w:val="32"/>
        </w:rPr>
        <w:t>切实抓好财政预决算评审，全年累计评审项目356个，送审金额达27.37亿元，审减2.20亿元，审减率达8.07%。</w:t>
      </w:r>
      <w:r>
        <w:rPr>
          <w:rFonts w:hint="eastAsia" w:eastAsia="方正仿宋_GBK"/>
          <w:b/>
          <w:sz w:val="32"/>
          <w:szCs w:val="32"/>
        </w:rPr>
        <w:t>三是</w:t>
      </w:r>
      <w:r>
        <w:rPr>
          <w:rFonts w:hint="eastAsia" w:eastAsia="方正仿宋_GBK"/>
          <w:sz w:val="32"/>
          <w:szCs w:val="32"/>
        </w:rPr>
        <w:t>严格国库库款管理</w:t>
      </w:r>
      <w:r>
        <w:rPr>
          <w:rFonts w:hint="eastAsia" w:eastAsia="方正仿宋_GBK"/>
          <w:b/>
          <w:sz w:val="32"/>
          <w:szCs w:val="32"/>
        </w:rPr>
        <w:t>。</w:t>
      </w:r>
      <w:r>
        <w:rPr>
          <w:rFonts w:hint="eastAsia" w:eastAsia="方正仿宋_GBK"/>
          <w:sz w:val="32"/>
          <w:szCs w:val="32"/>
        </w:rPr>
        <w:t>严格落实</w:t>
      </w:r>
      <w:r>
        <w:rPr>
          <w:rFonts w:eastAsia="方正仿宋_GBK"/>
          <w:sz w:val="32"/>
          <w:szCs w:val="32"/>
        </w:rPr>
        <w:t>“</w:t>
      </w:r>
      <w:r>
        <w:rPr>
          <w:rFonts w:hint="eastAsia" w:eastAsia="方正仿宋_GBK"/>
          <w:sz w:val="32"/>
          <w:szCs w:val="32"/>
        </w:rPr>
        <w:t>严控增量、清理化解存量、完善配套措施</w:t>
      </w:r>
      <w:r>
        <w:rPr>
          <w:rFonts w:eastAsia="方正仿宋_GBK"/>
          <w:sz w:val="32"/>
          <w:szCs w:val="32"/>
        </w:rPr>
        <w:t>”</w:t>
      </w:r>
      <w:r>
        <w:rPr>
          <w:rFonts w:hint="eastAsia" w:eastAsia="方正仿宋_GBK"/>
          <w:sz w:val="32"/>
          <w:szCs w:val="32"/>
        </w:rPr>
        <w:t>的管理要求，全面</w:t>
      </w:r>
      <w:r>
        <w:rPr>
          <w:rFonts w:eastAsia="方正仿宋_GBK"/>
          <w:sz w:val="32"/>
          <w:szCs w:val="32"/>
        </w:rPr>
        <w:t>清理</w:t>
      </w:r>
      <w:r>
        <w:rPr>
          <w:rFonts w:hint="eastAsia" w:eastAsia="方正仿宋_GBK"/>
          <w:sz w:val="32"/>
          <w:szCs w:val="32"/>
        </w:rPr>
        <w:t>国库暂付款项，形成</w:t>
      </w:r>
      <w:r>
        <w:rPr>
          <w:rFonts w:eastAsia="方正仿宋_GBK"/>
          <w:sz w:val="32"/>
          <w:szCs w:val="32"/>
        </w:rPr>
        <w:t>5</w:t>
      </w:r>
      <w:r>
        <w:rPr>
          <w:rFonts w:hint="eastAsia" w:eastAsia="方正仿宋_GBK"/>
          <w:sz w:val="32"/>
          <w:szCs w:val="32"/>
        </w:rPr>
        <w:t>年化解方案。严格执行</w:t>
      </w:r>
      <w:r>
        <w:rPr>
          <w:rFonts w:eastAsia="方正仿宋_GBK"/>
          <w:sz w:val="32"/>
          <w:szCs w:val="32"/>
        </w:rPr>
        <w:t>“</w:t>
      </w:r>
      <w:r>
        <w:rPr>
          <w:rFonts w:hint="eastAsia" w:eastAsia="方正仿宋_GBK"/>
          <w:sz w:val="32"/>
          <w:szCs w:val="32"/>
        </w:rPr>
        <w:t>先有预算，后有支出、集中支付</w:t>
      </w:r>
      <w:r>
        <w:rPr>
          <w:rFonts w:eastAsia="方正仿宋_GBK"/>
          <w:sz w:val="32"/>
          <w:szCs w:val="32"/>
        </w:rPr>
        <w:t>”</w:t>
      </w:r>
      <w:r>
        <w:rPr>
          <w:rFonts w:hint="eastAsia" w:eastAsia="方正仿宋_GBK"/>
          <w:sz w:val="32"/>
          <w:szCs w:val="32"/>
        </w:rPr>
        <w:t>的管理规定，规范库款调度，平均库款余额均保持在月工资需求的3倍以上，全力确保库款调度充盈，严防库款断链风险。</w:t>
      </w:r>
    </w:p>
    <w:p>
      <w:pPr>
        <w:spacing w:line="560" w:lineRule="exact"/>
        <w:ind w:firstLine="640" w:firstLineChars="200"/>
        <w:rPr>
          <w:rFonts w:eastAsia="方正仿宋_GBK"/>
          <w:sz w:val="32"/>
          <w:szCs w:val="32"/>
        </w:rPr>
      </w:pPr>
      <w:r>
        <w:rPr>
          <w:rFonts w:eastAsia="方正仿宋_GBK"/>
          <w:sz w:val="32"/>
          <w:szCs w:val="32"/>
        </w:rPr>
        <w:t>各位代表！201</w:t>
      </w:r>
      <w:r>
        <w:rPr>
          <w:rFonts w:hint="eastAsia" w:eastAsia="方正仿宋_GBK"/>
          <w:sz w:val="32"/>
          <w:szCs w:val="32"/>
        </w:rPr>
        <w:t>9</w:t>
      </w:r>
      <w:r>
        <w:rPr>
          <w:rFonts w:eastAsia="方正仿宋_GBK"/>
          <w:sz w:val="32"/>
          <w:szCs w:val="32"/>
        </w:rPr>
        <w:t>年</w:t>
      </w:r>
      <w:r>
        <w:rPr>
          <w:rFonts w:hint="eastAsia" w:eastAsia="方正仿宋_GBK"/>
          <w:sz w:val="32"/>
          <w:szCs w:val="32"/>
        </w:rPr>
        <w:t>我们积极</w:t>
      </w:r>
      <w:r>
        <w:rPr>
          <w:rFonts w:eastAsia="方正仿宋_GBK"/>
          <w:sz w:val="32"/>
          <w:szCs w:val="32"/>
        </w:rPr>
        <w:t>面对</w:t>
      </w:r>
      <w:r>
        <w:rPr>
          <w:rFonts w:hint="eastAsia" w:eastAsia="方正仿宋_GBK"/>
          <w:sz w:val="32"/>
          <w:szCs w:val="32"/>
        </w:rPr>
        <w:t>复杂多变的国际国内经济形势，坚持</w:t>
      </w:r>
      <w:r>
        <w:rPr>
          <w:rFonts w:eastAsia="方正仿宋_GBK"/>
          <w:sz w:val="32"/>
          <w:szCs w:val="32"/>
        </w:rPr>
        <w:t>实施积极的财政政策，</w:t>
      </w:r>
      <w:r>
        <w:rPr>
          <w:rFonts w:hint="eastAsia" w:eastAsia="方正仿宋_GBK"/>
          <w:sz w:val="32"/>
          <w:szCs w:val="32"/>
        </w:rPr>
        <w:t>深入</w:t>
      </w:r>
      <w:r>
        <w:rPr>
          <w:rFonts w:eastAsia="方正仿宋_GBK"/>
          <w:sz w:val="32"/>
          <w:szCs w:val="32"/>
        </w:rPr>
        <w:t>推进财税体制改革</w:t>
      </w:r>
      <w:r>
        <w:rPr>
          <w:rFonts w:hint="eastAsia" w:eastAsia="方正仿宋_GBK"/>
          <w:sz w:val="32"/>
          <w:szCs w:val="32"/>
        </w:rPr>
        <w:t>，坚持抓好财源税基培植，强化收入征管，</w:t>
      </w:r>
      <w:r>
        <w:rPr>
          <w:rFonts w:eastAsia="方正仿宋_GBK"/>
          <w:sz w:val="32"/>
          <w:szCs w:val="32"/>
        </w:rPr>
        <w:t>加大资金统筹力度，</w:t>
      </w:r>
      <w:r>
        <w:rPr>
          <w:rFonts w:hint="eastAsia" w:eastAsia="方正仿宋_GBK"/>
          <w:sz w:val="32"/>
          <w:szCs w:val="32"/>
        </w:rPr>
        <w:t>切实履行“三保”支出兜底责任，扎实做好重点支出保障，严防财政经济运行风险，有力地推动了</w:t>
      </w:r>
      <w:r>
        <w:rPr>
          <w:rFonts w:eastAsia="方正仿宋_GBK"/>
          <w:sz w:val="32"/>
          <w:szCs w:val="32"/>
        </w:rPr>
        <w:t>县域经济社会持续健康发展</w:t>
      </w:r>
      <w:r>
        <w:rPr>
          <w:rFonts w:hint="eastAsia" w:eastAsia="方正仿宋_GBK"/>
          <w:sz w:val="32"/>
          <w:szCs w:val="32"/>
        </w:rPr>
        <w:t>。</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二、2020年预算（草案）</w:t>
      </w:r>
    </w:p>
    <w:p>
      <w:pPr>
        <w:spacing w:line="560" w:lineRule="exact"/>
        <w:ind w:firstLine="640" w:firstLineChars="200"/>
        <w:rPr>
          <w:rFonts w:eastAsia="方正仿宋_GBK"/>
          <w:sz w:val="32"/>
          <w:szCs w:val="32"/>
        </w:rPr>
      </w:pPr>
      <w:r>
        <w:rPr>
          <w:rFonts w:hint="eastAsia" w:eastAsia="方正仿宋_GBK"/>
          <w:sz w:val="32"/>
          <w:szCs w:val="32"/>
        </w:rPr>
        <w:t>2020年，</w:t>
      </w:r>
      <w:r>
        <w:rPr>
          <w:rFonts w:eastAsia="方正仿宋_GBK"/>
          <w:sz w:val="32"/>
          <w:szCs w:val="32"/>
        </w:rPr>
        <w:t>以习近平新时代中国特色社会主义思想为指导</w:t>
      </w:r>
      <w:r>
        <w:rPr>
          <w:rFonts w:hint="eastAsia" w:eastAsia="方正仿宋_GBK"/>
          <w:sz w:val="32"/>
          <w:szCs w:val="32"/>
        </w:rPr>
        <w:t>，全面贯彻落实党的十九大和十九届二中、三中、四中全会精神，坚持稳中求进工作总基调，落实积极的财政政策，坚持推动经济高质量发展，统筹推进“稳增长、促改革</w:t>
      </w:r>
      <w:r>
        <w:rPr>
          <w:rFonts w:eastAsia="方正仿宋_GBK"/>
          <w:sz w:val="32"/>
          <w:szCs w:val="32"/>
        </w:rPr>
        <w:t>、调结构</w:t>
      </w:r>
      <w:r>
        <w:rPr>
          <w:rFonts w:hint="eastAsia" w:eastAsia="方正仿宋_GBK"/>
          <w:sz w:val="32"/>
          <w:szCs w:val="32"/>
        </w:rPr>
        <w:t>、</w:t>
      </w:r>
      <w:r>
        <w:rPr>
          <w:rFonts w:eastAsia="方正仿宋_GBK"/>
          <w:sz w:val="32"/>
          <w:szCs w:val="32"/>
        </w:rPr>
        <w:t>惠民生、防风险</w:t>
      </w:r>
      <w:r>
        <w:rPr>
          <w:rFonts w:hint="eastAsia" w:eastAsia="方正仿宋_GBK"/>
          <w:sz w:val="32"/>
          <w:szCs w:val="32"/>
        </w:rPr>
        <w:t>、保稳定”，确保</w:t>
      </w:r>
      <w:r>
        <w:rPr>
          <w:rFonts w:eastAsia="方正仿宋_GBK"/>
          <w:sz w:val="32"/>
          <w:szCs w:val="32"/>
        </w:rPr>
        <w:t>财政经济平稳</w:t>
      </w:r>
      <w:r>
        <w:rPr>
          <w:rFonts w:hint="eastAsia" w:eastAsia="方正仿宋_GBK"/>
          <w:sz w:val="32"/>
          <w:szCs w:val="32"/>
        </w:rPr>
        <w:t>有序运行</w:t>
      </w:r>
      <w:r>
        <w:rPr>
          <w:rFonts w:eastAsia="方正仿宋_GBK"/>
          <w:sz w:val="32"/>
          <w:szCs w:val="32"/>
        </w:rPr>
        <w:t>。</w:t>
      </w:r>
    </w:p>
    <w:p>
      <w:pPr>
        <w:spacing w:line="560"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（一）2020年一般公共预算收支草案</w:t>
      </w:r>
    </w:p>
    <w:p>
      <w:pPr>
        <w:spacing w:line="560" w:lineRule="exact"/>
        <w:ind w:firstLine="470" w:firstLineChars="147"/>
        <w:rPr>
          <w:rFonts w:eastAsia="方正仿宋_GBK"/>
          <w:color w:val="000000"/>
          <w:sz w:val="32"/>
          <w:szCs w:val="32"/>
        </w:rPr>
      </w:pPr>
      <w:r>
        <w:rPr>
          <w:rFonts w:hint="eastAsia" w:eastAsia="方正仿宋_GBK"/>
          <w:bCs/>
          <w:color w:val="000000"/>
          <w:sz w:val="32"/>
          <w:szCs w:val="32"/>
        </w:rPr>
        <w:t>1.</w:t>
      </w:r>
      <w:r>
        <w:rPr>
          <w:rFonts w:eastAsia="方正仿宋_GBK"/>
          <w:bCs/>
          <w:color w:val="000000"/>
          <w:sz w:val="32"/>
          <w:szCs w:val="32"/>
        </w:rPr>
        <w:t>收入项目预算情况</w:t>
      </w:r>
      <w:r>
        <w:rPr>
          <w:rFonts w:hint="eastAsia" w:eastAsia="方正仿宋_GBK"/>
          <w:bCs/>
          <w:color w:val="000000"/>
          <w:sz w:val="32"/>
          <w:szCs w:val="32"/>
        </w:rPr>
        <w:t>。</w:t>
      </w:r>
      <w:r>
        <w:rPr>
          <w:rFonts w:eastAsia="方正仿宋_GBK"/>
          <w:color w:val="000000"/>
          <w:sz w:val="32"/>
          <w:szCs w:val="32"/>
        </w:rPr>
        <w:t>县本级一般公共预算收入预计</w:t>
      </w:r>
      <w:r>
        <w:rPr>
          <w:rFonts w:hint="eastAsia" w:eastAsia="方正仿宋_GBK"/>
          <w:color w:val="000000"/>
          <w:sz w:val="32"/>
          <w:szCs w:val="32"/>
        </w:rPr>
        <w:t>43770</w:t>
      </w:r>
      <w:r>
        <w:rPr>
          <w:rFonts w:eastAsia="方正仿宋_GBK"/>
          <w:color w:val="000000"/>
          <w:sz w:val="32"/>
          <w:szCs w:val="32"/>
        </w:rPr>
        <w:t>万元，</w:t>
      </w:r>
      <w:r>
        <w:rPr>
          <w:rFonts w:hint="eastAsia" w:eastAsia="方正仿宋_GBK"/>
          <w:color w:val="000000"/>
          <w:sz w:val="32"/>
          <w:szCs w:val="32"/>
        </w:rPr>
        <w:t>同比</w:t>
      </w:r>
      <w:r>
        <w:rPr>
          <w:rFonts w:eastAsia="方正仿宋_GBK"/>
          <w:color w:val="000000"/>
          <w:sz w:val="32"/>
          <w:szCs w:val="32"/>
        </w:rPr>
        <w:t>增长</w:t>
      </w:r>
      <w:r>
        <w:rPr>
          <w:rFonts w:hint="eastAsia" w:eastAsia="方正仿宋_GBK"/>
          <w:color w:val="000000"/>
          <w:sz w:val="32"/>
          <w:szCs w:val="32"/>
        </w:rPr>
        <w:t>1</w:t>
      </w:r>
      <w:r>
        <w:rPr>
          <w:rFonts w:eastAsia="方正仿宋_GBK"/>
          <w:color w:val="000000"/>
          <w:sz w:val="32"/>
          <w:szCs w:val="32"/>
        </w:rPr>
        <w:t>%，其中：税收收入</w:t>
      </w:r>
      <w:r>
        <w:rPr>
          <w:rFonts w:hint="eastAsia" w:eastAsia="方正仿宋_GBK"/>
          <w:color w:val="000000"/>
          <w:sz w:val="32"/>
          <w:szCs w:val="32"/>
        </w:rPr>
        <w:t>26580</w:t>
      </w:r>
      <w:r>
        <w:rPr>
          <w:rFonts w:eastAsia="方正仿宋_GBK"/>
          <w:color w:val="000000"/>
          <w:sz w:val="32"/>
          <w:szCs w:val="32"/>
        </w:rPr>
        <w:t>万元，</w:t>
      </w:r>
      <w:r>
        <w:rPr>
          <w:rFonts w:hint="eastAsia" w:eastAsia="方正仿宋_GBK"/>
          <w:color w:val="000000"/>
          <w:sz w:val="32"/>
          <w:szCs w:val="32"/>
        </w:rPr>
        <w:t>零</w:t>
      </w:r>
      <w:r>
        <w:rPr>
          <w:rFonts w:eastAsia="方正仿宋_GBK"/>
          <w:color w:val="000000"/>
          <w:sz w:val="32"/>
          <w:szCs w:val="32"/>
        </w:rPr>
        <w:t>增长</w:t>
      </w:r>
      <w:r>
        <w:rPr>
          <w:rFonts w:hint="eastAsia" w:eastAsia="方正仿宋_GBK"/>
          <w:color w:val="000000"/>
          <w:sz w:val="32"/>
          <w:szCs w:val="32"/>
        </w:rPr>
        <w:t>；</w:t>
      </w:r>
      <w:r>
        <w:rPr>
          <w:rFonts w:eastAsia="方正仿宋_GBK"/>
          <w:color w:val="000000"/>
          <w:sz w:val="32"/>
          <w:szCs w:val="32"/>
        </w:rPr>
        <w:t>非税收入</w:t>
      </w:r>
      <w:r>
        <w:rPr>
          <w:rFonts w:hint="eastAsia" w:eastAsia="方正仿宋_GBK"/>
          <w:color w:val="000000"/>
          <w:sz w:val="32"/>
          <w:szCs w:val="32"/>
        </w:rPr>
        <w:t>17190</w:t>
      </w:r>
      <w:r>
        <w:rPr>
          <w:rFonts w:eastAsia="方正仿宋_GBK"/>
          <w:color w:val="000000"/>
          <w:sz w:val="32"/>
          <w:szCs w:val="32"/>
        </w:rPr>
        <w:t>万元，</w:t>
      </w:r>
      <w:r>
        <w:rPr>
          <w:rFonts w:hint="eastAsia" w:eastAsia="方正仿宋_GBK"/>
          <w:color w:val="000000"/>
          <w:sz w:val="32"/>
          <w:szCs w:val="32"/>
        </w:rPr>
        <w:t>同比增长3</w:t>
      </w:r>
      <w:r>
        <w:rPr>
          <w:rFonts w:eastAsia="方正仿宋_GBK"/>
          <w:color w:val="000000"/>
          <w:sz w:val="32"/>
          <w:szCs w:val="32"/>
        </w:rPr>
        <w:t>%。加上</w:t>
      </w:r>
      <w:r>
        <w:rPr>
          <w:rFonts w:hint="eastAsia" w:eastAsia="方正仿宋_GBK"/>
          <w:color w:val="000000"/>
          <w:sz w:val="32"/>
          <w:szCs w:val="32"/>
        </w:rPr>
        <w:t>预计市级</w:t>
      </w:r>
      <w:r>
        <w:rPr>
          <w:rFonts w:eastAsia="方正仿宋_GBK"/>
          <w:color w:val="000000"/>
          <w:sz w:val="32"/>
          <w:szCs w:val="32"/>
        </w:rPr>
        <w:t>转移支付</w:t>
      </w:r>
      <w:r>
        <w:rPr>
          <w:rFonts w:hint="eastAsia" w:eastAsia="方正仿宋_GBK"/>
          <w:color w:val="000000"/>
          <w:sz w:val="32"/>
          <w:szCs w:val="32"/>
        </w:rPr>
        <w:t>285743</w:t>
      </w:r>
      <w:r>
        <w:rPr>
          <w:rFonts w:eastAsia="方正仿宋_GBK"/>
          <w:color w:val="000000"/>
          <w:sz w:val="32"/>
          <w:szCs w:val="32"/>
        </w:rPr>
        <w:t>万元，</w:t>
      </w:r>
      <w:r>
        <w:rPr>
          <w:rFonts w:hint="eastAsia" w:eastAsia="方正仿宋_GBK"/>
          <w:color w:val="000000"/>
          <w:sz w:val="32"/>
          <w:szCs w:val="32"/>
        </w:rPr>
        <w:t>动用</w:t>
      </w:r>
      <w:r>
        <w:rPr>
          <w:rFonts w:eastAsia="方正仿宋_GBK"/>
          <w:color w:val="000000"/>
          <w:sz w:val="32"/>
          <w:szCs w:val="32"/>
        </w:rPr>
        <w:t>预算稳定调节基金</w:t>
      </w:r>
      <w:r>
        <w:rPr>
          <w:rFonts w:hint="eastAsia" w:eastAsia="方正仿宋_GBK"/>
          <w:color w:val="000000"/>
          <w:sz w:val="32"/>
          <w:szCs w:val="32"/>
        </w:rPr>
        <w:t>28700</w:t>
      </w:r>
      <w:r>
        <w:rPr>
          <w:rFonts w:eastAsia="方正仿宋_GBK"/>
          <w:color w:val="000000"/>
          <w:sz w:val="32"/>
          <w:szCs w:val="32"/>
        </w:rPr>
        <w:t>万元，调入国有资本经营预算</w:t>
      </w:r>
      <w:r>
        <w:rPr>
          <w:rFonts w:hint="eastAsia" w:eastAsia="方正仿宋_GBK"/>
          <w:color w:val="000000"/>
          <w:sz w:val="32"/>
          <w:szCs w:val="32"/>
        </w:rPr>
        <w:t>1950</w:t>
      </w:r>
      <w:r>
        <w:rPr>
          <w:rFonts w:eastAsia="方正仿宋_GBK"/>
          <w:color w:val="000000"/>
          <w:sz w:val="32"/>
          <w:szCs w:val="32"/>
        </w:rPr>
        <w:t>万元</w:t>
      </w:r>
      <w:r>
        <w:rPr>
          <w:rFonts w:hint="eastAsia" w:eastAsia="方正仿宋_GBK"/>
          <w:color w:val="000000"/>
          <w:sz w:val="32"/>
          <w:szCs w:val="32"/>
        </w:rPr>
        <w:t>、调入政府性基金1300万元</w:t>
      </w:r>
      <w:r>
        <w:rPr>
          <w:rFonts w:eastAsia="方正仿宋_GBK"/>
          <w:color w:val="000000"/>
          <w:sz w:val="32"/>
          <w:szCs w:val="32"/>
        </w:rPr>
        <w:t>和上年结转支出</w:t>
      </w:r>
      <w:r>
        <w:rPr>
          <w:rFonts w:hint="eastAsia" w:eastAsia="方正仿宋_GBK"/>
          <w:color w:val="000000"/>
          <w:sz w:val="32"/>
          <w:szCs w:val="32"/>
        </w:rPr>
        <w:t>40512</w:t>
      </w:r>
      <w:r>
        <w:rPr>
          <w:rFonts w:eastAsia="方正仿宋_GBK"/>
          <w:color w:val="000000"/>
          <w:sz w:val="32"/>
          <w:szCs w:val="32"/>
        </w:rPr>
        <w:t>万元后，收入总计</w:t>
      </w:r>
      <w:r>
        <w:rPr>
          <w:rFonts w:hint="eastAsia" w:eastAsia="方正仿宋_GBK"/>
          <w:color w:val="000000"/>
          <w:sz w:val="32"/>
          <w:szCs w:val="32"/>
        </w:rPr>
        <w:t>401975</w:t>
      </w:r>
      <w:r>
        <w:rPr>
          <w:rFonts w:eastAsia="方正仿宋_GBK"/>
          <w:color w:val="000000"/>
          <w:sz w:val="32"/>
          <w:szCs w:val="32"/>
        </w:rPr>
        <w:t>万元。</w:t>
      </w:r>
    </w:p>
    <w:p>
      <w:pPr>
        <w:spacing w:line="560" w:lineRule="exact"/>
        <w:ind w:firstLine="640" w:firstLineChars="200"/>
        <w:rPr>
          <w:rFonts w:eastAsia="方正仿宋_GBK"/>
          <w:color w:val="000000"/>
          <w:sz w:val="32"/>
          <w:szCs w:val="32"/>
        </w:rPr>
      </w:pPr>
      <w:r>
        <w:rPr>
          <w:rFonts w:hint="eastAsia" w:ascii="方正仿宋_GBK" w:hAnsi="方正仿宋_GBK" w:eastAsia="方正仿宋_GBK" w:cs="方正仿宋_GBK"/>
          <w:color w:val="000000"/>
          <w:sz w:val="32"/>
          <w:szCs w:val="32"/>
        </w:rPr>
        <w:t>2.支出项目预算情况。</w:t>
      </w:r>
      <w:r>
        <w:rPr>
          <w:rFonts w:eastAsia="方正仿宋_GBK"/>
          <w:color w:val="000000"/>
          <w:sz w:val="32"/>
          <w:szCs w:val="32"/>
        </w:rPr>
        <w:t>县本级安排</w:t>
      </w:r>
      <w:r>
        <w:rPr>
          <w:rFonts w:hint="eastAsia" w:eastAsia="方正仿宋_GBK"/>
          <w:color w:val="000000"/>
          <w:sz w:val="32"/>
          <w:szCs w:val="32"/>
        </w:rPr>
        <w:t>支出361690</w:t>
      </w:r>
      <w:r>
        <w:rPr>
          <w:rFonts w:eastAsia="方正仿宋_GBK"/>
          <w:color w:val="000000"/>
          <w:sz w:val="32"/>
          <w:szCs w:val="32"/>
        </w:rPr>
        <w:t>万元（含上级定向</w:t>
      </w:r>
      <w:r>
        <w:rPr>
          <w:rFonts w:hint="eastAsia" w:eastAsia="方正仿宋_GBK"/>
          <w:color w:val="000000"/>
          <w:sz w:val="32"/>
          <w:szCs w:val="32"/>
        </w:rPr>
        <w:t>及</w:t>
      </w:r>
      <w:r>
        <w:rPr>
          <w:rFonts w:eastAsia="方正仿宋_GBK"/>
          <w:color w:val="000000"/>
          <w:sz w:val="32"/>
          <w:szCs w:val="32"/>
        </w:rPr>
        <w:t>专款</w:t>
      </w:r>
      <w:r>
        <w:rPr>
          <w:rFonts w:hint="eastAsia" w:eastAsia="方正仿宋_GBK"/>
          <w:color w:val="000000"/>
          <w:sz w:val="32"/>
          <w:szCs w:val="32"/>
        </w:rPr>
        <w:t>220119</w:t>
      </w:r>
      <w:r>
        <w:rPr>
          <w:rFonts w:eastAsia="方正仿宋_GBK"/>
          <w:color w:val="000000"/>
          <w:sz w:val="32"/>
          <w:szCs w:val="32"/>
        </w:rPr>
        <w:t>万元</w:t>
      </w:r>
      <w:r>
        <w:rPr>
          <w:rFonts w:hint="eastAsia" w:eastAsia="方正仿宋_GBK"/>
          <w:color w:val="000000"/>
          <w:sz w:val="32"/>
          <w:szCs w:val="32"/>
        </w:rPr>
        <w:t>、</w:t>
      </w:r>
      <w:r>
        <w:rPr>
          <w:rFonts w:eastAsia="方正仿宋_GBK"/>
          <w:color w:val="000000"/>
          <w:sz w:val="32"/>
          <w:szCs w:val="32"/>
        </w:rPr>
        <w:t>上年结转对应安排支出</w:t>
      </w:r>
      <w:r>
        <w:rPr>
          <w:rFonts w:hint="eastAsia" w:eastAsia="方正仿宋_GBK"/>
          <w:color w:val="000000"/>
          <w:sz w:val="32"/>
          <w:szCs w:val="32"/>
        </w:rPr>
        <w:t>40512</w:t>
      </w:r>
      <w:r>
        <w:rPr>
          <w:rFonts w:eastAsia="方正仿宋_GBK"/>
          <w:color w:val="000000"/>
          <w:sz w:val="32"/>
          <w:szCs w:val="32"/>
        </w:rPr>
        <w:t>万元</w:t>
      </w:r>
      <w:r>
        <w:rPr>
          <w:rFonts w:hint="eastAsia" w:eastAsia="方正仿宋_GBK"/>
          <w:color w:val="000000"/>
          <w:sz w:val="32"/>
          <w:szCs w:val="32"/>
        </w:rPr>
        <w:t>和预备费3589万元</w:t>
      </w:r>
      <w:r>
        <w:rPr>
          <w:rFonts w:eastAsia="方正仿宋_GBK"/>
          <w:color w:val="000000"/>
          <w:sz w:val="32"/>
          <w:szCs w:val="32"/>
        </w:rPr>
        <w:t>），加上补助乡镇（街道）转移支付支出</w:t>
      </w:r>
      <w:r>
        <w:rPr>
          <w:rFonts w:hint="eastAsia" w:eastAsia="方正仿宋_GBK"/>
          <w:color w:val="000000"/>
          <w:sz w:val="32"/>
          <w:szCs w:val="32"/>
        </w:rPr>
        <w:t>28285</w:t>
      </w:r>
      <w:r>
        <w:rPr>
          <w:rFonts w:eastAsia="方正仿宋_GBK"/>
          <w:color w:val="000000"/>
          <w:sz w:val="32"/>
          <w:szCs w:val="32"/>
        </w:rPr>
        <w:t>万元、上解支出</w:t>
      </w:r>
      <w:r>
        <w:rPr>
          <w:rFonts w:hint="eastAsia" w:eastAsia="方正仿宋_GBK"/>
          <w:color w:val="000000"/>
          <w:sz w:val="32"/>
          <w:szCs w:val="32"/>
        </w:rPr>
        <w:t>12000</w:t>
      </w:r>
      <w:r>
        <w:rPr>
          <w:rFonts w:eastAsia="方正仿宋_GBK"/>
          <w:color w:val="000000"/>
          <w:sz w:val="32"/>
          <w:szCs w:val="32"/>
        </w:rPr>
        <w:t>万元后，共计安排支出</w:t>
      </w:r>
      <w:r>
        <w:rPr>
          <w:rFonts w:hint="eastAsia" w:eastAsia="方正仿宋_GBK"/>
          <w:color w:val="000000"/>
          <w:sz w:val="32"/>
          <w:szCs w:val="32"/>
        </w:rPr>
        <w:t>401975</w:t>
      </w:r>
      <w:r>
        <w:rPr>
          <w:rFonts w:eastAsia="方正仿宋_GBK"/>
          <w:color w:val="000000"/>
          <w:sz w:val="32"/>
          <w:szCs w:val="32"/>
        </w:rPr>
        <w:t>万元。</w:t>
      </w:r>
    </w:p>
    <w:p>
      <w:pPr>
        <w:spacing w:line="560" w:lineRule="exact"/>
        <w:ind w:firstLine="640" w:firstLineChars="200"/>
        <w:rPr>
          <w:rFonts w:eastAsia="方正仿宋_GBK"/>
          <w:color w:val="000000"/>
          <w:sz w:val="32"/>
          <w:szCs w:val="32"/>
        </w:rPr>
      </w:pPr>
    </w:p>
    <w:tbl>
      <w:tblPr>
        <w:tblStyle w:val="8"/>
        <w:tblW w:w="9517" w:type="dxa"/>
        <w:tblInd w:w="-610" w:type="dxa"/>
        <w:tblLayout w:type="fixed"/>
        <w:tblCellMar>
          <w:top w:w="0" w:type="dxa"/>
          <w:left w:w="108" w:type="dxa"/>
          <w:bottom w:w="0" w:type="dxa"/>
          <w:right w:w="108" w:type="dxa"/>
        </w:tblCellMar>
      </w:tblPr>
      <w:tblGrid>
        <w:gridCol w:w="3664"/>
        <w:gridCol w:w="1482"/>
        <w:gridCol w:w="3199"/>
        <w:gridCol w:w="1172"/>
      </w:tblGrid>
      <w:tr>
        <w:tblPrEx>
          <w:tblCellMar>
            <w:top w:w="0" w:type="dxa"/>
            <w:left w:w="108" w:type="dxa"/>
            <w:bottom w:w="0" w:type="dxa"/>
            <w:right w:w="108" w:type="dxa"/>
          </w:tblCellMar>
        </w:tblPrEx>
        <w:trPr>
          <w:trHeight w:val="218" w:hRule="atLeast"/>
        </w:trPr>
        <w:tc>
          <w:tcPr>
            <w:tcW w:w="9517" w:type="dxa"/>
            <w:gridSpan w:val="4"/>
            <w:tcBorders>
              <w:top w:val="nil"/>
              <w:left w:val="nil"/>
              <w:bottom w:val="nil"/>
              <w:right w:val="nil"/>
            </w:tcBorders>
            <w:vAlign w:val="center"/>
          </w:tcPr>
          <w:p>
            <w:pPr>
              <w:spacing w:line="560" w:lineRule="exact"/>
              <w:jc w:val="center"/>
              <w:rPr>
                <w:rFonts w:ascii="方正黑体_GBK" w:eastAsia="方正仿宋_GBK"/>
                <w:bCs/>
                <w:color w:val="000000"/>
                <w:sz w:val="36"/>
                <w:szCs w:val="36"/>
              </w:rPr>
            </w:pPr>
            <w:r>
              <w:rPr>
                <w:rFonts w:hint="eastAsia" w:ascii="方正黑体_GBK" w:hAnsi="方正黑体_GBK" w:eastAsia="方正黑体_GBK" w:cs="方正黑体_GBK"/>
                <w:bCs/>
                <w:color w:val="000000"/>
                <w:sz w:val="32"/>
                <w:szCs w:val="36"/>
              </w:rPr>
              <w:t>城口县2020年一般公共预算收支平衡表</w:t>
            </w:r>
          </w:p>
        </w:tc>
      </w:tr>
      <w:tr>
        <w:tblPrEx>
          <w:tblCellMar>
            <w:top w:w="0" w:type="dxa"/>
            <w:left w:w="108" w:type="dxa"/>
            <w:bottom w:w="0" w:type="dxa"/>
            <w:right w:w="108" w:type="dxa"/>
          </w:tblCellMar>
        </w:tblPrEx>
        <w:trPr>
          <w:trHeight w:val="272" w:hRule="atLeast"/>
        </w:trPr>
        <w:tc>
          <w:tcPr>
            <w:tcW w:w="3664" w:type="dxa"/>
            <w:tcBorders>
              <w:top w:val="nil"/>
              <w:left w:val="nil"/>
              <w:bottom w:val="nil"/>
              <w:right w:val="nil"/>
            </w:tcBorders>
            <w:vAlign w:val="center"/>
          </w:tcPr>
          <w:p>
            <w:pPr>
              <w:spacing w:line="560" w:lineRule="exact"/>
              <w:jc w:val="center"/>
              <w:rPr>
                <w:rFonts w:eastAsia="方正仿宋_GBK"/>
                <w:color w:val="000000"/>
                <w:sz w:val="36"/>
                <w:szCs w:val="36"/>
              </w:rPr>
            </w:pPr>
          </w:p>
        </w:tc>
        <w:tc>
          <w:tcPr>
            <w:tcW w:w="1482" w:type="dxa"/>
            <w:tcBorders>
              <w:top w:val="nil"/>
              <w:left w:val="nil"/>
              <w:bottom w:val="nil"/>
              <w:right w:val="nil"/>
            </w:tcBorders>
            <w:vAlign w:val="center"/>
          </w:tcPr>
          <w:p>
            <w:pPr>
              <w:spacing w:line="560" w:lineRule="exact"/>
              <w:jc w:val="center"/>
              <w:rPr>
                <w:rFonts w:eastAsia="方正仿宋_GBK"/>
                <w:color w:val="000000"/>
                <w:sz w:val="36"/>
                <w:szCs w:val="36"/>
              </w:rPr>
            </w:pPr>
          </w:p>
        </w:tc>
        <w:tc>
          <w:tcPr>
            <w:tcW w:w="4371" w:type="dxa"/>
            <w:gridSpan w:val="2"/>
            <w:tcBorders>
              <w:top w:val="nil"/>
              <w:left w:val="nil"/>
              <w:bottom w:val="nil"/>
              <w:right w:val="nil"/>
            </w:tcBorders>
            <w:vAlign w:val="center"/>
          </w:tcPr>
          <w:p>
            <w:pPr>
              <w:spacing w:line="560" w:lineRule="exact"/>
              <w:jc w:val="right"/>
              <w:rPr>
                <w:rFonts w:ascii="方正黑体_GBK" w:eastAsia="方正仿宋_GBK"/>
                <w:color w:val="000000"/>
                <w:sz w:val="18"/>
              </w:rPr>
            </w:pPr>
            <w:r>
              <w:rPr>
                <w:rFonts w:hint="eastAsia" w:ascii="方正黑体_GBK" w:eastAsia="方正仿宋_GBK"/>
                <w:color w:val="000000"/>
                <w:sz w:val="18"/>
              </w:rPr>
              <w:t>单位：万元</w:t>
            </w:r>
          </w:p>
        </w:tc>
      </w:tr>
      <w:tr>
        <w:tblPrEx>
          <w:tblCellMar>
            <w:top w:w="0" w:type="dxa"/>
            <w:left w:w="108" w:type="dxa"/>
            <w:bottom w:w="0" w:type="dxa"/>
            <w:right w:w="108" w:type="dxa"/>
          </w:tblCellMar>
        </w:tblPrEx>
        <w:trPr>
          <w:trHeight w:val="248" w:hRule="atLeast"/>
        </w:trPr>
        <w:tc>
          <w:tcPr>
            <w:tcW w:w="3664" w:type="dxa"/>
            <w:tcBorders>
              <w:top w:val="single" w:color="auto" w:sz="12" w:space="0"/>
              <w:left w:val="single" w:color="auto" w:sz="12"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收      入</w:t>
            </w:r>
          </w:p>
        </w:tc>
        <w:tc>
          <w:tcPr>
            <w:tcW w:w="1482" w:type="dxa"/>
            <w:tcBorders>
              <w:top w:val="single" w:color="auto" w:sz="12" w:space="0"/>
              <w:left w:val="nil"/>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预算数</w:t>
            </w:r>
          </w:p>
        </w:tc>
        <w:tc>
          <w:tcPr>
            <w:tcW w:w="3199" w:type="dxa"/>
            <w:tcBorders>
              <w:top w:val="single" w:color="auto" w:sz="12" w:space="0"/>
              <w:left w:val="nil"/>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支      出</w:t>
            </w:r>
          </w:p>
        </w:tc>
        <w:tc>
          <w:tcPr>
            <w:tcW w:w="1172" w:type="dxa"/>
            <w:tcBorders>
              <w:top w:val="single" w:color="auto" w:sz="12" w:space="0"/>
              <w:left w:val="nil"/>
              <w:bottom w:val="single" w:color="auto" w:sz="4" w:space="0"/>
              <w:right w:val="single" w:color="auto" w:sz="12"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预算数</w:t>
            </w:r>
          </w:p>
        </w:tc>
      </w:tr>
      <w:tr>
        <w:tblPrEx>
          <w:tblCellMar>
            <w:top w:w="0" w:type="dxa"/>
            <w:left w:w="108" w:type="dxa"/>
            <w:bottom w:w="0" w:type="dxa"/>
            <w:right w:w="108" w:type="dxa"/>
          </w:tblCellMar>
        </w:tblPrEx>
        <w:trPr>
          <w:trHeight w:val="25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center"/>
              <w:rPr>
                <w:rFonts w:ascii="方正黑体_GBK" w:eastAsia="方正仿宋_GBK"/>
                <w:bCs/>
                <w:color w:val="000000"/>
                <w:sz w:val="24"/>
              </w:rPr>
            </w:pPr>
            <w:r>
              <w:rPr>
                <w:rFonts w:hint="eastAsia" w:ascii="方正楷体_GBK" w:hAnsi="方正楷体_GBK" w:eastAsia="方正楷体_GBK" w:cs="方正楷体_GBK"/>
                <w:bCs/>
                <w:color w:val="000000"/>
                <w:sz w:val="24"/>
              </w:rPr>
              <w:t>总  计</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401975</w:t>
            </w:r>
          </w:p>
        </w:tc>
        <w:tc>
          <w:tcPr>
            <w:tcW w:w="3199" w:type="dxa"/>
            <w:tcBorders>
              <w:top w:val="nil"/>
              <w:left w:val="nil"/>
              <w:bottom w:val="single" w:color="auto" w:sz="4" w:space="0"/>
              <w:right w:val="single" w:color="auto" w:sz="4" w:space="0"/>
            </w:tcBorders>
            <w:vAlign w:val="center"/>
          </w:tcPr>
          <w:p>
            <w:pPr>
              <w:spacing w:line="560" w:lineRule="exact"/>
              <w:jc w:val="center"/>
              <w:rPr>
                <w:rFonts w:eastAsia="方正仿宋_GBK"/>
                <w:bCs/>
                <w:color w:val="000000"/>
                <w:sz w:val="24"/>
              </w:rPr>
            </w:pPr>
            <w:r>
              <w:rPr>
                <w:rFonts w:hint="eastAsia" w:ascii="方正楷体_GBK" w:hAnsi="方正楷体_GBK" w:eastAsia="方正楷体_GBK" w:cs="方正楷体_GBK"/>
                <w:bCs/>
                <w:color w:val="000000"/>
                <w:sz w:val="24"/>
              </w:rPr>
              <w:t>总  计</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401975</w:t>
            </w:r>
          </w:p>
        </w:tc>
      </w:tr>
      <w:tr>
        <w:tblPrEx>
          <w:tblCellMar>
            <w:top w:w="0" w:type="dxa"/>
            <w:left w:w="108" w:type="dxa"/>
            <w:bottom w:w="0" w:type="dxa"/>
            <w:right w:w="108" w:type="dxa"/>
          </w:tblCellMar>
        </w:tblPrEx>
        <w:trPr>
          <w:trHeight w:val="90"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hint="eastAsia" w:ascii="方正楷体_GBK" w:hAnsi="方正楷体_GBK" w:eastAsia="方正楷体_GBK" w:cs="方正楷体_GBK"/>
                <w:bCs/>
                <w:color w:val="000000"/>
                <w:sz w:val="24"/>
              </w:rPr>
              <w:t>一、县级收入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43770</w:t>
            </w:r>
          </w:p>
        </w:tc>
        <w:tc>
          <w:tcPr>
            <w:tcW w:w="3199" w:type="dxa"/>
            <w:tcBorders>
              <w:top w:val="nil"/>
              <w:left w:val="nil"/>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hint="eastAsia" w:ascii="方正楷体_GBK" w:hAnsi="方正楷体_GBK" w:eastAsia="方正楷体_GBK" w:cs="方正楷体_GBK"/>
                <w:bCs/>
                <w:color w:val="000000"/>
                <w:sz w:val="24"/>
              </w:rPr>
              <w:t>一、县本级支出</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361690</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ascii="方正仿宋_GBK" w:eastAsia="方正仿宋_GBK"/>
                <w:color w:val="000000"/>
                <w:sz w:val="24"/>
              </w:rPr>
            </w:pPr>
            <w:r>
              <w:rPr>
                <w:rFonts w:hint="eastAsia" w:ascii="方正仿宋_GBK" w:eastAsia="方正仿宋_GBK"/>
                <w:color w:val="000000"/>
                <w:sz w:val="24"/>
              </w:rPr>
              <w:t xml:space="preserve">  税收收入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26580</w:t>
            </w:r>
          </w:p>
        </w:tc>
        <w:tc>
          <w:tcPr>
            <w:tcW w:w="3199" w:type="dxa"/>
            <w:tcBorders>
              <w:top w:val="nil"/>
              <w:left w:val="nil"/>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hint="eastAsia" w:ascii="方正仿宋_GBK" w:eastAsia="方正仿宋_GBK"/>
                <w:color w:val="000000"/>
              </w:rPr>
              <w:t>其中：</w:t>
            </w:r>
            <w:r>
              <w:rPr>
                <w:rFonts w:hint="eastAsia" w:ascii="方正仿宋_GBK" w:eastAsia="方正仿宋_GBK"/>
                <w:color w:val="000000"/>
                <w:sz w:val="20"/>
              </w:rPr>
              <w:t>县本级上年结转安排的支出</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37309</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ascii="方正仿宋_GBK" w:eastAsia="方正仿宋_GBK"/>
                <w:color w:val="000000"/>
                <w:sz w:val="24"/>
              </w:rPr>
            </w:pPr>
            <w:r>
              <w:rPr>
                <w:rFonts w:hint="eastAsia" w:ascii="方正仿宋_GBK" w:eastAsia="方正仿宋_GBK"/>
                <w:color w:val="000000"/>
                <w:sz w:val="24"/>
              </w:rPr>
              <w:t xml:space="preserve">  非税收入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17190</w:t>
            </w:r>
          </w:p>
        </w:tc>
        <w:tc>
          <w:tcPr>
            <w:tcW w:w="3199" w:type="dxa"/>
            <w:tcBorders>
              <w:top w:val="nil"/>
              <w:left w:val="nil"/>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hint="eastAsia" w:ascii="方正楷体_GBK" w:hAnsi="方正楷体_GBK" w:eastAsia="方正楷体_GBK" w:cs="方正楷体_GBK"/>
                <w:bCs/>
                <w:color w:val="000000"/>
                <w:sz w:val="24"/>
              </w:rPr>
              <w:t>二、转移性支出</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40285</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eastAsia="方正仿宋_GBK"/>
                <w:bCs/>
                <w:color w:val="000000"/>
                <w:sz w:val="24"/>
              </w:rPr>
            </w:pPr>
            <w:r>
              <w:rPr>
                <w:rFonts w:hint="eastAsia" w:ascii="方正楷体_GBK" w:hAnsi="方正楷体_GBK" w:eastAsia="方正楷体_GBK" w:cs="方正楷体_GBK"/>
                <w:bCs/>
                <w:color w:val="000000"/>
                <w:sz w:val="24"/>
              </w:rPr>
              <w:t>二、上级转移支付收入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285743</w:t>
            </w:r>
          </w:p>
        </w:tc>
        <w:tc>
          <w:tcPr>
            <w:tcW w:w="3199" w:type="dxa"/>
            <w:tcBorders>
              <w:top w:val="nil"/>
              <w:left w:val="nil"/>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ascii="方正黑体_GBK" w:eastAsia="方正仿宋_GBK"/>
                <w:bCs/>
                <w:color w:val="000000"/>
                <w:sz w:val="24"/>
              </w:rPr>
              <w:t>补助下级转移支付支出</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28285</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ascii="方正仿宋_GBK" w:eastAsia="方正仿宋_GBK"/>
                <w:color w:val="000000"/>
                <w:sz w:val="24"/>
              </w:rPr>
            </w:pPr>
            <w:r>
              <w:rPr>
                <w:rFonts w:ascii="方正仿宋_GBK" w:eastAsia="方正仿宋_GBK"/>
                <w:color w:val="000000"/>
                <w:sz w:val="24"/>
              </w:rPr>
              <w:t xml:space="preserve"> 返还性收入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1552</w:t>
            </w:r>
          </w:p>
        </w:tc>
        <w:tc>
          <w:tcPr>
            <w:tcW w:w="3199" w:type="dxa"/>
            <w:tcBorders>
              <w:top w:val="nil"/>
              <w:left w:val="nil"/>
              <w:bottom w:val="single" w:color="auto" w:sz="4" w:space="0"/>
              <w:right w:val="single" w:color="auto" w:sz="4" w:space="0"/>
            </w:tcBorders>
            <w:vAlign w:val="center"/>
          </w:tcPr>
          <w:p>
            <w:pPr>
              <w:spacing w:line="560" w:lineRule="exact"/>
              <w:jc w:val="left"/>
              <w:rPr>
                <w:rFonts w:ascii="方正黑体_GBK" w:eastAsia="方正仿宋_GBK"/>
                <w:bCs/>
                <w:color w:val="000000"/>
                <w:sz w:val="24"/>
              </w:rPr>
            </w:pPr>
            <w:r>
              <w:rPr>
                <w:rFonts w:ascii="方正黑体_GBK" w:eastAsia="方正仿宋_GBK"/>
                <w:bCs/>
                <w:color w:val="000000"/>
                <w:sz w:val="24"/>
              </w:rPr>
              <w:t>上解支出</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12000</w:t>
            </w:r>
          </w:p>
        </w:tc>
      </w:tr>
      <w:tr>
        <w:tblPrEx>
          <w:tblCellMar>
            <w:top w:w="0" w:type="dxa"/>
            <w:left w:w="108" w:type="dxa"/>
            <w:bottom w:w="0" w:type="dxa"/>
            <w:right w:w="108" w:type="dxa"/>
          </w:tblCellMar>
        </w:tblPrEx>
        <w:trPr>
          <w:trHeight w:val="601" w:hRule="atLeast"/>
        </w:trPr>
        <w:tc>
          <w:tcPr>
            <w:tcW w:w="3664" w:type="dxa"/>
            <w:tcBorders>
              <w:top w:val="single" w:color="auto" w:sz="4" w:space="0"/>
              <w:left w:val="single" w:color="auto" w:sz="12" w:space="0"/>
              <w:bottom w:val="single" w:color="auto" w:sz="12" w:space="0"/>
              <w:right w:val="single" w:color="auto" w:sz="4" w:space="0"/>
            </w:tcBorders>
            <w:vAlign w:val="center"/>
          </w:tcPr>
          <w:p>
            <w:pPr>
              <w:spacing w:line="560" w:lineRule="exact"/>
              <w:jc w:val="left"/>
              <w:rPr>
                <w:rFonts w:ascii="方正仿宋_GBK" w:eastAsia="方正仿宋_GBK"/>
                <w:color w:val="000000"/>
                <w:sz w:val="24"/>
              </w:rPr>
            </w:pPr>
            <w:r>
              <w:rPr>
                <w:rFonts w:ascii="方正仿宋_GBK" w:eastAsia="方正仿宋_GBK"/>
                <w:color w:val="000000"/>
                <w:sz w:val="24"/>
              </w:rPr>
              <w:t xml:space="preserve"> 一般性转移支付收入</w:t>
            </w:r>
          </w:p>
        </w:tc>
        <w:tc>
          <w:tcPr>
            <w:tcW w:w="1482" w:type="dxa"/>
            <w:tcBorders>
              <w:top w:val="single" w:color="auto" w:sz="4" w:space="0"/>
              <w:left w:val="nil"/>
              <w:bottom w:val="single" w:color="auto" w:sz="12"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172996</w:t>
            </w:r>
          </w:p>
        </w:tc>
        <w:tc>
          <w:tcPr>
            <w:tcW w:w="3199" w:type="dxa"/>
            <w:tcBorders>
              <w:top w:val="single" w:color="auto" w:sz="4" w:space="0"/>
              <w:left w:val="nil"/>
              <w:bottom w:val="single" w:color="auto" w:sz="12" w:space="0"/>
              <w:right w:val="single" w:color="auto" w:sz="4" w:space="0"/>
            </w:tcBorders>
            <w:vAlign w:val="center"/>
          </w:tcPr>
          <w:p>
            <w:pPr>
              <w:spacing w:line="560" w:lineRule="exact"/>
              <w:jc w:val="left"/>
              <w:rPr>
                <w:rFonts w:eastAsia="方正仿宋_GBK"/>
                <w:color w:val="000000"/>
                <w:sz w:val="24"/>
              </w:rPr>
            </w:pPr>
            <w:r>
              <w:rPr>
                <w:rFonts w:eastAsia="方正仿宋_GBK"/>
                <w:color w:val="000000"/>
                <w:sz w:val="24"/>
              </w:rPr>
              <w:t>　</w:t>
            </w:r>
          </w:p>
        </w:tc>
        <w:tc>
          <w:tcPr>
            <w:tcW w:w="1172" w:type="dxa"/>
            <w:tcBorders>
              <w:top w:val="single" w:color="auto" w:sz="4" w:space="0"/>
              <w:left w:val="nil"/>
              <w:bottom w:val="single" w:color="auto" w:sz="12" w:space="0"/>
              <w:right w:val="single" w:color="auto" w:sz="12" w:space="0"/>
            </w:tcBorders>
            <w:vAlign w:val="center"/>
          </w:tcPr>
          <w:p>
            <w:pPr>
              <w:spacing w:line="560" w:lineRule="exact"/>
              <w:jc w:val="center"/>
              <w:rPr>
                <w:rFonts w:eastAsia="方正仿宋_GBK"/>
                <w:color w:val="000000"/>
                <w:sz w:val="24"/>
              </w:rPr>
            </w:pPr>
          </w:p>
        </w:tc>
      </w:tr>
      <w:tr>
        <w:tblPrEx>
          <w:tblCellMar>
            <w:top w:w="0" w:type="dxa"/>
            <w:left w:w="108" w:type="dxa"/>
            <w:bottom w:w="0" w:type="dxa"/>
            <w:right w:w="108" w:type="dxa"/>
          </w:tblCellMar>
        </w:tblPrEx>
        <w:trPr>
          <w:trHeight w:val="248" w:hRule="atLeast"/>
        </w:trPr>
        <w:tc>
          <w:tcPr>
            <w:tcW w:w="3664" w:type="dxa"/>
            <w:tcBorders>
              <w:top w:val="single" w:color="auto" w:sz="12" w:space="0"/>
              <w:left w:val="single" w:color="auto" w:sz="12"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收      入</w:t>
            </w:r>
          </w:p>
        </w:tc>
        <w:tc>
          <w:tcPr>
            <w:tcW w:w="1482" w:type="dxa"/>
            <w:tcBorders>
              <w:top w:val="single" w:color="auto" w:sz="12" w:space="0"/>
              <w:left w:val="nil"/>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预算数</w:t>
            </w:r>
          </w:p>
        </w:tc>
        <w:tc>
          <w:tcPr>
            <w:tcW w:w="3199" w:type="dxa"/>
            <w:tcBorders>
              <w:top w:val="single" w:color="auto" w:sz="12" w:space="0"/>
              <w:left w:val="nil"/>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支      出</w:t>
            </w:r>
          </w:p>
        </w:tc>
        <w:tc>
          <w:tcPr>
            <w:tcW w:w="1172" w:type="dxa"/>
            <w:tcBorders>
              <w:top w:val="single" w:color="auto" w:sz="12" w:space="0"/>
              <w:left w:val="nil"/>
              <w:bottom w:val="single" w:color="auto" w:sz="4" w:space="0"/>
              <w:right w:val="single" w:color="auto" w:sz="12" w:space="0"/>
            </w:tcBorders>
            <w:vAlign w:val="center"/>
          </w:tcPr>
          <w:p>
            <w:pPr>
              <w:spacing w:line="560" w:lineRule="exact"/>
              <w:jc w:val="center"/>
              <w:rPr>
                <w:rFonts w:ascii="方正黑体_GBK" w:hAnsi="方正黑体_GBK" w:eastAsia="方正黑体_GBK" w:cs="方正黑体_GBK"/>
                <w:color w:val="000000"/>
                <w:sz w:val="24"/>
                <w:szCs w:val="28"/>
              </w:rPr>
            </w:pPr>
            <w:r>
              <w:rPr>
                <w:rFonts w:hint="eastAsia" w:ascii="方正黑体_GBK" w:hAnsi="方正黑体_GBK" w:eastAsia="方正黑体_GBK" w:cs="方正黑体_GBK"/>
                <w:color w:val="000000"/>
                <w:sz w:val="24"/>
                <w:szCs w:val="28"/>
              </w:rPr>
              <w:t>预算数</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ascii="方正仿宋_GBK" w:eastAsia="方正仿宋_GBK"/>
                <w:color w:val="000000"/>
                <w:sz w:val="24"/>
              </w:rPr>
            </w:pPr>
            <w:r>
              <w:rPr>
                <w:rFonts w:ascii="方正仿宋_GBK" w:eastAsia="方正仿宋_GBK"/>
                <w:color w:val="000000"/>
                <w:sz w:val="24"/>
              </w:rPr>
              <w:t xml:space="preserve"> 专项转移支付收入</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111195</w:t>
            </w:r>
          </w:p>
        </w:tc>
        <w:tc>
          <w:tcPr>
            <w:tcW w:w="3199" w:type="dxa"/>
            <w:tcBorders>
              <w:top w:val="nil"/>
              <w:left w:val="nil"/>
              <w:bottom w:val="single" w:color="auto" w:sz="4" w:space="0"/>
              <w:right w:val="single" w:color="auto" w:sz="4" w:space="0"/>
            </w:tcBorders>
            <w:vAlign w:val="center"/>
          </w:tcPr>
          <w:p>
            <w:pPr>
              <w:spacing w:line="560" w:lineRule="exact"/>
              <w:jc w:val="left"/>
              <w:rPr>
                <w:rFonts w:eastAsia="方正仿宋_GBK"/>
                <w:color w:val="000000"/>
                <w:sz w:val="24"/>
              </w:rPr>
            </w:pPr>
            <w:r>
              <w:rPr>
                <w:rFonts w:eastAsia="方正仿宋_GBK"/>
                <w:color w:val="000000"/>
                <w:sz w:val="24"/>
              </w:rPr>
              <w:t>　</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color w:val="000000"/>
                <w:sz w:val="24"/>
              </w:rPr>
            </w:pPr>
            <w:r>
              <w:rPr>
                <w:rFonts w:eastAsia="方正仿宋_GBK"/>
                <w:color w:val="000000"/>
                <w:sz w:val="24"/>
              </w:rPr>
              <w:t>　</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eastAsia="方正仿宋_GBK"/>
                <w:bCs/>
                <w:color w:val="000000"/>
                <w:sz w:val="24"/>
              </w:rPr>
            </w:pPr>
            <w:r>
              <w:rPr>
                <w:rFonts w:hint="eastAsia" w:ascii="方正楷体_GBK" w:hAnsi="方正楷体_GBK" w:eastAsia="方正楷体_GBK" w:cs="方正楷体_GBK"/>
                <w:bCs/>
                <w:color w:val="000000"/>
                <w:sz w:val="24"/>
              </w:rPr>
              <w:t>三、调入资金</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3250</w:t>
            </w:r>
          </w:p>
        </w:tc>
        <w:tc>
          <w:tcPr>
            <w:tcW w:w="3199" w:type="dxa"/>
            <w:tcBorders>
              <w:top w:val="nil"/>
              <w:left w:val="nil"/>
              <w:bottom w:val="single" w:color="auto" w:sz="4" w:space="0"/>
              <w:right w:val="single" w:color="auto" w:sz="4" w:space="0"/>
            </w:tcBorders>
            <w:vAlign w:val="center"/>
          </w:tcPr>
          <w:p>
            <w:pPr>
              <w:spacing w:line="560" w:lineRule="exact"/>
              <w:jc w:val="left"/>
              <w:rPr>
                <w:rFonts w:eastAsia="方正仿宋_GBK"/>
                <w:color w:val="000000"/>
                <w:sz w:val="24"/>
              </w:rPr>
            </w:pPr>
            <w:r>
              <w:rPr>
                <w:rFonts w:eastAsia="方正仿宋_GBK"/>
                <w:color w:val="000000"/>
                <w:sz w:val="24"/>
              </w:rPr>
              <w:t>　</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color w:val="000000"/>
                <w:sz w:val="24"/>
              </w:rPr>
            </w:pPr>
            <w:r>
              <w:rPr>
                <w:rFonts w:eastAsia="方正仿宋_GBK"/>
                <w:color w:val="000000"/>
                <w:sz w:val="24"/>
              </w:rPr>
              <w:t>　</w:t>
            </w:r>
          </w:p>
        </w:tc>
      </w:tr>
      <w:tr>
        <w:tblPrEx>
          <w:tblCellMar>
            <w:top w:w="0" w:type="dxa"/>
            <w:left w:w="108" w:type="dxa"/>
            <w:bottom w:w="0" w:type="dxa"/>
            <w:right w:w="108" w:type="dxa"/>
          </w:tblCellMar>
        </w:tblPrEx>
        <w:trPr>
          <w:trHeight w:val="111" w:hRule="atLeast"/>
        </w:trPr>
        <w:tc>
          <w:tcPr>
            <w:tcW w:w="3664" w:type="dxa"/>
            <w:tcBorders>
              <w:top w:val="nil"/>
              <w:left w:val="single" w:color="auto" w:sz="12" w:space="0"/>
              <w:bottom w:val="single" w:color="auto" w:sz="4" w:space="0"/>
              <w:right w:val="single" w:color="auto" w:sz="4" w:space="0"/>
            </w:tcBorders>
            <w:vAlign w:val="center"/>
          </w:tcPr>
          <w:p>
            <w:pPr>
              <w:spacing w:line="560" w:lineRule="exact"/>
              <w:jc w:val="left"/>
              <w:rPr>
                <w:rFonts w:eastAsia="方正仿宋_GBK"/>
                <w:bCs/>
                <w:color w:val="000000"/>
                <w:sz w:val="24"/>
              </w:rPr>
            </w:pPr>
            <w:r>
              <w:rPr>
                <w:rFonts w:hint="eastAsia" w:ascii="方正楷体_GBK" w:hAnsi="方正楷体_GBK" w:eastAsia="方正楷体_GBK" w:cs="方正楷体_GBK"/>
                <w:bCs/>
                <w:color w:val="000000"/>
                <w:sz w:val="24"/>
              </w:rPr>
              <w:t>四、调入预算稳定调节基金</w:t>
            </w:r>
          </w:p>
        </w:tc>
        <w:tc>
          <w:tcPr>
            <w:tcW w:w="1482" w:type="dxa"/>
            <w:tcBorders>
              <w:top w:val="nil"/>
              <w:left w:val="nil"/>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28700</w:t>
            </w:r>
          </w:p>
        </w:tc>
        <w:tc>
          <w:tcPr>
            <w:tcW w:w="3199" w:type="dxa"/>
            <w:tcBorders>
              <w:top w:val="nil"/>
              <w:left w:val="nil"/>
              <w:bottom w:val="single" w:color="auto" w:sz="4" w:space="0"/>
              <w:right w:val="single" w:color="auto" w:sz="4" w:space="0"/>
            </w:tcBorders>
            <w:vAlign w:val="center"/>
          </w:tcPr>
          <w:p>
            <w:pPr>
              <w:spacing w:line="560" w:lineRule="exact"/>
              <w:jc w:val="left"/>
              <w:rPr>
                <w:rFonts w:eastAsia="方正仿宋_GBK"/>
                <w:color w:val="000000"/>
                <w:sz w:val="24"/>
              </w:rPr>
            </w:pPr>
            <w:r>
              <w:rPr>
                <w:rFonts w:eastAsia="方正仿宋_GBK"/>
                <w:color w:val="000000"/>
                <w:sz w:val="24"/>
              </w:rPr>
              <w:t>　</w:t>
            </w:r>
          </w:p>
        </w:tc>
        <w:tc>
          <w:tcPr>
            <w:tcW w:w="1172" w:type="dxa"/>
            <w:tcBorders>
              <w:top w:val="nil"/>
              <w:left w:val="nil"/>
              <w:bottom w:val="single" w:color="auto" w:sz="4" w:space="0"/>
              <w:right w:val="single" w:color="auto" w:sz="12" w:space="0"/>
            </w:tcBorders>
            <w:vAlign w:val="center"/>
          </w:tcPr>
          <w:p>
            <w:pPr>
              <w:spacing w:line="560" w:lineRule="exact"/>
              <w:jc w:val="center"/>
              <w:rPr>
                <w:rFonts w:eastAsia="方正仿宋_GBK"/>
                <w:color w:val="000000"/>
                <w:sz w:val="24"/>
              </w:rPr>
            </w:pPr>
            <w:r>
              <w:rPr>
                <w:rFonts w:eastAsia="方正仿宋_GBK"/>
                <w:color w:val="000000"/>
                <w:sz w:val="24"/>
              </w:rPr>
              <w:t>　</w:t>
            </w:r>
          </w:p>
        </w:tc>
      </w:tr>
      <w:tr>
        <w:tblPrEx>
          <w:tblCellMar>
            <w:top w:w="0" w:type="dxa"/>
            <w:left w:w="108" w:type="dxa"/>
            <w:bottom w:w="0" w:type="dxa"/>
            <w:right w:w="108" w:type="dxa"/>
          </w:tblCellMar>
        </w:tblPrEx>
        <w:trPr>
          <w:trHeight w:val="333" w:hRule="atLeast"/>
        </w:trPr>
        <w:tc>
          <w:tcPr>
            <w:tcW w:w="3664" w:type="dxa"/>
            <w:tcBorders>
              <w:top w:val="nil"/>
              <w:left w:val="single" w:color="auto" w:sz="12" w:space="0"/>
              <w:bottom w:val="single" w:color="auto" w:sz="12" w:space="0"/>
              <w:right w:val="single" w:color="auto" w:sz="4" w:space="0"/>
            </w:tcBorders>
            <w:vAlign w:val="center"/>
          </w:tcPr>
          <w:p>
            <w:pPr>
              <w:spacing w:line="560" w:lineRule="exact"/>
              <w:jc w:val="left"/>
              <w:rPr>
                <w:rFonts w:ascii="方正黑体_GBK" w:eastAsia="方正仿宋_GBK"/>
                <w:bCs/>
                <w:color w:val="000000"/>
                <w:sz w:val="24"/>
              </w:rPr>
            </w:pPr>
            <w:r>
              <w:rPr>
                <w:rFonts w:hint="eastAsia" w:ascii="方正楷体_GBK" w:hAnsi="方正楷体_GBK" w:eastAsia="方正楷体_GBK" w:cs="方正楷体_GBK"/>
                <w:bCs/>
                <w:color w:val="000000"/>
                <w:sz w:val="24"/>
              </w:rPr>
              <w:t>五、上年结转收入</w:t>
            </w:r>
          </w:p>
        </w:tc>
        <w:tc>
          <w:tcPr>
            <w:tcW w:w="1482" w:type="dxa"/>
            <w:tcBorders>
              <w:top w:val="nil"/>
              <w:left w:val="nil"/>
              <w:bottom w:val="single" w:color="auto" w:sz="12" w:space="0"/>
              <w:right w:val="single" w:color="auto" w:sz="4" w:space="0"/>
            </w:tcBorders>
            <w:vAlign w:val="center"/>
          </w:tcPr>
          <w:p>
            <w:pPr>
              <w:spacing w:line="560" w:lineRule="exact"/>
              <w:jc w:val="center"/>
              <w:rPr>
                <w:rFonts w:ascii="方正黑体_GBK" w:eastAsia="方正仿宋_GBK"/>
                <w:bCs/>
                <w:color w:val="000000"/>
                <w:sz w:val="24"/>
              </w:rPr>
            </w:pPr>
            <w:r>
              <w:rPr>
                <w:rFonts w:hint="eastAsia" w:ascii="方正黑体_GBK" w:eastAsia="方正仿宋_GBK"/>
                <w:bCs/>
                <w:color w:val="000000"/>
                <w:sz w:val="24"/>
              </w:rPr>
              <w:t>40512</w:t>
            </w:r>
          </w:p>
        </w:tc>
        <w:tc>
          <w:tcPr>
            <w:tcW w:w="3199" w:type="dxa"/>
            <w:tcBorders>
              <w:top w:val="nil"/>
              <w:left w:val="nil"/>
              <w:bottom w:val="single" w:color="auto" w:sz="12" w:space="0"/>
              <w:right w:val="single" w:color="auto" w:sz="4" w:space="0"/>
            </w:tcBorders>
            <w:vAlign w:val="center"/>
          </w:tcPr>
          <w:p>
            <w:pPr>
              <w:spacing w:line="560" w:lineRule="exact"/>
              <w:jc w:val="left"/>
              <w:rPr>
                <w:rFonts w:ascii="方正黑体_GBK" w:eastAsia="方正仿宋_GBK"/>
                <w:bCs/>
                <w:color w:val="000000"/>
                <w:sz w:val="24"/>
              </w:rPr>
            </w:pPr>
            <w:r>
              <w:rPr>
                <w:rFonts w:ascii="方正黑体_GBK" w:eastAsia="方正仿宋_GBK"/>
                <w:bCs/>
                <w:color w:val="000000"/>
                <w:sz w:val="24"/>
              </w:rPr>
              <w:t>　</w:t>
            </w:r>
          </w:p>
        </w:tc>
        <w:tc>
          <w:tcPr>
            <w:tcW w:w="1172" w:type="dxa"/>
            <w:tcBorders>
              <w:top w:val="nil"/>
              <w:left w:val="nil"/>
              <w:bottom w:val="single" w:color="auto" w:sz="12" w:space="0"/>
              <w:right w:val="single" w:color="auto" w:sz="12" w:space="0"/>
            </w:tcBorders>
            <w:vAlign w:val="center"/>
          </w:tcPr>
          <w:p>
            <w:pPr>
              <w:spacing w:line="560" w:lineRule="exact"/>
              <w:jc w:val="center"/>
              <w:rPr>
                <w:rFonts w:ascii="方正黑体_GBK" w:eastAsia="方正仿宋_GBK"/>
                <w:bCs/>
                <w:color w:val="000000"/>
                <w:sz w:val="24"/>
              </w:rPr>
            </w:pPr>
            <w:r>
              <w:rPr>
                <w:rFonts w:ascii="方正黑体_GBK" w:eastAsia="方正仿宋_GBK"/>
                <w:bCs/>
                <w:color w:val="000000"/>
                <w:sz w:val="24"/>
              </w:rPr>
              <w:t>　</w:t>
            </w:r>
          </w:p>
        </w:tc>
      </w:tr>
    </w:tbl>
    <w:p>
      <w:pPr>
        <w:spacing w:line="560" w:lineRule="exact"/>
        <w:ind w:firstLine="629"/>
        <w:rPr>
          <w:rFonts w:eastAsia="方正仿宋_GBK"/>
          <w:kern w:val="0"/>
          <w:sz w:val="32"/>
          <w:szCs w:val="32"/>
        </w:rPr>
      </w:pPr>
      <w:r>
        <w:rPr>
          <w:rFonts w:hint="eastAsia" w:eastAsia="方正仿宋_GBK"/>
          <w:kern w:val="0"/>
          <w:sz w:val="32"/>
          <w:szCs w:val="32"/>
        </w:rPr>
        <w:t>分支出功能科目安排明细如下：</w:t>
      </w:r>
    </w:p>
    <w:p>
      <w:pPr>
        <w:spacing w:line="560" w:lineRule="exact"/>
        <w:ind w:firstLine="629"/>
        <w:rPr>
          <w:rFonts w:eastAsia="方正仿宋_GBK"/>
          <w:kern w:val="0"/>
          <w:sz w:val="32"/>
          <w:szCs w:val="32"/>
        </w:rPr>
      </w:pPr>
      <w:r>
        <w:rPr>
          <w:rFonts w:hint="eastAsia" w:eastAsia="方正仿宋_GBK"/>
          <w:kern w:val="0"/>
          <w:sz w:val="32"/>
          <w:szCs w:val="32"/>
        </w:rPr>
        <w:t>——一般公共服务支出32820万元</w:t>
      </w:r>
    </w:p>
    <w:p>
      <w:pPr>
        <w:spacing w:line="560" w:lineRule="exact"/>
        <w:ind w:firstLine="629"/>
        <w:rPr>
          <w:rFonts w:eastAsia="方正仿宋_GBK"/>
          <w:kern w:val="0"/>
          <w:sz w:val="32"/>
          <w:szCs w:val="32"/>
        </w:rPr>
      </w:pPr>
      <w:r>
        <w:rPr>
          <w:rFonts w:hint="eastAsia" w:eastAsia="方正仿宋_GBK"/>
          <w:kern w:val="0"/>
          <w:sz w:val="32"/>
          <w:szCs w:val="32"/>
        </w:rPr>
        <w:t>——国防支出340万元</w:t>
      </w:r>
    </w:p>
    <w:p>
      <w:pPr>
        <w:spacing w:line="560" w:lineRule="exact"/>
        <w:ind w:firstLine="629"/>
        <w:rPr>
          <w:rFonts w:eastAsia="方正仿宋_GBK"/>
          <w:kern w:val="0"/>
          <w:sz w:val="32"/>
          <w:szCs w:val="32"/>
        </w:rPr>
      </w:pPr>
      <w:r>
        <w:rPr>
          <w:rFonts w:hint="eastAsia" w:eastAsia="方正仿宋_GBK"/>
          <w:kern w:val="0"/>
          <w:sz w:val="32"/>
          <w:szCs w:val="32"/>
        </w:rPr>
        <w:t>——公共安全支出8040万元</w:t>
      </w:r>
    </w:p>
    <w:p>
      <w:pPr>
        <w:spacing w:line="560" w:lineRule="exact"/>
        <w:ind w:firstLine="629"/>
        <w:rPr>
          <w:rFonts w:eastAsia="方正仿宋_GBK"/>
          <w:kern w:val="0"/>
          <w:sz w:val="32"/>
          <w:szCs w:val="32"/>
        </w:rPr>
      </w:pPr>
      <w:r>
        <w:rPr>
          <w:rFonts w:hint="eastAsia" w:eastAsia="方正仿宋_GBK"/>
          <w:kern w:val="0"/>
          <w:sz w:val="32"/>
          <w:szCs w:val="32"/>
        </w:rPr>
        <w:t>——教育支出52428万元</w:t>
      </w:r>
    </w:p>
    <w:p>
      <w:pPr>
        <w:spacing w:line="560" w:lineRule="exact"/>
        <w:ind w:firstLine="629"/>
        <w:rPr>
          <w:rFonts w:eastAsia="方正仿宋_GBK"/>
          <w:kern w:val="0"/>
          <w:sz w:val="32"/>
          <w:szCs w:val="32"/>
        </w:rPr>
      </w:pPr>
      <w:r>
        <w:rPr>
          <w:rFonts w:hint="eastAsia" w:eastAsia="方正仿宋_GBK"/>
          <w:kern w:val="0"/>
          <w:sz w:val="32"/>
          <w:szCs w:val="32"/>
        </w:rPr>
        <w:t>——科学技术支出296万元</w:t>
      </w:r>
    </w:p>
    <w:p>
      <w:pPr>
        <w:spacing w:line="560" w:lineRule="exact"/>
        <w:ind w:firstLine="629"/>
        <w:rPr>
          <w:rFonts w:eastAsia="方正仿宋_GBK"/>
          <w:kern w:val="0"/>
          <w:sz w:val="32"/>
          <w:szCs w:val="32"/>
        </w:rPr>
      </w:pPr>
      <w:r>
        <w:rPr>
          <w:rFonts w:hint="eastAsia" w:eastAsia="方正仿宋_GBK"/>
          <w:kern w:val="0"/>
          <w:sz w:val="32"/>
          <w:szCs w:val="32"/>
        </w:rPr>
        <w:t>——文化旅游体育与传媒支出3135万元</w:t>
      </w:r>
    </w:p>
    <w:p>
      <w:pPr>
        <w:spacing w:line="560" w:lineRule="exact"/>
        <w:ind w:firstLine="629"/>
        <w:rPr>
          <w:rFonts w:eastAsia="方正仿宋_GBK"/>
          <w:kern w:val="0"/>
          <w:sz w:val="32"/>
          <w:szCs w:val="32"/>
        </w:rPr>
      </w:pPr>
      <w:r>
        <w:rPr>
          <w:rFonts w:hint="eastAsia" w:eastAsia="方正仿宋_GBK"/>
          <w:kern w:val="0"/>
          <w:sz w:val="32"/>
          <w:szCs w:val="32"/>
        </w:rPr>
        <w:t>——社会保障和就业支出30421万元</w:t>
      </w:r>
    </w:p>
    <w:p>
      <w:pPr>
        <w:spacing w:line="560" w:lineRule="exact"/>
        <w:ind w:firstLine="629"/>
        <w:rPr>
          <w:rFonts w:eastAsia="方正仿宋_GBK"/>
          <w:kern w:val="0"/>
          <w:sz w:val="32"/>
          <w:szCs w:val="32"/>
        </w:rPr>
      </w:pPr>
      <w:r>
        <w:rPr>
          <w:rFonts w:hint="eastAsia" w:eastAsia="方正仿宋_GBK"/>
          <w:kern w:val="0"/>
          <w:sz w:val="32"/>
          <w:szCs w:val="32"/>
        </w:rPr>
        <w:t>——卫生健康支出32159万元</w:t>
      </w:r>
    </w:p>
    <w:p>
      <w:pPr>
        <w:spacing w:line="560" w:lineRule="exact"/>
        <w:ind w:firstLine="629"/>
        <w:rPr>
          <w:rFonts w:eastAsia="方正仿宋_GBK"/>
          <w:kern w:val="0"/>
          <w:sz w:val="32"/>
          <w:szCs w:val="32"/>
        </w:rPr>
      </w:pPr>
      <w:r>
        <w:rPr>
          <w:rFonts w:hint="eastAsia" w:eastAsia="方正仿宋_GBK"/>
          <w:kern w:val="0"/>
          <w:sz w:val="32"/>
          <w:szCs w:val="32"/>
        </w:rPr>
        <w:t>——节能环保支出11302万元</w:t>
      </w:r>
    </w:p>
    <w:p>
      <w:pPr>
        <w:spacing w:line="560" w:lineRule="exact"/>
        <w:ind w:firstLine="629"/>
        <w:rPr>
          <w:rFonts w:eastAsia="方正仿宋_GBK"/>
          <w:kern w:val="0"/>
          <w:sz w:val="32"/>
          <w:szCs w:val="32"/>
        </w:rPr>
      </w:pPr>
      <w:r>
        <w:rPr>
          <w:rFonts w:hint="eastAsia" w:eastAsia="方正仿宋_GBK"/>
          <w:kern w:val="0"/>
          <w:sz w:val="32"/>
          <w:szCs w:val="32"/>
        </w:rPr>
        <w:t>——城乡社区支出2689万元</w:t>
      </w:r>
    </w:p>
    <w:p>
      <w:pPr>
        <w:spacing w:line="560" w:lineRule="exact"/>
        <w:ind w:firstLine="629"/>
        <w:rPr>
          <w:rFonts w:eastAsia="方正仿宋_GBK"/>
          <w:kern w:val="0"/>
          <w:sz w:val="32"/>
          <w:szCs w:val="32"/>
        </w:rPr>
      </w:pPr>
      <w:r>
        <w:rPr>
          <w:rFonts w:hint="eastAsia" w:eastAsia="方正仿宋_GBK"/>
          <w:kern w:val="0"/>
          <w:sz w:val="32"/>
          <w:szCs w:val="32"/>
        </w:rPr>
        <w:t>——农林水支出84572万元</w:t>
      </w:r>
    </w:p>
    <w:p>
      <w:pPr>
        <w:spacing w:line="560" w:lineRule="exact"/>
        <w:ind w:firstLine="629"/>
        <w:rPr>
          <w:rFonts w:eastAsia="方正仿宋_GBK"/>
          <w:kern w:val="0"/>
          <w:sz w:val="32"/>
          <w:szCs w:val="32"/>
        </w:rPr>
      </w:pPr>
      <w:r>
        <w:rPr>
          <w:rFonts w:hint="eastAsia" w:eastAsia="方正仿宋_GBK"/>
          <w:kern w:val="0"/>
          <w:sz w:val="32"/>
          <w:szCs w:val="32"/>
        </w:rPr>
        <w:t>——交通运输支出73239万元</w:t>
      </w:r>
    </w:p>
    <w:p>
      <w:pPr>
        <w:spacing w:line="560" w:lineRule="exact"/>
        <w:ind w:firstLine="629"/>
        <w:rPr>
          <w:rFonts w:eastAsia="方正仿宋_GBK"/>
          <w:kern w:val="0"/>
          <w:sz w:val="32"/>
          <w:szCs w:val="32"/>
        </w:rPr>
      </w:pPr>
      <w:r>
        <w:rPr>
          <w:rFonts w:hint="eastAsia" w:eastAsia="方正仿宋_GBK"/>
          <w:kern w:val="0"/>
          <w:sz w:val="32"/>
          <w:szCs w:val="32"/>
        </w:rPr>
        <w:t>——资源勘探工业信息等支出1117万元</w:t>
      </w:r>
    </w:p>
    <w:p>
      <w:pPr>
        <w:spacing w:line="560" w:lineRule="exact"/>
        <w:ind w:firstLine="629"/>
        <w:rPr>
          <w:rFonts w:eastAsia="方正仿宋_GBK"/>
          <w:kern w:val="0"/>
          <w:sz w:val="32"/>
          <w:szCs w:val="32"/>
        </w:rPr>
      </w:pPr>
      <w:r>
        <w:rPr>
          <w:rFonts w:hint="eastAsia" w:eastAsia="方正仿宋_GBK"/>
          <w:kern w:val="0"/>
          <w:sz w:val="32"/>
          <w:szCs w:val="32"/>
        </w:rPr>
        <w:t>——商业服务业等支出665万元</w:t>
      </w:r>
    </w:p>
    <w:p>
      <w:pPr>
        <w:spacing w:line="560" w:lineRule="exact"/>
        <w:ind w:firstLine="629"/>
        <w:rPr>
          <w:rFonts w:eastAsia="方正仿宋_GBK"/>
          <w:kern w:val="0"/>
          <w:sz w:val="32"/>
          <w:szCs w:val="32"/>
        </w:rPr>
      </w:pPr>
      <w:r>
        <w:rPr>
          <w:rFonts w:hint="eastAsia" w:eastAsia="方正仿宋_GBK"/>
          <w:kern w:val="0"/>
          <w:sz w:val="32"/>
          <w:szCs w:val="32"/>
        </w:rPr>
        <w:t>——金融支出1460万元</w:t>
      </w:r>
    </w:p>
    <w:p>
      <w:pPr>
        <w:spacing w:line="560" w:lineRule="exact"/>
        <w:ind w:firstLine="629"/>
        <w:rPr>
          <w:rFonts w:eastAsia="方正仿宋_GBK"/>
          <w:kern w:val="0"/>
          <w:sz w:val="32"/>
          <w:szCs w:val="32"/>
        </w:rPr>
      </w:pPr>
      <w:r>
        <w:rPr>
          <w:rFonts w:hint="eastAsia" w:eastAsia="方正仿宋_GBK"/>
          <w:kern w:val="0"/>
          <w:sz w:val="32"/>
          <w:szCs w:val="32"/>
        </w:rPr>
        <w:t>——自然资源海洋气象等支出1488万元</w:t>
      </w:r>
    </w:p>
    <w:p>
      <w:pPr>
        <w:spacing w:line="560" w:lineRule="exact"/>
        <w:ind w:firstLine="629"/>
        <w:rPr>
          <w:rFonts w:eastAsia="方正仿宋_GBK"/>
          <w:kern w:val="0"/>
          <w:sz w:val="32"/>
          <w:szCs w:val="32"/>
        </w:rPr>
      </w:pPr>
      <w:r>
        <w:rPr>
          <w:rFonts w:hint="eastAsia" w:eastAsia="方正仿宋_GBK"/>
          <w:kern w:val="0"/>
          <w:sz w:val="32"/>
          <w:szCs w:val="32"/>
        </w:rPr>
        <w:t>——住房保障支出13719万元</w:t>
      </w:r>
    </w:p>
    <w:p>
      <w:pPr>
        <w:spacing w:line="560" w:lineRule="exact"/>
        <w:ind w:firstLine="629"/>
        <w:rPr>
          <w:rFonts w:eastAsia="方正仿宋_GBK"/>
          <w:kern w:val="0"/>
          <w:sz w:val="32"/>
          <w:szCs w:val="32"/>
        </w:rPr>
      </w:pPr>
      <w:r>
        <w:rPr>
          <w:rFonts w:hint="eastAsia" w:eastAsia="方正仿宋_GBK"/>
          <w:kern w:val="0"/>
          <w:sz w:val="32"/>
          <w:szCs w:val="32"/>
        </w:rPr>
        <w:t>——粮油物资储备支出11万元</w:t>
      </w:r>
    </w:p>
    <w:p>
      <w:pPr>
        <w:spacing w:line="560" w:lineRule="exact"/>
        <w:ind w:firstLine="629"/>
        <w:rPr>
          <w:rFonts w:eastAsia="方正仿宋_GBK"/>
          <w:kern w:val="0"/>
          <w:sz w:val="32"/>
          <w:szCs w:val="32"/>
        </w:rPr>
      </w:pPr>
      <w:r>
        <w:rPr>
          <w:rFonts w:hint="eastAsia" w:eastAsia="方正仿宋_GBK"/>
          <w:kern w:val="0"/>
          <w:sz w:val="32"/>
          <w:szCs w:val="32"/>
        </w:rPr>
        <w:t>——灾害防治及应急管理支出1825万元</w:t>
      </w:r>
    </w:p>
    <w:p>
      <w:pPr>
        <w:spacing w:line="560" w:lineRule="exact"/>
        <w:ind w:firstLine="629"/>
        <w:rPr>
          <w:rFonts w:eastAsia="方正仿宋_GBK"/>
          <w:kern w:val="0"/>
          <w:sz w:val="32"/>
          <w:szCs w:val="32"/>
        </w:rPr>
      </w:pPr>
      <w:r>
        <w:rPr>
          <w:rFonts w:hint="eastAsia" w:eastAsia="方正仿宋_GBK"/>
          <w:kern w:val="0"/>
          <w:sz w:val="32"/>
          <w:szCs w:val="32"/>
        </w:rPr>
        <w:t>——其他支出1374万元</w:t>
      </w:r>
    </w:p>
    <w:p>
      <w:pPr>
        <w:spacing w:line="560" w:lineRule="exact"/>
        <w:ind w:firstLine="629"/>
        <w:rPr>
          <w:rFonts w:eastAsia="方正仿宋_GBK"/>
          <w:kern w:val="0"/>
          <w:sz w:val="32"/>
          <w:szCs w:val="32"/>
        </w:rPr>
      </w:pPr>
      <w:r>
        <w:rPr>
          <w:rFonts w:hint="eastAsia" w:eastAsia="方正仿宋_GBK"/>
          <w:kern w:val="0"/>
          <w:sz w:val="32"/>
          <w:szCs w:val="32"/>
        </w:rPr>
        <w:t>——转移性支出40285万元</w:t>
      </w:r>
    </w:p>
    <w:p>
      <w:pPr>
        <w:spacing w:line="560" w:lineRule="exact"/>
        <w:ind w:firstLine="629"/>
        <w:rPr>
          <w:rFonts w:eastAsia="方正仿宋_GBK"/>
          <w:kern w:val="0"/>
          <w:sz w:val="32"/>
          <w:szCs w:val="32"/>
        </w:rPr>
      </w:pPr>
      <w:r>
        <w:rPr>
          <w:rFonts w:hint="eastAsia" w:eastAsia="方正仿宋_GBK"/>
          <w:kern w:val="0"/>
          <w:sz w:val="32"/>
          <w:szCs w:val="32"/>
        </w:rPr>
        <w:t>——债务付息支出5000万元</w:t>
      </w:r>
    </w:p>
    <w:p>
      <w:pPr>
        <w:spacing w:line="560" w:lineRule="exact"/>
        <w:ind w:firstLine="629"/>
        <w:rPr>
          <w:rFonts w:eastAsia="方正仿宋_GBK"/>
          <w:kern w:val="0"/>
          <w:sz w:val="32"/>
          <w:szCs w:val="32"/>
        </w:rPr>
      </w:pPr>
      <w:r>
        <w:rPr>
          <w:rFonts w:hint="eastAsia" w:eastAsia="方正仿宋_GBK"/>
          <w:kern w:val="0"/>
          <w:sz w:val="32"/>
          <w:szCs w:val="32"/>
        </w:rPr>
        <w:t>——预备费3589万元。</w:t>
      </w:r>
    </w:p>
    <w:p>
      <w:pPr>
        <w:numPr>
          <w:ilvl w:val="0"/>
          <w:numId w:val="1"/>
        </w:numPr>
        <w:spacing w:line="560" w:lineRule="exact"/>
        <w:ind w:firstLine="787" w:firstLineChars="246"/>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政府性基金预算收支草案</w:t>
      </w:r>
    </w:p>
    <w:p>
      <w:pPr>
        <w:spacing w:line="560" w:lineRule="exact"/>
        <w:ind w:firstLine="470" w:firstLineChars="147"/>
        <w:rPr>
          <w:rFonts w:eastAsia="方正仿宋_GBK"/>
          <w:color w:val="000000"/>
          <w:sz w:val="32"/>
          <w:szCs w:val="32"/>
        </w:rPr>
      </w:pPr>
      <w:r>
        <w:rPr>
          <w:rFonts w:hint="eastAsia" w:eastAsia="方正仿宋_GBK"/>
          <w:bCs/>
          <w:color w:val="000000"/>
          <w:sz w:val="32"/>
          <w:szCs w:val="32"/>
        </w:rPr>
        <w:t>1.</w:t>
      </w:r>
      <w:r>
        <w:rPr>
          <w:rFonts w:eastAsia="方正仿宋_GBK"/>
          <w:bCs/>
          <w:color w:val="000000"/>
          <w:sz w:val="32"/>
          <w:szCs w:val="32"/>
        </w:rPr>
        <w:t>收入项目预算</w:t>
      </w:r>
      <w:r>
        <w:rPr>
          <w:rFonts w:hint="eastAsia" w:eastAsia="方正仿宋_GBK"/>
          <w:bCs/>
          <w:color w:val="000000"/>
          <w:sz w:val="32"/>
          <w:szCs w:val="32"/>
        </w:rPr>
        <w:t>。</w:t>
      </w:r>
      <w:r>
        <w:rPr>
          <w:rFonts w:hint="eastAsia" w:eastAsia="方正仿宋_GBK"/>
          <w:color w:val="000000"/>
          <w:sz w:val="32"/>
          <w:szCs w:val="32"/>
        </w:rPr>
        <w:t>全县</w:t>
      </w:r>
      <w:r>
        <w:rPr>
          <w:rFonts w:eastAsia="方正仿宋_GBK"/>
          <w:color w:val="000000"/>
          <w:sz w:val="32"/>
          <w:szCs w:val="32"/>
        </w:rPr>
        <w:t>级政府性基金预算收入预计完成</w:t>
      </w:r>
      <w:r>
        <w:rPr>
          <w:rFonts w:hint="eastAsia" w:eastAsia="方正仿宋_GBK"/>
          <w:color w:val="000000"/>
          <w:sz w:val="32"/>
          <w:szCs w:val="32"/>
        </w:rPr>
        <w:t>16300</w:t>
      </w:r>
      <w:r>
        <w:rPr>
          <w:rFonts w:eastAsia="方正仿宋_GBK"/>
          <w:color w:val="000000"/>
          <w:sz w:val="32"/>
          <w:szCs w:val="32"/>
        </w:rPr>
        <w:t>万元</w:t>
      </w:r>
      <w:r>
        <w:rPr>
          <w:rFonts w:hint="eastAsia" w:eastAsia="方正仿宋_GBK"/>
          <w:color w:val="000000"/>
          <w:sz w:val="32"/>
          <w:szCs w:val="32"/>
        </w:rPr>
        <w:t>，</w:t>
      </w:r>
      <w:r>
        <w:rPr>
          <w:rFonts w:eastAsia="方正仿宋_GBK"/>
          <w:color w:val="000000"/>
          <w:sz w:val="32"/>
          <w:szCs w:val="32"/>
        </w:rPr>
        <w:t>加上</w:t>
      </w:r>
      <w:r>
        <w:rPr>
          <w:rFonts w:hint="eastAsia" w:eastAsia="方正仿宋_GBK"/>
          <w:color w:val="000000"/>
          <w:sz w:val="32"/>
          <w:szCs w:val="32"/>
        </w:rPr>
        <w:t>预计</w:t>
      </w:r>
      <w:r>
        <w:rPr>
          <w:rFonts w:eastAsia="方正仿宋_GBK"/>
          <w:color w:val="000000"/>
          <w:sz w:val="32"/>
          <w:szCs w:val="32"/>
        </w:rPr>
        <w:t>上级专项补助收入</w:t>
      </w:r>
      <w:r>
        <w:rPr>
          <w:rFonts w:hint="eastAsia" w:eastAsia="方正仿宋_GBK"/>
          <w:color w:val="000000"/>
          <w:sz w:val="32"/>
          <w:szCs w:val="32"/>
        </w:rPr>
        <w:t>59396</w:t>
      </w:r>
      <w:r>
        <w:rPr>
          <w:rFonts w:eastAsia="方正仿宋_GBK"/>
          <w:color w:val="000000"/>
          <w:sz w:val="32"/>
          <w:szCs w:val="32"/>
        </w:rPr>
        <w:t>万元和上年结转</w:t>
      </w:r>
      <w:r>
        <w:rPr>
          <w:rFonts w:hint="eastAsia" w:eastAsia="方正仿宋_GBK"/>
          <w:color w:val="000000"/>
          <w:sz w:val="32"/>
          <w:szCs w:val="32"/>
        </w:rPr>
        <w:t>22912</w:t>
      </w:r>
      <w:r>
        <w:rPr>
          <w:rFonts w:eastAsia="方正仿宋_GBK"/>
          <w:color w:val="000000"/>
          <w:sz w:val="32"/>
          <w:szCs w:val="32"/>
        </w:rPr>
        <w:t>万元后，收入总计</w:t>
      </w:r>
      <w:r>
        <w:rPr>
          <w:rFonts w:hint="eastAsia" w:eastAsia="方正仿宋_GBK"/>
          <w:color w:val="000000"/>
          <w:sz w:val="32"/>
          <w:szCs w:val="32"/>
        </w:rPr>
        <w:t>98608</w:t>
      </w:r>
      <w:r>
        <w:rPr>
          <w:rFonts w:eastAsia="方正仿宋_GBK"/>
          <w:color w:val="000000"/>
          <w:sz w:val="32"/>
          <w:szCs w:val="32"/>
        </w:rPr>
        <w:t>万元。</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hint="eastAsia" w:eastAsia="方正仿宋_GBK"/>
          <w:bCs/>
          <w:color w:val="000000"/>
          <w:sz w:val="32"/>
          <w:szCs w:val="32"/>
        </w:rPr>
        <w:t>2.</w:t>
      </w:r>
      <w:r>
        <w:rPr>
          <w:rFonts w:eastAsia="方正仿宋_GBK"/>
          <w:bCs/>
          <w:color w:val="000000"/>
          <w:sz w:val="32"/>
          <w:szCs w:val="32"/>
        </w:rPr>
        <w:t>支出项目预算</w:t>
      </w:r>
      <w:r>
        <w:rPr>
          <w:rFonts w:hint="eastAsia" w:eastAsia="方正仿宋_GBK"/>
          <w:bCs/>
          <w:color w:val="000000"/>
          <w:sz w:val="32"/>
          <w:szCs w:val="32"/>
        </w:rPr>
        <w:t>。</w:t>
      </w:r>
      <w:r>
        <w:rPr>
          <w:rFonts w:eastAsia="方正仿宋_GBK"/>
          <w:color w:val="000000"/>
          <w:sz w:val="32"/>
          <w:szCs w:val="32"/>
        </w:rPr>
        <w:t>按照政府性基金以收定支原则，20</w:t>
      </w:r>
      <w:r>
        <w:rPr>
          <w:rFonts w:hint="eastAsia" w:eastAsia="方正仿宋_GBK"/>
          <w:color w:val="000000"/>
          <w:sz w:val="32"/>
          <w:szCs w:val="32"/>
        </w:rPr>
        <w:t>20</w:t>
      </w:r>
      <w:r>
        <w:rPr>
          <w:rFonts w:eastAsia="方正仿宋_GBK"/>
          <w:color w:val="000000"/>
          <w:sz w:val="32"/>
          <w:szCs w:val="32"/>
        </w:rPr>
        <w:t>年政府性基金预算支出拟安排</w:t>
      </w:r>
      <w:r>
        <w:rPr>
          <w:rFonts w:hint="eastAsia" w:eastAsia="方正仿宋_GBK"/>
          <w:color w:val="000000"/>
          <w:sz w:val="32"/>
          <w:szCs w:val="32"/>
        </w:rPr>
        <w:t>98608</w:t>
      </w:r>
      <w:r>
        <w:rPr>
          <w:rFonts w:eastAsia="方正仿宋_GBK"/>
          <w:color w:val="000000"/>
          <w:sz w:val="32"/>
          <w:szCs w:val="32"/>
        </w:rPr>
        <w:t>万元</w:t>
      </w:r>
      <w:r>
        <w:rPr>
          <w:rFonts w:hint="eastAsia" w:eastAsia="方正仿宋_GBK"/>
          <w:color w:val="000000"/>
          <w:sz w:val="32"/>
          <w:szCs w:val="32"/>
        </w:rPr>
        <w:t>。</w:t>
      </w:r>
    </w:p>
    <w:p>
      <w:pPr>
        <w:overflowPunct w:val="0"/>
        <w:autoSpaceDE w:val="0"/>
        <w:autoSpaceDN w:val="0"/>
        <w:adjustRightInd w:val="0"/>
        <w:snapToGrid w:val="0"/>
        <w:spacing w:line="560" w:lineRule="exact"/>
        <w:ind w:firstLine="640" w:firstLineChars="200"/>
        <w:rPr>
          <w:rFonts w:eastAsia="方正仿宋_GBK"/>
          <w:color w:val="000000"/>
          <w:sz w:val="32"/>
          <w:szCs w:val="32"/>
        </w:rPr>
      </w:pPr>
    </w:p>
    <w:tbl>
      <w:tblPr>
        <w:tblStyle w:val="8"/>
        <w:tblW w:w="0" w:type="auto"/>
        <w:tblInd w:w="272" w:type="dxa"/>
        <w:tblLayout w:type="fixed"/>
        <w:tblCellMar>
          <w:top w:w="0" w:type="dxa"/>
          <w:left w:w="108" w:type="dxa"/>
          <w:bottom w:w="0" w:type="dxa"/>
          <w:right w:w="108" w:type="dxa"/>
        </w:tblCellMar>
      </w:tblPr>
      <w:tblGrid>
        <w:gridCol w:w="3268"/>
        <w:gridCol w:w="911"/>
        <w:gridCol w:w="153"/>
        <w:gridCol w:w="3131"/>
        <w:gridCol w:w="1321"/>
      </w:tblGrid>
      <w:tr>
        <w:tblPrEx>
          <w:tblCellMar>
            <w:top w:w="0" w:type="dxa"/>
            <w:left w:w="108" w:type="dxa"/>
            <w:bottom w:w="0" w:type="dxa"/>
            <w:right w:w="108" w:type="dxa"/>
          </w:tblCellMar>
        </w:tblPrEx>
        <w:trPr>
          <w:trHeight w:val="421" w:hRule="atLeast"/>
        </w:trPr>
        <w:tc>
          <w:tcPr>
            <w:tcW w:w="8784" w:type="dxa"/>
            <w:gridSpan w:val="5"/>
            <w:tcBorders>
              <w:top w:val="nil"/>
              <w:left w:val="nil"/>
              <w:bottom w:val="nil"/>
              <w:right w:val="nil"/>
            </w:tcBorders>
            <w:vAlign w:val="center"/>
          </w:tcPr>
          <w:p>
            <w:pPr>
              <w:spacing w:line="560" w:lineRule="exact"/>
              <w:jc w:val="center"/>
              <w:rPr>
                <w:rFonts w:ascii="方正小标宋_GBK" w:hAnsi="方正小标宋_GBK" w:eastAsia="方正小标宋_GBK" w:cs="方正小标宋_GBK"/>
                <w:bCs/>
                <w:color w:val="000000"/>
                <w:sz w:val="32"/>
                <w:szCs w:val="32"/>
              </w:rPr>
            </w:pPr>
            <w:r>
              <w:rPr>
                <w:rFonts w:hint="eastAsia" w:ascii="方正黑体_GBK" w:hAnsi="方正黑体_GBK" w:eastAsia="方正黑体_GBK" w:cs="方正黑体_GBK"/>
                <w:bCs/>
                <w:color w:val="000000"/>
                <w:sz w:val="32"/>
                <w:szCs w:val="32"/>
              </w:rPr>
              <w:t>城口县2020年政府性基金预算收支平衡表</w:t>
            </w:r>
          </w:p>
        </w:tc>
      </w:tr>
      <w:tr>
        <w:tblPrEx>
          <w:tblCellMar>
            <w:top w:w="0" w:type="dxa"/>
            <w:left w:w="108" w:type="dxa"/>
            <w:bottom w:w="0" w:type="dxa"/>
            <w:right w:w="108" w:type="dxa"/>
          </w:tblCellMar>
        </w:tblPrEx>
        <w:trPr>
          <w:trHeight w:val="307" w:hRule="atLeast"/>
        </w:trPr>
        <w:tc>
          <w:tcPr>
            <w:tcW w:w="3268" w:type="dxa"/>
            <w:tcBorders>
              <w:top w:val="nil"/>
              <w:left w:val="nil"/>
              <w:bottom w:val="single" w:color="000000" w:sz="12" w:space="0"/>
              <w:right w:val="nil"/>
            </w:tcBorders>
            <w:vAlign w:val="center"/>
          </w:tcPr>
          <w:p>
            <w:pPr>
              <w:spacing w:line="560" w:lineRule="exact"/>
              <w:jc w:val="left"/>
              <w:rPr>
                <w:rFonts w:eastAsia="方正仿宋_GBK"/>
                <w:color w:val="000000"/>
                <w:sz w:val="22"/>
              </w:rPr>
            </w:pPr>
          </w:p>
        </w:tc>
        <w:tc>
          <w:tcPr>
            <w:tcW w:w="911" w:type="dxa"/>
            <w:tcBorders>
              <w:top w:val="nil"/>
              <w:left w:val="nil"/>
              <w:bottom w:val="single" w:color="000000" w:sz="12" w:space="0"/>
              <w:right w:val="nil"/>
            </w:tcBorders>
            <w:vAlign w:val="center"/>
          </w:tcPr>
          <w:p>
            <w:pPr>
              <w:spacing w:line="560" w:lineRule="exact"/>
              <w:jc w:val="left"/>
              <w:rPr>
                <w:rFonts w:eastAsia="方正仿宋_GBK"/>
                <w:color w:val="000000"/>
                <w:sz w:val="22"/>
              </w:rPr>
            </w:pPr>
          </w:p>
        </w:tc>
        <w:tc>
          <w:tcPr>
            <w:tcW w:w="3284" w:type="dxa"/>
            <w:gridSpan w:val="2"/>
            <w:tcBorders>
              <w:top w:val="nil"/>
              <w:left w:val="nil"/>
              <w:bottom w:val="single" w:color="000000" w:sz="12" w:space="0"/>
              <w:right w:val="nil"/>
            </w:tcBorders>
            <w:vAlign w:val="center"/>
          </w:tcPr>
          <w:p>
            <w:pPr>
              <w:spacing w:line="560" w:lineRule="exact"/>
              <w:jc w:val="left"/>
              <w:rPr>
                <w:rFonts w:eastAsia="方正仿宋_GBK"/>
                <w:color w:val="000000"/>
                <w:sz w:val="22"/>
              </w:rPr>
            </w:pPr>
          </w:p>
        </w:tc>
        <w:tc>
          <w:tcPr>
            <w:tcW w:w="1321" w:type="dxa"/>
            <w:tcBorders>
              <w:top w:val="nil"/>
              <w:left w:val="nil"/>
              <w:bottom w:val="single" w:color="000000" w:sz="12" w:space="0"/>
              <w:right w:val="nil"/>
            </w:tcBorders>
            <w:vAlign w:val="center"/>
          </w:tcPr>
          <w:p>
            <w:pPr>
              <w:spacing w:line="560" w:lineRule="exact"/>
              <w:jc w:val="right"/>
              <w:rPr>
                <w:rFonts w:eastAsia="方正仿宋_GBK"/>
                <w:color w:val="000000"/>
                <w:sz w:val="22"/>
              </w:rPr>
            </w:pPr>
            <w:r>
              <w:rPr>
                <w:rFonts w:eastAsia="方正仿宋_GBK"/>
                <w:color w:val="000000"/>
                <w:sz w:val="22"/>
              </w:rPr>
              <w:t>单位：万元</w:t>
            </w:r>
          </w:p>
        </w:tc>
      </w:tr>
      <w:tr>
        <w:tblPrEx>
          <w:tblCellMar>
            <w:top w:w="0" w:type="dxa"/>
            <w:left w:w="108" w:type="dxa"/>
            <w:bottom w:w="0" w:type="dxa"/>
            <w:right w:w="108" w:type="dxa"/>
          </w:tblCellMar>
        </w:tblPrEx>
        <w:trPr>
          <w:trHeight w:val="295" w:hRule="atLeast"/>
        </w:trPr>
        <w:tc>
          <w:tcPr>
            <w:tcW w:w="3268" w:type="dxa"/>
            <w:tcBorders>
              <w:top w:val="single" w:color="000000" w:sz="12" w:space="0"/>
              <w:left w:val="single" w:color="000000" w:sz="12"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收        入</w:t>
            </w:r>
          </w:p>
        </w:tc>
        <w:tc>
          <w:tcPr>
            <w:tcW w:w="1064" w:type="dxa"/>
            <w:gridSpan w:val="2"/>
            <w:tcBorders>
              <w:top w:val="single" w:color="000000" w:sz="12" w:space="0"/>
              <w:left w:val="single" w:color="000000" w:sz="4"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c>
          <w:tcPr>
            <w:tcW w:w="3131" w:type="dxa"/>
            <w:tcBorders>
              <w:top w:val="single" w:color="000000" w:sz="12" w:space="0"/>
              <w:left w:val="single" w:color="000000" w:sz="4"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支        出</w:t>
            </w:r>
          </w:p>
        </w:tc>
        <w:tc>
          <w:tcPr>
            <w:tcW w:w="1321" w:type="dxa"/>
            <w:tcBorders>
              <w:top w:val="single" w:color="000000" w:sz="12" w:space="0"/>
              <w:left w:val="single" w:color="000000" w:sz="4" w:space="0"/>
              <w:bottom w:val="single" w:color="000000" w:sz="4" w:space="0"/>
              <w:right w:val="single" w:color="000000" w:sz="12"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center"/>
              <w:rPr>
                <w:rFonts w:eastAsia="方正仿宋_GBK"/>
                <w:bCs/>
                <w:color w:val="000000"/>
                <w:sz w:val="24"/>
              </w:rPr>
            </w:pPr>
            <w:r>
              <w:rPr>
                <w:rFonts w:hint="eastAsia" w:ascii="方正楷体_GBK" w:hAnsi="方正楷体_GBK" w:eastAsia="方正楷体_GBK" w:cs="方正楷体_GBK"/>
                <w:bCs/>
                <w:color w:val="000000"/>
                <w:sz w:val="24"/>
              </w:rPr>
              <w:t>总计</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98608</w:t>
            </w:r>
          </w:p>
        </w:tc>
        <w:tc>
          <w:tcPr>
            <w:tcW w:w="313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Cs/>
                <w:color w:val="000000"/>
                <w:sz w:val="24"/>
              </w:rPr>
            </w:pPr>
            <w:r>
              <w:rPr>
                <w:rFonts w:hint="eastAsia" w:ascii="方正楷体_GBK" w:hAnsi="方正楷体_GBK" w:eastAsia="方正楷体_GBK" w:cs="方正楷体_GBK"/>
                <w:bCs/>
                <w:color w:val="000000"/>
                <w:sz w:val="24"/>
              </w:rPr>
              <w:t>总计</w:t>
            </w:r>
          </w:p>
        </w:tc>
        <w:tc>
          <w:tcPr>
            <w:tcW w:w="1321"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eastAsia="方正仿宋_GBK"/>
                <w:b/>
                <w:color w:val="000000"/>
                <w:sz w:val="24"/>
              </w:rPr>
            </w:pPr>
            <w:r>
              <w:rPr>
                <w:rFonts w:hint="eastAsia" w:eastAsia="方正仿宋_GBK"/>
                <w:b/>
                <w:color w:val="000000"/>
                <w:sz w:val="24"/>
              </w:rPr>
              <w:t>98608</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eastAsia="方正仿宋_GBK"/>
                <w:color w:val="000000"/>
                <w:sz w:val="24"/>
              </w:rPr>
            </w:pPr>
            <w:r>
              <w:rPr>
                <w:rFonts w:hint="eastAsia" w:ascii="方正楷体_GBK" w:hAnsi="方正楷体_GBK" w:eastAsia="方正楷体_GBK" w:cs="方正楷体_GBK"/>
                <w:color w:val="000000"/>
                <w:sz w:val="24"/>
              </w:rPr>
              <w:t>一、县本级收入</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16300</w:t>
            </w:r>
          </w:p>
        </w:tc>
        <w:tc>
          <w:tcPr>
            <w:tcW w:w="313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eastAsia="方正仿宋_GBK"/>
                <w:color w:val="000000"/>
                <w:sz w:val="24"/>
              </w:rPr>
            </w:pPr>
            <w:r>
              <w:rPr>
                <w:rFonts w:hint="eastAsia" w:ascii="方正楷体_GBK" w:hAnsi="方正楷体_GBK" w:eastAsia="方正楷体_GBK" w:cs="方正楷体_GBK"/>
                <w:color w:val="000000"/>
                <w:sz w:val="24"/>
              </w:rPr>
              <w:t>一、县本级支出</w:t>
            </w:r>
          </w:p>
        </w:tc>
        <w:tc>
          <w:tcPr>
            <w:tcW w:w="1321"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eastAsia="方正仿宋_GBK"/>
                <w:b/>
                <w:color w:val="000000"/>
                <w:sz w:val="24"/>
              </w:rPr>
            </w:pPr>
            <w:r>
              <w:rPr>
                <w:rFonts w:hint="eastAsia" w:eastAsia="方正仿宋_GBK"/>
                <w:b/>
                <w:color w:val="000000"/>
                <w:sz w:val="24"/>
              </w:rPr>
              <w:t>96159</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4" w:space="0"/>
              <w:right w:val="single" w:color="000000" w:sz="4" w:space="0"/>
            </w:tcBorders>
            <w:vAlign w:val="center"/>
          </w:tcPr>
          <w:p>
            <w:pPr>
              <w:spacing w:line="560" w:lineRule="exact"/>
              <w:ind w:firstLine="240" w:firstLineChars="100"/>
              <w:jc w:val="left"/>
              <w:rPr>
                <w:rFonts w:ascii="方正仿宋_GBK" w:eastAsia="方正仿宋_GBK"/>
                <w:color w:val="000000"/>
                <w:sz w:val="24"/>
              </w:rPr>
            </w:pPr>
            <w:r>
              <w:rPr>
                <w:rFonts w:hint="eastAsia" w:ascii="方正仿宋_GBK" w:eastAsia="方正仿宋_GBK"/>
                <w:color w:val="000000"/>
                <w:sz w:val="24"/>
              </w:rPr>
              <w:t>国有土地使用权出让收入</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
                <w:color w:val="000000"/>
                <w:sz w:val="22"/>
              </w:rPr>
            </w:pPr>
            <w:r>
              <w:rPr>
                <w:rFonts w:hint="eastAsia" w:eastAsia="方正仿宋_GBK"/>
                <w:b/>
                <w:color w:val="000000"/>
                <w:sz w:val="22"/>
              </w:rPr>
              <w:t>15000</w:t>
            </w:r>
          </w:p>
        </w:tc>
        <w:tc>
          <w:tcPr>
            <w:tcW w:w="313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eastAsia="方正仿宋_GBK"/>
                <w:color w:val="000000"/>
                <w:sz w:val="24"/>
              </w:rPr>
            </w:pPr>
            <w:r>
              <w:rPr>
                <w:rFonts w:hint="eastAsia" w:ascii="方正仿宋_GBK" w:eastAsia="方正仿宋_GBK"/>
                <w:color w:val="000000"/>
              </w:rPr>
              <w:t>其中：县本级上年结转安排支出</w:t>
            </w:r>
          </w:p>
        </w:tc>
        <w:tc>
          <w:tcPr>
            <w:tcW w:w="1321"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eastAsia="方正仿宋_GBK"/>
                <w:b/>
                <w:color w:val="000000"/>
                <w:sz w:val="22"/>
              </w:rPr>
            </w:pPr>
            <w:r>
              <w:rPr>
                <w:rFonts w:hint="eastAsia" w:eastAsia="方正仿宋_GBK"/>
                <w:b/>
                <w:color w:val="000000"/>
                <w:sz w:val="22"/>
              </w:rPr>
              <w:t>22463</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4" w:space="0"/>
              <w:right w:val="single" w:color="000000" w:sz="4" w:space="0"/>
            </w:tcBorders>
            <w:vAlign w:val="center"/>
          </w:tcPr>
          <w:p>
            <w:pPr>
              <w:spacing w:line="560" w:lineRule="exact"/>
              <w:ind w:firstLine="240" w:firstLineChars="100"/>
              <w:jc w:val="left"/>
              <w:rPr>
                <w:rFonts w:eastAsia="方正仿宋_GBK"/>
                <w:color w:val="000000"/>
                <w:sz w:val="22"/>
              </w:rPr>
            </w:pPr>
            <w:r>
              <w:rPr>
                <w:rFonts w:hint="eastAsia" w:ascii="方正仿宋_GBK" w:eastAsia="方正仿宋_GBK"/>
                <w:color w:val="000000"/>
                <w:sz w:val="24"/>
              </w:rPr>
              <w:t>城市建设配套费收入</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
                <w:color w:val="000000"/>
                <w:sz w:val="22"/>
              </w:rPr>
            </w:pPr>
            <w:r>
              <w:rPr>
                <w:rFonts w:hint="eastAsia" w:eastAsia="方正仿宋_GBK"/>
                <w:b/>
                <w:color w:val="000000"/>
                <w:sz w:val="22"/>
              </w:rPr>
              <w:t>1300</w:t>
            </w:r>
          </w:p>
        </w:tc>
        <w:tc>
          <w:tcPr>
            <w:tcW w:w="313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eastAsia="方正仿宋_GBK"/>
                <w:color w:val="000000"/>
                <w:sz w:val="24"/>
              </w:rPr>
            </w:pPr>
            <w:r>
              <w:rPr>
                <w:rFonts w:hint="eastAsia" w:ascii="方正楷体_GBK" w:hAnsi="方正楷体_GBK" w:eastAsia="方正楷体_GBK" w:cs="方正楷体_GBK"/>
                <w:color w:val="000000"/>
                <w:sz w:val="24"/>
              </w:rPr>
              <w:t>二、转移性支出</w:t>
            </w:r>
          </w:p>
        </w:tc>
        <w:tc>
          <w:tcPr>
            <w:tcW w:w="1321"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eastAsia="方正仿宋_GBK"/>
                <w:b/>
                <w:color w:val="000000"/>
                <w:sz w:val="22"/>
              </w:rPr>
            </w:pPr>
            <w:r>
              <w:rPr>
                <w:rFonts w:hint="eastAsia" w:eastAsia="方正仿宋_GBK"/>
                <w:b/>
                <w:color w:val="000000"/>
                <w:sz w:val="22"/>
              </w:rPr>
              <w:t>2449</w:t>
            </w:r>
          </w:p>
        </w:tc>
      </w:tr>
      <w:tr>
        <w:tblPrEx>
          <w:tblCellMar>
            <w:top w:w="0" w:type="dxa"/>
            <w:left w:w="108" w:type="dxa"/>
            <w:bottom w:w="0" w:type="dxa"/>
            <w:right w:w="108" w:type="dxa"/>
          </w:tblCellMar>
        </w:tblPrEx>
        <w:trPr>
          <w:trHeight w:val="538" w:hRule="atLeast"/>
        </w:trPr>
        <w:tc>
          <w:tcPr>
            <w:tcW w:w="3268" w:type="dxa"/>
            <w:tcBorders>
              <w:top w:val="single" w:color="000000" w:sz="4" w:space="0"/>
              <w:left w:val="single" w:color="000000" w:sz="12" w:space="0"/>
              <w:bottom w:val="single" w:color="auto" w:sz="12" w:space="0"/>
              <w:right w:val="single" w:color="000000" w:sz="4" w:space="0"/>
            </w:tcBorders>
            <w:vAlign w:val="center"/>
          </w:tcPr>
          <w:p>
            <w:pPr>
              <w:spacing w:line="560" w:lineRule="exact"/>
              <w:jc w:val="left"/>
              <w:rPr>
                <w:rFonts w:eastAsia="方正仿宋_GBK"/>
                <w:color w:val="000000"/>
                <w:sz w:val="22"/>
              </w:rPr>
            </w:pPr>
            <w:r>
              <w:rPr>
                <w:rFonts w:hint="eastAsia" w:ascii="方正楷体_GBK" w:hAnsi="方正楷体_GBK" w:eastAsia="方正楷体_GBK" w:cs="方正楷体_GBK"/>
                <w:color w:val="000000"/>
                <w:sz w:val="24"/>
              </w:rPr>
              <w:t>二、上级补助收入</w:t>
            </w:r>
          </w:p>
        </w:tc>
        <w:tc>
          <w:tcPr>
            <w:tcW w:w="1064" w:type="dxa"/>
            <w:gridSpan w:val="2"/>
            <w:tcBorders>
              <w:top w:val="single" w:color="000000" w:sz="4" w:space="0"/>
              <w:left w:val="single" w:color="000000" w:sz="4" w:space="0"/>
              <w:bottom w:val="single" w:color="auto" w:sz="12" w:space="0"/>
              <w:right w:val="single" w:color="000000" w:sz="4" w:space="0"/>
            </w:tcBorders>
            <w:vAlign w:val="center"/>
          </w:tcPr>
          <w:p>
            <w:pPr>
              <w:spacing w:line="560" w:lineRule="exact"/>
              <w:jc w:val="center"/>
              <w:rPr>
                <w:rFonts w:eastAsia="方正仿宋_GBK"/>
                <w:b/>
                <w:color w:val="000000"/>
                <w:sz w:val="22"/>
              </w:rPr>
            </w:pPr>
            <w:r>
              <w:rPr>
                <w:rFonts w:hint="eastAsia" w:eastAsia="方正仿宋_GBK"/>
                <w:b/>
                <w:color w:val="000000"/>
                <w:sz w:val="22"/>
              </w:rPr>
              <w:t>59396</w:t>
            </w:r>
          </w:p>
        </w:tc>
        <w:tc>
          <w:tcPr>
            <w:tcW w:w="3131" w:type="dxa"/>
            <w:tcBorders>
              <w:top w:val="single" w:color="000000" w:sz="4" w:space="0"/>
              <w:left w:val="single" w:color="000000" w:sz="4" w:space="0"/>
              <w:bottom w:val="single" w:color="auto" w:sz="12" w:space="0"/>
              <w:right w:val="single" w:color="000000" w:sz="4" w:space="0"/>
            </w:tcBorders>
            <w:vAlign w:val="center"/>
          </w:tcPr>
          <w:p>
            <w:pPr>
              <w:spacing w:line="560" w:lineRule="exact"/>
              <w:ind w:firstLine="480" w:firstLineChars="200"/>
              <w:jc w:val="left"/>
              <w:rPr>
                <w:rFonts w:eastAsia="方正仿宋_GBK"/>
                <w:color w:val="000000"/>
                <w:sz w:val="22"/>
              </w:rPr>
            </w:pPr>
            <w:r>
              <w:rPr>
                <w:rFonts w:eastAsia="方正仿宋_GBK"/>
                <w:color w:val="000000"/>
                <w:sz w:val="24"/>
              </w:rPr>
              <w:t>上</w:t>
            </w:r>
            <w:r>
              <w:rPr>
                <w:rFonts w:hint="eastAsia" w:eastAsia="方正仿宋_GBK"/>
                <w:color w:val="000000"/>
                <w:sz w:val="24"/>
              </w:rPr>
              <w:t>解</w:t>
            </w:r>
            <w:r>
              <w:rPr>
                <w:rFonts w:eastAsia="方正仿宋_GBK"/>
                <w:color w:val="000000"/>
                <w:sz w:val="24"/>
              </w:rPr>
              <w:t>支出</w:t>
            </w:r>
          </w:p>
        </w:tc>
        <w:tc>
          <w:tcPr>
            <w:tcW w:w="1321" w:type="dxa"/>
            <w:tcBorders>
              <w:top w:val="single" w:color="000000" w:sz="4" w:space="0"/>
              <w:left w:val="single" w:color="000000" w:sz="4" w:space="0"/>
              <w:bottom w:val="single" w:color="auto" w:sz="12" w:space="0"/>
              <w:right w:val="single" w:color="000000" w:sz="12" w:space="0"/>
            </w:tcBorders>
            <w:vAlign w:val="center"/>
          </w:tcPr>
          <w:p>
            <w:pPr>
              <w:spacing w:line="560" w:lineRule="exact"/>
              <w:jc w:val="center"/>
              <w:rPr>
                <w:rFonts w:eastAsia="方正仿宋_GBK"/>
                <w:b/>
                <w:color w:val="000000"/>
                <w:sz w:val="22"/>
              </w:rPr>
            </w:pPr>
            <w:r>
              <w:rPr>
                <w:rFonts w:hint="eastAsia" w:eastAsia="方正仿宋_GBK"/>
                <w:b/>
                <w:color w:val="000000"/>
                <w:sz w:val="22"/>
              </w:rPr>
              <w:t>700</w:t>
            </w:r>
          </w:p>
        </w:tc>
      </w:tr>
      <w:tr>
        <w:tblPrEx>
          <w:tblCellMar>
            <w:top w:w="0" w:type="dxa"/>
            <w:left w:w="108" w:type="dxa"/>
            <w:bottom w:w="0" w:type="dxa"/>
            <w:right w:w="108" w:type="dxa"/>
          </w:tblCellMar>
        </w:tblPrEx>
        <w:trPr>
          <w:trHeight w:val="295" w:hRule="atLeast"/>
        </w:trPr>
        <w:tc>
          <w:tcPr>
            <w:tcW w:w="3268" w:type="dxa"/>
            <w:tcBorders>
              <w:top w:val="single" w:color="auto" w:sz="12" w:space="0"/>
              <w:left w:val="single" w:color="000000" w:sz="12"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收        入</w:t>
            </w:r>
          </w:p>
        </w:tc>
        <w:tc>
          <w:tcPr>
            <w:tcW w:w="1064" w:type="dxa"/>
            <w:gridSpan w:val="2"/>
            <w:tcBorders>
              <w:top w:val="single" w:color="auto" w:sz="12" w:space="0"/>
              <w:left w:val="single" w:color="000000" w:sz="4"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c>
          <w:tcPr>
            <w:tcW w:w="3131" w:type="dxa"/>
            <w:tcBorders>
              <w:top w:val="single" w:color="auto" w:sz="12" w:space="0"/>
              <w:left w:val="single" w:color="000000" w:sz="4" w:space="0"/>
              <w:bottom w:val="single" w:color="000000" w:sz="4" w:space="0"/>
              <w:right w:val="single" w:color="000000"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支        出</w:t>
            </w:r>
          </w:p>
        </w:tc>
        <w:tc>
          <w:tcPr>
            <w:tcW w:w="1321" w:type="dxa"/>
            <w:tcBorders>
              <w:top w:val="single" w:color="auto" w:sz="12" w:space="0"/>
              <w:left w:val="single" w:color="000000" w:sz="4" w:space="0"/>
              <w:bottom w:val="single" w:color="000000" w:sz="4" w:space="0"/>
              <w:right w:val="single" w:color="000000" w:sz="12"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三、上年结转收入</w:t>
            </w:r>
            <w:r>
              <w:rPr>
                <w:rFonts w:hint="eastAsia" w:ascii="方正楷体_GBK" w:hAnsi="方正楷体_GBK" w:eastAsia="方正楷体_GBK" w:cs="方正楷体_GBK"/>
                <w:color w:val="000000"/>
                <w:sz w:val="24"/>
              </w:rPr>
              <w:tab/>
            </w:r>
            <w:r>
              <w:rPr>
                <w:rFonts w:hint="eastAsia" w:ascii="方正楷体_GBK" w:hAnsi="方正楷体_GBK" w:eastAsia="方正楷体_GBK" w:cs="方正楷体_GBK"/>
                <w:color w:val="000000"/>
                <w:sz w:val="24"/>
              </w:rPr>
              <w:tab/>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仿宋_GBK"/>
                <w:b/>
                <w:color w:val="000000"/>
                <w:sz w:val="22"/>
              </w:rPr>
            </w:pPr>
            <w:r>
              <w:rPr>
                <w:rFonts w:hint="eastAsia" w:eastAsia="方正仿宋_GBK"/>
                <w:b/>
                <w:color w:val="000000"/>
                <w:sz w:val="22"/>
              </w:rPr>
              <w:t>22912</w:t>
            </w:r>
          </w:p>
        </w:tc>
        <w:tc>
          <w:tcPr>
            <w:tcW w:w="313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80" w:firstLineChars="200"/>
              <w:jc w:val="left"/>
              <w:rPr>
                <w:rFonts w:eastAsia="方正仿宋_GBK"/>
                <w:color w:val="000000"/>
                <w:sz w:val="24"/>
              </w:rPr>
            </w:pPr>
            <w:r>
              <w:rPr>
                <w:rFonts w:hint="eastAsia" w:eastAsia="方正仿宋_GBK"/>
                <w:color w:val="000000"/>
                <w:sz w:val="24"/>
              </w:rPr>
              <w:t>调出资金</w:t>
            </w:r>
            <w:r>
              <w:rPr>
                <w:rFonts w:hint="eastAsia" w:eastAsia="方正仿宋_GBK"/>
                <w:color w:val="000000"/>
                <w:sz w:val="24"/>
              </w:rPr>
              <w:tab/>
            </w:r>
          </w:p>
        </w:tc>
        <w:tc>
          <w:tcPr>
            <w:tcW w:w="1321"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eastAsia="方正仿宋_GBK"/>
                <w:b/>
                <w:color w:val="000000"/>
                <w:sz w:val="22"/>
              </w:rPr>
            </w:pPr>
            <w:r>
              <w:rPr>
                <w:rFonts w:hint="eastAsia" w:eastAsia="方正仿宋_GBK"/>
                <w:b/>
                <w:color w:val="000000"/>
                <w:sz w:val="22"/>
              </w:rPr>
              <w:t>1300</w:t>
            </w:r>
          </w:p>
        </w:tc>
      </w:tr>
      <w:tr>
        <w:tblPrEx>
          <w:tblCellMar>
            <w:top w:w="0" w:type="dxa"/>
            <w:left w:w="108" w:type="dxa"/>
            <w:bottom w:w="0" w:type="dxa"/>
            <w:right w:w="108" w:type="dxa"/>
          </w:tblCellMar>
        </w:tblPrEx>
        <w:trPr>
          <w:trHeight w:val="295" w:hRule="atLeast"/>
        </w:trPr>
        <w:tc>
          <w:tcPr>
            <w:tcW w:w="3268" w:type="dxa"/>
            <w:tcBorders>
              <w:top w:val="single" w:color="000000" w:sz="4" w:space="0"/>
              <w:left w:val="single" w:color="000000" w:sz="12" w:space="0"/>
              <w:bottom w:val="single" w:color="000000" w:sz="12" w:space="0"/>
              <w:right w:val="single" w:color="000000" w:sz="4" w:space="0"/>
            </w:tcBorders>
            <w:vAlign w:val="center"/>
          </w:tcPr>
          <w:p>
            <w:pPr>
              <w:spacing w:line="560" w:lineRule="exact"/>
              <w:jc w:val="left"/>
              <w:rPr>
                <w:rFonts w:eastAsia="方正仿宋_GBK"/>
                <w:color w:val="000000"/>
                <w:sz w:val="24"/>
              </w:rPr>
            </w:pPr>
          </w:p>
        </w:tc>
        <w:tc>
          <w:tcPr>
            <w:tcW w:w="1064" w:type="dxa"/>
            <w:gridSpan w:val="2"/>
            <w:tcBorders>
              <w:top w:val="single" w:color="000000" w:sz="4" w:space="0"/>
              <w:left w:val="single" w:color="000000" w:sz="4" w:space="0"/>
              <w:bottom w:val="single" w:color="000000" w:sz="12" w:space="0"/>
              <w:right w:val="single" w:color="000000" w:sz="4" w:space="0"/>
            </w:tcBorders>
            <w:vAlign w:val="center"/>
          </w:tcPr>
          <w:p>
            <w:pPr>
              <w:spacing w:line="560" w:lineRule="exact"/>
              <w:jc w:val="center"/>
              <w:rPr>
                <w:rFonts w:eastAsia="方正仿宋_GBK"/>
                <w:color w:val="000000"/>
                <w:sz w:val="22"/>
              </w:rPr>
            </w:pPr>
          </w:p>
        </w:tc>
        <w:tc>
          <w:tcPr>
            <w:tcW w:w="3131" w:type="dxa"/>
            <w:tcBorders>
              <w:top w:val="single" w:color="000000" w:sz="4" w:space="0"/>
              <w:left w:val="single" w:color="000000" w:sz="4" w:space="0"/>
              <w:bottom w:val="single" w:color="000000" w:sz="12" w:space="0"/>
              <w:right w:val="single" w:color="000000" w:sz="4" w:space="0"/>
            </w:tcBorders>
            <w:vAlign w:val="center"/>
          </w:tcPr>
          <w:p>
            <w:pPr>
              <w:spacing w:line="560" w:lineRule="exact"/>
              <w:ind w:firstLine="440" w:firstLineChars="200"/>
              <w:jc w:val="left"/>
              <w:rPr>
                <w:rFonts w:eastAsia="方正仿宋_GBK"/>
                <w:color w:val="000000"/>
                <w:sz w:val="24"/>
              </w:rPr>
            </w:pPr>
            <w:r>
              <w:rPr>
                <w:rFonts w:hint="eastAsia" w:eastAsia="方正仿宋_GBK"/>
                <w:color w:val="000000"/>
                <w:sz w:val="22"/>
              </w:rPr>
              <w:t>补助乡镇支出（上年结转）</w:t>
            </w:r>
          </w:p>
        </w:tc>
        <w:tc>
          <w:tcPr>
            <w:tcW w:w="1321" w:type="dxa"/>
            <w:tcBorders>
              <w:top w:val="single" w:color="000000" w:sz="4" w:space="0"/>
              <w:left w:val="single" w:color="000000" w:sz="4" w:space="0"/>
              <w:bottom w:val="single" w:color="000000" w:sz="12" w:space="0"/>
              <w:right w:val="single" w:color="000000" w:sz="12" w:space="0"/>
            </w:tcBorders>
            <w:vAlign w:val="center"/>
          </w:tcPr>
          <w:p>
            <w:pPr>
              <w:spacing w:line="560" w:lineRule="exact"/>
              <w:jc w:val="center"/>
              <w:rPr>
                <w:rFonts w:eastAsia="方正仿宋_GBK"/>
                <w:b/>
                <w:color w:val="000000"/>
                <w:sz w:val="22"/>
              </w:rPr>
            </w:pPr>
            <w:r>
              <w:rPr>
                <w:rFonts w:hint="eastAsia" w:eastAsia="方正仿宋_GBK"/>
                <w:b/>
                <w:color w:val="000000"/>
                <w:sz w:val="22"/>
              </w:rPr>
              <w:t>449</w:t>
            </w:r>
          </w:p>
        </w:tc>
      </w:tr>
    </w:tbl>
    <w:p>
      <w:pPr>
        <w:spacing w:line="560" w:lineRule="exact"/>
        <w:ind w:firstLine="630"/>
        <w:rPr>
          <w:rFonts w:eastAsia="方正仿宋_GBK"/>
          <w:kern w:val="0"/>
          <w:sz w:val="32"/>
          <w:szCs w:val="32"/>
        </w:rPr>
      </w:pPr>
      <w:r>
        <w:rPr>
          <w:rFonts w:hint="eastAsia" w:eastAsia="方正仿宋_GBK"/>
          <w:kern w:val="0"/>
          <w:sz w:val="32"/>
          <w:szCs w:val="32"/>
        </w:rPr>
        <w:t>分支出功能科目安排明细如下：</w:t>
      </w:r>
    </w:p>
    <w:p>
      <w:pPr>
        <w:overflowPunct w:val="0"/>
        <w:autoSpaceDE w:val="0"/>
        <w:autoSpaceDN w:val="0"/>
        <w:adjustRightInd w:val="0"/>
        <w:snapToGrid w:val="0"/>
        <w:spacing w:line="560" w:lineRule="exact"/>
        <w:ind w:firstLine="640" w:firstLineChars="200"/>
        <w:rPr>
          <w:rFonts w:eastAsia="方正仿宋_GBK"/>
          <w:kern w:val="0"/>
          <w:sz w:val="32"/>
          <w:szCs w:val="32"/>
        </w:rPr>
      </w:pPr>
      <w:r>
        <w:rPr>
          <w:rFonts w:eastAsia="方正仿宋_GBK"/>
          <w:kern w:val="0"/>
          <w:sz w:val="32"/>
          <w:szCs w:val="32"/>
        </w:rPr>
        <w:t>——</w:t>
      </w:r>
      <w:r>
        <w:rPr>
          <w:rFonts w:hint="eastAsia" w:eastAsia="方正仿宋_GBK"/>
          <w:kern w:val="0"/>
          <w:sz w:val="32"/>
          <w:szCs w:val="32"/>
        </w:rPr>
        <w:t>文化旅游体育与传媒支出421万元；</w:t>
      </w:r>
    </w:p>
    <w:p>
      <w:pPr>
        <w:overflowPunct w:val="0"/>
        <w:autoSpaceDE w:val="0"/>
        <w:autoSpaceDN w:val="0"/>
        <w:adjustRightInd w:val="0"/>
        <w:snapToGrid w:val="0"/>
        <w:spacing w:line="560" w:lineRule="exact"/>
        <w:ind w:firstLine="640" w:firstLineChars="200"/>
        <w:rPr>
          <w:rFonts w:eastAsia="方正仿宋_GBK"/>
          <w:sz w:val="32"/>
          <w:szCs w:val="32"/>
        </w:rPr>
      </w:pPr>
      <w:r>
        <w:rPr>
          <w:rFonts w:eastAsia="方正仿宋_GBK"/>
          <w:kern w:val="0"/>
          <w:sz w:val="32"/>
          <w:szCs w:val="32"/>
        </w:rPr>
        <w:t>——</w:t>
      </w:r>
      <w:r>
        <w:rPr>
          <w:rFonts w:eastAsia="方正仿宋_GBK"/>
          <w:sz w:val="32"/>
          <w:szCs w:val="32"/>
        </w:rPr>
        <w:t>社会保障和就业支出</w:t>
      </w:r>
      <w:r>
        <w:rPr>
          <w:rFonts w:hint="eastAsia" w:eastAsia="方正仿宋_GBK"/>
          <w:sz w:val="32"/>
          <w:szCs w:val="32"/>
        </w:rPr>
        <w:t>1482</w:t>
      </w:r>
      <w:r>
        <w:rPr>
          <w:rFonts w:eastAsia="方正仿宋_GBK"/>
          <w:sz w:val="32"/>
          <w:szCs w:val="32"/>
        </w:rPr>
        <w:t>万元；</w:t>
      </w:r>
    </w:p>
    <w:p>
      <w:pPr>
        <w:overflowPunct w:val="0"/>
        <w:autoSpaceDE w:val="0"/>
        <w:autoSpaceDN w:val="0"/>
        <w:adjustRightInd w:val="0"/>
        <w:snapToGrid w:val="0"/>
        <w:spacing w:line="560" w:lineRule="exact"/>
        <w:ind w:firstLine="640" w:firstLineChars="200"/>
        <w:rPr>
          <w:rFonts w:eastAsia="方正仿宋_GBK"/>
          <w:sz w:val="32"/>
          <w:szCs w:val="32"/>
        </w:rPr>
      </w:pPr>
      <w:r>
        <w:rPr>
          <w:rFonts w:eastAsia="方正仿宋_GBK"/>
          <w:sz w:val="32"/>
          <w:szCs w:val="32"/>
        </w:rPr>
        <w:t>——城乡社区支出</w:t>
      </w:r>
      <w:r>
        <w:rPr>
          <w:rFonts w:hint="eastAsia" w:eastAsia="方正仿宋_GBK"/>
          <w:sz w:val="32"/>
          <w:szCs w:val="32"/>
        </w:rPr>
        <w:t>88127</w:t>
      </w:r>
      <w:r>
        <w:rPr>
          <w:rFonts w:eastAsia="方正仿宋_GBK"/>
          <w:sz w:val="32"/>
          <w:szCs w:val="32"/>
        </w:rPr>
        <w:t>万元；</w:t>
      </w:r>
    </w:p>
    <w:p>
      <w:pPr>
        <w:overflowPunct w:val="0"/>
        <w:autoSpaceDE w:val="0"/>
        <w:autoSpaceDN w:val="0"/>
        <w:adjustRightInd w:val="0"/>
        <w:snapToGrid w:val="0"/>
        <w:spacing w:line="560" w:lineRule="exact"/>
        <w:ind w:firstLine="640" w:firstLineChars="200"/>
        <w:rPr>
          <w:rFonts w:eastAsia="方正仿宋_GBK"/>
          <w:sz w:val="32"/>
          <w:szCs w:val="32"/>
        </w:rPr>
      </w:pPr>
      <w:r>
        <w:rPr>
          <w:rFonts w:eastAsia="方正仿宋_GBK"/>
          <w:sz w:val="32"/>
          <w:szCs w:val="32"/>
        </w:rPr>
        <w:t>——农林水支出</w:t>
      </w:r>
      <w:r>
        <w:rPr>
          <w:rFonts w:hint="eastAsia" w:eastAsia="方正仿宋_GBK"/>
          <w:sz w:val="32"/>
          <w:szCs w:val="32"/>
        </w:rPr>
        <w:t>1032</w:t>
      </w:r>
      <w:r>
        <w:rPr>
          <w:rFonts w:eastAsia="方正仿宋_GBK"/>
          <w:sz w:val="32"/>
          <w:szCs w:val="32"/>
        </w:rPr>
        <w:t>万元；</w:t>
      </w:r>
    </w:p>
    <w:p>
      <w:pPr>
        <w:overflowPunct w:val="0"/>
        <w:autoSpaceDE w:val="0"/>
        <w:autoSpaceDN w:val="0"/>
        <w:adjustRightInd w:val="0"/>
        <w:snapToGrid w:val="0"/>
        <w:spacing w:line="560" w:lineRule="exact"/>
        <w:ind w:firstLine="640" w:firstLineChars="200"/>
        <w:rPr>
          <w:rFonts w:eastAsia="方正仿宋_GBK"/>
          <w:sz w:val="32"/>
          <w:szCs w:val="32"/>
        </w:rPr>
      </w:pPr>
      <w:r>
        <w:rPr>
          <w:rFonts w:eastAsia="方正仿宋_GBK"/>
          <w:sz w:val="32"/>
          <w:szCs w:val="32"/>
        </w:rPr>
        <w:t>——其他支出</w:t>
      </w:r>
      <w:r>
        <w:rPr>
          <w:rFonts w:hint="eastAsia" w:eastAsia="方正仿宋_GBK"/>
          <w:sz w:val="32"/>
          <w:szCs w:val="32"/>
        </w:rPr>
        <w:t>4235</w:t>
      </w:r>
      <w:r>
        <w:rPr>
          <w:rFonts w:eastAsia="方正仿宋_GBK"/>
          <w:sz w:val="32"/>
          <w:szCs w:val="32"/>
        </w:rPr>
        <w:t>万元；</w:t>
      </w:r>
    </w:p>
    <w:p>
      <w:pPr>
        <w:overflowPunct w:val="0"/>
        <w:autoSpaceDE w:val="0"/>
        <w:autoSpaceDN w:val="0"/>
        <w:adjustRightInd w:val="0"/>
        <w:snapToGrid w:val="0"/>
        <w:spacing w:line="560" w:lineRule="exact"/>
        <w:ind w:firstLine="640" w:firstLineChars="200"/>
        <w:rPr>
          <w:rFonts w:eastAsia="方正仿宋_GBK"/>
          <w:sz w:val="32"/>
          <w:szCs w:val="32"/>
        </w:rPr>
      </w:pPr>
      <w:r>
        <w:rPr>
          <w:rFonts w:eastAsia="方正仿宋_GBK"/>
          <w:sz w:val="32"/>
          <w:szCs w:val="32"/>
        </w:rPr>
        <w:t>——债务付息</w:t>
      </w:r>
      <w:r>
        <w:rPr>
          <w:rFonts w:hint="eastAsia" w:eastAsia="方正仿宋_GBK"/>
          <w:sz w:val="32"/>
          <w:szCs w:val="32"/>
        </w:rPr>
        <w:t>（付费）</w:t>
      </w:r>
      <w:r>
        <w:rPr>
          <w:rFonts w:eastAsia="方正仿宋_GBK"/>
          <w:sz w:val="32"/>
          <w:szCs w:val="32"/>
        </w:rPr>
        <w:t>支出</w:t>
      </w:r>
      <w:r>
        <w:rPr>
          <w:rFonts w:hint="eastAsia" w:eastAsia="方正仿宋_GBK"/>
          <w:sz w:val="32"/>
          <w:szCs w:val="32"/>
        </w:rPr>
        <w:t>862</w:t>
      </w:r>
      <w:r>
        <w:rPr>
          <w:rFonts w:eastAsia="方正仿宋_GBK"/>
          <w:sz w:val="32"/>
          <w:szCs w:val="32"/>
        </w:rPr>
        <w:t>万元；</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eastAsia="方正仿宋_GBK"/>
          <w:sz w:val="32"/>
          <w:szCs w:val="32"/>
        </w:rPr>
        <w:t>——</w:t>
      </w:r>
      <w:r>
        <w:rPr>
          <w:rFonts w:hint="eastAsia" w:eastAsia="方正仿宋_GBK"/>
          <w:sz w:val="32"/>
          <w:szCs w:val="32"/>
        </w:rPr>
        <w:t>转移性</w:t>
      </w:r>
      <w:r>
        <w:rPr>
          <w:rFonts w:eastAsia="方正仿宋_GBK"/>
          <w:sz w:val="32"/>
          <w:szCs w:val="32"/>
        </w:rPr>
        <w:t>支出</w:t>
      </w:r>
      <w:r>
        <w:rPr>
          <w:rFonts w:hint="eastAsia" w:eastAsia="方正仿宋_GBK"/>
          <w:sz w:val="32"/>
          <w:szCs w:val="32"/>
        </w:rPr>
        <w:t>2449</w:t>
      </w:r>
      <w:r>
        <w:rPr>
          <w:rFonts w:eastAsia="方正仿宋_GBK"/>
          <w:sz w:val="32"/>
          <w:szCs w:val="32"/>
        </w:rPr>
        <w:t>万元</w:t>
      </w:r>
      <w:r>
        <w:rPr>
          <w:rFonts w:hint="eastAsia" w:eastAsia="方正仿宋_GBK"/>
          <w:sz w:val="32"/>
          <w:szCs w:val="32"/>
        </w:rPr>
        <w:t>。</w:t>
      </w:r>
    </w:p>
    <w:p>
      <w:pPr>
        <w:spacing w:line="560"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（三）国有资本经营预算收支草案</w:t>
      </w:r>
    </w:p>
    <w:p>
      <w:pPr>
        <w:overflowPunct w:val="0"/>
        <w:autoSpaceDE w:val="0"/>
        <w:autoSpaceDN w:val="0"/>
        <w:adjustRightInd w:val="0"/>
        <w:snapToGrid w:val="0"/>
        <w:spacing w:line="560" w:lineRule="exact"/>
        <w:ind w:firstLine="627" w:firstLineChars="196"/>
        <w:rPr>
          <w:rFonts w:eastAsia="方正仿宋_GBK"/>
          <w:b/>
          <w:color w:val="000000"/>
          <w:sz w:val="32"/>
          <w:szCs w:val="32"/>
        </w:rPr>
      </w:pPr>
      <w:r>
        <w:rPr>
          <w:rFonts w:hint="eastAsia" w:eastAsia="方正仿宋_GBK"/>
          <w:bCs/>
          <w:color w:val="000000"/>
          <w:sz w:val="32"/>
          <w:szCs w:val="32"/>
        </w:rPr>
        <w:t>1.</w:t>
      </w:r>
      <w:r>
        <w:rPr>
          <w:rFonts w:eastAsia="方正仿宋_GBK"/>
          <w:bCs/>
          <w:color w:val="000000"/>
          <w:sz w:val="32"/>
          <w:szCs w:val="32"/>
        </w:rPr>
        <w:t>收入项目预算</w:t>
      </w:r>
      <w:r>
        <w:rPr>
          <w:rFonts w:hint="eastAsia" w:eastAsia="方正仿宋_GBK"/>
          <w:bCs/>
          <w:color w:val="000000"/>
          <w:sz w:val="32"/>
          <w:szCs w:val="32"/>
        </w:rPr>
        <w:t>。</w:t>
      </w:r>
      <w:r>
        <w:rPr>
          <w:rFonts w:eastAsia="方正仿宋_GBK"/>
          <w:color w:val="000000"/>
          <w:sz w:val="32"/>
          <w:szCs w:val="32"/>
        </w:rPr>
        <w:t>县本级国有资本经营预算收入预计</w:t>
      </w:r>
      <w:r>
        <w:rPr>
          <w:rFonts w:hint="eastAsia" w:eastAsia="方正仿宋_GBK"/>
          <w:color w:val="000000"/>
          <w:sz w:val="32"/>
          <w:szCs w:val="32"/>
        </w:rPr>
        <w:t>2950</w:t>
      </w:r>
      <w:r>
        <w:rPr>
          <w:rFonts w:eastAsia="方正仿宋_GBK"/>
          <w:color w:val="000000"/>
          <w:sz w:val="32"/>
          <w:szCs w:val="32"/>
        </w:rPr>
        <w:t>万元</w:t>
      </w:r>
      <w:r>
        <w:rPr>
          <w:rFonts w:hint="eastAsia" w:eastAsia="方正仿宋_GBK"/>
          <w:color w:val="000000"/>
          <w:sz w:val="32"/>
          <w:szCs w:val="32"/>
        </w:rPr>
        <w:t>,全部为利润收入，加上上年结转收入10万元后，收入总计2960万元</w:t>
      </w:r>
      <w:r>
        <w:rPr>
          <w:rFonts w:eastAsia="方正仿宋_GBK"/>
          <w:color w:val="000000"/>
          <w:sz w:val="32"/>
          <w:szCs w:val="32"/>
        </w:rPr>
        <w:t>。</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2.</w:t>
      </w:r>
      <w:r>
        <w:rPr>
          <w:rFonts w:eastAsia="方正仿宋_GBK"/>
          <w:color w:val="000000"/>
          <w:sz w:val="32"/>
          <w:szCs w:val="32"/>
        </w:rPr>
        <w:t>支出项目预算</w:t>
      </w:r>
      <w:r>
        <w:rPr>
          <w:rFonts w:hint="eastAsia" w:eastAsia="方正仿宋_GBK"/>
          <w:color w:val="000000"/>
          <w:sz w:val="32"/>
          <w:szCs w:val="32"/>
        </w:rPr>
        <w:t>。县本级支出1010万元，加上调出1950万元到一般公共预算统筹安排支出后，支出总计2960万元。</w:t>
      </w:r>
    </w:p>
    <w:tbl>
      <w:tblPr>
        <w:tblStyle w:val="8"/>
        <w:tblW w:w="9156" w:type="dxa"/>
        <w:tblInd w:w="0" w:type="dxa"/>
        <w:tblLayout w:type="fixed"/>
        <w:tblCellMar>
          <w:top w:w="0" w:type="dxa"/>
          <w:left w:w="108" w:type="dxa"/>
          <w:bottom w:w="0" w:type="dxa"/>
          <w:right w:w="108" w:type="dxa"/>
        </w:tblCellMar>
      </w:tblPr>
      <w:tblGrid>
        <w:gridCol w:w="3628"/>
        <w:gridCol w:w="1134"/>
        <w:gridCol w:w="2977"/>
        <w:gridCol w:w="1417"/>
      </w:tblGrid>
      <w:tr>
        <w:tblPrEx>
          <w:tblCellMar>
            <w:top w:w="0" w:type="dxa"/>
            <w:left w:w="108" w:type="dxa"/>
            <w:bottom w:w="0" w:type="dxa"/>
            <w:right w:w="108" w:type="dxa"/>
          </w:tblCellMar>
        </w:tblPrEx>
        <w:trPr>
          <w:trHeight w:val="408" w:hRule="atLeast"/>
        </w:trPr>
        <w:tc>
          <w:tcPr>
            <w:tcW w:w="9156" w:type="dxa"/>
            <w:gridSpan w:val="4"/>
            <w:tcBorders>
              <w:top w:val="nil"/>
              <w:left w:val="nil"/>
              <w:bottom w:val="nil"/>
              <w:right w:val="nil"/>
            </w:tcBorders>
            <w:vAlign w:val="center"/>
          </w:tcPr>
          <w:p>
            <w:pPr>
              <w:spacing w:line="560" w:lineRule="exact"/>
              <w:jc w:val="center"/>
              <w:rPr>
                <w:rFonts w:eastAsia="方正仿宋_GBK"/>
                <w:bCs/>
                <w:color w:val="000000"/>
                <w:sz w:val="32"/>
                <w:szCs w:val="32"/>
              </w:rPr>
            </w:pPr>
            <w:r>
              <w:rPr>
                <w:rFonts w:hint="eastAsia" w:ascii="方正黑体_GBK" w:hAnsi="方正黑体_GBK" w:eastAsia="方正黑体_GBK" w:cs="方正黑体_GBK"/>
                <w:bCs/>
                <w:color w:val="000000"/>
                <w:sz w:val="32"/>
                <w:szCs w:val="32"/>
              </w:rPr>
              <w:t>城口县2020年国有资本经营预算收支平衡表</w:t>
            </w:r>
          </w:p>
        </w:tc>
      </w:tr>
      <w:tr>
        <w:tblPrEx>
          <w:tblCellMar>
            <w:top w:w="0" w:type="dxa"/>
            <w:left w:w="108" w:type="dxa"/>
            <w:bottom w:w="0" w:type="dxa"/>
            <w:right w:w="108" w:type="dxa"/>
          </w:tblCellMar>
        </w:tblPrEx>
        <w:trPr>
          <w:trHeight w:val="300" w:hRule="atLeast"/>
        </w:trPr>
        <w:tc>
          <w:tcPr>
            <w:tcW w:w="3628" w:type="dxa"/>
            <w:tcBorders>
              <w:top w:val="nil"/>
              <w:left w:val="nil"/>
              <w:bottom w:val="single" w:color="auto" w:sz="12" w:space="0"/>
              <w:right w:val="nil"/>
            </w:tcBorders>
            <w:vAlign w:val="center"/>
          </w:tcPr>
          <w:p>
            <w:pPr>
              <w:spacing w:line="560" w:lineRule="exact"/>
              <w:jc w:val="center"/>
              <w:rPr>
                <w:rFonts w:eastAsia="方正仿宋_GBK"/>
                <w:color w:val="000000"/>
                <w:sz w:val="22"/>
              </w:rPr>
            </w:pPr>
          </w:p>
        </w:tc>
        <w:tc>
          <w:tcPr>
            <w:tcW w:w="1134" w:type="dxa"/>
            <w:tcBorders>
              <w:top w:val="nil"/>
              <w:left w:val="nil"/>
              <w:bottom w:val="single" w:color="auto" w:sz="12" w:space="0"/>
              <w:right w:val="nil"/>
            </w:tcBorders>
            <w:vAlign w:val="center"/>
          </w:tcPr>
          <w:p>
            <w:pPr>
              <w:spacing w:line="560" w:lineRule="exact"/>
              <w:jc w:val="center"/>
              <w:rPr>
                <w:rFonts w:eastAsia="方正仿宋_GBK"/>
                <w:color w:val="000000"/>
                <w:sz w:val="22"/>
              </w:rPr>
            </w:pPr>
          </w:p>
        </w:tc>
        <w:tc>
          <w:tcPr>
            <w:tcW w:w="2977" w:type="dxa"/>
            <w:tcBorders>
              <w:top w:val="nil"/>
              <w:left w:val="nil"/>
              <w:bottom w:val="single" w:color="auto" w:sz="12" w:space="0"/>
              <w:right w:val="nil"/>
            </w:tcBorders>
            <w:vAlign w:val="center"/>
          </w:tcPr>
          <w:p>
            <w:pPr>
              <w:spacing w:line="560" w:lineRule="exact"/>
              <w:jc w:val="center"/>
              <w:rPr>
                <w:rFonts w:eastAsia="方正仿宋_GBK"/>
                <w:color w:val="000000"/>
                <w:sz w:val="22"/>
              </w:rPr>
            </w:pPr>
          </w:p>
        </w:tc>
        <w:tc>
          <w:tcPr>
            <w:tcW w:w="1417" w:type="dxa"/>
            <w:tcBorders>
              <w:top w:val="nil"/>
              <w:left w:val="nil"/>
              <w:bottom w:val="single" w:color="auto" w:sz="12" w:space="0"/>
              <w:right w:val="nil"/>
            </w:tcBorders>
            <w:vAlign w:val="center"/>
          </w:tcPr>
          <w:p>
            <w:pPr>
              <w:spacing w:line="560" w:lineRule="exact"/>
              <w:jc w:val="center"/>
              <w:rPr>
                <w:rFonts w:eastAsia="方正仿宋_GBK"/>
                <w:color w:val="000000"/>
                <w:sz w:val="22"/>
              </w:rPr>
            </w:pPr>
            <w:r>
              <w:rPr>
                <w:rFonts w:eastAsia="方正仿宋_GBK"/>
                <w:color w:val="000000"/>
                <w:sz w:val="22"/>
              </w:rPr>
              <w:t>单位：万元</w:t>
            </w:r>
          </w:p>
        </w:tc>
      </w:tr>
      <w:tr>
        <w:tblPrEx>
          <w:tblCellMar>
            <w:top w:w="0" w:type="dxa"/>
            <w:left w:w="108" w:type="dxa"/>
            <w:bottom w:w="0" w:type="dxa"/>
            <w:right w:w="108" w:type="dxa"/>
          </w:tblCellMar>
        </w:tblPrEx>
        <w:trPr>
          <w:trHeight w:val="636" w:hRule="atLeast"/>
        </w:trPr>
        <w:tc>
          <w:tcPr>
            <w:tcW w:w="3628" w:type="dxa"/>
            <w:tcBorders>
              <w:top w:val="single" w:color="auto" w:sz="12" w:space="0"/>
              <w:left w:val="single" w:color="auto" w:sz="12"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收        入</w:t>
            </w:r>
          </w:p>
        </w:tc>
        <w:tc>
          <w:tcPr>
            <w:tcW w:w="1134"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c>
          <w:tcPr>
            <w:tcW w:w="2977"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支        出</w:t>
            </w:r>
          </w:p>
        </w:tc>
        <w:tc>
          <w:tcPr>
            <w:tcW w:w="1417" w:type="dxa"/>
            <w:tcBorders>
              <w:top w:val="single" w:color="auto" w:sz="12" w:space="0"/>
              <w:left w:val="single" w:color="auto" w:sz="4" w:space="0"/>
              <w:bottom w:val="single" w:color="auto" w:sz="4" w:space="0"/>
              <w:right w:val="single" w:color="auto" w:sz="12"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r>
      <w:tr>
        <w:tblPrEx>
          <w:tblCellMar>
            <w:top w:w="0" w:type="dxa"/>
            <w:left w:w="108" w:type="dxa"/>
            <w:bottom w:w="0" w:type="dxa"/>
            <w:right w:w="108" w:type="dxa"/>
          </w:tblCellMar>
        </w:tblPrEx>
        <w:trPr>
          <w:trHeight w:val="312" w:hRule="atLeast"/>
        </w:trPr>
        <w:tc>
          <w:tcPr>
            <w:tcW w:w="3628" w:type="dxa"/>
            <w:tcBorders>
              <w:top w:val="single" w:color="auto" w:sz="4" w:space="0"/>
              <w:left w:val="single" w:color="auto" w:sz="12" w:space="0"/>
              <w:bottom w:val="single" w:color="auto" w:sz="4" w:space="0"/>
              <w:right w:val="single" w:color="auto" w:sz="4" w:space="0"/>
            </w:tcBorders>
            <w:vAlign w:val="center"/>
          </w:tcPr>
          <w:p>
            <w:pPr>
              <w:spacing w:line="560" w:lineRule="exact"/>
              <w:jc w:val="center"/>
              <w:rPr>
                <w:rFonts w:eastAsia="方正仿宋_GBK"/>
                <w:bCs/>
                <w:color w:val="000000"/>
                <w:sz w:val="24"/>
              </w:rPr>
            </w:pPr>
            <w:r>
              <w:rPr>
                <w:rFonts w:hint="eastAsia" w:ascii="方正楷体_GBK" w:hAnsi="方正楷体_GBK" w:eastAsia="方正楷体_GBK" w:cs="方正楷体_GBK"/>
                <w:bCs/>
                <w:color w:val="000000"/>
                <w:sz w:val="24"/>
              </w:rPr>
              <w:t>总  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2960</w:t>
            </w:r>
          </w:p>
        </w:tc>
        <w:tc>
          <w:tcPr>
            <w:tcW w:w="29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Cs/>
                <w:color w:val="000000"/>
                <w:sz w:val="24"/>
              </w:rPr>
            </w:pPr>
            <w:r>
              <w:rPr>
                <w:rFonts w:eastAsia="方正仿宋_GBK"/>
                <w:bCs/>
                <w:color w:val="000000"/>
                <w:sz w:val="24"/>
              </w:rPr>
              <w:t>总计</w:t>
            </w:r>
          </w:p>
        </w:tc>
        <w:tc>
          <w:tcPr>
            <w:tcW w:w="1417" w:type="dxa"/>
            <w:tcBorders>
              <w:top w:val="single" w:color="auto" w:sz="4" w:space="0"/>
              <w:left w:val="single" w:color="auto" w:sz="4" w:space="0"/>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2960</w:t>
            </w:r>
          </w:p>
        </w:tc>
      </w:tr>
      <w:tr>
        <w:tblPrEx>
          <w:tblCellMar>
            <w:top w:w="0" w:type="dxa"/>
            <w:left w:w="108" w:type="dxa"/>
            <w:bottom w:w="0" w:type="dxa"/>
            <w:right w:w="108" w:type="dxa"/>
          </w:tblCellMar>
        </w:tblPrEx>
        <w:trPr>
          <w:trHeight w:val="576" w:hRule="atLeast"/>
        </w:trPr>
        <w:tc>
          <w:tcPr>
            <w:tcW w:w="3628" w:type="dxa"/>
            <w:tcBorders>
              <w:top w:val="single" w:color="auto" w:sz="4" w:space="0"/>
              <w:left w:val="single" w:color="auto" w:sz="12" w:space="0"/>
              <w:bottom w:val="single" w:color="auto" w:sz="12" w:space="0"/>
              <w:right w:val="single" w:color="auto" w:sz="4" w:space="0"/>
            </w:tcBorders>
            <w:vAlign w:val="center"/>
          </w:tcPr>
          <w:p>
            <w:pPr>
              <w:spacing w:line="560" w:lineRule="exact"/>
              <w:jc w:val="center"/>
              <w:rPr>
                <w:rFonts w:eastAsia="方正仿宋_GBK"/>
                <w:bCs/>
                <w:color w:val="000000"/>
                <w:sz w:val="24"/>
              </w:rPr>
            </w:pPr>
            <w:r>
              <w:rPr>
                <w:rFonts w:hint="eastAsia" w:ascii="方正楷体_GBK" w:hAnsi="方正楷体_GBK" w:eastAsia="方正楷体_GBK" w:cs="方正楷体_GBK"/>
                <w:bCs/>
                <w:color w:val="000000"/>
                <w:sz w:val="24"/>
              </w:rPr>
              <w:t>一、县本级收入</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2950</w:t>
            </w:r>
          </w:p>
        </w:tc>
        <w:tc>
          <w:tcPr>
            <w:tcW w:w="2977" w:type="dxa"/>
            <w:tcBorders>
              <w:top w:val="single" w:color="auto" w:sz="4" w:space="0"/>
              <w:left w:val="single" w:color="auto" w:sz="4" w:space="0"/>
              <w:bottom w:val="single" w:color="auto" w:sz="12" w:space="0"/>
              <w:right w:val="single" w:color="auto" w:sz="4" w:space="0"/>
            </w:tcBorders>
            <w:vAlign w:val="center"/>
          </w:tcPr>
          <w:p>
            <w:pPr>
              <w:spacing w:line="560" w:lineRule="exact"/>
              <w:jc w:val="center"/>
              <w:rPr>
                <w:rFonts w:eastAsia="方正仿宋_GBK"/>
                <w:color w:val="000000"/>
                <w:sz w:val="24"/>
              </w:rPr>
            </w:pPr>
            <w:r>
              <w:rPr>
                <w:rFonts w:hint="eastAsia" w:ascii="方正楷体_GBK" w:hAnsi="方正楷体_GBK" w:eastAsia="方正楷体_GBK" w:cs="方正楷体_GBK"/>
                <w:bCs/>
                <w:color w:val="000000"/>
                <w:sz w:val="24"/>
              </w:rPr>
              <w:t>一、县本级支出</w:t>
            </w:r>
          </w:p>
        </w:tc>
        <w:tc>
          <w:tcPr>
            <w:tcW w:w="1417" w:type="dxa"/>
            <w:tcBorders>
              <w:top w:val="single" w:color="auto" w:sz="4" w:space="0"/>
              <w:left w:val="single" w:color="auto" w:sz="4" w:space="0"/>
              <w:bottom w:val="single" w:color="auto" w:sz="12" w:space="0"/>
              <w:right w:val="single" w:color="auto" w:sz="12" w:space="0"/>
            </w:tcBorders>
            <w:vAlign w:val="center"/>
          </w:tcPr>
          <w:p>
            <w:pPr>
              <w:spacing w:line="560" w:lineRule="exact"/>
              <w:jc w:val="center"/>
              <w:rPr>
                <w:rFonts w:eastAsia="方正仿宋_GBK"/>
                <w:b/>
                <w:color w:val="000000"/>
                <w:sz w:val="24"/>
              </w:rPr>
            </w:pPr>
            <w:r>
              <w:rPr>
                <w:rFonts w:hint="eastAsia" w:eastAsia="方正仿宋_GBK"/>
                <w:b/>
                <w:color w:val="000000"/>
                <w:sz w:val="24"/>
              </w:rPr>
              <w:t>1010</w:t>
            </w:r>
          </w:p>
        </w:tc>
      </w:tr>
      <w:tr>
        <w:tblPrEx>
          <w:tblCellMar>
            <w:top w:w="0" w:type="dxa"/>
            <w:left w:w="108" w:type="dxa"/>
            <w:bottom w:w="0" w:type="dxa"/>
            <w:right w:w="108" w:type="dxa"/>
          </w:tblCellMar>
        </w:tblPrEx>
        <w:tc>
          <w:tcPr>
            <w:tcW w:w="3628" w:type="dxa"/>
            <w:tcBorders>
              <w:top w:val="single" w:color="auto" w:sz="12" w:space="0"/>
              <w:left w:val="single" w:color="auto" w:sz="12"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收        入</w:t>
            </w:r>
          </w:p>
        </w:tc>
        <w:tc>
          <w:tcPr>
            <w:tcW w:w="1134"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c>
          <w:tcPr>
            <w:tcW w:w="2977"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支        出</w:t>
            </w:r>
          </w:p>
        </w:tc>
        <w:tc>
          <w:tcPr>
            <w:tcW w:w="1417" w:type="dxa"/>
            <w:tcBorders>
              <w:top w:val="single" w:color="auto" w:sz="12" w:space="0"/>
              <w:left w:val="single" w:color="auto" w:sz="4" w:space="0"/>
              <w:bottom w:val="single" w:color="auto" w:sz="4" w:space="0"/>
              <w:right w:val="single" w:color="auto" w:sz="12" w:space="0"/>
            </w:tcBorders>
            <w:vAlign w:val="center"/>
          </w:tcPr>
          <w:p>
            <w:pPr>
              <w:spacing w:line="560" w:lineRule="exact"/>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rPr>
              <w:t>预算数</w:t>
            </w:r>
          </w:p>
        </w:tc>
      </w:tr>
      <w:tr>
        <w:tblPrEx>
          <w:tblCellMar>
            <w:top w:w="0" w:type="dxa"/>
            <w:left w:w="108" w:type="dxa"/>
            <w:bottom w:w="0" w:type="dxa"/>
            <w:right w:w="108" w:type="dxa"/>
          </w:tblCellMar>
        </w:tblPrEx>
        <w:trPr>
          <w:trHeight w:val="312" w:hRule="atLeast"/>
        </w:trPr>
        <w:tc>
          <w:tcPr>
            <w:tcW w:w="3628" w:type="dxa"/>
            <w:tcBorders>
              <w:top w:val="single" w:color="auto" w:sz="4" w:space="0"/>
              <w:left w:val="single" w:color="auto" w:sz="12" w:space="0"/>
              <w:bottom w:val="single" w:color="auto" w:sz="4" w:space="0"/>
              <w:right w:val="single" w:color="auto" w:sz="4" w:space="0"/>
            </w:tcBorders>
            <w:vAlign w:val="center"/>
          </w:tcPr>
          <w:p>
            <w:pPr>
              <w:spacing w:line="560" w:lineRule="exact"/>
              <w:jc w:val="center"/>
              <w:rPr>
                <w:rFonts w:ascii="方正仿宋_GBK" w:eastAsia="方正仿宋_GBK"/>
                <w:bCs/>
                <w:color w:val="000000"/>
                <w:sz w:val="24"/>
              </w:rPr>
            </w:pPr>
            <w:r>
              <w:rPr>
                <w:rFonts w:hint="eastAsia" w:ascii="方正仿宋_GBK" w:eastAsia="方正仿宋_GBK"/>
                <w:bCs/>
                <w:color w:val="000000"/>
                <w:sz w:val="24"/>
              </w:rPr>
              <w:t>利润收入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1950</w:t>
            </w:r>
          </w:p>
        </w:tc>
        <w:tc>
          <w:tcPr>
            <w:tcW w:w="29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方正仿宋_GBK" w:eastAsia="方正仿宋_GBK"/>
                <w:bCs/>
                <w:color w:val="000000"/>
                <w:sz w:val="24"/>
              </w:rPr>
            </w:pPr>
            <w:r>
              <w:rPr>
                <w:rFonts w:ascii="方正仿宋_GBK" w:eastAsia="方正仿宋_GBK"/>
                <w:bCs/>
                <w:color w:val="000000"/>
                <w:sz w:val="24"/>
              </w:rPr>
              <w:t>国有资本经营预算支出</w:t>
            </w:r>
          </w:p>
        </w:tc>
        <w:tc>
          <w:tcPr>
            <w:tcW w:w="1417" w:type="dxa"/>
            <w:tcBorders>
              <w:top w:val="single" w:color="auto" w:sz="4" w:space="0"/>
              <w:left w:val="single" w:color="auto" w:sz="4" w:space="0"/>
              <w:bottom w:val="single" w:color="auto" w:sz="4" w:space="0"/>
              <w:right w:val="single" w:color="auto" w:sz="12" w:space="0"/>
            </w:tcBorders>
            <w:vAlign w:val="center"/>
          </w:tcPr>
          <w:p>
            <w:pPr>
              <w:spacing w:line="560" w:lineRule="exact"/>
              <w:jc w:val="center"/>
              <w:rPr>
                <w:rFonts w:eastAsia="方正仿宋_GBK"/>
                <w:b/>
                <w:color w:val="000000"/>
                <w:sz w:val="24"/>
              </w:rPr>
            </w:pPr>
            <w:r>
              <w:rPr>
                <w:rFonts w:hint="eastAsia" w:eastAsia="方正仿宋_GBK"/>
                <w:b/>
                <w:color w:val="000000"/>
                <w:sz w:val="24"/>
              </w:rPr>
              <w:t>1010</w:t>
            </w:r>
          </w:p>
        </w:tc>
      </w:tr>
      <w:tr>
        <w:tblPrEx>
          <w:tblCellMar>
            <w:top w:w="0" w:type="dxa"/>
            <w:left w:w="108" w:type="dxa"/>
            <w:bottom w:w="0" w:type="dxa"/>
            <w:right w:w="108" w:type="dxa"/>
          </w:tblCellMar>
        </w:tblPrEx>
        <w:trPr>
          <w:trHeight w:val="324" w:hRule="atLeast"/>
        </w:trPr>
        <w:tc>
          <w:tcPr>
            <w:tcW w:w="3628" w:type="dxa"/>
            <w:tcBorders>
              <w:top w:val="single" w:color="auto" w:sz="4" w:space="0"/>
              <w:left w:val="single" w:color="auto" w:sz="12" w:space="0"/>
              <w:bottom w:val="single" w:color="auto" w:sz="4" w:space="0"/>
              <w:right w:val="single" w:color="auto" w:sz="4" w:space="0"/>
            </w:tcBorders>
            <w:vAlign w:val="center"/>
          </w:tcPr>
          <w:p>
            <w:pPr>
              <w:spacing w:line="560" w:lineRule="exact"/>
              <w:ind w:firstLine="240" w:firstLineChars="100"/>
              <w:jc w:val="center"/>
              <w:rPr>
                <w:rFonts w:eastAsia="方正仿宋_GBK"/>
                <w:color w:val="000000"/>
                <w:sz w:val="24"/>
              </w:rPr>
            </w:pPr>
            <w:r>
              <w:rPr>
                <w:rFonts w:hint="eastAsia" w:ascii="方正仿宋_GBK" w:eastAsia="方正仿宋_GBK"/>
                <w:bCs/>
                <w:color w:val="000000"/>
                <w:sz w:val="24"/>
              </w:rPr>
              <w:t>其他国有资本经营预算收入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1000</w:t>
            </w:r>
          </w:p>
        </w:tc>
        <w:tc>
          <w:tcPr>
            <w:tcW w:w="29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方正仿宋_GBK" w:eastAsia="方正仿宋_GBK"/>
                <w:bCs/>
                <w:color w:val="000000"/>
                <w:sz w:val="24"/>
              </w:rPr>
            </w:pPr>
            <w:r>
              <w:rPr>
                <w:rFonts w:hint="eastAsia" w:ascii="方正楷体_GBK" w:hAnsi="方正楷体_GBK" w:eastAsia="方正楷体_GBK" w:cs="方正楷体_GBK"/>
                <w:bCs/>
                <w:color w:val="000000"/>
                <w:sz w:val="24"/>
              </w:rPr>
              <w:t>二、 转移性支出</w:t>
            </w:r>
          </w:p>
        </w:tc>
        <w:tc>
          <w:tcPr>
            <w:tcW w:w="1417" w:type="dxa"/>
            <w:tcBorders>
              <w:top w:val="single" w:color="auto" w:sz="4" w:space="0"/>
              <w:left w:val="single" w:color="auto" w:sz="4" w:space="0"/>
              <w:bottom w:val="single" w:color="auto" w:sz="4"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1950</w:t>
            </w:r>
          </w:p>
        </w:tc>
      </w:tr>
      <w:tr>
        <w:tblPrEx>
          <w:tblCellMar>
            <w:top w:w="0" w:type="dxa"/>
            <w:left w:w="108" w:type="dxa"/>
            <w:bottom w:w="0" w:type="dxa"/>
            <w:right w:w="108" w:type="dxa"/>
          </w:tblCellMar>
        </w:tblPrEx>
        <w:trPr>
          <w:trHeight w:val="324" w:hRule="atLeast"/>
        </w:trPr>
        <w:tc>
          <w:tcPr>
            <w:tcW w:w="3628" w:type="dxa"/>
            <w:tcBorders>
              <w:top w:val="single" w:color="auto" w:sz="4" w:space="0"/>
              <w:left w:val="single" w:color="auto" w:sz="12" w:space="0"/>
              <w:bottom w:val="single" w:color="auto" w:sz="12" w:space="0"/>
              <w:right w:val="single" w:color="auto" w:sz="4" w:space="0"/>
            </w:tcBorders>
            <w:vAlign w:val="center"/>
          </w:tcPr>
          <w:p>
            <w:pPr>
              <w:spacing w:line="560" w:lineRule="exact"/>
              <w:jc w:val="center"/>
              <w:rPr>
                <w:rFonts w:ascii="方正楷体_GBK" w:eastAsia="方正楷体_GBK"/>
                <w:bCs/>
                <w:color w:val="000000"/>
                <w:sz w:val="24"/>
              </w:rPr>
            </w:pPr>
            <w:r>
              <w:rPr>
                <w:rFonts w:hint="eastAsia" w:ascii="方正楷体_GBK" w:eastAsia="方正楷体_GBK"/>
                <w:bCs/>
                <w:color w:val="000000"/>
                <w:sz w:val="24"/>
              </w:rPr>
              <w:t>二、上年结转</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560" w:lineRule="exact"/>
              <w:jc w:val="center"/>
              <w:rPr>
                <w:rFonts w:eastAsia="方正仿宋_GBK"/>
                <w:b/>
                <w:color w:val="000000"/>
                <w:sz w:val="24"/>
              </w:rPr>
            </w:pPr>
            <w:r>
              <w:rPr>
                <w:rFonts w:hint="eastAsia" w:eastAsia="方正仿宋_GBK"/>
                <w:b/>
                <w:color w:val="000000"/>
                <w:sz w:val="24"/>
              </w:rPr>
              <w:t>10</w:t>
            </w:r>
          </w:p>
        </w:tc>
        <w:tc>
          <w:tcPr>
            <w:tcW w:w="2977" w:type="dxa"/>
            <w:tcBorders>
              <w:top w:val="single" w:color="auto" w:sz="4" w:space="0"/>
              <w:left w:val="single" w:color="auto" w:sz="4" w:space="0"/>
              <w:bottom w:val="single" w:color="auto" w:sz="12" w:space="0"/>
              <w:right w:val="single" w:color="auto" w:sz="4" w:space="0"/>
            </w:tcBorders>
            <w:vAlign w:val="center"/>
          </w:tcPr>
          <w:p>
            <w:pPr>
              <w:spacing w:line="560" w:lineRule="exact"/>
              <w:ind w:firstLine="240" w:firstLineChars="100"/>
              <w:jc w:val="center"/>
              <w:rPr>
                <w:rFonts w:eastAsia="方正仿宋_GBK"/>
                <w:bCs/>
                <w:color w:val="000000"/>
                <w:sz w:val="24"/>
              </w:rPr>
            </w:pPr>
            <w:r>
              <w:rPr>
                <w:rFonts w:hint="eastAsia" w:eastAsia="方正仿宋_GBK"/>
                <w:bCs/>
                <w:color w:val="000000"/>
                <w:sz w:val="24"/>
              </w:rPr>
              <w:t>调出资金</w:t>
            </w:r>
          </w:p>
        </w:tc>
        <w:tc>
          <w:tcPr>
            <w:tcW w:w="1417" w:type="dxa"/>
            <w:tcBorders>
              <w:top w:val="single" w:color="auto" w:sz="4" w:space="0"/>
              <w:left w:val="single" w:color="auto" w:sz="4" w:space="0"/>
              <w:bottom w:val="single" w:color="auto" w:sz="12" w:space="0"/>
              <w:right w:val="single" w:color="auto" w:sz="12" w:space="0"/>
            </w:tcBorders>
            <w:vAlign w:val="center"/>
          </w:tcPr>
          <w:p>
            <w:pPr>
              <w:spacing w:line="560" w:lineRule="exact"/>
              <w:jc w:val="center"/>
              <w:rPr>
                <w:rFonts w:eastAsia="方正仿宋_GBK"/>
                <w:b/>
                <w:bCs/>
                <w:color w:val="000000"/>
                <w:sz w:val="24"/>
              </w:rPr>
            </w:pPr>
            <w:r>
              <w:rPr>
                <w:rFonts w:hint="eastAsia" w:eastAsia="方正仿宋_GBK"/>
                <w:b/>
                <w:bCs/>
                <w:color w:val="000000"/>
                <w:sz w:val="24"/>
              </w:rPr>
              <w:t>1950</w:t>
            </w:r>
          </w:p>
        </w:tc>
      </w:tr>
    </w:tbl>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（四）社保基金预算（草案）。</w:t>
      </w:r>
      <w:r>
        <w:rPr>
          <w:rFonts w:hint="eastAsia" w:eastAsia="方正仿宋_GBK"/>
          <w:sz w:val="32"/>
          <w:szCs w:val="32"/>
        </w:rPr>
        <w:t>社保基金预算由市级财政统一编制，县级财政不单独编报。</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（五）政府采购预算及购买服务预算（草案）</w:t>
      </w:r>
    </w:p>
    <w:p>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政府采购预算。</w:t>
      </w:r>
      <w:r>
        <w:rPr>
          <w:rFonts w:eastAsia="方正仿宋_GBK"/>
          <w:sz w:val="32"/>
          <w:szCs w:val="32"/>
        </w:rPr>
        <w:t>2020</w:t>
      </w:r>
      <w:r>
        <w:rPr>
          <w:rFonts w:hint="eastAsia" w:eastAsia="方正仿宋_GBK"/>
          <w:sz w:val="32"/>
          <w:szCs w:val="32"/>
        </w:rPr>
        <w:t>年全县政府采购预算8601万元，主要为全县行政事业单位的办公设备设施和各级卫生院的医疗设备购置。</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政府购买服务预算。</w:t>
      </w:r>
      <w:r>
        <w:rPr>
          <w:rFonts w:eastAsia="方正仿宋_GBK"/>
          <w:sz w:val="32"/>
          <w:szCs w:val="32"/>
        </w:rPr>
        <w:t>2020</w:t>
      </w:r>
      <w:r>
        <w:rPr>
          <w:rFonts w:hint="eastAsia" w:eastAsia="方正仿宋_GBK"/>
          <w:sz w:val="32"/>
          <w:szCs w:val="32"/>
        </w:rPr>
        <w:t>年全县购买服务预算6396万元，主要为全县行政事业单位开展网络信息、软件维护、项目预决算委托评审等由社会中介提供服务的支出事项。</w:t>
      </w:r>
    </w:p>
    <w:p>
      <w:pPr>
        <w:spacing w:line="560" w:lineRule="exact"/>
        <w:ind w:firstLine="640" w:firstLineChars="200"/>
        <w:rPr>
          <w:rFonts w:eastAsia="方正仿宋_GBK"/>
          <w:bCs/>
          <w:sz w:val="32"/>
          <w:szCs w:val="32"/>
        </w:rPr>
      </w:pPr>
      <w:r>
        <w:rPr>
          <w:rFonts w:hint="eastAsia" w:ascii="方正楷体_GBK" w:eastAsia="方正楷体_GBK"/>
          <w:bCs/>
          <w:sz w:val="32"/>
          <w:szCs w:val="32"/>
        </w:rPr>
        <w:t>（六）政府债务余额及还本付息支出安排情况。</w:t>
      </w:r>
      <w:r>
        <w:rPr>
          <w:rFonts w:hint="eastAsia" w:eastAsia="方正仿宋_GBK"/>
          <w:sz w:val="32"/>
          <w:szCs w:val="32"/>
        </w:rPr>
        <w:t>2020年初</w:t>
      </w:r>
      <w:r>
        <w:rPr>
          <w:rFonts w:eastAsia="方正仿宋_GBK"/>
          <w:sz w:val="32"/>
          <w:szCs w:val="32"/>
        </w:rPr>
        <w:t>我县政府债务余额为</w:t>
      </w:r>
      <w:r>
        <w:rPr>
          <w:rFonts w:hint="eastAsia" w:eastAsia="方正仿宋_GBK"/>
          <w:sz w:val="32"/>
          <w:szCs w:val="32"/>
        </w:rPr>
        <w:t>29.48</w:t>
      </w:r>
      <w:r>
        <w:rPr>
          <w:rFonts w:eastAsia="方正仿宋_GBK"/>
          <w:sz w:val="32"/>
          <w:szCs w:val="32"/>
        </w:rPr>
        <w:t>亿元，</w:t>
      </w:r>
      <w:r>
        <w:rPr>
          <w:rFonts w:hint="eastAsia" w:eastAsia="方正仿宋_GBK"/>
          <w:sz w:val="32"/>
          <w:szCs w:val="32"/>
        </w:rPr>
        <w:t>年初</w:t>
      </w:r>
      <w:r>
        <w:rPr>
          <w:rFonts w:eastAsia="方正仿宋_GBK"/>
          <w:sz w:val="32"/>
          <w:szCs w:val="32"/>
        </w:rPr>
        <w:t>政府债务率为</w:t>
      </w:r>
      <w:r>
        <w:rPr>
          <w:rFonts w:hint="eastAsia" w:eastAsia="方正仿宋_GBK"/>
          <w:sz w:val="32"/>
          <w:szCs w:val="32"/>
        </w:rPr>
        <w:t>51.54</w:t>
      </w:r>
      <w:r>
        <w:rPr>
          <w:rFonts w:eastAsia="方正仿宋_GBK"/>
          <w:sz w:val="32"/>
          <w:szCs w:val="32"/>
        </w:rPr>
        <w:t>%</w:t>
      </w:r>
      <w:r>
        <w:rPr>
          <w:rFonts w:hint="eastAsia" w:eastAsia="方正仿宋_GBK"/>
          <w:sz w:val="32"/>
          <w:szCs w:val="32"/>
        </w:rPr>
        <w:t>。2020年还本付息支出总额预计1.62亿元，其中本金0.62亿元，付息1亿元。付息支出1亿元年初预算已足额安排（可供财力安排0.5亿元，取消二级公路收费还贷结转资金中安排0.5亿元），本金0.62亿元通过争取市级发行再融资债券安排。目前市级尚未下达我县2020年债务限额和新增债券转贷额度，暂时无法报告相关情况，待市级下达后，我们将严格按程序向县人大常委会报告。</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（七）2020年重点工作</w:t>
      </w:r>
    </w:p>
    <w:p>
      <w:pPr>
        <w:spacing w:line="560" w:lineRule="exact"/>
        <w:ind w:firstLine="640" w:firstLineChars="200"/>
        <w:rPr>
          <w:rFonts w:eastAsia="方正仿宋_GBK"/>
          <w:sz w:val="32"/>
          <w:szCs w:val="32"/>
        </w:rPr>
      </w:pPr>
      <w:r>
        <w:rPr>
          <w:rFonts w:hint="eastAsia" w:eastAsia="方正仿宋_GBK"/>
          <w:sz w:val="32"/>
          <w:szCs w:val="32"/>
        </w:rPr>
        <w:t>2020年是全面建成小康社会和“十三五”规划的收官之年，将实现第一个百年奋斗目标。我们将认真贯彻落实县委的决策部署，围绕4.80亿元的“三保”财力缺口和重点支出需求，全力抓好以下五个方面的重点工作。</w:t>
      </w:r>
    </w:p>
    <w:p>
      <w:pPr>
        <w:spacing w:line="560" w:lineRule="exact"/>
        <w:ind w:firstLine="640" w:firstLineChars="200"/>
        <w:rPr>
          <w:rFonts w:eastAsia="方正仿宋_GBK"/>
          <w:sz w:val="32"/>
          <w:szCs w:val="32"/>
        </w:rPr>
      </w:pPr>
      <w:r>
        <w:rPr>
          <w:rFonts w:hint="eastAsia" w:eastAsia="方正仿宋_GBK"/>
          <w:sz w:val="32"/>
          <w:szCs w:val="32"/>
        </w:rPr>
        <w:t>1.“增”“统”结合强“三保”。</w:t>
      </w:r>
      <w:r>
        <w:rPr>
          <w:rFonts w:hint="eastAsia" w:eastAsia="方正仿宋_GBK"/>
          <w:b/>
          <w:bCs/>
          <w:sz w:val="32"/>
          <w:szCs w:val="32"/>
        </w:rPr>
        <w:t>一是</w:t>
      </w:r>
      <w:r>
        <w:rPr>
          <w:rFonts w:hint="eastAsia" w:eastAsia="方正仿宋_GBK"/>
          <w:bCs/>
          <w:sz w:val="32"/>
          <w:szCs w:val="32"/>
        </w:rPr>
        <w:t>全面完成收入计划。</w:t>
      </w:r>
      <w:r>
        <w:rPr>
          <w:rFonts w:hint="eastAsia" w:eastAsia="方正仿宋_GBK"/>
          <w:sz w:val="32"/>
          <w:szCs w:val="32"/>
        </w:rPr>
        <w:t>抓好财源税源培植，创新征管方式，压实征管责任，规范财政资金存款利息、国有资源资产处置租赁收益缴存，严肃查处坐收坐支非税收入行为，严防“跑冒滴漏”，确保收入计划100%完成。</w:t>
      </w:r>
      <w:r>
        <w:rPr>
          <w:rFonts w:hint="eastAsia" w:eastAsia="方正仿宋_GBK"/>
          <w:b/>
          <w:bCs/>
          <w:sz w:val="32"/>
          <w:szCs w:val="32"/>
        </w:rPr>
        <w:t>二是</w:t>
      </w:r>
      <w:r>
        <w:rPr>
          <w:rFonts w:hint="eastAsia" w:eastAsia="方正仿宋_GBK"/>
          <w:sz w:val="32"/>
          <w:szCs w:val="32"/>
        </w:rPr>
        <w:t>全力争取上级财政支持。深入研究中央、市级的投入政策，进一步做好向市级行业主管部门及市财政部门的争取力度，力争市对县专项转移支付在2019年基础上只增不减，困难财力补助保持在1亿元以上。</w:t>
      </w:r>
      <w:r>
        <w:rPr>
          <w:rFonts w:hint="eastAsia" w:eastAsia="方正仿宋_GBK"/>
          <w:b/>
          <w:bCs/>
          <w:sz w:val="32"/>
          <w:szCs w:val="32"/>
        </w:rPr>
        <w:t>三是</w:t>
      </w:r>
      <w:r>
        <w:rPr>
          <w:rFonts w:hint="eastAsia" w:eastAsia="方正仿宋_GBK"/>
          <w:bCs/>
          <w:sz w:val="32"/>
          <w:szCs w:val="32"/>
        </w:rPr>
        <w:t>切实抓好市级资金统筹。认真贯彻落实</w:t>
      </w:r>
      <w:r>
        <w:rPr>
          <w:rFonts w:eastAsia="方正仿宋_GBK"/>
          <w:bCs/>
          <w:sz w:val="32"/>
          <w:szCs w:val="32"/>
        </w:rPr>
        <w:t>《重庆市人民政府办公厅关于开展转移支付统筹试点的通知》精神</w:t>
      </w:r>
      <w:r>
        <w:rPr>
          <w:rFonts w:hint="eastAsia" w:eastAsia="方正仿宋_GBK"/>
          <w:bCs/>
          <w:sz w:val="32"/>
          <w:szCs w:val="32"/>
        </w:rPr>
        <w:t>，严格执行</w:t>
      </w:r>
      <w:r>
        <w:rPr>
          <w:rFonts w:eastAsia="方正仿宋_GBK"/>
          <w:bCs/>
          <w:sz w:val="32"/>
          <w:szCs w:val="32"/>
        </w:rPr>
        <w:t>《城口县存量资金管理办法》，</w:t>
      </w:r>
      <w:r>
        <w:rPr>
          <w:rFonts w:hint="eastAsia" w:eastAsia="方正仿宋_GBK"/>
          <w:bCs/>
          <w:sz w:val="32"/>
          <w:szCs w:val="32"/>
        </w:rPr>
        <w:t>在确保部门完成基本支出责任的基础上，一律按不低于30%的比例统筹，力争筹集“三保”财力1亿元以上。</w:t>
      </w:r>
      <w:r>
        <w:rPr>
          <w:rFonts w:hint="eastAsia" w:eastAsia="方正仿宋_GBK"/>
          <w:b/>
          <w:bCs/>
          <w:sz w:val="32"/>
          <w:szCs w:val="32"/>
        </w:rPr>
        <w:t>四是</w:t>
      </w:r>
      <w:r>
        <w:rPr>
          <w:rFonts w:hint="eastAsia" w:eastAsia="方正仿宋_GBK"/>
          <w:sz w:val="32"/>
          <w:szCs w:val="32"/>
        </w:rPr>
        <w:t>进一步树立政府过紧日子的意识，从严安排“三公经费”预算，从紧安排项目性支出预算，一般性项目支出原则上统一按不低于5%幅度压减。切实抓好支出结构优化调整，加大部门经常性项目支出与上级补助资金的统筹安排力度，力争2020年通过调整耕地指标跨省交易收入、林业天保资金等方面的支出结构，筹集“三保”财力1亿元以上。</w:t>
      </w:r>
      <w:r>
        <w:rPr>
          <w:rFonts w:hint="eastAsia" w:eastAsia="方正仿宋_GBK"/>
          <w:b/>
          <w:bCs/>
          <w:sz w:val="32"/>
          <w:szCs w:val="32"/>
        </w:rPr>
        <w:t>五是</w:t>
      </w:r>
      <w:r>
        <w:rPr>
          <w:rFonts w:hint="eastAsia" w:eastAsia="方正仿宋_GBK"/>
          <w:sz w:val="32"/>
          <w:szCs w:val="32"/>
        </w:rPr>
        <w:t>坚持应盘尽盘的原则清理收回财政及部门存量资金，力争2020年盘活财政存量资金1亿元以上用于“三保”。</w:t>
      </w:r>
      <w:r>
        <w:rPr>
          <w:rFonts w:hint="eastAsia" w:eastAsia="方正仿宋_GBK"/>
          <w:b/>
          <w:bCs/>
          <w:sz w:val="32"/>
          <w:szCs w:val="32"/>
        </w:rPr>
        <w:t>六是</w:t>
      </w:r>
      <w:r>
        <w:rPr>
          <w:rFonts w:hint="eastAsia" w:eastAsia="方正仿宋_GBK"/>
          <w:bCs/>
          <w:sz w:val="32"/>
          <w:szCs w:val="32"/>
        </w:rPr>
        <w:t>继续加大基金调入力度。坚持“三保”优先原则，2020年将再从政府性基金预算收入中调入0.5亿元到一般公共预算，增强“三保”能力。</w:t>
      </w:r>
      <w:r>
        <w:rPr>
          <w:rFonts w:hint="eastAsia" w:eastAsia="方正仿宋_GBK"/>
          <w:b/>
          <w:bCs/>
          <w:sz w:val="32"/>
          <w:szCs w:val="32"/>
        </w:rPr>
        <w:t>七是</w:t>
      </w:r>
      <w:r>
        <w:rPr>
          <w:rFonts w:hint="eastAsia" w:eastAsia="方正仿宋_GBK"/>
          <w:sz w:val="32"/>
          <w:szCs w:val="32"/>
        </w:rPr>
        <w:t>进一步严格国库借款管理。严格执行国库库款管理，严禁直接借用或变相借用国库资金，加大国库借款的清理收回力度，确保国库库款调度充盈。</w:t>
      </w:r>
    </w:p>
    <w:p>
      <w:pPr>
        <w:spacing w:line="560" w:lineRule="exact"/>
        <w:ind w:firstLine="640" w:firstLineChars="200"/>
        <w:rPr>
          <w:rFonts w:eastAsia="方正仿宋_GBK"/>
          <w:b/>
          <w:bCs/>
          <w:sz w:val="32"/>
          <w:szCs w:val="32"/>
        </w:rPr>
      </w:pPr>
      <w:r>
        <w:rPr>
          <w:rFonts w:eastAsia="方正仿宋_GBK"/>
          <w:sz w:val="32"/>
          <w:szCs w:val="32"/>
        </w:rPr>
        <w:t>2.</w:t>
      </w:r>
      <w:r>
        <w:rPr>
          <w:rFonts w:hint="eastAsia" w:ascii="方正仿宋_GBK" w:eastAsia="方正仿宋_GBK"/>
          <w:sz w:val="32"/>
          <w:szCs w:val="32"/>
        </w:rPr>
        <w:t>“降”“改”结合促发展。</w:t>
      </w:r>
      <w:r>
        <w:rPr>
          <w:rFonts w:hint="eastAsia" w:eastAsia="方正仿宋_GBK"/>
          <w:b/>
          <w:bCs/>
          <w:sz w:val="32"/>
          <w:szCs w:val="32"/>
        </w:rPr>
        <w:t>一</w:t>
      </w:r>
      <w:r>
        <w:rPr>
          <w:rFonts w:eastAsia="方正仿宋_GBK"/>
          <w:b/>
          <w:bCs/>
          <w:sz w:val="32"/>
          <w:szCs w:val="32"/>
        </w:rPr>
        <w:t>是</w:t>
      </w:r>
      <w:r>
        <w:rPr>
          <w:rFonts w:hint="eastAsia" w:eastAsia="方正仿宋_GBK"/>
          <w:sz w:val="32"/>
          <w:szCs w:val="32"/>
        </w:rPr>
        <w:t>按照全面规范透明、标准科学、约束有力的现代财政制度要求，进一步完善预算管理制度体系，全面规范预算安排审批流程，加大项目支出公开评审力度，不断提升预算安排的科学性、规范性，增强预算刚性约束。</w:t>
      </w:r>
      <w:r>
        <w:rPr>
          <w:rFonts w:hint="eastAsia" w:eastAsia="方正仿宋_GBK"/>
          <w:b/>
          <w:sz w:val="32"/>
          <w:szCs w:val="32"/>
        </w:rPr>
        <w:t>二是</w:t>
      </w:r>
      <w:r>
        <w:rPr>
          <w:rFonts w:hint="eastAsia" w:eastAsia="方正仿宋_GBK"/>
          <w:sz w:val="32"/>
          <w:szCs w:val="32"/>
        </w:rPr>
        <w:t>深化国资国企改革</w:t>
      </w:r>
      <w:r>
        <w:rPr>
          <w:rFonts w:eastAsia="方正仿宋_GBK"/>
          <w:sz w:val="32"/>
          <w:szCs w:val="32"/>
        </w:rPr>
        <w:t>，</w:t>
      </w:r>
      <w:r>
        <w:rPr>
          <w:rFonts w:hint="eastAsia" w:eastAsia="方正仿宋_GBK"/>
          <w:sz w:val="32"/>
          <w:szCs w:val="32"/>
        </w:rPr>
        <w:t>推动国有资本布局优化配置，深化投融资平台改革，积极稳妥发展混合所有制经济，加强国有资产监督管理，加快构建一批具备现代企业制度的国有企业。</w:t>
      </w:r>
      <w:r>
        <w:rPr>
          <w:rFonts w:eastAsia="方正仿宋_GBK"/>
          <w:sz w:val="32"/>
          <w:szCs w:val="32"/>
        </w:rPr>
        <w:t>变革国有企业经营方式，精简企业人员，降低经营成本，提高营利能力</w:t>
      </w:r>
      <w:r>
        <w:rPr>
          <w:rFonts w:hint="eastAsia" w:eastAsia="方正仿宋_GBK"/>
          <w:sz w:val="32"/>
          <w:szCs w:val="32"/>
        </w:rPr>
        <w:t>，增强企业发展后劲</w:t>
      </w:r>
      <w:r>
        <w:rPr>
          <w:rFonts w:eastAsia="方正仿宋_GBK"/>
          <w:sz w:val="32"/>
          <w:szCs w:val="32"/>
        </w:rPr>
        <w:t>。</w:t>
      </w:r>
      <w:r>
        <w:rPr>
          <w:rFonts w:hint="eastAsia" w:eastAsia="方正仿宋_GBK"/>
          <w:b/>
          <w:sz w:val="32"/>
          <w:szCs w:val="32"/>
        </w:rPr>
        <w:t>三</w:t>
      </w:r>
      <w:r>
        <w:rPr>
          <w:rFonts w:eastAsia="方正仿宋_GBK"/>
          <w:b/>
          <w:sz w:val="32"/>
          <w:szCs w:val="32"/>
        </w:rPr>
        <w:t>是</w:t>
      </w:r>
      <w:r>
        <w:rPr>
          <w:rFonts w:eastAsia="方正仿宋_GBK"/>
          <w:sz w:val="32"/>
          <w:szCs w:val="32"/>
        </w:rPr>
        <w:t>进一步</w:t>
      </w:r>
      <w:r>
        <w:rPr>
          <w:rFonts w:hint="eastAsia" w:eastAsia="方正仿宋_GBK"/>
          <w:sz w:val="32"/>
          <w:szCs w:val="32"/>
        </w:rPr>
        <w:t>深化</w:t>
      </w:r>
      <w:r>
        <w:rPr>
          <w:rFonts w:eastAsia="方正仿宋_GBK"/>
          <w:sz w:val="32"/>
          <w:szCs w:val="32"/>
        </w:rPr>
        <w:t>国库集中支付电子化改革，全面完成网络</w:t>
      </w:r>
      <w:r>
        <w:rPr>
          <w:rFonts w:hint="eastAsia" w:eastAsia="方正仿宋_GBK"/>
          <w:sz w:val="32"/>
          <w:szCs w:val="32"/>
        </w:rPr>
        <w:t>安全</w:t>
      </w:r>
      <w:r>
        <w:rPr>
          <w:rFonts w:eastAsia="方正仿宋_GBK"/>
          <w:sz w:val="32"/>
          <w:szCs w:val="32"/>
        </w:rPr>
        <w:t>等保升级，全面实施国库集中支付动态监控，规范支付行为，便捷支付方式，提高</w:t>
      </w:r>
      <w:r>
        <w:rPr>
          <w:rFonts w:hint="eastAsia" w:eastAsia="方正仿宋_GBK"/>
          <w:sz w:val="32"/>
          <w:szCs w:val="32"/>
        </w:rPr>
        <w:t>支付</w:t>
      </w:r>
      <w:r>
        <w:rPr>
          <w:rFonts w:eastAsia="方正仿宋_GBK"/>
          <w:sz w:val="32"/>
          <w:szCs w:val="32"/>
        </w:rPr>
        <w:t>效率，力争2020年国库集中支付占比达9</w:t>
      </w:r>
      <w:r>
        <w:rPr>
          <w:rFonts w:hint="eastAsia" w:eastAsia="方正仿宋_GBK"/>
          <w:sz w:val="32"/>
          <w:szCs w:val="32"/>
        </w:rPr>
        <w:t>0</w:t>
      </w:r>
      <w:r>
        <w:rPr>
          <w:rFonts w:eastAsia="方正仿宋_GBK"/>
          <w:sz w:val="32"/>
          <w:szCs w:val="32"/>
        </w:rPr>
        <w:t>%以上。</w:t>
      </w:r>
      <w:r>
        <w:rPr>
          <w:rFonts w:hint="eastAsia" w:eastAsia="方正仿宋_GBK"/>
          <w:sz w:val="32"/>
          <w:szCs w:val="32"/>
        </w:rPr>
        <w:t>同步</w:t>
      </w:r>
      <w:r>
        <w:rPr>
          <w:rFonts w:eastAsia="方正仿宋_GBK"/>
          <w:bCs/>
          <w:sz w:val="32"/>
          <w:szCs w:val="32"/>
        </w:rPr>
        <w:t>推进财政事权与支出责任、</w:t>
      </w:r>
      <w:r>
        <w:rPr>
          <w:rFonts w:eastAsia="方正仿宋_GBK"/>
          <w:sz w:val="32"/>
          <w:szCs w:val="32"/>
        </w:rPr>
        <w:t>政府财务报告、</w:t>
      </w:r>
      <w:r>
        <w:rPr>
          <w:rFonts w:hint="eastAsia" w:eastAsia="方正仿宋_GBK"/>
          <w:sz w:val="32"/>
          <w:szCs w:val="32"/>
        </w:rPr>
        <w:t>政府会计制度和</w:t>
      </w:r>
      <w:r>
        <w:rPr>
          <w:rFonts w:eastAsia="方正仿宋_GBK"/>
          <w:sz w:val="32"/>
          <w:szCs w:val="32"/>
        </w:rPr>
        <w:t>公务卡等其他改革工作。</w:t>
      </w:r>
      <w:r>
        <w:rPr>
          <w:rFonts w:hint="eastAsia" w:eastAsia="方正仿宋_GBK"/>
          <w:b/>
          <w:bCs/>
          <w:sz w:val="32"/>
          <w:szCs w:val="32"/>
        </w:rPr>
        <w:t>四</w:t>
      </w:r>
      <w:r>
        <w:rPr>
          <w:rFonts w:eastAsia="方正仿宋_GBK"/>
          <w:b/>
          <w:bCs/>
          <w:sz w:val="32"/>
          <w:szCs w:val="32"/>
        </w:rPr>
        <w:t>是</w:t>
      </w:r>
      <w:r>
        <w:rPr>
          <w:rFonts w:eastAsia="方正仿宋_GBK"/>
          <w:sz w:val="32"/>
          <w:szCs w:val="32"/>
        </w:rPr>
        <w:t>精准落实</w:t>
      </w:r>
      <w:r>
        <w:rPr>
          <w:rFonts w:hint="eastAsia" w:eastAsia="方正仿宋_GBK"/>
          <w:sz w:val="32"/>
          <w:szCs w:val="32"/>
        </w:rPr>
        <w:t>大规模减税降费政策</w:t>
      </w:r>
      <w:r>
        <w:rPr>
          <w:rFonts w:eastAsia="方正仿宋_GBK"/>
          <w:sz w:val="32"/>
          <w:szCs w:val="32"/>
        </w:rPr>
        <w:t>，确保改革红利及时释放，减轻实体经济负担，增添市场活力，促进县域经济转型升级。</w:t>
      </w:r>
    </w:p>
    <w:p>
      <w:pPr>
        <w:spacing w:line="560" w:lineRule="exact"/>
        <w:ind w:firstLine="640" w:firstLineChars="200"/>
        <w:rPr>
          <w:rFonts w:eastAsia="方正仿宋_GBK"/>
          <w:sz w:val="32"/>
          <w:szCs w:val="32"/>
        </w:rPr>
      </w:pPr>
      <w:r>
        <w:rPr>
          <w:rFonts w:hint="eastAsia" w:eastAsia="方正仿宋_GBK"/>
          <w:sz w:val="32"/>
          <w:szCs w:val="32"/>
        </w:rPr>
        <w:t>3.“调”“减”结合保重点。</w:t>
      </w:r>
      <w:r>
        <w:rPr>
          <w:rFonts w:hint="eastAsia" w:eastAsia="方正仿宋_GBK"/>
          <w:b/>
          <w:sz w:val="32"/>
          <w:szCs w:val="32"/>
        </w:rPr>
        <w:t>一是</w:t>
      </w:r>
      <w:r>
        <w:rPr>
          <w:rFonts w:eastAsia="方正仿宋_GBK"/>
          <w:sz w:val="32"/>
          <w:szCs w:val="32"/>
        </w:rPr>
        <w:t>建立重点项目分类启动机制</w:t>
      </w:r>
      <w:r>
        <w:rPr>
          <w:rFonts w:hint="eastAsia" w:eastAsia="方正仿宋_GBK"/>
          <w:sz w:val="32"/>
          <w:szCs w:val="32"/>
        </w:rPr>
        <w:t>，</w:t>
      </w:r>
      <w:r>
        <w:rPr>
          <w:rFonts w:eastAsia="方正仿宋_GBK"/>
          <w:sz w:val="32"/>
          <w:szCs w:val="32"/>
        </w:rPr>
        <w:t>按照当期可承受，未来可持续的原则，</w:t>
      </w:r>
      <w:r>
        <w:rPr>
          <w:rFonts w:hint="eastAsia" w:eastAsia="方正仿宋_GBK"/>
          <w:sz w:val="32"/>
          <w:szCs w:val="32"/>
        </w:rPr>
        <w:t>重新分析论证</w:t>
      </w:r>
      <w:r>
        <w:rPr>
          <w:rFonts w:eastAsia="方正仿宋_GBK"/>
          <w:sz w:val="32"/>
          <w:szCs w:val="32"/>
        </w:rPr>
        <w:t>重点</w:t>
      </w:r>
      <w:r>
        <w:rPr>
          <w:rFonts w:hint="eastAsia" w:eastAsia="方正仿宋_GBK"/>
          <w:sz w:val="32"/>
          <w:szCs w:val="32"/>
        </w:rPr>
        <w:t>支出</w:t>
      </w:r>
      <w:r>
        <w:rPr>
          <w:rFonts w:eastAsia="方正仿宋_GBK"/>
          <w:sz w:val="32"/>
          <w:szCs w:val="32"/>
        </w:rPr>
        <w:t>项目，优先启动</w:t>
      </w:r>
      <w:r>
        <w:rPr>
          <w:rFonts w:hint="eastAsia" w:eastAsia="方正仿宋_GBK"/>
          <w:sz w:val="32"/>
          <w:szCs w:val="32"/>
        </w:rPr>
        <w:t>落实市县重大民生政策、完成硬性考核任务及有稳定来源的</w:t>
      </w:r>
      <w:r>
        <w:rPr>
          <w:rFonts w:eastAsia="方正仿宋_GBK"/>
          <w:sz w:val="32"/>
          <w:szCs w:val="32"/>
        </w:rPr>
        <w:t>项目</w:t>
      </w:r>
      <w:r>
        <w:rPr>
          <w:rFonts w:hint="eastAsia" w:eastAsia="方正仿宋_GBK"/>
          <w:sz w:val="32"/>
          <w:szCs w:val="32"/>
        </w:rPr>
        <w:t>，减轻财政支出压力</w:t>
      </w:r>
      <w:r>
        <w:rPr>
          <w:rFonts w:eastAsia="方正仿宋_GBK"/>
          <w:sz w:val="32"/>
          <w:szCs w:val="32"/>
        </w:rPr>
        <w:t>。</w:t>
      </w:r>
      <w:r>
        <w:rPr>
          <w:rFonts w:hint="eastAsia" w:eastAsia="方正仿宋_GBK"/>
          <w:b/>
          <w:sz w:val="32"/>
          <w:szCs w:val="32"/>
        </w:rPr>
        <w:t>二是</w:t>
      </w:r>
      <w:r>
        <w:rPr>
          <w:rFonts w:hint="eastAsia" w:eastAsia="方正仿宋_GBK"/>
          <w:sz w:val="32"/>
          <w:szCs w:val="32"/>
        </w:rPr>
        <w:t>严格落实《关于进一步严格政府投资项目管理的通知》要求，切实抓好政府投资项目管理，减少建设过程中的损失浪费，降低建设成本。</w:t>
      </w:r>
      <w:r>
        <w:rPr>
          <w:rFonts w:hint="eastAsia" w:eastAsia="方正仿宋_GBK"/>
          <w:b/>
          <w:sz w:val="32"/>
          <w:szCs w:val="32"/>
        </w:rPr>
        <w:t>三是</w:t>
      </w:r>
      <w:r>
        <w:rPr>
          <w:rFonts w:hint="eastAsia" w:eastAsia="方正仿宋_GBK"/>
          <w:sz w:val="32"/>
          <w:szCs w:val="32"/>
        </w:rPr>
        <w:t>坚持集中财力办大事的管理理念，以统筹整合为举措，创新资金分配使用方式，确保各行业主管部门的专项资金集中投向脱贫攻坚、旅游发展、污染防治等重点支出领域。</w:t>
      </w:r>
      <w:r>
        <w:rPr>
          <w:rFonts w:hint="eastAsia" w:eastAsia="方正仿宋_GBK"/>
          <w:b/>
          <w:sz w:val="32"/>
          <w:szCs w:val="32"/>
        </w:rPr>
        <w:t>四是</w:t>
      </w:r>
      <w:r>
        <w:rPr>
          <w:rFonts w:hint="eastAsia" w:eastAsia="方正仿宋_GBK"/>
          <w:sz w:val="32"/>
          <w:szCs w:val="32"/>
        </w:rPr>
        <w:t>调整城市建设资金筹措方式，规范有序推进政府和社会资本合作（PPP）项目，积极吸引银行资本、民间资本参与城市基础设施建设，全力保障城市建设资金需求。</w:t>
      </w:r>
    </w:p>
    <w:p>
      <w:pPr>
        <w:spacing w:line="540" w:lineRule="exact"/>
        <w:ind w:firstLine="640" w:firstLineChars="200"/>
        <w:rPr>
          <w:rFonts w:eastAsia="方正仿宋_GBK"/>
          <w:sz w:val="32"/>
          <w:szCs w:val="32"/>
        </w:rPr>
      </w:pPr>
      <w:r>
        <w:rPr>
          <w:rFonts w:hint="eastAsia" w:eastAsia="方正仿宋_GBK"/>
          <w:sz w:val="32"/>
          <w:szCs w:val="32"/>
        </w:rPr>
        <w:t>4.“评”“用”结合提绩效。</w:t>
      </w:r>
      <w:r>
        <w:rPr>
          <w:rFonts w:hint="eastAsia" w:eastAsia="方正仿宋_GBK"/>
          <w:b/>
          <w:bCs/>
          <w:sz w:val="32"/>
          <w:szCs w:val="32"/>
        </w:rPr>
        <w:t>一是</w:t>
      </w:r>
      <w:r>
        <w:rPr>
          <w:rFonts w:hint="eastAsia" w:eastAsia="方正仿宋_GBK"/>
          <w:bCs/>
          <w:sz w:val="32"/>
          <w:szCs w:val="32"/>
        </w:rPr>
        <w:t>全面落实《关于全面实施预算绩效管理的实施意见》，持续完善全面预算绩效管理制度体系，健全评价指标体系，改善评价方式，提高评价效率</w:t>
      </w:r>
      <w:r>
        <w:rPr>
          <w:rFonts w:hint="eastAsia" w:eastAsia="方正仿宋_GBK"/>
          <w:sz w:val="32"/>
          <w:szCs w:val="32"/>
        </w:rPr>
        <w:t>。建立绩效目标与部门预算同步批复下达、绩效目标执行与预算执行“双监控”、财政政策与项目绩效评价全覆盖的工作机制。扎实推进重大政策或项目的绩效目标、绩效评价结果向同级人大报送，并随部门预决算向社会公开公示机制。</w:t>
      </w:r>
      <w:r>
        <w:rPr>
          <w:rFonts w:hint="eastAsia" w:eastAsia="方正仿宋_GBK"/>
          <w:b/>
          <w:bCs/>
          <w:sz w:val="32"/>
          <w:szCs w:val="32"/>
        </w:rPr>
        <w:t>二是</w:t>
      </w:r>
      <w:r>
        <w:rPr>
          <w:rFonts w:hint="eastAsia" w:eastAsia="方正仿宋_GBK"/>
          <w:sz w:val="32"/>
          <w:szCs w:val="32"/>
        </w:rPr>
        <w:t>深入开展绩效自评与重点评价工作。2020年在单位自评全覆盖的基础上，力争重点绩效评价覆盖面达项目资金的30%以上，启动单位整体绩效评价工作。</w:t>
      </w:r>
      <w:r>
        <w:rPr>
          <w:rFonts w:hint="eastAsia" w:eastAsia="方正仿宋_GBK"/>
          <w:b/>
          <w:bCs/>
          <w:sz w:val="32"/>
          <w:szCs w:val="32"/>
        </w:rPr>
        <w:t>三是</w:t>
      </w:r>
      <w:r>
        <w:rPr>
          <w:rFonts w:hint="eastAsia" w:eastAsia="方正仿宋_GBK"/>
          <w:bCs/>
          <w:sz w:val="32"/>
          <w:szCs w:val="32"/>
        </w:rPr>
        <w:t>强化绩效评价结果运用，</w:t>
      </w:r>
      <w:r>
        <w:rPr>
          <w:rFonts w:hint="eastAsia" w:eastAsia="方正仿宋_GBK"/>
          <w:sz w:val="32"/>
          <w:szCs w:val="32"/>
        </w:rPr>
        <w:t>将绩效评价结果作为出台重大支出政策、支出预算安排、考核项目效益的重要参考依据。坚持将绩效评价结果与支出安排挂钩，减少安排绩效偏低的支出，坚决退出无效或低效的支出。</w:t>
      </w:r>
      <w:r>
        <w:rPr>
          <w:rFonts w:hint="eastAsia" w:eastAsia="方正仿宋_GBK"/>
          <w:b/>
          <w:sz w:val="32"/>
          <w:szCs w:val="32"/>
        </w:rPr>
        <w:t>四是</w:t>
      </w:r>
      <w:r>
        <w:rPr>
          <w:rFonts w:hint="eastAsia" w:eastAsia="方正仿宋_GBK"/>
          <w:sz w:val="32"/>
          <w:szCs w:val="32"/>
        </w:rPr>
        <w:t>进一步强化“用钱必问效，效差必问责，无效必追责”的绩效管理理念，将绩效目标管理与完成情况纳入财政监督检查范围，建立追责问责机制，完善追责问责办法，压实绩效管理责任，提高资金使用效益。</w:t>
      </w:r>
    </w:p>
    <w:p>
      <w:pPr>
        <w:spacing w:line="540" w:lineRule="exact"/>
        <w:ind w:firstLine="640" w:firstLineChars="200"/>
        <w:rPr>
          <w:rFonts w:eastAsia="方正仿宋_GBK"/>
          <w:sz w:val="32"/>
          <w:szCs w:val="32"/>
        </w:rPr>
      </w:pPr>
      <w:r>
        <w:rPr>
          <w:rFonts w:hint="eastAsia" w:eastAsia="方正仿宋_GBK"/>
          <w:sz w:val="32"/>
          <w:szCs w:val="32"/>
        </w:rPr>
        <w:t>5.“压”“堵”结合防风险。</w:t>
      </w:r>
      <w:r>
        <w:rPr>
          <w:rFonts w:hint="eastAsia" w:eastAsia="方正仿宋_GBK"/>
          <w:b/>
          <w:sz w:val="32"/>
          <w:szCs w:val="32"/>
        </w:rPr>
        <w:t>一是</w:t>
      </w:r>
      <w:r>
        <w:rPr>
          <w:rFonts w:hint="eastAsia" w:eastAsia="方正仿宋_GBK"/>
          <w:sz w:val="32"/>
          <w:szCs w:val="32"/>
        </w:rPr>
        <w:t>压实债务偿还责任。2020年安排系统内政府债务付息付费支出1亿元，争取市级发行再融资债券偿还本支出0.62亿元，足额落实系统内政府债务还本付息支出保障责任。严格落实县债务领导小组审定的政府隐性债务化解方案，加大政府隐性债务化解工作的考核力度，建立政府隐性债务化解责任追究制，压实化解责任。</w:t>
      </w:r>
      <w:r>
        <w:rPr>
          <w:rFonts w:hint="eastAsia" w:eastAsia="方正仿宋_GBK"/>
          <w:b/>
          <w:sz w:val="32"/>
          <w:szCs w:val="32"/>
        </w:rPr>
        <w:t>二是</w:t>
      </w:r>
      <w:r>
        <w:rPr>
          <w:rFonts w:hint="eastAsia" w:eastAsia="方正仿宋_GBK"/>
          <w:sz w:val="32"/>
          <w:szCs w:val="32"/>
        </w:rPr>
        <w:t>建立“项目谁实施、资金谁筹集”的项目资金筹集机制，形成“资金到位率不达80%，不予审批可研，不开展预算评审，不开工建设”的闭环控制流程。强化政府投资管理，坚决遏制超标超概超预算的政府投资行为，堵死新增政府隐性债务的通道</w:t>
      </w:r>
      <w:r>
        <w:rPr>
          <w:rFonts w:hint="eastAsia" w:eastAsia="方正仿宋_GBK"/>
          <w:b/>
          <w:sz w:val="32"/>
          <w:szCs w:val="32"/>
        </w:rPr>
        <w:t>。</w:t>
      </w:r>
      <w:r>
        <w:rPr>
          <w:rFonts w:hint="eastAsia" w:eastAsia="方正仿宋_GBK"/>
          <w:sz w:val="32"/>
          <w:szCs w:val="32"/>
        </w:rPr>
        <w:t>持续完善政府隐性债务动态监管机制，严肃问责变相新增隐性债务的行为。</w:t>
      </w:r>
      <w:r>
        <w:rPr>
          <w:rFonts w:hint="eastAsia" w:eastAsia="方正仿宋_GBK"/>
          <w:b/>
          <w:sz w:val="32"/>
          <w:szCs w:val="32"/>
        </w:rPr>
        <w:t>三是</w:t>
      </w:r>
      <w:r>
        <w:rPr>
          <w:rFonts w:hint="eastAsia" w:eastAsia="方正仿宋_GBK"/>
          <w:sz w:val="32"/>
          <w:szCs w:val="32"/>
        </w:rPr>
        <w:t>建立多渠道资金筹集机制，争取打通使用专项资金偿还公益债务的渠道，加快可变现资源资产盘活力度，创新市场化融资资金方式，切实提高还本付息资金筹集能力。</w:t>
      </w:r>
      <w:r>
        <w:rPr>
          <w:rFonts w:hint="eastAsia" w:eastAsia="方正仿宋_GBK"/>
          <w:b/>
          <w:sz w:val="32"/>
          <w:szCs w:val="32"/>
        </w:rPr>
        <w:t>四是</w:t>
      </w:r>
      <w:r>
        <w:rPr>
          <w:rFonts w:hint="eastAsia" w:eastAsia="方正仿宋_GBK"/>
          <w:sz w:val="32"/>
          <w:szCs w:val="32"/>
        </w:rPr>
        <w:t>切实推进各级审计、巡视巡察问题整改，持续抓好内控制度建设，扎实履行财政监督职能，完善内部审计监督机制，强化规矩意识，严格国库库款管理，提高库款调度能力，切实防范财政经济运行风险。</w:t>
      </w:r>
    </w:p>
    <w:p>
      <w:pPr>
        <w:spacing w:line="560" w:lineRule="exact"/>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70209"/>
      <w:docPartObj>
        <w:docPartGallery w:val="autotext"/>
      </w:docPartObj>
    </w:sdtPr>
    <w:sdtContent>
      <w:p>
        <w:pPr>
          <w:pStyle w:val="5"/>
          <w:jc w:val="right"/>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15 -</w:t>
        </w:r>
        <w:r>
          <w:rPr>
            <w:sz w:val="24"/>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183717"/>
      <w:docPartObj>
        <w:docPartGallery w:val="autotext"/>
      </w:docPartObj>
    </w:sdtPr>
    <w:sdtEndPr>
      <w:rPr>
        <w:sz w:val="24"/>
      </w:rPr>
    </w:sdtEndPr>
    <w:sdtContent>
      <w:p>
        <w:pPr>
          <w:pStyle w:val="5"/>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14 -</w:t>
        </w:r>
        <w:r>
          <w:rPr>
            <w:sz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88214"/>
    <w:multiLevelType w:val="singleLevel"/>
    <w:tmpl w:val="A39882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4F"/>
    <w:rsid w:val="00023D0B"/>
    <w:rsid w:val="00070BCB"/>
    <w:rsid w:val="00073CA5"/>
    <w:rsid w:val="00076756"/>
    <w:rsid w:val="000A455B"/>
    <w:rsid w:val="000A6FCE"/>
    <w:rsid w:val="000B0BB3"/>
    <w:rsid w:val="000D5418"/>
    <w:rsid w:val="000D679B"/>
    <w:rsid w:val="000D7D3C"/>
    <w:rsid w:val="000F34B0"/>
    <w:rsid w:val="00125B0E"/>
    <w:rsid w:val="001423AA"/>
    <w:rsid w:val="001465FC"/>
    <w:rsid w:val="00146D77"/>
    <w:rsid w:val="001531C5"/>
    <w:rsid w:val="001B6799"/>
    <w:rsid w:val="001D044F"/>
    <w:rsid w:val="001F3822"/>
    <w:rsid w:val="002016A1"/>
    <w:rsid w:val="00217EFD"/>
    <w:rsid w:val="0024273C"/>
    <w:rsid w:val="00244C27"/>
    <w:rsid w:val="00251BFF"/>
    <w:rsid w:val="002673F1"/>
    <w:rsid w:val="00281075"/>
    <w:rsid w:val="002A01AD"/>
    <w:rsid w:val="002A48E7"/>
    <w:rsid w:val="002C5157"/>
    <w:rsid w:val="002F462A"/>
    <w:rsid w:val="00307F5A"/>
    <w:rsid w:val="0032161E"/>
    <w:rsid w:val="00323343"/>
    <w:rsid w:val="00331242"/>
    <w:rsid w:val="00334D88"/>
    <w:rsid w:val="00355255"/>
    <w:rsid w:val="003627D6"/>
    <w:rsid w:val="0039145A"/>
    <w:rsid w:val="003A33C3"/>
    <w:rsid w:val="003D2F66"/>
    <w:rsid w:val="003D6847"/>
    <w:rsid w:val="003E1FE9"/>
    <w:rsid w:val="003E352A"/>
    <w:rsid w:val="003E56AB"/>
    <w:rsid w:val="003F11D9"/>
    <w:rsid w:val="00402FFA"/>
    <w:rsid w:val="00411000"/>
    <w:rsid w:val="00411503"/>
    <w:rsid w:val="00413871"/>
    <w:rsid w:val="0041420E"/>
    <w:rsid w:val="00424A0D"/>
    <w:rsid w:val="00442E9B"/>
    <w:rsid w:val="0044440E"/>
    <w:rsid w:val="0044615C"/>
    <w:rsid w:val="00485CD5"/>
    <w:rsid w:val="0049044F"/>
    <w:rsid w:val="004F7A4E"/>
    <w:rsid w:val="0051135E"/>
    <w:rsid w:val="005168E3"/>
    <w:rsid w:val="005474B5"/>
    <w:rsid w:val="00557E52"/>
    <w:rsid w:val="005C4CE8"/>
    <w:rsid w:val="005F0979"/>
    <w:rsid w:val="00600CE9"/>
    <w:rsid w:val="00604F31"/>
    <w:rsid w:val="006262ED"/>
    <w:rsid w:val="00630062"/>
    <w:rsid w:val="006355CF"/>
    <w:rsid w:val="00664996"/>
    <w:rsid w:val="00664C3D"/>
    <w:rsid w:val="006732DE"/>
    <w:rsid w:val="00695715"/>
    <w:rsid w:val="006B1C00"/>
    <w:rsid w:val="006C3D3A"/>
    <w:rsid w:val="00703002"/>
    <w:rsid w:val="007241BE"/>
    <w:rsid w:val="00725042"/>
    <w:rsid w:val="0076320D"/>
    <w:rsid w:val="00764B28"/>
    <w:rsid w:val="00767004"/>
    <w:rsid w:val="00781617"/>
    <w:rsid w:val="007B2042"/>
    <w:rsid w:val="007B7BAE"/>
    <w:rsid w:val="00806147"/>
    <w:rsid w:val="00835365"/>
    <w:rsid w:val="008416DD"/>
    <w:rsid w:val="00845EAF"/>
    <w:rsid w:val="00847B84"/>
    <w:rsid w:val="0087336C"/>
    <w:rsid w:val="0087762F"/>
    <w:rsid w:val="008A71CB"/>
    <w:rsid w:val="008B3EBF"/>
    <w:rsid w:val="008C24B2"/>
    <w:rsid w:val="008D3A72"/>
    <w:rsid w:val="0090116E"/>
    <w:rsid w:val="009143C9"/>
    <w:rsid w:val="00935097"/>
    <w:rsid w:val="009378A1"/>
    <w:rsid w:val="00965BA1"/>
    <w:rsid w:val="00970345"/>
    <w:rsid w:val="00997D2E"/>
    <w:rsid w:val="009D0463"/>
    <w:rsid w:val="009D464F"/>
    <w:rsid w:val="009E1D43"/>
    <w:rsid w:val="009E5A89"/>
    <w:rsid w:val="00A05411"/>
    <w:rsid w:val="00A065EC"/>
    <w:rsid w:val="00A2230B"/>
    <w:rsid w:val="00A37439"/>
    <w:rsid w:val="00A7313E"/>
    <w:rsid w:val="00AA53C5"/>
    <w:rsid w:val="00AA71A2"/>
    <w:rsid w:val="00AB31CE"/>
    <w:rsid w:val="00AB53C0"/>
    <w:rsid w:val="00AC3B62"/>
    <w:rsid w:val="00AE65E8"/>
    <w:rsid w:val="00AF01FA"/>
    <w:rsid w:val="00B279CA"/>
    <w:rsid w:val="00B35D62"/>
    <w:rsid w:val="00B558CC"/>
    <w:rsid w:val="00B62AAF"/>
    <w:rsid w:val="00B867D6"/>
    <w:rsid w:val="00B92112"/>
    <w:rsid w:val="00BC2C9C"/>
    <w:rsid w:val="00BF0FD2"/>
    <w:rsid w:val="00CB2178"/>
    <w:rsid w:val="00CF6EF8"/>
    <w:rsid w:val="00D106D5"/>
    <w:rsid w:val="00D44249"/>
    <w:rsid w:val="00DC712B"/>
    <w:rsid w:val="00E1346A"/>
    <w:rsid w:val="00E202D8"/>
    <w:rsid w:val="00E251DD"/>
    <w:rsid w:val="00E33339"/>
    <w:rsid w:val="00E607D1"/>
    <w:rsid w:val="00E72A39"/>
    <w:rsid w:val="00E900FC"/>
    <w:rsid w:val="00E95DF6"/>
    <w:rsid w:val="00EA7576"/>
    <w:rsid w:val="00ED1389"/>
    <w:rsid w:val="00EF40DD"/>
    <w:rsid w:val="00F025B3"/>
    <w:rsid w:val="00F6336D"/>
    <w:rsid w:val="00F97141"/>
    <w:rsid w:val="00FA33AC"/>
    <w:rsid w:val="00FA4C32"/>
    <w:rsid w:val="00FD74A8"/>
    <w:rsid w:val="00FE5E15"/>
    <w:rsid w:val="00FF6B7F"/>
    <w:rsid w:val="69B52AE2"/>
    <w:rsid w:val="6D8C7FB8"/>
    <w:rsid w:val="6E63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rPr>
      <w:rFonts w:asciiTheme="minorHAnsi" w:hAnsiTheme="minorHAnsi" w:eastAsiaTheme="minorEastAsia" w:cstheme="minorBidi"/>
      <w:szCs w:val="22"/>
    </w:rPr>
  </w:style>
  <w:style w:type="paragraph" w:styleId="3">
    <w:name w:val="Body Text"/>
    <w:basedOn w:val="1"/>
    <w:link w:val="10"/>
    <w:qFormat/>
    <w:uiPriority w:val="0"/>
    <w:pPr>
      <w:jc w:val="center"/>
    </w:pPr>
    <w:rPr>
      <w:rFonts w:ascii="华文中宋" w:eastAsia="华文中宋"/>
      <w:b/>
      <w:bCs/>
      <w:sz w:val="44"/>
    </w:rPr>
  </w:style>
  <w:style w:type="paragraph" w:styleId="4">
    <w:name w:val="Balloon Text"/>
    <w:basedOn w:val="1"/>
    <w:link w:val="13"/>
    <w:semiHidden/>
    <w:unhideWhenUsed/>
    <w:qFormat/>
    <w:uiPriority w:val="99"/>
    <w:rPr>
      <w:rFonts w:asciiTheme="minorHAnsi" w:hAnsiTheme="minorHAnsi" w:eastAsiaTheme="minorEastAsia" w:cstheme="minorBidi"/>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customStyle="1" w:styleId="10">
    <w:name w:val="正文文本 Char"/>
    <w:basedOn w:val="9"/>
    <w:link w:val="3"/>
    <w:qFormat/>
    <w:uiPriority w:val="0"/>
    <w:rPr>
      <w:rFonts w:ascii="华文中宋" w:hAnsi="Times New Roman" w:eastAsia="华文中宋" w:cs="Times New Roman"/>
      <w:b/>
      <w:bCs/>
      <w:sz w:val="44"/>
      <w:szCs w:val="24"/>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22</Pages>
  <Words>1863</Words>
  <Characters>10625</Characters>
  <Lines>88</Lines>
  <Paragraphs>24</Paragraphs>
  <TotalTime>488</TotalTime>
  <ScaleCrop>false</ScaleCrop>
  <LinksUpToDate>false</LinksUpToDate>
  <CharactersWithSpaces>12464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2019-12-31T03:54:00Z</dcterms:created>
  <dc:creator>姚玲</dc:creator>
  <cp:lastModifiedBy>Administrator</cp:lastModifiedBy>
  <dcterms:modified xsi:type="dcterms:W3CDTF">2025-09-28T10:39:57Z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290217C5ABD54F5CB5E6F31995B50371</vt:lpwstr>
  </property>
</Properties>
</file>