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993"/>
          <w:tab w:val="left" w:pos="1276"/>
          <w:tab w:val="left" w:pos="2127"/>
        </w:tabs>
        <w:spacing w:line="600" w:lineRule="exact"/>
        <w:rPr>
          <w:rFonts w:hint="eastAsia" w:ascii="方正楷体_GBK" w:hAnsi="方正小标宋_GBK" w:eastAsia="方正楷体_GBK" w:cs="方正小标宋_GBK"/>
          <w:sz w:val="32"/>
          <w:szCs w:val="32"/>
        </w:rPr>
      </w:pPr>
      <w:r>
        <w:rPr>
          <w:rFonts w:hint="eastAsia" w:ascii="方正楷体_GBK" w:hAnsi="方正小标宋_GBK" w:eastAsia="方正楷体_GBK" w:cs="方正小标宋_GBK"/>
          <w:sz w:val="32"/>
          <w:szCs w:val="32"/>
        </w:rPr>
        <w:t>治平乡十八届人大</w:t>
      </w:r>
      <w:r>
        <w:rPr>
          <w:rFonts w:hint="eastAsia" w:ascii="方正楷体_GBK" w:hAnsi="方正小标宋_GBK" w:eastAsia="方正楷体_GBK" w:cs="方正小标宋_GBK"/>
          <w:sz w:val="32"/>
          <w:szCs w:val="32"/>
          <w:lang w:eastAsia="zh-CN"/>
        </w:rPr>
        <w:t>八</w:t>
      </w:r>
      <w:r>
        <w:rPr>
          <w:rFonts w:hint="eastAsia" w:ascii="方正楷体_GBK" w:hAnsi="方正小标宋_GBK" w:eastAsia="方正楷体_GBK" w:cs="方正小标宋_GBK"/>
          <w:sz w:val="32"/>
          <w:szCs w:val="32"/>
        </w:rPr>
        <w:t>次会议</w:t>
      </w:r>
    </w:p>
    <w:p>
      <w:pPr>
        <w:tabs>
          <w:tab w:val="left" w:pos="993"/>
          <w:tab w:val="left" w:pos="1276"/>
          <w:tab w:val="left" w:pos="2127"/>
        </w:tabs>
        <w:spacing w:line="600" w:lineRule="exact"/>
        <w:rPr>
          <w:rFonts w:hint="eastAsia" w:ascii="方正小标宋_GBK" w:hAnsi="方正小标宋_GBK" w:eastAsia="方正小标宋_GBK" w:cs="方正小标宋_GBK"/>
          <w:sz w:val="44"/>
          <w:szCs w:val="44"/>
        </w:rPr>
      </w:pPr>
      <w:r>
        <w:rPr>
          <w:rFonts w:hint="eastAsia" w:ascii="方正楷体_GBK" w:hAnsi="方正小标宋_GBK" w:eastAsia="方正楷体_GBK" w:cs="方正小标宋_GBK"/>
          <w:sz w:val="32"/>
          <w:szCs w:val="32"/>
        </w:rPr>
        <w:t>文    件         （</w:t>
      </w:r>
      <w:r>
        <w:rPr>
          <w:rFonts w:hint="eastAsia" w:ascii="方正楷体_GBK" w:hAnsi="方正小标宋_GBK" w:eastAsia="方正楷体_GBK" w:cs="方正小标宋_GBK"/>
          <w:sz w:val="32"/>
          <w:szCs w:val="32"/>
          <w:lang w:eastAsia="zh-CN"/>
        </w:rPr>
        <w:t>十七</w:t>
      </w:r>
      <w:r>
        <w:rPr>
          <w:rFonts w:hint="eastAsia" w:ascii="方正楷体_GBK" w:hAnsi="方正小标宋_GBK" w:eastAsia="方正楷体_GBK" w:cs="方正小标宋_GBK"/>
          <w:sz w:val="32"/>
          <w:szCs w:val="32"/>
        </w:rPr>
        <w:t>）</w:t>
      </w:r>
    </w:p>
    <w:p>
      <w:pPr>
        <w:spacing w:line="576" w:lineRule="exact"/>
        <w:jc w:val="both"/>
        <w:rPr>
          <w:rFonts w:hint="eastAsia" w:ascii="方正小标宋_GBK" w:eastAsia="方正小标宋_GBK"/>
          <w:color w:val="000000"/>
          <w:sz w:val="44"/>
          <w:szCs w:val="44"/>
        </w:rPr>
      </w:pPr>
    </w:p>
    <w:p>
      <w:pPr>
        <w:spacing w:line="600" w:lineRule="exact"/>
        <w:jc w:val="center"/>
        <w:rPr>
          <w:rFonts w:hint="eastAsia" w:ascii="方正小标宋_GBK" w:hAnsi="方正小标宋_GBK" w:eastAsia="方正小标宋_GBK" w:cs="方正小标宋_GBK"/>
          <w:sz w:val="44"/>
          <w:szCs w:val="44"/>
          <w:lang w:val="en-US" w:eastAsia="zh-CN"/>
        </w:rPr>
      </w:pPr>
    </w:p>
    <w:p>
      <w:pPr>
        <w:spacing w:line="600" w:lineRule="exact"/>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城口县治平乡人民政府</w:t>
      </w:r>
    </w:p>
    <w:p>
      <w:pPr>
        <w:spacing w:line="600" w:lineRule="exact"/>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2019年财政预算执行情况和2020年财政预算</w:t>
      </w:r>
    </w:p>
    <w:p>
      <w:pPr>
        <w:spacing w:line="600" w:lineRule="exact"/>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 xml:space="preserve">（草案）的报告   </w:t>
      </w:r>
    </w:p>
    <w:p>
      <w:pPr>
        <w:jc w:val="center"/>
        <w:rPr>
          <w:rFonts w:hint="eastAsia" w:eastAsia="方正楷体_GBK"/>
          <w:sz w:val="32"/>
          <w:szCs w:val="32"/>
        </w:rPr>
      </w:pPr>
      <w:r>
        <w:rPr>
          <w:rFonts w:hint="eastAsia" w:eastAsia="方正楷体_GBK"/>
          <w:sz w:val="32"/>
          <w:szCs w:val="32"/>
        </w:rPr>
        <w:t>-2020年4月10日在治平乡第十八届人民代表大会第八次</w:t>
      </w:r>
    </w:p>
    <w:p>
      <w:pPr>
        <w:jc w:val="center"/>
        <w:rPr>
          <w:rFonts w:hint="eastAsia" w:ascii="方正楷体_GBK" w:hAnsi="方正楷体_GBK" w:eastAsia="方正楷体_GBK" w:cs="方正楷体_GBK"/>
          <w:sz w:val="32"/>
          <w:szCs w:val="32"/>
          <w:lang w:val="en-US" w:eastAsia="zh-CN"/>
        </w:rPr>
      </w:pPr>
      <w:r>
        <w:rPr>
          <w:rFonts w:hint="eastAsia" w:eastAsia="方正楷体_GBK"/>
          <w:sz w:val="32"/>
          <w:szCs w:val="32"/>
        </w:rPr>
        <w:t>会议第一次全体会议上</w:t>
      </w:r>
      <w:r>
        <w:rPr>
          <w:rFonts w:hint="eastAsia" w:ascii="方正楷体_GBK" w:hAnsi="方正楷体_GBK" w:eastAsia="方正楷体_GBK" w:cs="方正楷体_GBK"/>
          <w:sz w:val="32"/>
          <w:szCs w:val="32"/>
          <w:lang w:val="en-US" w:eastAsia="zh-CN"/>
        </w:rPr>
        <w:t xml:space="preserve">          </w:t>
      </w:r>
    </w:p>
    <w:p>
      <w:pPr>
        <w:jc w:val="center"/>
        <w:rPr>
          <w:rFonts w:hint="default" w:ascii="方正楷体_GBK" w:hAnsi="方正楷体_GBK" w:eastAsia="方正楷体_GBK" w:cs="方正楷体_GBK"/>
          <w:sz w:val="32"/>
          <w:szCs w:val="32"/>
          <w:lang w:val="en-US" w:eastAsia="zh-CN"/>
        </w:rPr>
      </w:pPr>
      <w:r>
        <w:rPr>
          <w:rFonts w:hint="eastAsia" w:ascii="方正楷体_GBK" w:hAnsi="方正楷体_GBK" w:eastAsia="方正楷体_GBK" w:cs="方正楷体_GBK"/>
          <w:sz w:val="32"/>
          <w:szCs w:val="32"/>
          <w:lang w:val="en-US" w:eastAsia="zh-CN"/>
        </w:rPr>
        <w:t xml:space="preserve"> 乡人民政府副乡长  肖仁富</w:t>
      </w:r>
    </w:p>
    <w:p>
      <w:pPr>
        <w:spacing w:line="576" w:lineRule="exact"/>
        <w:jc w:val="left"/>
        <w:rPr>
          <w:rFonts w:hint="eastAsia" w:ascii="方正仿宋_GBK" w:eastAsia="方正仿宋_GBK"/>
          <w:color w:val="000000"/>
          <w:szCs w:val="32"/>
        </w:rPr>
      </w:pPr>
      <w:r>
        <w:rPr>
          <w:rFonts w:hint="eastAsia" w:ascii="方正仿宋_GBK" w:eastAsia="方正仿宋_GBK"/>
          <w:b/>
          <w:bCs/>
          <w:color w:val="000000"/>
          <w:szCs w:val="32"/>
        </w:rPr>
        <w:t>各位代表：</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受乡人民政府委托，</w:t>
      </w:r>
      <w:r>
        <w:rPr>
          <w:rFonts w:hint="eastAsia" w:ascii="Times New Roman" w:hAnsi="Times New Roman" w:eastAsia="方正仿宋_GBK" w:cs="Times New Roman"/>
          <w:sz w:val="32"/>
          <w:szCs w:val="32"/>
          <w:lang w:eastAsia="zh-CN"/>
        </w:rPr>
        <w:t>现将治平乡2019年预算执行情况和2020年预算草案的报告提请</w:t>
      </w:r>
      <w:r>
        <w:rPr>
          <w:rFonts w:hint="eastAsia" w:ascii="Times New Roman" w:hAnsi="Times New Roman" w:eastAsia="方正仿宋_GBK" w:cs="Times New Roman"/>
          <w:sz w:val="32"/>
          <w:szCs w:val="32"/>
        </w:rPr>
        <w:t>乡第十八届人民代表大会第八次会议审议，并请</w:t>
      </w:r>
      <w:r>
        <w:rPr>
          <w:rFonts w:hint="eastAsia" w:ascii="Times New Roman" w:hAnsi="Times New Roman" w:eastAsia="方正仿宋_GBK" w:cs="Times New Roman"/>
          <w:sz w:val="32"/>
          <w:szCs w:val="32"/>
          <w:lang w:eastAsia="zh-CN"/>
        </w:rPr>
        <w:t>乡人大代表</w:t>
      </w:r>
      <w:r>
        <w:rPr>
          <w:rFonts w:hint="eastAsia" w:ascii="Times New Roman" w:hAnsi="Times New Roman" w:eastAsia="方正仿宋_GBK" w:cs="Times New Roman"/>
          <w:sz w:val="32"/>
          <w:szCs w:val="32"/>
        </w:rPr>
        <w:t>和列席人员提出意见。</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黑体_GBK" w:eastAsia="方正黑体_GBK"/>
          <w:color w:val="000000"/>
          <w:szCs w:val="32"/>
        </w:rPr>
      </w:pPr>
      <w:r>
        <w:rPr>
          <w:rFonts w:hint="eastAsia" w:ascii="方正黑体_GBK" w:eastAsia="方正黑体_GBK"/>
          <w:color w:val="000000"/>
          <w:szCs w:val="32"/>
        </w:rPr>
        <w:t>一、201</w:t>
      </w:r>
      <w:r>
        <w:rPr>
          <w:rFonts w:hint="eastAsia" w:ascii="方正黑体_GBK" w:eastAsia="方正黑体_GBK"/>
          <w:color w:val="000000"/>
          <w:szCs w:val="32"/>
          <w:lang w:val="en-US" w:eastAsia="zh-CN"/>
        </w:rPr>
        <w:t>9</w:t>
      </w:r>
      <w:r>
        <w:rPr>
          <w:rFonts w:hint="eastAsia" w:ascii="方正黑体_GBK" w:eastAsia="方正黑体_GBK"/>
          <w:color w:val="000000"/>
          <w:szCs w:val="32"/>
        </w:rPr>
        <w:t>年财政预算执行情况</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过去的一年，面对财源基础薄和突出的收支矛盾，我乡在在县委县政府的坚强领导下，</w:t>
      </w:r>
      <w:r>
        <w:rPr>
          <w:rFonts w:hint="eastAsia" w:ascii="Times New Roman" w:hAnsi="Times New Roman" w:eastAsia="方正仿宋_GBK" w:cs="Times New Roman"/>
          <w:sz w:val="32"/>
          <w:szCs w:val="32"/>
          <w:lang w:val="en-US" w:eastAsia="zh-CN"/>
        </w:rPr>
        <w:t>坚持稳中求进工作总基调，落实高质量发展要求，</w:t>
      </w:r>
      <w:r>
        <w:rPr>
          <w:rFonts w:hint="eastAsia" w:ascii="Times New Roman" w:hAnsi="Times New Roman" w:eastAsia="方正仿宋_GBK" w:cs="Times New Roman"/>
          <w:sz w:val="32"/>
          <w:szCs w:val="32"/>
          <w:lang w:eastAsia="zh-CN"/>
        </w:rPr>
        <w:t>统筹推动稳增长、惠民生、保稳定各项工作，较好完成了我乡201</w:t>
      </w:r>
      <w:r>
        <w:rPr>
          <w:rFonts w:hint="eastAsia" w:ascii="Times New Roman" w:hAnsi="Times New Roman" w:eastAsia="方正仿宋_GBK" w:cs="Times New Roman"/>
          <w:sz w:val="32"/>
          <w:szCs w:val="32"/>
          <w:lang w:val="en-US" w:eastAsia="zh-CN"/>
        </w:rPr>
        <w:t>9</w:t>
      </w:r>
      <w:r>
        <w:rPr>
          <w:rFonts w:hint="eastAsia" w:ascii="Times New Roman" w:hAnsi="Times New Roman" w:eastAsia="方正仿宋_GBK" w:cs="Times New Roman"/>
          <w:sz w:val="32"/>
          <w:szCs w:val="32"/>
          <w:lang w:eastAsia="zh-CN"/>
        </w:rPr>
        <w:t>年预算收支和各项财政工作任务，</w:t>
      </w:r>
      <w:r>
        <w:rPr>
          <w:rFonts w:hint="eastAsia" w:ascii="Times New Roman" w:hAnsi="Times New Roman" w:eastAsia="方正仿宋_GBK" w:cs="Times New Roman"/>
          <w:sz w:val="32"/>
          <w:szCs w:val="32"/>
          <w:lang w:val="en-US" w:eastAsia="zh-CN"/>
        </w:rPr>
        <w:t>保持了全乡经济平稳健康发展。</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楷体_GBK" w:eastAsia="方正楷体_GBK"/>
          <w:b w:val="0"/>
          <w:bCs/>
          <w:color w:val="000000"/>
          <w:szCs w:val="32"/>
        </w:rPr>
      </w:pPr>
      <w:r>
        <w:rPr>
          <w:rFonts w:hint="eastAsia" w:ascii="方正楷体_GBK" w:eastAsia="方正楷体_GBK"/>
          <w:b w:val="0"/>
          <w:bCs/>
          <w:color w:val="000000"/>
          <w:szCs w:val="32"/>
        </w:rPr>
        <w:t>（一）201</w:t>
      </w:r>
      <w:r>
        <w:rPr>
          <w:rFonts w:hint="eastAsia" w:ascii="方正楷体_GBK" w:eastAsia="方正楷体_GBK"/>
          <w:b w:val="0"/>
          <w:bCs/>
          <w:color w:val="000000"/>
          <w:szCs w:val="32"/>
          <w:lang w:val="en-US" w:eastAsia="zh-CN"/>
        </w:rPr>
        <w:t>9</w:t>
      </w:r>
      <w:r>
        <w:rPr>
          <w:rFonts w:hint="eastAsia" w:ascii="方正楷体_GBK" w:eastAsia="方正楷体_GBK"/>
          <w:b w:val="0"/>
          <w:bCs/>
          <w:color w:val="000000"/>
          <w:szCs w:val="32"/>
        </w:rPr>
        <w:t>年财政收入情况</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201</w:t>
      </w:r>
      <w:r>
        <w:rPr>
          <w:rFonts w:hint="eastAsia" w:ascii="Times New Roman" w:hAnsi="Times New Roman" w:eastAsia="方正仿宋_GBK" w:cs="Times New Roman"/>
          <w:sz w:val="32"/>
          <w:szCs w:val="32"/>
          <w:lang w:val="en-US" w:eastAsia="zh-CN"/>
        </w:rPr>
        <w:t>9</w:t>
      </w:r>
      <w:r>
        <w:rPr>
          <w:rFonts w:hint="eastAsia" w:ascii="Times New Roman" w:hAnsi="Times New Roman" w:eastAsia="方正仿宋_GBK" w:cs="Times New Roman"/>
          <w:sz w:val="32"/>
          <w:szCs w:val="32"/>
          <w:lang w:eastAsia="zh-CN"/>
        </w:rPr>
        <w:t>年全乡财政拨款收入共计</w:t>
      </w:r>
      <w:r>
        <w:rPr>
          <w:rFonts w:hint="eastAsia" w:ascii="Times New Roman" w:hAnsi="Times New Roman" w:eastAsia="方正仿宋_GBK" w:cs="Times New Roman"/>
          <w:sz w:val="32"/>
          <w:szCs w:val="32"/>
          <w:lang w:val="en-US" w:eastAsia="zh-CN"/>
        </w:rPr>
        <w:t>2307.37</w:t>
      </w:r>
      <w:r>
        <w:rPr>
          <w:rFonts w:hint="eastAsia" w:ascii="Times New Roman" w:hAnsi="Times New Roman" w:eastAsia="方正仿宋_GBK" w:cs="Times New Roman"/>
          <w:sz w:val="32"/>
          <w:szCs w:val="32"/>
          <w:lang w:eastAsia="zh-CN"/>
        </w:rPr>
        <w:t>万元。分别是：</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1</w:t>
      </w:r>
      <w:r>
        <w:rPr>
          <w:rFonts w:hint="eastAsia" w:eastAsia="方正仿宋_GBK" w:cs="Times New Roman"/>
          <w:sz w:val="32"/>
          <w:szCs w:val="32"/>
          <w:lang w:val="en-US" w:eastAsia="zh-CN"/>
        </w:rPr>
        <w:t>.</w:t>
      </w:r>
      <w:r>
        <w:rPr>
          <w:rFonts w:hint="eastAsia" w:ascii="Times New Roman" w:hAnsi="Times New Roman" w:eastAsia="方正仿宋_GBK" w:cs="Times New Roman"/>
          <w:sz w:val="32"/>
          <w:szCs w:val="32"/>
          <w:lang w:eastAsia="zh-CN"/>
        </w:rPr>
        <w:t>上年结转结余</w:t>
      </w:r>
      <w:r>
        <w:rPr>
          <w:rFonts w:hint="eastAsia" w:ascii="Times New Roman" w:hAnsi="Times New Roman" w:eastAsia="方正仿宋_GBK" w:cs="Times New Roman"/>
          <w:sz w:val="32"/>
          <w:szCs w:val="32"/>
          <w:lang w:val="en-US" w:eastAsia="zh-CN"/>
        </w:rPr>
        <w:t>168.32</w:t>
      </w:r>
      <w:r>
        <w:rPr>
          <w:rFonts w:hint="eastAsia" w:ascii="Times New Roman" w:hAnsi="Times New Roman" w:eastAsia="方正仿宋_GBK" w:cs="Times New Roman"/>
          <w:sz w:val="32"/>
          <w:szCs w:val="32"/>
          <w:lang w:eastAsia="zh-CN"/>
        </w:rPr>
        <w:t>万元。</w:t>
      </w:r>
      <w:r>
        <w:rPr>
          <w:rFonts w:hint="eastAsia" w:ascii="Times New Roman" w:hAnsi="Times New Roman" w:eastAsia="方正仿宋_GBK" w:cs="Times New Roman"/>
          <w:sz w:val="32"/>
          <w:szCs w:val="32"/>
          <w:lang w:eastAsia="zh-CN"/>
        </w:rPr>
        <w:tab/>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2</w:t>
      </w:r>
      <w:r>
        <w:rPr>
          <w:rFonts w:hint="eastAsia" w:eastAsia="方正仿宋_GBK" w:cs="Times New Roman"/>
          <w:sz w:val="32"/>
          <w:szCs w:val="32"/>
          <w:lang w:val="en-US" w:eastAsia="zh-CN"/>
        </w:rPr>
        <w:t>.</w:t>
      </w:r>
      <w:r>
        <w:rPr>
          <w:rFonts w:hint="eastAsia" w:ascii="Times New Roman" w:hAnsi="Times New Roman" w:eastAsia="方正仿宋_GBK" w:cs="Times New Roman"/>
          <w:sz w:val="32"/>
          <w:szCs w:val="32"/>
          <w:lang w:eastAsia="zh-CN"/>
        </w:rPr>
        <w:t>一般预算收入</w:t>
      </w:r>
      <w:r>
        <w:rPr>
          <w:rFonts w:hint="eastAsia" w:ascii="Times New Roman" w:hAnsi="Times New Roman" w:eastAsia="方正仿宋_GBK" w:cs="Times New Roman"/>
          <w:sz w:val="32"/>
          <w:szCs w:val="32"/>
          <w:lang w:val="en-US" w:eastAsia="zh-CN"/>
        </w:rPr>
        <w:t>802.61</w:t>
      </w:r>
      <w:r>
        <w:rPr>
          <w:rFonts w:hint="eastAsia" w:ascii="Times New Roman" w:hAnsi="Times New Roman" w:eastAsia="方正仿宋_GBK" w:cs="Times New Roman"/>
          <w:sz w:val="32"/>
          <w:szCs w:val="32"/>
          <w:lang w:eastAsia="zh-CN"/>
        </w:rPr>
        <w:t>万元，其中：年初预算收入</w:t>
      </w:r>
      <w:r>
        <w:rPr>
          <w:rFonts w:hint="eastAsia" w:ascii="Times New Roman" w:hAnsi="Times New Roman" w:eastAsia="方正仿宋_GBK" w:cs="Times New Roman"/>
          <w:sz w:val="32"/>
          <w:szCs w:val="32"/>
          <w:lang w:val="en-US" w:eastAsia="zh-CN"/>
        </w:rPr>
        <w:t>542.07</w:t>
      </w:r>
      <w:r>
        <w:rPr>
          <w:rFonts w:hint="eastAsia" w:ascii="Times New Roman" w:hAnsi="Times New Roman" w:eastAsia="方正仿宋_GBK" w:cs="Times New Roman"/>
          <w:sz w:val="32"/>
          <w:szCs w:val="32"/>
          <w:lang w:eastAsia="zh-CN"/>
        </w:rPr>
        <w:t>万元，调整预算收入</w:t>
      </w:r>
      <w:r>
        <w:rPr>
          <w:rFonts w:hint="eastAsia" w:ascii="Times New Roman" w:hAnsi="Times New Roman" w:eastAsia="方正仿宋_GBK" w:cs="Times New Roman"/>
          <w:sz w:val="32"/>
          <w:szCs w:val="32"/>
          <w:lang w:val="en-US" w:eastAsia="zh-CN"/>
        </w:rPr>
        <w:t>260.54</w:t>
      </w:r>
      <w:r>
        <w:rPr>
          <w:rFonts w:hint="eastAsia" w:ascii="Times New Roman" w:hAnsi="Times New Roman" w:eastAsia="方正仿宋_GBK" w:cs="Times New Roman"/>
          <w:sz w:val="32"/>
          <w:szCs w:val="32"/>
          <w:lang w:eastAsia="zh-CN"/>
        </w:rPr>
        <w:t>万元。</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方正仿宋_GBK" w:eastAsia="方正仿宋_GBK"/>
          <w:sz w:val="32"/>
          <w:szCs w:val="32"/>
        </w:rPr>
      </w:pPr>
      <w:r>
        <w:rPr>
          <w:rFonts w:hint="eastAsia" w:ascii="Times New Roman" w:hAnsi="Times New Roman" w:eastAsia="方正仿宋_GBK" w:cs="Times New Roman"/>
          <w:sz w:val="32"/>
          <w:szCs w:val="32"/>
          <w:lang w:eastAsia="zh-CN"/>
        </w:rPr>
        <w:t>3</w:t>
      </w:r>
      <w:r>
        <w:rPr>
          <w:rFonts w:hint="eastAsia" w:eastAsia="方正仿宋_GBK" w:cs="Times New Roman"/>
          <w:sz w:val="32"/>
          <w:szCs w:val="32"/>
          <w:lang w:val="en-US" w:eastAsia="zh-CN"/>
        </w:rPr>
        <w:t>.</w:t>
      </w:r>
      <w:r>
        <w:rPr>
          <w:rFonts w:hint="eastAsia" w:ascii="Times New Roman" w:hAnsi="Times New Roman" w:eastAsia="方正仿宋_GBK" w:cs="Times New Roman"/>
          <w:sz w:val="32"/>
          <w:szCs w:val="32"/>
          <w:lang w:eastAsia="zh-CN"/>
        </w:rPr>
        <w:t>项目收入下达资金</w:t>
      </w:r>
      <w:r>
        <w:rPr>
          <w:rFonts w:hint="eastAsia" w:ascii="Times New Roman" w:hAnsi="Times New Roman" w:eastAsia="方正仿宋_GBK" w:cs="Times New Roman"/>
          <w:sz w:val="32"/>
          <w:szCs w:val="32"/>
          <w:lang w:val="en-US" w:eastAsia="zh-CN"/>
        </w:rPr>
        <w:t>1336.44</w:t>
      </w:r>
      <w:r>
        <w:rPr>
          <w:rFonts w:hint="eastAsia" w:ascii="Times New Roman" w:hAnsi="Times New Roman" w:eastAsia="方正仿宋_GBK" w:cs="Times New Roman"/>
          <w:sz w:val="32"/>
          <w:szCs w:val="32"/>
          <w:lang w:eastAsia="zh-CN"/>
        </w:rPr>
        <w:t>万元。</w:t>
      </w:r>
    </w:p>
    <w:p>
      <w:pPr>
        <w:pStyle w:val="4"/>
        <w:keepNext w:val="0"/>
        <w:keepLines w:val="0"/>
        <w:pageBreakBefore w:val="0"/>
        <w:numPr>
          <w:numId w:val="0"/>
        </w:numPr>
        <w:kinsoku/>
        <w:wordWrap/>
        <w:overflowPunct/>
        <w:topLinePunct w:val="0"/>
        <w:bidi w:val="0"/>
        <w:snapToGrid/>
        <w:spacing w:line="520" w:lineRule="exact"/>
        <w:ind w:firstLine="632" w:firstLineChars="200"/>
        <w:textAlignment w:val="auto"/>
        <w:rPr>
          <w:rFonts w:hint="default"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（1）县财政局农业科下达1131.94万元，其中：</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--2019年安全住房保障资金142.11万；</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--2019年度农业支持保护补贴资金和下达农业支持保护补贴工作经费0.33万；</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--九龙坡对口帮扶资金150万元（用于场镇安置点供水管网改造项目）；</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--2019年财政专项扶贫资金842.5万元，其中</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25万用于乡风文明建设项目；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82万用于全乡农户环境整治；</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135万用于全乡村庄整治项目；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45万用于岩湾村卫生室修建项目；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31.5万用于非全日制农村扶贫开发综合岗；</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10万用于积分兑现制度改补为奖项目；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10万用于特殊困难群体“两不愁三保障”项目；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40万元用于新红村级便民服务中心维修项目；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95万用于岩湾村支部活动室桥梁新建项目；</w:t>
      </w:r>
    </w:p>
    <w:p>
      <w:pPr>
        <w:pStyle w:val="4"/>
        <w:keepNext w:val="0"/>
        <w:keepLines w:val="0"/>
        <w:pageBreakBefore w:val="0"/>
        <w:numPr>
          <w:ilvl w:val="0"/>
          <w:numId w:val="0"/>
        </w:numPr>
        <w:kinsoku/>
        <w:wordWrap/>
        <w:overflowPunct/>
        <w:topLinePunct w:val="0"/>
        <w:bidi w:val="0"/>
        <w:snapToGrid/>
        <w:spacing w:line="520" w:lineRule="exact"/>
        <w:ind w:firstLine="948" w:firstLineChars="300"/>
        <w:textAlignment w:val="auto"/>
        <w:rPr>
          <w:rFonts w:hint="eastAsia" w:ascii="方正仿宋_GBK" w:eastAsia="方正仿宋_GBK"/>
          <w:sz w:val="32"/>
          <w:szCs w:val="32"/>
          <w:lang w:val="en-US" w:eastAsia="zh-CN"/>
        </w:rPr>
      </w:pPr>
      <w:r>
        <w:rPr>
          <w:rFonts w:hint="eastAsia" w:ascii="Times New Roman" w:hAnsi="Times New Roman" w:eastAsia="方正仿宋_GBK" w:cs="Times New Roman"/>
          <w:color w:val="auto"/>
          <w:kern w:val="2"/>
          <w:sz w:val="32"/>
          <w:szCs w:val="32"/>
          <w:lang w:val="en-US" w:eastAsia="zh-CN" w:bidi="ar-SA"/>
        </w:rPr>
        <w:t>60万用于治平小学校园内排污处理及门窗维修项目；</w:t>
      </w:r>
    </w:p>
    <w:p>
      <w:pPr>
        <w:keepNext w:val="0"/>
        <w:keepLines w:val="0"/>
        <w:pageBreakBefore w:val="0"/>
        <w:widowControl w:val="0"/>
        <w:kinsoku/>
        <w:wordWrap/>
        <w:overflowPunct/>
        <w:topLinePunct w:val="0"/>
        <w:bidi w:val="0"/>
        <w:snapToGrid/>
        <w:spacing w:line="520" w:lineRule="exact"/>
        <w:ind w:firstLine="64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309万用于岩湾村、阳河村、新胜村、惠民社区5条产业路修建项目；</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2</w:t>
      </w:r>
      <w:r>
        <w:rPr>
          <w:rFonts w:hint="eastAsia" w:ascii="Times New Roman" w:hAnsi="Times New Roman" w:eastAsia="方正仿宋_GBK" w:cs="Times New Roman"/>
          <w:sz w:val="32"/>
          <w:szCs w:val="32"/>
          <w:lang w:eastAsia="zh-CN"/>
        </w:rPr>
        <w:t>）县财政局综合科下达</w:t>
      </w:r>
      <w:r>
        <w:rPr>
          <w:rFonts w:hint="eastAsia" w:ascii="Times New Roman" w:hAnsi="Times New Roman" w:eastAsia="方正仿宋_GBK" w:cs="Times New Roman"/>
          <w:sz w:val="32"/>
          <w:szCs w:val="32"/>
          <w:lang w:val="en-US" w:eastAsia="zh-CN"/>
        </w:rPr>
        <w:t>2019年</w:t>
      </w:r>
      <w:r>
        <w:rPr>
          <w:rFonts w:hint="eastAsia" w:ascii="Times New Roman" w:hAnsi="Times New Roman" w:eastAsia="方正仿宋_GBK" w:cs="Times New Roman"/>
          <w:sz w:val="32"/>
          <w:szCs w:val="32"/>
          <w:lang w:eastAsia="zh-CN"/>
        </w:rPr>
        <w:t>乡镇（街道）返还性收入补助资金城市建设配套费</w:t>
      </w:r>
      <w:r>
        <w:rPr>
          <w:rFonts w:hint="eastAsia" w:ascii="Times New Roman" w:hAnsi="Times New Roman" w:eastAsia="方正仿宋_GBK" w:cs="Times New Roman"/>
          <w:sz w:val="32"/>
          <w:szCs w:val="32"/>
          <w:lang w:val="en-US" w:eastAsia="zh-CN"/>
        </w:rPr>
        <w:t>3万、</w:t>
      </w:r>
      <w:r>
        <w:rPr>
          <w:rFonts w:hint="eastAsia" w:ascii="Times New Roman" w:hAnsi="Times New Roman" w:eastAsia="方正仿宋_GBK" w:cs="Times New Roman"/>
          <w:sz w:val="32"/>
          <w:szCs w:val="32"/>
          <w:lang w:eastAsia="zh-CN"/>
        </w:rPr>
        <w:t>垃圾处置费</w:t>
      </w:r>
      <w:r>
        <w:rPr>
          <w:rFonts w:hint="eastAsia" w:ascii="Times New Roman" w:hAnsi="Times New Roman" w:eastAsia="方正仿宋_GBK" w:cs="Times New Roman"/>
          <w:sz w:val="32"/>
          <w:szCs w:val="32"/>
          <w:lang w:val="en-US" w:eastAsia="zh-CN"/>
        </w:rPr>
        <w:t>5万、社会抚养费5万。</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3</w:t>
      </w:r>
      <w:r>
        <w:rPr>
          <w:rFonts w:hint="eastAsia" w:ascii="Times New Roman" w:hAnsi="Times New Roman" w:eastAsia="方正仿宋_GBK" w:cs="Times New Roman"/>
          <w:sz w:val="32"/>
          <w:szCs w:val="32"/>
          <w:lang w:eastAsia="zh-CN"/>
        </w:rPr>
        <w:t>）县财政局经建科下达公共体育普及工程2019年中央基建投资和市基建统筹资金</w:t>
      </w:r>
      <w:r>
        <w:rPr>
          <w:rFonts w:hint="eastAsia" w:ascii="Times New Roman" w:hAnsi="Times New Roman" w:eastAsia="方正仿宋_GBK" w:cs="Times New Roman"/>
          <w:sz w:val="32"/>
          <w:szCs w:val="32"/>
          <w:lang w:val="en-US" w:eastAsia="zh-CN"/>
        </w:rPr>
        <w:t>63万（用于岩湾村足球场修建项目），和2019年农村扶贫公路中央预算内投资资金130万</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楷体_GBK" w:hAnsi="方正楷体_GBK" w:eastAsia="方正楷体_GBK" w:cs="方正楷体_GBK"/>
          <w:b w:val="0"/>
          <w:bCs/>
          <w:color w:val="000000"/>
          <w:szCs w:val="32"/>
        </w:rPr>
      </w:pPr>
      <w:r>
        <w:rPr>
          <w:rFonts w:hint="eastAsia" w:ascii="方正楷体_GBK" w:hAnsi="方正楷体_GBK" w:eastAsia="方正楷体_GBK" w:cs="方正楷体_GBK"/>
          <w:b w:val="0"/>
          <w:bCs/>
          <w:color w:val="000000"/>
          <w:szCs w:val="32"/>
        </w:rPr>
        <w:t>（二）</w:t>
      </w:r>
      <w:r>
        <w:rPr>
          <w:rFonts w:hint="eastAsia" w:ascii="方正楷体_GBK" w:hAnsi="方正楷体_GBK" w:eastAsia="方正楷体_GBK" w:cs="方正楷体_GBK"/>
          <w:b w:val="0"/>
          <w:bCs/>
          <w:color w:val="000000"/>
          <w:szCs w:val="32"/>
          <w:lang w:val="en-US" w:eastAsia="zh-CN"/>
        </w:rPr>
        <w:t>2019</w:t>
      </w:r>
      <w:r>
        <w:rPr>
          <w:rFonts w:hint="eastAsia" w:ascii="方正楷体_GBK" w:hAnsi="方正楷体_GBK" w:eastAsia="方正楷体_GBK" w:cs="方正楷体_GBK"/>
          <w:b w:val="0"/>
          <w:bCs/>
          <w:color w:val="000000"/>
          <w:szCs w:val="32"/>
        </w:rPr>
        <w:t>年财政支出完成情况</w:t>
      </w:r>
    </w:p>
    <w:p>
      <w:pPr>
        <w:keepNext w:val="0"/>
        <w:keepLines w:val="0"/>
        <w:pageBreakBefore w:val="0"/>
        <w:widowControl w:val="0"/>
        <w:kinsoku/>
        <w:wordWrap/>
        <w:overflowPunct/>
        <w:topLinePunct w:val="0"/>
        <w:bidi w:val="0"/>
        <w:snapToGrid/>
        <w:spacing w:line="520" w:lineRule="exact"/>
        <w:ind w:firstLine="64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201</w:t>
      </w:r>
      <w:r>
        <w:rPr>
          <w:rFonts w:hint="eastAsia" w:ascii="Times New Roman" w:hAnsi="Times New Roman" w:eastAsia="方正仿宋_GBK" w:cs="Times New Roman"/>
          <w:sz w:val="32"/>
          <w:szCs w:val="32"/>
          <w:lang w:val="en-US" w:eastAsia="zh-CN"/>
        </w:rPr>
        <w:t>9</w:t>
      </w:r>
      <w:r>
        <w:rPr>
          <w:rFonts w:hint="eastAsia" w:ascii="Times New Roman" w:hAnsi="Times New Roman" w:eastAsia="方正仿宋_GBK" w:cs="Times New Roman"/>
          <w:sz w:val="32"/>
          <w:szCs w:val="32"/>
          <w:lang w:eastAsia="zh-CN"/>
        </w:rPr>
        <w:t>年我乡财政总支出</w:t>
      </w:r>
      <w:r>
        <w:rPr>
          <w:rFonts w:hint="eastAsia" w:ascii="Times New Roman" w:hAnsi="Times New Roman" w:eastAsia="方正仿宋_GBK" w:cs="Times New Roman"/>
          <w:sz w:val="32"/>
          <w:szCs w:val="32"/>
          <w:lang w:val="en-US" w:eastAsia="zh-CN"/>
        </w:rPr>
        <w:t>2028.21</w:t>
      </w:r>
      <w:r>
        <w:rPr>
          <w:rFonts w:hint="eastAsia" w:ascii="Times New Roman" w:hAnsi="Times New Roman" w:eastAsia="方正仿宋_GBK" w:cs="Times New Roman"/>
          <w:sz w:val="32"/>
          <w:szCs w:val="32"/>
          <w:lang w:eastAsia="zh-CN"/>
        </w:rPr>
        <w:t>万元，为完成全年支出进度的</w:t>
      </w:r>
      <w:r>
        <w:rPr>
          <w:rFonts w:hint="eastAsia" w:ascii="Times New Roman" w:hAnsi="Times New Roman" w:eastAsia="方正仿宋_GBK" w:cs="Times New Roman"/>
          <w:sz w:val="32"/>
          <w:szCs w:val="32"/>
          <w:lang w:val="en-US" w:eastAsia="zh-CN"/>
        </w:rPr>
        <w:t>87.9</w:t>
      </w:r>
      <w:r>
        <w:rPr>
          <w:rFonts w:hint="eastAsia" w:ascii="Times New Roman" w:hAnsi="Times New Roman" w:eastAsia="方正仿宋_GBK" w:cs="Times New Roman"/>
          <w:sz w:val="32"/>
          <w:szCs w:val="32"/>
          <w:lang w:eastAsia="zh-CN"/>
        </w:rPr>
        <w:t>%。根据上级文件精神，资金安排如下：</w:t>
      </w:r>
    </w:p>
    <w:tbl>
      <w:tblPr>
        <w:tblStyle w:val="5"/>
        <w:tblW w:w="94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9"/>
        <w:gridCol w:w="1417"/>
        <w:gridCol w:w="4253"/>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9467" w:type="dxa"/>
            <w:gridSpan w:val="4"/>
            <w:tcBorders>
              <w:top w:val="nil"/>
              <w:left w:val="nil"/>
              <w:bottom w:val="nil"/>
              <w:right w:val="nil"/>
            </w:tcBorders>
            <w:noWrap w:val="0"/>
            <w:vAlign w:val="top"/>
          </w:tcPr>
          <w:p>
            <w:pPr>
              <w:keepNext w:val="0"/>
              <w:keepLines w:val="0"/>
              <w:pageBreakBefore w:val="0"/>
              <w:kinsoku/>
              <w:wordWrap/>
              <w:overflowPunct/>
              <w:topLinePunct w:val="0"/>
              <w:bidi w:val="0"/>
              <w:snapToGrid/>
              <w:spacing w:line="520" w:lineRule="exact"/>
              <w:jc w:val="center"/>
              <w:textAlignment w:val="auto"/>
              <w:rPr>
                <w:bCs/>
                <w:color w:val="000000"/>
                <w:sz w:val="36"/>
                <w:szCs w:val="36"/>
              </w:rPr>
            </w:pPr>
            <w:r>
              <w:rPr>
                <w:rFonts w:ascii="方正小标宋_GBK" w:hAnsi="宋体" w:eastAsia="方正小标宋_GBK" w:cs="宋体"/>
                <w:color w:val="000000"/>
                <w:kern w:val="0"/>
                <w:szCs w:val="32"/>
              </w:rPr>
              <w:t>城口县</w:t>
            </w:r>
            <w:r>
              <w:rPr>
                <w:rFonts w:hint="eastAsia" w:ascii="方正小标宋_GBK" w:hAnsi="宋体" w:eastAsia="方正小标宋_GBK" w:cs="宋体"/>
                <w:color w:val="000000"/>
                <w:kern w:val="0"/>
                <w:szCs w:val="32"/>
              </w:rPr>
              <w:t>治</w:t>
            </w:r>
            <w:r>
              <w:rPr>
                <w:rFonts w:ascii="方正小标宋_GBK" w:hAnsi="宋体" w:eastAsia="方正小标宋_GBK" w:cs="宋体"/>
                <w:color w:val="000000"/>
                <w:kern w:val="0"/>
                <w:szCs w:val="32"/>
              </w:rPr>
              <w:t>平乡201</w:t>
            </w:r>
            <w:r>
              <w:rPr>
                <w:rFonts w:hint="eastAsia" w:ascii="方正小标宋_GBK" w:hAnsi="宋体" w:eastAsia="方正小标宋_GBK" w:cs="宋体"/>
                <w:color w:val="000000"/>
                <w:kern w:val="0"/>
                <w:szCs w:val="32"/>
                <w:lang w:val="en-US" w:eastAsia="zh-CN"/>
              </w:rPr>
              <w:t>9</w:t>
            </w:r>
            <w:r>
              <w:rPr>
                <w:rFonts w:ascii="方正小标宋_GBK" w:hAnsi="宋体" w:eastAsia="方正小标宋_GBK" w:cs="宋体"/>
                <w:color w:val="000000"/>
                <w:kern w:val="0"/>
                <w:szCs w:val="32"/>
              </w:rPr>
              <w:t>年一般公共预算收支平衡表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2349" w:type="dxa"/>
            <w:tcBorders>
              <w:top w:val="nil"/>
              <w:left w:val="nil"/>
              <w:bottom w:val="single" w:color="auto" w:sz="4" w:space="0"/>
              <w:right w:val="nil"/>
            </w:tcBorders>
            <w:noWrap w:val="0"/>
            <w:vAlign w:val="top"/>
          </w:tcPr>
          <w:p>
            <w:pPr>
              <w:keepNext w:val="0"/>
              <w:keepLines w:val="0"/>
              <w:pageBreakBefore w:val="0"/>
              <w:kinsoku/>
              <w:wordWrap/>
              <w:overflowPunct/>
              <w:topLinePunct w:val="0"/>
              <w:bidi w:val="0"/>
              <w:snapToGrid/>
              <w:spacing w:line="520" w:lineRule="exact"/>
              <w:jc w:val="center"/>
              <w:textAlignment w:val="auto"/>
              <w:rPr>
                <w:rFonts w:eastAsia="方正黑体_GBK"/>
                <w:color w:val="000000"/>
                <w:sz w:val="36"/>
                <w:szCs w:val="36"/>
              </w:rPr>
            </w:pPr>
          </w:p>
        </w:tc>
        <w:tc>
          <w:tcPr>
            <w:tcW w:w="1417" w:type="dxa"/>
            <w:tcBorders>
              <w:top w:val="nil"/>
              <w:left w:val="nil"/>
              <w:bottom w:val="single" w:color="auto" w:sz="4" w:space="0"/>
              <w:right w:val="nil"/>
            </w:tcBorders>
            <w:noWrap w:val="0"/>
            <w:vAlign w:val="top"/>
          </w:tcPr>
          <w:p>
            <w:pPr>
              <w:keepNext w:val="0"/>
              <w:keepLines w:val="0"/>
              <w:pageBreakBefore w:val="0"/>
              <w:kinsoku/>
              <w:wordWrap/>
              <w:overflowPunct/>
              <w:topLinePunct w:val="0"/>
              <w:bidi w:val="0"/>
              <w:snapToGrid/>
              <w:spacing w:line="520" w:lineRule="exact"/>
              <w:jc w:val="center"/>
              <w:textAlignment w:val="auto"/>
              <w:rPr>
                <w:rFonts w:eastAsia="方正黑体_GBK"/>
                <w:color w:val="000000"/>
                <w:sz w:val="36"/>
                <w:szCs w:val="36"/>
              </w:rPr>
            </w:pPr>
          </w:p>
        </w:tc>
        <w:tc>
          <w:tcPr>
            <w:tcW w:w="5701" w:type="dxa"/>
            <w:gridSpan w:val="2"/>
            <w:tcBorders>
              <w:top w:val="nil"/>
              <w:left w:val="nil"/>
              <w:bottom w:val="single" w:color="auto" w:sz="4" w:space="0"/>
              <w:right w:val="nil"/>
            </w:tcBorders>
            <w:noWrap w:val="0"/>
            <w:vAlign w:val="top"/>
          </w:tcPr>
          <w:p>
            <w:pPr>
              <w:keepNext w:val="0"/>
              <w:keepLines w:val="0"/>
              <w:pageBreakBefore w:val="0"/>
              <w:kinsoku/>
              <w:wordWrap/>
              <w:overflowPunct/>
              <w:topLinePunct w:val="0"/>
              <w:bidi w:val="0"/>
              <w:snapToGrid/>
              <w:spacing w:line="520" w:lineRule="exact"/>
              <w:jc w:val="right"/>
              <w:textAlignment w:val="auto"/>
              <w:rPr>
                <w:color w:val="000000"/>
                <w:sz w:val="22"/>
              </w:rPr>
            </w:pPr>
            <w:r>
              <w:rPr>
                <w:rFonts w:ascii="方正小标宋_GBK" w:hAnsi="宋体" w:eastAsia="方正小标宋_GBK"/>
                <w:color w:val="000000"/>
                <w:sz w:val="24"/>
                <w:szCs w:val="24"/>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trPr>
        <w:tc>
          <w:tcPr>
            <w:tcW w:w="2349" w:type="dxa"/>
            <w:tcBorders>
              <w:top w:val="single" w:color="auto" w:sz="4" w:space="0"/>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r>
              <w:rPr>
                <w:rFonts w:hint="eastAsia" w:ascii="方正仿宋_GBK" w:hAnsi="黑体" w:eastAsia="方正仿宋_GBK"/>
                <w:color w:val="000000"/>
                <w:szCs w:val="32"/>
              </w:rPr>
              <w:t>收</w:t>
            </w:r>
            <w:r>
              <w:rPr>
                <w:rFonts w:hint="eastAsia" w:ascii="方正仿宋_GBK" w:eastAsia="方正仿宋_GBK"/>
                <w:color w:val="000000"/>
                <w:szCs w:val="32"/>
              </w:rPr>
              <w:t xml:space="preserve">  </w:t>
            </w:r>
            <w:r>
              <w:rPr>
                <w:rFonts w:hint="eastAsia" w:ascii="方正仿宋_GBK" w:hAnsi="黑体" w:eastAsia="方正仿宋_GBK"/>
                <w:color w:val="000000"/>
                <w:szCs w:val="32"/>
              </w:rPr>
              <w:t>入</w:t>
            </w:r>
          </w:p>
        </w:tc>
        <w:tc>
          <w:tcPr>
            <w:tcW w:w="1417" w:type="dxa"/>
            <w:tcBorders>
              <w:top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r>
              <w:rPr>
                <w:rFonts w:hint="eastAsia" w:ascii="方正仿宋_GBK" w:hAnsi="黑体" w:eastAsia="方正仿宋_GBK"/>
                <w:color w:val="000000"/>
                <w:szCs w:val="32"/>
              </w:rPr>
              <w:t>执行数</w:t>
            </w:r>
          </w:p>
        </w:tc>
        <w:tc>
          <w:tcPr>
            <w:tcW w:w="4253" w:type="dxa"/>
            <w:tcBorders>
              <w:top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r>
              <w:rPr>
                <w:rFonts w:hint="eastAsia" w:ascii="方正仿宋_GBK" w:hAnsi="黑体" w:eastAsia="方正仿宋_GBK"/>
                <w:color w:val="000000"/>
                <w:szCs w:val="32"/>
              </w:rPr>
              <w:t>支</w:t>
            </w:r>
            <w:r>
              <w:rPr>
                <w:rFonts w:hint="eastAsia" w:ascii="方正仿宋_GBK" w:eastAsia="方正仿宋_GBK"/>
                <w:color w:val="000000"/>
                <w:szCs w:val="32"/>
              </w:rPr>
              <w:t xml:space="preserve">  </w:t>
            </w:r>
            <w:r>
              <w:rPr>
                <w:rFonts w:hint="eastAsia" w:ascii="方正仿宋_GBK" w:hAnsi="黑体" w:eastAsia="方正仿宋_GBK"/>
                <w:color w:val="000000"/>
                <w:szCs w:val="32"/>
              </w:rPr>
              <w:t>出</w:t>
            </w:r>
          </w:p>
        </w:tc>
        <w:tc>
          <w:tcPr>
            <w:tcW w:w="1448" w:type="dxa"/>
            <w:tcBorders>
              <w:top w:val="single" w:color="auto" w:sz="4" w:space="0"/>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r>
              <w:rPr>
                <w:rFonts w:hint="eastAsia" w:ascii="方正仿宋_GBK" w:hAnsi="黑体" w:eastAsia="方正仿宋_GBK"/>
                <w:color w:val="000000"/>
                <w:szCs w:val="32"/>
              </w:rPr>
              <w:t>执行数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r>
              <w:rPr>
                <w:rFonts w:hint="eastAsia" w:ascii="方正仿宋_GBK" w:hAnsi="黑体" w:eastAsia="方正仿宋_GBK"/>
                <w:bCs/>
                <w:color w:val="000000"/>
                <w:szCs w:val="32"/>
              </w:rPr>
              <w:t>总</w:t>
            </w:r>
            <w:r>
              <w:rPr>
                <w:rFonts w:hint="eastAsia" w:ascii="方正仿宋_GBK" w:eastAsia="方正仿宋_GBK"/>
                <w:bCs/>
                <w:color w:val="000000"/>
                <w:szCs w:val="32"/>
              </w:rPr>
              <w:t xml:space="preserve">  </w:t>
            </w:r>
            <w:r>
              <w:rPr>
                <w:rFonts w:hint="eastAsia" w:ascii="方正仿宋_GBK" w:hAnsi="黑体" w:eastAsia="方正仿宋_GBK"/>
                <w:bCs/>
                <w:color w:val="000000"/>
                <w:szCs w:val="32"/>
              </w:rPr>
              <w:t>计</w:t>
            </w: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方正仿宋_GBK" w:eastAsia="方正仿宋_GBK"/>
                <w:color w:val="000000"/>
                <w:szCs w:val="32"/>
                <w:lang w:val="en-US" w:eastAsia="zh-CN"/>
              </w:rPr>
            </w:pPr>
            <w:r>
              <w:rPr>
                <w:rFonts w:hint="eastAsia" w:ascii="Times New Roman" w:hAnsi="Times New Roman" w:eastAsia="方正仿宋_GBK" w:cs="Times New Roman"/>
                <w:sz w:val="32"/>
                <w:szCs w:val="32"/>
                <w:lang w:val="en-US" w:eastAsia="zh-CN"/>
              </w:rPr>
              <w:t>2028.21</w:t>
            </w: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r>
              <w:rPr>
                <w:rFonts w:hint="eastAsia" w:ascii="方正仿宋_GBK" w:hAnsi="黑体" w:eastAsia="方正仿宋_GBK"/>
                <w:bCs/>
                <w:color w:val="000000"/>
                <w:szCs w:val="32"/>
              </w:rPr>
              <w:t>总</w:t>
            </w:r>
            <w:r>
              <w:rPr>
                <w:rFonts w:hint="eastAsia" w:ascii="方正仿宋_GBK" w:eastAsia="方正仿宋_GBK"/>
                <w:bCs/>
                <w:color w:val="000000"/>
                <w:szCs w:val="32"/>
              </w:rPr>
              <w:t xml:space="preserve">  </w:t>
            </w:r>
            <w:r>
              <w:rPr>
                <w:rFonts w:hint="eastAsia" w:ascii="方正仿宋_GBK" w:hAnsi="黑体" w:eastAsia="方正仿宋_GBK"/>
                <w:bCs/>
                <w:color w:val="000000"/>
                <w:szCs w:val="32"/>
              </w:rPr>
              <w:t>计</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方正仿宋_GBK" w:hAnsi="黑体" w:eastAsia="方正仿宋_GBK"/>
                <w:bCs/>
                <w:color w:val="000000"/>
                <w:szCs w:val="32"/>
                <w:lang w:val="en-US" w:eastAsia="zh-CN"/>
              </w:rPr>
            </w:pPr>
            <w:r>
              <w:rPr>
                <w:rFonts w:hint="eastAsia" w:ascii="Times New Roman" w:hAnsi="Times New Roman" w:eastAsia="方正仿宋_GBK" w:cs="Times New Roman"/>
                <w:sz w:val="32"/>
                <w:szCs w:val="32"/>
                <w:lang w:val="en-US" w:eastAsia="zh-CN"/>
              </w:rPr>
              <w:t>2028.21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r>
              <w:rPr>
                <w:rFonts w:hint="eastAsia" w:ascii="方正仿宋_GBK" w:hAnsi="黑体" w:eastAsia="方正仿宋_GBK"/>
                <w:bCs/>
                <w:color w:val="000000"/>
                <w:szCs w:val="32"/>
              </w:rPr>
              <w:t>财政拨款收入</w:t>
            </w: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Times New Roman" w:hAnsi="Times New Roman" w:eastAsia="方正仿宋_GBK" w:cs="Times New Roman"/>
                <w:sz w:val="32"/>
                <w:szCs w:val="32"/>
                <w:lang w:val="en-US" w:eastAsia="zh-CN"/>
              </w:rPr>
              <w:t>2028.21</w:t>
            </w: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一般公共服务支出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方正仿宋_GBK" w:hAnsi="黑体" w:eastAsia="方正仿宋_GBK"/>
                <w:bCs/>
                <w:color w:val="000000"/>
                <w:szCs w:val="32"/>
                <w:lang w:val="en-US" w:eastAsia="zh-CN"/>
              </w:rPr>
            </w:pPr>
            <w:r>
              <w:rPr>
                <w:rFonts w:hint="eastAsia" w:ascii="Times New Roman" w:hAnsi="Times New Roman" w:eastAsia="方正仿宋_GBK" w:cs="Times New Roman"/>
                <w:sz w:val="32"/>
                <w:szCs w:val="32"/>
                <w:lang w:val="en-US" w:eastAsia="zh-CN"/>
              </w:rPr>
              <w:t>304.75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文化</w:t>
            </w:r>
            <w:r>
              <w:rPr>
                <w:rFonts w:hint="eastAsia" w:ascii="方正仿宋_GBK" w:hAnsi="黑体" w:eastAsia="方正仿宋_GBK"/>
                <w:bCs/>
                <w:color w:val="000000"/>
                <w:szCs w:val="32"/>
                <w:lang w:eastAsia="zh-CN"/>
              </w:rPr>
              <w:t>旅游</w:t>
            </w:r>
            <w:r>
              <w:rPr>
                <w:rFonts w:hint="eastAsia" w:ascii="方正仿宋_GBK" w:hAnsi="黑体" w:eastAsia="方正仿宋_GBK"/>
                <w:bCs/>
                <w:color w:val="000000"/>
                <w:szCs w:val="32"/>
              </w:rPr>
              <w:t>体育与传媒支出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70.94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社会保障和就业支出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179.13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医疗卫生与计划生育支出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4.14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城乡社区支出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38.00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农林水支出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1106.21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lang w:eastAsia="zh-CN"/>
              </w:rPr>
            </w:pPr>
            <w:r>
              <w:rPr>
                <w:rFonts w:hint="eastAsia" w:ascii="方正仿宋_GBK" w:hAnsi="黑体" w:eastAsia="方正仿宋_GBK"/>
                <w:bCs/>
                <w:color w:val="000000"/>
                <w:szCs w:val="32"/>
                <w:lang w:eastAsia="zh-CN"/>
              </w:rPr>
              <w:t>交通运输</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4.10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hAnsi="黑体" w:eastAsia="方正仿宋_GBK"/>
                <w:bCs/>
                <w:color w:val="000000"/>
                <w:szCs w:val="32"/>
              </w:rPr>
            </w:pPr>
            <w:r>
              <w:rPr>
                <w:rFonts w:hint="eastAsia" w:ascii="方正仿宋_GBK" w:hAnsi="黑体" w:eastAsia="方正仿宋_GBK"/>
                <w:bCs/>
                <w:color w:val="000000"/>
                <w:szCs w:val="32"/>
              </w:rPr>
              <w:t>住房保障支出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36.95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 w:hRule="atLeast"/>
        </w:trPr>
        <w:tc>
          <w:tcPr>
            <w:tcW w:w="2349" w:type="dxa"/>
            <w:tcBorders>
              <w:lef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1417"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bCs/>
                <w:color w:val="000000"/>
                <w:szCs w:val="32"/>
              </w:rPr>
            </w:pPr>
          </w:p>
        </w:tc>
        <w:tc>
          <w:tcPr>
            <w:tcW w:w="4253" w:type="dxa"/>
            <w:noWrap w:val="0"/>
            <w:vAlign w:val="top"/>
          </w:tcPr>
          <w:p>
            <w:pPr>
              <w:keepNext w:val="0"/>
              <w:keepLines w:val="0"/>
              <w:pageBreakBefore w:val="0"/>
              <w:kinsoku/>
              <w:wordWrap/>
              <w:overflowPunct/>
              <w:topLinePunct w:val="0"/>
              <w:bidi w:val="0"/>
              <w:snapToGrid/>
              <w:spacing w:line="520" w:lineRule="exact"/>
              <w:jc w:val="center"/>
              <w:textAlignment w:val="auto"/>
              <w:rPr>
                <w:rFonts w:hint="eastAsia" w:ascii="方正仿宋_GBK" w:eastAsia="方正仿宋_GBK"/>
                <w:color w:val="000000"/>
                <w:szCs w:val="32"/>
                <w:lang w:eastAsia="zh-CN"/>
              </w:rPr>
            </w:pPr>
            <w:r>
              <w:rPr>
                <w:rFonts w:hint="eastAsia" w:ascii="方正仿宋_GBK" w:eastAsia="方正仿宋_GBK"/>
                <w:color w:val="000000"/>
                <w:szCs w:val="32"/>
                <w:lang w:eastAsia="zh-CN"/>
              </w:rPr>
              <w:t>其他支出</w:t>
            </w:r>
          </w:p>
        </w:tc>
        <w:tc>
          <w:tcPr>
            <w:tcW w:w="1448" w:type="dxa"/>
            <w:tcBorders>
              <w:right w:val="single" w:color="auto" w:sz="4" w:space="0"/>
            </w:tcBorders>
            <w:noWrap w:val="0"/>
            <w:vAlign w:val="top"/>
          </w:tcPr>
          <w:p>
            <w:pPr>
              <w:keepNext w:val="0"/>
              <w:keepLines w:val="0"/>
              <w:pageBreakBefore w:val="0"/>
              <w:kinsoku/>
              <w:wordWrap/>
              <w:overflowPunct/>
              <w:topLinePunct w:val="0"/>
              <w:bidi w:val="0"/>
              <w:snapToGrid/>
              <w:spacing w:line="520" w:lineRule="exact"/>
              <w:jc w:val="center"/>
              <w:textAlignment w:val="auto"/>
              <w:rPr>
                <w:rFonts w:hint="default" w:ascii="方正仿宋_GBK" w:eastAsia="方正仿宋_GBK"/>
                <w:color w:val="000000"/>
                <w:szCs w:val="32"/>
                <w:lang w:val="en-US" w:eastAsia="zh-CN"/>
              </w:rPr>
            </w:pPr>
            <w:r>
              <w:rPr>
                <w:rFonts w:hint="eastAsia" w:ascii="Times New Roman" w:hAnsi="Times New Roman" w:eastAsia="方正仿宋_GBK" w:cs="Times New Roman"/>
                <w:sz w:val="32"/>
                <w:szCs w:val="32"/>
                <w:lang w:val="en-US" w:eastAsia="zh-CN"/>
              </w:rPr>
              <w:t>283.99</w:t>
            </w:r>
          </w:p>
        </w:tc>
      </w:tr>
    </w:tbl>
    <w:p>
      <w:pPr>
        <w:pStyle w:val="4"/>
        <w:keepNext w:val="0"/>
        <w:keepLines w:val="0"/>
        <w:pageBreakBefore w:val="0"/>
        <w:numPr>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1.一般公共服务支出304.75万元。主要用于：机关财政供养人员的工</w:t>
      </w:r>
      <w:bookmarkStart w:id="1" w:name="_GoBack"/>
      <w:bookmarkEnd w:id="1"/>
      <w:r>
        <w:rPr>
          <w:rFonts w:hint="eastAsia" w:ascii="Times New Roman" w:hAnsi="Times New Roman" w:eastAsia="方正仿宋_GBK" w:cs="Times New Roman"/>
          <w:color w:val="auto"/>
          <w:kern w:val="2"/>
          <w:sz w:val="32"/>
          <w:szCs w:val="32"/>
          <w:lang w:val="en-US" w:eastAsia="zh-CN" w:bidi="ar-SA"/>
        </w:rPr>
        <w:t>资福利待遇和村（社区）干部工资福利待遇等。具体支出明细如下：</w:t>
      </w:r>
    </w:p>
    <w:p>
      <w:pPr>
        <w:pStyle w:val="4"/>
        <w:keepNext w:val="0"/>
        <w:keepLines w:val="0"/>
        <w:pageBreakBefore w:val="0"/>
        <w:kinsoku/>
        <w:wordWrap/>
        <w:overflowPunct/>
        <w:topLinePunct w:val="0"/>
        <w:bidi w:val="0"/>
        <w:snapToGrid/>
        <w:spacing w:before="0" w:beforeAutospacing="0" w:after="0" w:afterAutospacing="0"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（1）人大事务14.75万元（其中人大编制内人员工资福利支出9.35万元）。</w:t>
      </w:r>
    </w:p>
    <w:p>
      <w:pPr>
        <w:pStyle w:val="4"/>
        <w:keepNext w:val="0"/>
        <w:keepLines w:val="0"/>
        <w:pageBreakBefore w:val="0"/>
        <w:kinsoku/>
        <w:wordWrap/>
        <w:overflowPunct/>
        <w:topLinePunct w:val="0"/>
        <w:bidi w:val="0"/>
        <w:snapToGrid/>
        <w:spacing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（2）政府办公厅（室）及相关机构事务支出217.96万元。其中：政府编制内人员工资福利支出112.16万元，商品和服务支出90.70万元（含三公经费20.56万元），对个人和家庭的补助15.10万元。</w:t>
      </w:r>
    </w:p>
    <w:p>
      <w:pPr>
        <w:pStyle w:val="4"/>
        <w:keepNext w:val="0"/>
        <w:keepLines w:val="0"/>
        <w:pageBreakBefore w:val="0"/>
        <w:kinsoku/>
        <w:wordWrap/>
        <w:overflowPunct/>
        <w:topLinePunct w:val="0"/>
        <w:bidi w:val="0"/>
        <w:snapToGrid/>
        <w:spacing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（3）党委办公厅（室）及相关机构事务支出36.37万元。</w:t>
      </w:r>
    </w:p>
    <w:p>
      <w:pPr>
        <w:pStyle w:val="4"/>
        <w:keepNext w:val="0"/>
        <w:keepLines w:val="0"/>
        <w:pageBreakBefore w:val="0"/>
        <w:kinsoku/>
        <w:wordWrap/>
        <w:overflowPunct/>
        <w:topLinePunct w:val="0"/>
        <w:bidi w:val="0"/>
        <w:snapToGrid/>
        <w:spacing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（4）财政事务支出29.19万元。</w:t>
      </w:r>
    </w:p>
    <w:p>
      <w:pPr>
        <w:pStyle w:val="4"/>
        <w:keepNext w:val="0"/>
        <w:keepLines w:val="0"/>
        <w:pageBreakBefore w:val="0"/>
        <w:kinsoku/>
        <w:wordWrap/>
        <w:overflowPunct/>
        <w:topLinePunct w:val="0"/>
        <w:bidi w:val="0"/>
        <w:snapToGrid/>
        <w:spacing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（5）其他共产党事务支出（暨农村40年及以上党龄的老党员生活补助）3.4万元。</w:t>
      </w:r>
    </w:p>
    <w:p>
      <w:pPr>
        <w:pStyle w:val="4"/>
        <w:keepNext w:val="0"/>
        <w:keepLines w:val="0"/>
        <w:pageBreakBefore w:val="0"/>
        <w:kinsoku/>
        <w:wordWrap/>
        <w:overflowPunct/>
        <w:topLinePunct w:val="0"/>
        <w:bidi w:val="0"/>
        <w:snapToGrid/>
        <w:spacing w:line="520" w:lineRule="exact"/>
        <w:ind w:firstLine="640"/>
        <w:textAlignment w:val="auto"/>
        <w:rPr>
          <w:rFonts w:hint="default"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（6）其他一般公共服务支出3.08万元。</w:t>
      </w:r>
    </w:p>
    <w:p>
      <w:pPr>
        <w:pStyle w:val="4"/>
        <w:keepNext w:val="0"/>
        <w:keepLines w:val="0"/>
        <w:pageBreakBefore w:val="0"/>
        <w:kinsoku/>
        <w:wordWrap/>
        <w:overflowPunct/>
        <w:topLinePunct w:val="0"/>
        <w:bidi w:val="0"/>
        <w:snapToGrid/>
        <w:spacing w:before="0" w:beforeAutospacing="0" w:after="0" w:afterAutospacing="0" w:line="520" w:lineRule="exact"/>
        <w:ind w:firstLine="64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2.文化旅游体育与传媒支出70.94万元。</w:t>
      </w:r>
      <w:bookmarkStart w:id="0" w:name="OLE_LINK3"/>
      <w:r>
        <w:rPr>
          <w:rFonts w:hint="eastAsia" w:ascii="Times New Roman" w:hAnsi="Times New Roman" w:eastAsia="方正仿宋_GBK" w:cs="Times New Roman"/>
          <w:color w:val="auto"/>
          <w:kern w:val="2"/>
          <w:sz w:val="32"/>
          <w:szCs w:val="32"/>
          <w:lang w:val="en-US" w:eastAsia="zh-CN" w:bidi="ar-SA"/>
        </w:rPr>
        <w:t>其中文化站编制内人员工资福利支出17.11万元，岩湾村足球场修建工程支出53.83万元。</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3.社会保障和就业支出179.13万元。</w:t>
      </w:r>
      <w:bookmarkEnd w:id="0"/>
      <w:r>
        <w:rPr>
          <w:rFonts w:hint="eastAsia" w:ascii="Times New Roman" w:hAnsi="Times New Roman" w:eastAsia="方正仿宋_GBK" w:cs="Times New Roman"/>
          <w:color w:val="auto"/>
          <w:kern w:val="2"/>
          <w:sz w:val="32"/>
          <w:szCs w:val="32"/>
          <w:lang w:val="en-US" w:eastAsia="zh-CN" w:bidi="ar-SA"/>
        </w:rPr>
        <w:t>主要用于：社保所等行政事业单位人员待遇和正常运转支出；财政供养人员的养老保险和职业年金缴费及离退休人员的福利待遇等支出。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4.医疗卫生与计划生育支出4.14万元。主要用于计生手术减免、机关财政供养人员的医保、工伤、生育等社会保障缴费支出。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5.城乡社区支出38万元。主要用于城乡社区环境卫生及市政设施管护支出，城乡社区环境卫生支出3万元，城乡建设配套3万元，城市公共设施基金30万。</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default"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6.农林水支出1106.21万元。</w:t>
      </w:r>
      <w:r>
        <w:rPr>
          <w:rFonts w:hint="eastAsia" w:ascii="Times New Roman" w:hAnsi="Times New Roman" w:eastAsia="方正仿宋_GBK" w:cs="Times New Roman"/>
          <w:color w:val="auto"/>
          <w:kern w:val="2"/>
          <w:sz w:val="32"/>
          <w:szCs w:val="32"/>
          <w:lang w:val="zh-CN" w:eastAsia="zh-CN" w:bidi="ar-SA"/>
        </w:rPr>
        <w:t>主要用于农业服务中心等行政事业单位人员待遇和正常运转支出；村（社区）党支部和村（居）民委员会以及大学生村官补助支出；农村道路、人行便道、平板桥、便民服务中心、乡村旅游等基础设施的建设支出。</w:t>
      </w:r>
      <w:r>
        <w:rPr>
          <w:rFonts w:hint="eastAsia" w:ascii="Times New Roman" w:hAnsi="Times New Roman" w:eastAsia="方正仿宋_GBK" w:cs="Times New Roman"/>
          <w:color w:val="auto"/>
          <w:kern w:val="2"/>
          <w:sz w:val="32"/>
          <w:szCs w:val="32"/>
          <w:lang w:val="en-US" w:eastAsia="zh-CN" w:bidi="ar-SA"/>
        </w:rPr>
        <w:t>其中农业服务中心编制内人员工资福利支出110.7万元，村（社区）党支部和村民委员会的补助支出95.12万元，高校毕业生到基层任职补助8.897万元，，农村基础设施建设353.75万元，其他扶贫支出326.37万元，对村级一事一议补助支出120万元，土地治理87.95万元。</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7.交通运输支出4.1万元。主要用于扶贫公路建设费用支出。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8.住房保障支出36.95万元。主要用于缴纳的机关事业单位干部职工住房公积金支出。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9.其他支出283.99万元。主要用于产业路建设支出。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以上收支情况表明，我乡截止2019年年末的财政预算执行结果结余279.11万元。</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楷体_GBK" w:eastAsia="方正楷体_GBK"/>
          <w:b w:val="0"/>
          <w:bCs/>
          <w:color w:val="000000"/>
          <w:szCs w:val="32"/>
        </w:rPr>
      </w:pPr>
      <w:r>
        <w:rPr>
          <w:rFonts w:ascii="方正楷体_GBK" w:eastAsia="方正楷体_GBK"/>
          <w:b w:val="0"/>
          <w:bCs/>
          <w:color w:val="000000"/>
          <w:szCs w:val="32"/>
        </w:rPr>
        <w:t>（</w:t>
      </w:r>
      <w:r>
        <w:rPr>
          <w:rFonts w:hint="eastAsia" w:ascii="方正楷体_GBK" w:eastAsia="方正楷体_GBK"/>
          <w:b w:val="0"/>
          <w:bCs/>
          <w:color w:val="000000"/>
          <w:szCs w:val="32"/>
        </w:rPr>
        <w:t>三</w:t>
      </w:r>
      <w:r>
        <w:rPr>
          <w:rFonts w:ascii="方正楷体_GBK" w:eastAsia="方正楷体_GBK"/>
          <w:b w:val="0"/>
          <w:bCs/>
          <w:color w:val="000000"/>
          <w:szCs w:val="32"/>
        </w:rPr>
        <w:t>）</w:t>
      </w:r>
      <w:r>
        <w:rPr>
          <w:rFonts w:hint="eastAsia" w:ascii="方正楷体_GBK" w:eastAsia="方正楷体_GBK"/>
          <w:b w:val="0"/>
          <w:bCs/>
          <w:color w:val="000000"/>
          <w:szCs w:val="32"/>
        </w:rPr>
        <w:t>201</w:t>
      </w:r>
      <w:r>
        <w:rPr>
          <w:rFonts w:hint="eastAsia" w:ascii="方正楷体_GBK" w:eastAsia="方正楷体_GBK"/>
          <w:b w:val="0"/>
          <w:bCs/>
          <w:color w:val="000000"/>
          <w:szCs w:val="32"/>
          <w:lang w:val="en-US" w:eastAsia="zh-CN"/>
        </w:rPr>
        <w:t>9</w:t>
      </w:r>
      <w:r>
        <w:rPr>
          <w:rFonts w:hint="eastAsia" w:ascii="方正楷体_GBK" w:eastAsia="方正楷体_GBK"/>
          <w:b w:val="0"/>
          <w:bCs/>
          <w:color w:val="000000"/>
          <w:szCs w:val="32"/>
        </w:rPr>
        <w:t>年预算执行及财政工作的主要情况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20" w:lineRule="exact"/>
        <w:ind w:left="0" w:right="0" w:firstLine="640"/>
        <w:jc w:val="left"/>
        <w:textAlignment w:val="auto"/>
        <w:rPr>
          <w:rFonts w:hint="eastAsia" w:ascii="方正仿宋_GBK" w:eastAsia="方正仿宋_GBK"/>
          <w:color w:val="000000"/>
          <w:szCs w:val="32"/>
        </w:rPr>
      </w:pPr>
      <w:r>
        <w:rPr>
          <w:rFonts w:hint="eastAsia" w:ascii="方正仿宋_GBK" w:hAnsi="宋体" w:eastAsia="方正仿宋_GBK" w:cs="宋体"/>
          <w:color w:val="auto"/>
          <w:kern w:val="0"/>
          <w:sz w:val="32"/>
          <w:szCs w:val="32"/>
          <w:lang w:val="en-US" w:eastAsia="zh-CN" w:bidi="ar-SA"/>
        </w:rPr>
        <w:t>一年来，在乡党委的决策部署下，我们认真执行各项决议，充分发挥财政职能，财政各项工作不断取得新进展</w:t>
      </w:r>
      <w:r>
        <w:rPr>
          <w:rFonts w:hint="eastAsia" w:ascii="宋体" w:hAnsi="宋体" w:eastAsia="宋体" w:cs="宋体"/>
          <w:i w:val="0"/>
          <w:caps w:val="0"/>
          <w:color w:val="333333"/>
          <w:spacing w:val="0"/>
          <w:kern w:val="0"/>
          <w:sz w:val="24"/>
          <w:szCs w:val="24"/>
          <w:shd w:val="clear" w:color="auto" w:fill="FFFFFF"/>
          <w:lang w:val="en-US" w:eastAsia="zh-CN" w:bidi="ar"/>
        </w:rPr>
        <w:t>。</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方正仿宋_GBK" w:hAnsi="方正仿宋_GBK" w:eastAsia="方正仿宋_GBK" w:cs="方正仿宋_GBK"/>
          <w:b/>
          <w:bCs/>
          <w:color w:val="auto"/>
          <w:kern w:val="2"/>
          <w:sz w:val="32"/>
          <w:szCs w:val="32"/>
          <w:lang w:val="en-US" w:eastAsia="zh-CN" w:bidi="ar-SA"/>
        </w:rPr>
        <w:t>1.积极组织收入，加强征收力度。</w:t>
      </w:r>
      <w:r>
        <w:rPr>
          <w:rFonts w:hint="eastAsia" w:ascii="Times New Roman" w:hAnsi="Times New Roman" w:eastAsia="方正仿宋_GBK" w:cs="Times New Roman"/>
          <w:color w:val="auto"/>
          <w:kern w:val="2"/>
          <w:sz w:val="32"/>
          <w:szCs w:val="32"/>
          <w:lang w:val="en-US" w:eastAsia="zh-CN" w:bidi="ar-SA"/>
        </w:rPr>
        <w:t>2019年我乡预算执行情况良好，积极推进依法纳税，不断加强与税务部门的协调，做好协税护税工作，确保税收收入的应收尽收，努力抓好税收收入的征收管理。</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方正仿宋_GBK" w:hAnsi="方正仿宋_GBK" w:eastAsia="方正仿宋_GBK" w:cs="方正仿宋_GBK"/>
          <w:b/>
          <w:bCs/>
          <w:color w:val="auto"/>
          <w:kern w:val="2"/>
          <w:sz w:val="32"/>
          <w:szCs w:val="32"/>
          <w:lang w:val="en-US" w:eastAsia="zh-CN" w:bidi="ar-SA"/>
        </w:rPr>
        <w:t>2.强化财政监督，提高资金使用效率。</w:t>
      </w:r>
      <w:r>
        <w:rPr>
          <w:rFonts w:hint="eastAsia" w:ascii="Times New Roman" w:hAnsi="Times New Roman" w:eastAsia="方正仿宋_GBK" w:cs="Times New Roman"/>
          <w:color w:val="auto"/>
          <w:kern w:val="2"/>
          <w:sz w:val="32"/>
          <w:szCs w:val="32"/>
          <w:lang w:val="en-US" w:eastAsia="zh-CN" w:bidi="ar-SA"/>
        </w:rPr>
        <w:t>我乡按照“量入为出，量力而行”的原则，建立健全了各项财务管理制度，严格按照市财政关于推行乡、村财务精细化管理的要求，进一步加强了乡村财务的管理水平。</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方正仿宋_GBK" w:hAnsi="方正仿宋_GBK" w:eastAsia="方正仿宋_GBK" w:cs="方正仿宋_GBK"/>
          <w:b/>
          <w:bCs/>
          <w:color w:val="auto"/>
          <w:kern w:val="2"/>
          <w:sz w:val="32"/>
          <w:szCs w:val="32"/>
          <w:lang w:val="en-US" w:eastAsia="zh-CN" w:bidi="ar-SA"/>
        </w:rPr>
        <w:t>3.突出重点，全力打好脱贫攻坚战。</w:t>
      </w:r>
      <w:r>
        <w:rPr>
          <w:rFonts w:hint="eastAsia" w:ascii="Times New Roman" w:hAnsi="Times New Roman" w:eastAsia="方正仿宋_GBK" w:cs="Times New Roman"/>
          <w:color w:val="auto"/>
          <w:kern w:val="2"/>
          <w:sz w:val="32"/>
          <w:szCs w:val="32"/>
          <w:lang w:val="en-US" w:eastAsia="zh-CN" w:bidi="ar-SA"/>
        </w:rPr>
        <w:t>聚焦“两不愁三保障”，严格落实扶贫资金拨付机制，继续完善扶贫资金动态监控机制,开展扶贫资金绩效评估,确保扶贫资金使用安全高效。</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各位代表，在取得以上成绩的同时，我们也清醒地认识到，财政运行中还存在一些突出的问题和困难：</w:t>
      </w:r>
      <w:r>
        <w:rPr>
          <w:rFonts w:hint="eastAsia" w:ascii="Times New Roman" w:hAnsi="Times New Roman" w:eastAsia="方正仿宋_GBK" w:cs="Times New Roman"/>
          <w:b/>
          <w:bCs/>
          <w:color w:val="auto"/>
          <w:kern w:val="2"/>
          <w:sz w:val="32"/>
          <w:szCs w:val="32"/>
          <w:lang w:val="en-US" w:eastAsia="zh-CN" w:bidi="ar-SA"/>
        </w:rPr>
        <w:t>一是</w:t>
      </w:r>
      <w:r>
        <w:rPr>
          <w:rFonts w:hint="eastAsia" w:ascii="Times New Roman" w:hAnsi="Times New Roman" w:eastAsia="方正仿宋_GBK" w:cs="Times New Roman"/>
          <w:color w:val="auto"/>
          <w:kern w:val="2"/>
          <w:sz w:val="32"/>
          <w:szCs w:val="32"/>
          <w:lang w:val="en-US" w:eastAsia="zh-CN" w:bidi="ar-SA"/>
        </w:rPr>
        <w:t>财政收支矛盾愈发突显。我乡财源基础较弱，新增财源支撑不明显，财政增收乏力；</w:t>
      </w:r>
      <w:r>
        <w:rPr>
          <w:rFonts w:hint="eastAsia" w:ascii="Times New Roman" w:hAnsi="Times New Roman" w:eastAsia="方正仿宋_GBK" w:cs="Times New Roman"/>
          <w:b/>
          <w:bCs/>
          <w:color w:val="auto"/>
          <w:kern w:val="2"/>
          <w:sz w:val="32"/>
          <w:szCs w:val="32"/>
          <w:lang w:val="en-US" w:eastAsia="zh-CN" w:bidi="ar-SA"/>
        </w:rPr>
        <w:t>二是</w:t>
      </w:r>
      <w:r>
        <w:rPr>
          <w:rFonts w:hint="eastAsia" w:ascii="Times New Roman" w:hAnsi="Times New Roman" w:eastAsia="方正仿宋_GBK" w:cs="Times New Roman"/>
          <w:color w:val="auto"/>
          <w:kern w:val="2"/>
          <w:sz w:val="32"/>
          <w:szCs w:val="32"/>
          <w:lang w:val="en-US" w:eastAsia="zh-CN" w:bidi="ar-SA"/>
        </w:rPr>
        <w:t>财政性资金使用绩效有待提高，部门全面预算绩效管理责任亟待压实。三是财政部门自身建设还需进一步强化等。对此，我们将进一步增强忧患意识和责任意识，切实采取有效措施逐步加以解决。</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黑体_GBK" w:eastAsia="方正黑体_GBK"/>
          <w:color w:val="000000"/>
          <w:szCs w:val="32"/>
        </w:rPr>
      </w:pPr>
      <w:r>
        <w:rPr>
          <w:rFonts w:hint="eastAsia" w:ascii="方正黑体_GBK" w:eastAsia="方正黑体_GBK"/>
          <w:color w:val="000000"/>
          <w:szCs w:val="32"/>
        </w:rPr>
        <w:t>二</w:t>
      </w:r>
      <w:r>
        <w:rPr>
          <w:rFonts w:ascii="方正黑体_GBK" w:eastAsia="方正黑体_GBK"/>
          <w:color w:val="000000"/>
          <w:szCs w:val="32"/>
        </w:rPr>
        <w:t>、20</w:t>
      </w:r>
      <w:r>
        <w:rPr>
          <w:rFonts w:hint="eastAsia" w:ascii="方正黑体_GBK" w:eastAsia="方正黑体_GBK"/>
          <w:color w:val="000000"/>
          <w:szCs w:val="32"/>
          <w:lang w:val="en-US" w:eastAsia="zh-CN"/>
        </w:rPr>
        <w:t>20</w:t>
      </w:r>
      <w:r>
        <w:rPr>
          <w:rFonts w:ascii="方正黑体_GBK" w:eastAsia="方正黑体_GBK"/>
          <w:color w:val="000000"/>
          <w:szCs w:val="32"/>
        </w:rPr>
        <w:t>年预算</w:t>
      </w:r>
      <w:r>
        <w:rPr>
          <w:rFonts w:hint="eastAsia" w:ascii="方正黑体_GBK" w:eastAsia="方正黑体_GBK"/>
          <w:color w:val="000000"/>
          <w:szCs w:val="32"/>
        </w:rPr>
        <w:t>草案</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方正楷体_GBK" w:hAnsi="方正楷体_GBK" w:eastAsia="方正楷体_GBK" w:cs="方正楷体_GBK"/>
          <w:b w:val="0"/>
          <w:bCs/>
          <w:color w:val="000000"/>
          <w:szCs w:val="32"/>
        </w:rPr>
      </w:pPr>
      <w:r>
        <w:rPr>
          <w:rFonts w:hint="eastAsia" w:ascii="方正楷体_GBK" w:hAnsi="方正楷体_GBK" w:eastAsia="方正楷体_GBK" w:cs="方正楷体_GBK"/>
          <w:b w:val="0"/>
          <w:bCs/>
          <w:color w:val="000000"/>
          <w:szCs w:val="32"/>
          <w:lang w:val="en-US" w:eastAsia="zh-CN"/>
        </w:rPr>
        <w:t>（一）指导思想和原则</w:t>
      </w:r>
    </w:p>
    <w:p>
      <w:pPr>
        <w:keepNext w:val="0"/>
        <w:keepLines w:val="0"/>
        <w:pageBreakBefore w:val="0"/>
        <w:kinsoku/>
        <w:wordWrap/>
        <w:overflowPunct/>
        <w:topLinePunct w:val="0"/>
        <w:autoSpaceDE w:val="0"/>
        <w:autoSpaceDN w:val="0"/>
        <w:bidi w:val="0"/>
        <w:adjustRightInd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2020年是全面建成小康社会和“十三五”规划收官之年，做好全年财政工作意义重大，同时面临严峻挑战。我乡将认真贯彻市委和县委决策部署，努力开创财政改革发展新局面。今年全乡财政预算安排将围绕“保工资、保运转、保稳定、促发展”的目标，统筹安排财政资金，认真贯彻“以收定支”原则，加大优化财政支出结构力度，坚持政府过紧日子，切实做到有保有压。加快建立完善现代财政制度，促进经济持续健康发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20" w:lineRule="exact"/>
        <w:ind w:left="0" w:right="0" w:firstLine="420"/>
        <w:textAlignment w:val="auto"/>
        <w:rPr>
          <w:rFonts w:hint="eastAsia" w:ascii="方正仿宋_GBK" w:eastAsia="方正仿宋_GBK"/>
          <w:b w:val="0"/>
          <w:bCs/>
          <w:sz w:val="32"/>
          <w:szCs w:val="32"/>
          <w:lang w:eastAsia="zh-CN"/>
        </w:rPr>
      </w:pPr>
      <w:r>
        <w:rPr>
          <w:rFonts w:hint="eastAsia" w:ascii="方正楷体_GBK" w:hAnsi="Times New Roman" w:eastAsia="方正楷体_GBK" w:cs="Times New Roman"/>
          <w:b w:val="0"/>
          <w:bCs/>
          <w:color w:val="000000"/>
          <w:kern w:val="2"/>
          <w:sz w:val="32"/>
          <w:szCs w:val="32"/>
          <w:lang w:val="en-US" w:eastAsia="zh-CN" w:bidi="ar-SA"/>
        </w:rPr>
        <w:t>（二）全乡预算草案</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根据上述工作目标和2019年财政预算完成情况，编制2020年全乡财政预算草案如下：</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2020年预算财政支出共计587.82万元，主要依据县财政预算口径和控制指标。</w:t>
      </w:r>
    </w:p>
    <w:p>
      <w:pPr>
        <w:keepNext w:val="0"/>
        <w:keepLines w:val="0"/>
        <w:pageBreakBefore w:val="0"/>
        <w:kinsoku/>
        <w:wordWrap/>
        <w:overflowPunct/>
        <w:topLinePunct w:val="0"/>
        <w:bidi w:val="0"/>
        <w:snapToGrid/>
        <w:spacing w:line="520" w:lineRule="exact"/>
        <w:ind w:firstLine="630"/>
        <w:jc w:val="left"/>
        <w:textAlignment w:val="auto"/>
        <w:rPr>
          <w:rFonts w:hint="eastAsia" w:ascii="方正仿宋_GBK" w:eastAsia="方正仿宋_GBK"/>
          <w:b/>
          <w:bCs/>
          <w:sz w:val="32"/>
          <w:szCs w:val="32"/>
          <w:lang w:eastAsia="zh-CN"/>
        </w:rPr>
      </w:pPr>
      <w:r>
        <w:rPr>
          <w:rFonts w:hint="eastAsia" w:ascii="方正仿宋_GBK" w:eastAsia="方正仿宋_GBK"/>
          <w:b/>
          <w:bCs/>
          <w:sz w:val="32"/>
          <w:szCs w:val="32"/>
          <w:lang w:eastAsia="zh-CN"/>
        </w:rPr>
        <w:t>项目支出方面共计</w:t>
      </w:r>
      <w:r>
        <w:rPr>
          <w:rFonts w:hint="eastAsia" w:ascii="方正仿宋_GBK" w:eastAsia="方正仿宋_GBK"/>
          <w:b/>
          <w:bCs/>
          <w:sz w:val="32"/>
          <w:szCs w:val="32"/>
          <w:lang w:val="en-US" w:eastAsia="zh-CN"/>
        </w:rPr>
        <w:t>139.898万元，分为以下五项</w:t>
      </w:r>
      <w:r>
        <w:rPr>
          <w:rFonts w:hint="eastAsia" w:ascii="方正仿宋_GBK" w:eastAsia="方正仿宋_GBK"/>
          <w:b/>
          <w:bCs/>
          <w:sz w:val="32"/>
          <w:szCs w:val="32"/>
          <w:lang w:eastAsia="zh-CN"/>
        </w:rPr>
        <w:t>：</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对村（社区）党支部和村（居）民委员会的补助共计97.97万元。其中：村（社区）干部报酬支出56.42万元；农村基层本土人才报酬待遇9万元；村社区干部社会保障缴费支出8.55万；村级组织办公经费11万元；村级服务群众专项经费13万元。</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default"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2.计划生育服务计生手术减免补助0.528万元。</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3.其他共产党事务支出：对农村40年及以上党龄的老党员生活补助3.4万。</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4.市政和公益设施运行维护专项转移支付30万元。</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5.其他扶贫支出：贫困村驻村工作队工作经费4万元；高贫困村服务群众工作专项经费2万元；驻乡工作队工作经费2万元。</w:t>
      </w:r>
    </w:p>
    <w:p>
      <w:pPr>
        <w:pStyle w:val="4"/>
        <w:keepNext w:val="0"/>
        <w:keepLines w:val="0"/>
        <w:pageBreakBefore w:val="0"/>
        <w:kinsoku/>
        <w:wordWrap/>
        <w:overflowPunct/>
        <w:topLinePunct w:val="0"/>
        <w:bidi w:val="0"/>
        <w:snapToGrid/>
        <w:spacing w:line="520" w:lineRule="exact"/>
        <w:ind w:firstLine="640"/>
        <w:textAlignment w:val="auto"/>
        <w:rPr>
          <w:rFonts w:hint="eastAsia" w:ascii="方正仿宋_GBK" w:eastAsia="方正仿宋_GBK"/>
          <w:b/>
          <w:bCs/>
          <w:sz w:val="32"/>
          <w:szCs w:val="32"/>
        </w:rPr>
      </w:pPr>
      <w:r>
        <w:rPr>
          <w:rFonts w:hint="eastAsia" w:ascii="方正仿宋_GBK" w:eastAsia="方正仿宋_GBK"/>
          <w:b/>
          <w:bCs/>
          <w:sz w:val="32"/>
          <w:szCs w:val="32"/>
          <w:lang w:eastAsia="zh-CN"/>
        </w:rPr>
        <w:t>基本支出方面共计</w:t>
      </w:r>
      <w:r>
        <w:rPr>
          <w:rFonts w:hint="eastAsia" w:ascii="方正仿宋_GBK" w:eastAsia="方正仿宋_GBK"/>
          <w:b/>
          <w:bCs/>
          <w:sz w:val="32"/>
          <w:szCs w:val="32"/>
          <w:lang w:val="en-US" w:eastAsia="zh-CN"/>
        </w:rPr>
        <w:t>447.92万元，分为以下两项</w:t>
      </w:r>
      <w:r>
        <w:rPr>
          <w:rFonts w:hint="eastAsia" w:ascii="方正仿宋_GBK" w:eastAsia="方正仿宋_GBK"/>
          <w:b/>
          <w:bCs/>
          <w:sz w:val="32"/>
          <w:szCs w:val="32"/>
          <w:lang w:eastAsia="zh-CN"/>
        </w:rPr>
        <w:t>：</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1.商品和服务支出61.42万元（即办公费、水费、电费、邮电费、手续费、差旅费、公务接待、公务用车、其他商品和服务支出）。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方正仿宋_GBK" w:eastAsia="方正仿宋_GBK"/>
          <w:sz w:val="32"/>
          <w:szCs w:val="32"/>
        </w:rPr>
      </w:pPr>
      <w:r>
        <w:rPr>
          <w:rFonts w:hint="eastAsia" w:ascii="Times New Roman" w:hAnsi="Times New Roman" w:eastAsia="方正仿宋_GBK" w:cs="Times New Roman"/>
          <w:color w:val="auto"/>
          <w:kern w:val="2"/>
          <w:sz w:val="32"/>
          <w:szCs w:val="32"/>
          <w:lang w:val="en-US" w:eastAsia="zh-CN" w:bidi="ar-SA"/>
        </w:rPr>
        <w:t>2.在职职工等人员经费支出386.5万元（年初编制预算时我乡在职32人，其中行政参公人员15人，事业人员17人）。</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20" w:lineRule="exact"/>
        <w:ind w:right="0" w:firstLine="632" w:firstLineChars="200"/>
        <w:textAlignment w:val="auto"/>
        <w:rPr>
          <w:rFonts w:hint="eastAsia" w:ascii="方正楷体_GBK" w:hAnsi="Times New Roman" w:eastAsia="方正楷体_GBK" w:cs="Times New Roman"/>
          <w:b w:val="0"/>
          <w:bCs/>
          <w:color w:val="000000"/>
          <w:kern w:val="2"/>
          <w:sz w:val="32"/>
          <w:szCs w:val="32"/>
          <w:lang w:val="en-US" w:eastAsia="zh-CN" w:bidi="ar-SA"/>
        </w:rPr>
      </w:pPr>
      <w:r>
        <w:rPr>
          <w:rFonts w:hint="eastAsia" w:ascii="方正楷体_GBK" w:hAnsi="Times New Roman" w:eastAsia="方正楷体_GBK" w:cs="Times New Roman"/>
          <w:b w:val="0"/>
          <w:bCs/>
          <w:color w:val="000000"/>
          <w:kern w:val="2"/>
          <w:sz w:val="32"/>
          <w:szCs w:val="32"/>
          <w:lang w:val="en-US" w:eastAsia="zh-CN" w:bidi="ar-SA"/>
        </w:rPr>
        <w:t>（三）2020年重点工作</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2020年，我乡财政将重点做好以下两个方面工作。</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方正楷体_GBK" w:hAnsi="方正楷体_GBK" w:eastAsia="方正楷体_GBK" w:cs="方正楷体_GBK"/>
          <w:color w:val="auto"/>
          <w:kern w:val="2"/>
          <w:sz w:val="32"/>
          <w:szCs w:val="32"/>
          <w:lang w:val="en-US" w:eastAsia="zh-CN" w:bidi="ar-SA"/>
        </w:rPr>
        <w:t>第一，强化收支管理，全力保障财政稳健运行。</w:t>
      </w:r>
      <w:r>
        <w:rPr>
          <w:rFonts w:hint="eastAsia" w:ascii="Times New Roman" w:hAnsi="Times New Roman" w:eastAsia="方正仿宋_GBK" w:cs="Times New Roman"/>
          <w:b/>
          <w:bCs/>
          <w:color w:val="auto"/>
          <w:kern w:val="2"/>
          <w:sz w:val="32"/>
          <w:szCs w:val="32"/>
          <w:lang w:val="en-US" w:eastAsia="zh-CN" w:bidi="ar-SA"/>
        </w:rPr>
        <w:t>一是</w:t>
      </w:r>
      <w:r>
        <w:rPr>
          <w:rFonts w:hint="eastAsia" w:ascii="Times New Roman" w:hAnsi="Times New Roman" w:eastAsia="方正仿宋_GBK" w:cs="Times New Roman"/>
          <w:color w:val="auto"/>
          <w:kern w:val="2"/>
          <w:sz w:val="32"/>
          <w:szCs w:val="32"/>
          <w:lang w:val="en-US" w:eastAsia="zh-CN" w:bidi="ar-SA"/>
        </w:rPr>
        <w:t>着力实现收入预期目标。严格非税收入征缴责任，确保非税收入均衡入库，促进财政收入平稳增长。</w:t>
      </w:r>
      <w:r>
        <w:rPr>
          <w:rFonts w:hint="eastAsia" w:ascii="Times New Roman" w:hAnsi="Times New Roman" w:eastAsia="方正仿宋_GBK" w:cs="Times New Roman"/>
          <w:b/>
          <w:bCs/>
          <w:color w:val="auto"/>
          <w:kern w:val="2"/>
          <w:sz w:val="32"/>
          <w:szCs w:val="32"/>
          <w:lang w:val="en-US" w:eastAsia="zh-CN" w:bidi="ar-SA"/>
        </w:rPr>
        <w:t>二是</w:t>
      </w:r>
      <w:r>
        <w:rPr>
          <w:rFonts w:hint="eastAsia" w:ascii="Times New Roman" w:hAnsi="Times New Roman" w:eastAsia="方正仿宋_GBK" w:cs="Times New Roman"/>
          <w:color w:val="auto"/>
          <w:kern w:val="2"/>
          <w:sz w:val="32"/>
          <w:szCs w:val="32"/>
          <w:lang w:val="en-US" w:eastAsia="zh-CN" w:bidi="ar-SA"/>
        </w:rPr>
        <w:t>严格支出预算管理。坚持预算硬约束。尽力压缩一般性支出，“三公经费”只减不增，优先保障人员工资、机关事业单位运转和基本民生支出。</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方正楷体_GBK" w:hAnsi="方正楷体_GBK" w:eastAsia="方正楷体_GBK" w:cs="方正楷体_GBK"/>
          <w:color w:val="auto"/>
          <w:kern w:val="2"/>
          <w:sz w:val="32"/>
          <w:szCs w:val="32"/>
          <w:lang w:val="en-US" w:eastAsia="zh-CN" w:bidi="ar-SA"/>
        </w:rPr>
        <w:t>第二，坚持精准发力，全力打好脱贫攻坚战。</w:t>
      </w:r>
      <w:r>
        <w:rPr>
          <w:rFonts w:hint="eastAsia" w:ascii="Times New Roman" w:hAnsi="Times New Roman" w:eastAsia="方正仿宋_GBK" w:cs="Times New Roman"/>
          <w:color w:val="auto"/>
          <w:kern w:val="2"/>
          <w:sz w:val="32"/>
          <w:szCs w:val="32"/>
          <w:lang w:val="en-US" w:eastAsia="zh-CN" w:bidi="ar-SA"/>
        </w:rPr>
        <w:t>在巩固已有成果、打好重点战役、建立长效机制上下功夫，支持打好精准脱贫攻坚战，严格按照“四个不摘”要求，切实保障扶贫资金需求，全面加强扶贫资金监管，巩固脱贫攻坚成果。</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各位代表，做好2020年财政工作责任重大、使命光荣。我们将在乡党委的正确领导下，在县级各部门的监督指导下，认真贯彻落实本次大会决议，坚定信心、只争朝夕、不负韶华、锐意进取，扎实做好财政各项工作，为全面建成小康社会、加快建成生产发展、生活富裕、生态良好的治平作出积极贡献！</w:t>
      </w:r>
    </w:p>
    <w:p>
      <w:pPr>
        <w:pStyle w:val="4"/>
        <w:keepNext w:val="0"/>
        <w:keepLines w:val="0"/>
        <w:pageBreakBefore w:val="0"/>
        <w:numPr>
          <w:ilvl w:val="0"/>
          <w:numId w:val="0"/>
        </w:numPr>
        <w:kinsoku/>
        <w:wordWrap/>
        <w:overflowPunct/>
        <w:topLinePunct w:val="0"/>
        <w:bidi w:val="0"/>
        <w:snapToGrid/>
        <w:spacing w:line="520" w:lineRule="exact"/>
        <w:ind w:firstLine="632" w:firstLineChars="200"/>
        <w:textAlignment w:val="auto"/>
        <w:rPr>
          <w:rFonts w:hint="eastAsia" w:ascii="Times New Roman" w:hAnsi="Times New Roman" w:eastAsia="方正仿宋_GBK" w:cs="Times New Roman"/>
          <w:color w:val="auto"/>
          <w:kern w:val="2"/>
          <w:sz w:val="32"/>
          <w:szCs w:val="32"/>
          <w:lang w:val="en-US" w:eastAsia="zh-CN" w:bidi="ar-SA"/>
        </w:rPr>
      </w:pPr>
    </w:p>
    <w:sectPr>
      <w:footerReference r:id="rId3" w:type="default"/>
      <w:footerReference r:id="rId4" w:type="even"/>
      <w:pgSz w:w="11906" w:h="16838"/>
      <w:pgMar w:top="2098" w:right="1304" w:bottom="1984" w:left="1587" w:header="851" w:footer="1361" w:gutter="0"/>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t">
    <w:altName w:val="Times New Roman"/>
    <w:panose1 w:val="00000000000000000000"/>
    <w:charset w:val="00"/>
    <w:family w:val="roman"/>
    <w:pitch w:val="default"/>
    <w:sig w:usb0="00000000" w:usb1="00000000" w:usb2="00000000" w:usb3="00000000" w:csb0="00040001"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7560" w:firstLineChars="2700"/>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3</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280" w:firstLineChars="100"/>
      <w:rPr>
        <w:rFonts w:hint="eastAsia" w:ascii="方正仿宋_GBK" w:hAnsi="宋体" w:eastAsia="方正仿宋_GBK" w:cs="宋体"/>
        <w:kern w:val="0"/>
        <w:sz w:val="32"/>
        <w:szCs w:val="32"/>
      </w:rPr>
    </w:pPr>
    <w:r>
      <w:rPr>
        <w:rFonts w:hint="eastAsia"/>
        <w:sz w:val="28"/>
      </w:rPr>
      <w:t xml:space="preserve">— </w:t>
    </w:r>
    <w:r>
      <w:rPr>
        <w:sz w:val="28"/>
      </w:rPr>
      <w:fldChar w:fldCharType="begin"/>
    </w:r>
    <w:r>
      <w:rPr>
        <w:sz w:val="28"/>
      </w:rPr>
      <w:instrText xml:space="preserve"> PAGE   \* MERGEFORMAT </w:instrText>
    </w:r>
    <w:r>
      <w:rPr>
        <w:sz w:val="28"/>
      </w:rPr>
      <w:fldChar w:fldCharType="separate"/>
    </w:r>
    <w:r>
      <w:rPr>
        <w:sz w:val="28"/>
        <w:lang w:val="zh-CN"/>
      </w:rPr>
      <w:t>2</w:t>
    </w:r>
    <w:r>
      <w:rPr>
        <w:sz w:val="28"/>
      </w:rPr>
      <w:fldChar w:fldCharType="end"/>
    </w:r>
    <w:r>
      <w:rPr>
        <w:rFonts w:hint="eastAsia"/>
        <w:sz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E75125"/>
    <w:rsid w:val="077337BA"/>
    <w:rsid w:val="08123716"/>
    <w:rsid w:val="11BB3C3C"/>
    <w:rsid w:val="123864C2"/>
    <w:rsid w:val="158279B8"/>
    <w:rsid w:val="276A5377"/>
    <w:rsid w:val="2B0C11C2"/>
    <w:rsid w:val="329C0C2A"/>
    <w:rsid w:val="3CA1378D"/>
    <w:rsid w:val="40D35D2C"/>
    <w:rsid w:val="49275D79"/>
    <w:rsid w:val="5AE651CC"/>
    <w:rsid w:val="5B4250DB"/>
    <w:rsid w:val="5B6C45A1"/>
    <w:rsid w:val="61730D29"/>
    <w:rsid w:val="63F418F2"/>
    <w:rsid w:val="644A5692"/>
    <w:rsid w:val="68E8702C"/>
    <w:rsid w:val="6AA9706A"/>
    <w:rsid w:val="728C2764"/>
    <w:rsid w:val="74B56BD9"/>
    <w:rsid w:val="75F33E52"/>
    <w:rsid w:val="780716A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ind w:leftChars="100" w:rightChars="100"/>
    </w:p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Normal (Web)"/>
    <w:basedOn w:val="1"/>
    <w:qFormat/>
    <w:uiPriority w:val="0"/>
    <w:pPr>
      <w:widowControl/>
      <w:jc w:val="left"/>
    </w:pPr>
    <w:rPr>
      <w:rFonts w:ascii="宋体" w:hAnsi="宋体" w:eastAsia="宋体" w:cs="宋体"/>
      <w:color w:val="000000"/>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向启茂[17784027503]</cp:lastModifiedBy>
  <dcterms:modified xsi:type="dcterms:W3CDTF">2020-04-08T03:19:33Z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