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100" w:firstLineChars="250"/>
        <w:rPr>
          <w:rFonts w:hint="eastAsia" w:ascii="Times New Roman" w:hAnsi="Times New Roman" w:eastAsia="方正小标宋_GBK"/>
          <w:sz w:val="44"/>
          <w:szCs w:val="44"/>
        </w:rPr>
      </w:pPr>
    </w:p>
    <w:p>
      <w:pPr>
        <w:spacing w:line="600" w:lineRule="exact"/>
        <w:ind w:firstLine="2420" w:firstLineChars="55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城口县</w:t>
      </w:r>
      <w:r>
        <w:rPr>
          <w:rFonts w:hint="eastAsia" w:ascii="方正小标宋简体" w:hAnsi="方正小标宋简体" w:eastAsia="方正小标宋简体" w:cs="方正小标宋简体"/>
          <w:sz w:val="44"/>
          <w:szCs w:val="44"/>
          <w:lang w:eastAsia="zh-CN"/>
        </w:rPr>
        <w:t>周溪乡卫生院</w:t>
      </w:r>
    </w:p>
    <w:p>
      <w:pPr>
        <w:spacing w:line="600" w:lineRule="exact"/>
        <w:ind w:firstLine="1320" w:firstLineChars="3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2020年度县级部门决算公开说明</w:t>
      </w:r>
    </w:p>
    <w:p>
      <w:pPr>
        <w:pStyle w:val="4"/>
        <w:widowControl/>
        <w:shd w:val="clear" w:fill="FFFFFF"/>
        <w:snapToGrid w:val="0"/>
        <w:rPr>
          <w:rStyle w:val="7"/>
          <w:rFonts w:hint="eastAsia" w:ascii="方正仿宋_GBK" w:hAnsi="方正仿宋_GBK" w:eastAsia="方正仿宋_GBK" w:cs="方正仿宋_GBK"/>
          <w:sz w:val="32"/>
          <w:szCs w:val="32"/>
          <w:shd w:val="clear" w:fill="FFFFFF"/>
          <w:lang w:val="en-US"/>
        </w:rPr>
      </w:pP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黑体_GBK" w:hAnsi="方正黑体_GBK" w:eastAsia="方正黑体_GBK" w:cs="方正黑体_GBK"/>
          <w:b w:val="0"/>
          <w:bCs/>
          <w:sz w:val="32"/>
          <w:szCs w:val="32"/>
          <w:shd w:val="clear" w:fill="FFFFFF"/>
          <w:lang w:eastAsia="zh-CN"/>
        </w:rPr>
        <w:t>一、部门基本情况</w:t>
      </w:r>
    </w:p>
    <w:p>
      <w:pPr>
        <w:pStyle w:val="4"/>
        <w:widowControl/>
        <w:numPr>
          <w:ilvl w:val="0"/>
          <w:numId w:val="1"/>
        </w:numPr>
        <w:shd w:val="clear" w:fill="FFFFFF"/>
        <w:snapToGrid w:val="0"/>
        <w:ind w:left="361" w:leftChars="0" w:firstLine="0" w:firstLineChars="0"/>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fill="FFFFFF"/>
          <w:lang w:eastAsia="zh-CN"/>
        </w:rPr>
        <w:t>职能职责。</w:t>
      </w:r>
    </w:p>
    <w:p>
      <w:pPr>
        <w:pStyle w:val="4"/>
        <w:widowControl/>
        <w:numPr>
          <w:ilvl w:val="0"/>
          <w:numId w:val="0"/>
        </w:numPr>
        <w:shd w:val="clear" w:fill="FFFFFF"/>
        <w:snapToGrid w:val="0"/>
        <w:ind w:left="361" w:leftChars="0" w:right="0" w:righ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我院是一所集基本医疗、预防保健、</w:t>
      </w:r>
      <w:r>
        <w:rPr>
          <w:rFonts w:hint="eastAsia" w:ascii="方正仿宋_GBK" w:hAnsi="方正仿宋_GBK" w:eastAsia="方正仿宋_GBK" w:cs="方正仿宋_GBK"/>
          <w:sz w:val="32"/>
          <w:szCs w:val="32"/>
          <w:lang w:eastAsia="zh-CN"/>
        </w:rPr>
        <w:t>公共卫生</w:t>
      </w:r>
      <w:r>
        <w:rPr>
          <w:rFonts w:hint="eastAsia" w:ascii="方正仿宋_GBK" w:hAnsi="方正仿宋_GBK" w:eastAsia="方正仿宋_GBK" w:cs="方正仿宋_GBK"/>
          <w:sz w:val="32"/>
          <w:szCs w:val="32"/>
        </w:rPr>
        <w:t>服务为一体的非营利性综合</w:t>
      </w:r>
      <w:r>
        <w:rPr>
          <w:rFonts w:hint="eastAsia" w:ascii="方正仿宋_GBK" w:hAnsi="方正仿宋_GBK" w:eastAsia="方正仿宋_GBK" w:cs="方正仿宋_GBK"/>
          <w:sz w:val="32"/>
          <w:szCs w:val="32"/>
          <w:lang w:eastAsia="zh-CN"/>
        </w:rPr>
        <w:t>基层</w:t>
      </w:r>
      <w:r>
        <w:rPr>
          <w:rFonts w:hint="eastAsia" w:ascii="方正仿宋_GBK" w:hAnsi="方正仿宋_GBK" w:eastAsia="方正仿宋_GBK" w:cs="方正仿宋_GBK"/>
          <w:sz w:val="32"/>
          <w:szCs w:val="32"/>
        </w:rPr>
        <w:t>医疗机构，城口县新型农村合作医疗定点医疗机构，城乡困难群众大病医疗救助定点机构，城乡居民医疗保险定点机构。</w:t>
      </w:r>
    </w:p>
    <w:p>
      <w:pPr>
        <w:pStyle w:val="4"/>
        <w:widowControl/>
        <w:numPr>
          <w:ilvl w:val="0"/>
          <w:numId w:val="1"/>
        </w:numPr>
        <w:shd w:val="clear" w:fill="FFFFFF"/>
        <w:snapToGrid w:val="0"/>
        <w:ind w:left="361" w:leftChars="0" w:firstLine="0" w:firstLineChars="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机构设置。</w:t>
      </w:r>
    </w:p>
    <w:p>
      <w:pPr>
        <w:pStyle w:val="4"/>
        <w:widowControl/>
        <w:numPr>
          <w:ilvl w:val="0"/>
          <w:numId w:val="0"/>
        </w:numPr>
        <w:shd w:val="clear" w:fill="FFFFFF"/>
        <w:snapToGrid w:val="0"/>
        <w:ind w:left="361" w:leftChars="0" w:right="0" w:rightChars="0" w:firstLine="640" w:firstLineChars="20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rPr>
        <w:t>本单位</w:t>
      </w:r>
      <w:r>
        <w:rPr>
          <w:rStyle w:val="10"/>
          <w:rFonts w:hint="eastAsia" w:ascii="方正仿宋_GBK" w:hAnsi="方正仿宋_GBK" w:eastAsia="方正仿宋_GBK" w:cs="方正仿宋_GBK"/>
          <w:sz w:val="32"/>
          <w:szCs w:val="32"/>
          <w:lang w:val="en-US" w:eastAsia="zh-CN"/>
        </w:rPr>
        <w:t>现有职工15人，其中临聘10人，主治医师1名，执业医师1名,执业助理医师3名，执业护士4名，床位18张。具有大专及以上学历者7人,设有内科、外科、妇产科、中医科、预防保健科等科室，配备有大型的DR---X射线诊断系统、彩超、全自动生化分析仪、三分类血细胞分析仪、动态心电图等先进的医疗诊断设备。</w:t>
      </w:r>
    </w:p>
    <w:p>
      <w:pPr>
        <w:pStyle w:val="4"/>
        <w:widowControl/>
        <w:shd w:val="clear" w:fill="FFFFFF"/>
        <w:snapToGrid w:val="0"/>
        <w:rPr>
          <w:rStyle w:val="7"/>
          <w:rFonts w:hint="eastAsia" w:ascii="方正黑体_GBK" w:hAnsi="方正黑体_GBK" w:eastAsia="方正黑体_GBK" w:cs="方正黑体_GBK"/>
          <w:b w:val="0"/>
          <w:bCs/>
          <w:sz w:val="32"/>
          <w:szCs w:val="32"/>
          <w:shd w:val="clear" w:fill="FFFFFF"/>
          <w:lang w:eastAsia="zh-CN"/>
        </w:rPr>
      </w:pPr>
      <w:r>
        <w:rPr>
          <w:rStyle w:val="7"/>
          <w:rFonts w:hint="eastAsia" w:ascii="方正黑体_GBK" w:hAnsi="方正黑体_GBK" w:eastAsia="方正黑体_GBK" w:cs="方正黑体_GBK"/>
          <w:b w:val="0"/>
          <w:bCs/>
          <w:sz w:val="32"/>
          <w:szCs w:val="32"/>
          <w:shd w:val="clear" w:fill="FFFFFF"/>
          <w:lang w:val="en-US" w:eastAsia="zh-CN"/>
        </w:rPr>
        <w:t xml:space="preserve">  </w:t>
      </w:r>
      <w:r>
        <w:rPr>
          <w:rStyle w:val="7"/>
          <w:rFonts w:hint="eastAsia" w:ascii="方正黑体_GBK" w:hAnsi="方正黑体_GBK" w:eastAsia="方正黑体_GBK" w:cs="方正黑体_GBK"/>
          <w:b w:val="0"/>
          <w:bCs/>
          <w:sz w:val="32"/>
          <w:szCs w:val="32"/>
          <w:shd w:val="clear" w:fill="FFFFFF"/>
          <w:lang w:eastAsia="zh-CN"/>
        </w:rPr>
        <w:t>二、部门决算情况说明</w:t>
      </w:r>
    </w:p>
    <w:p>
      <w:pPr>
        <w:pStyle w:val="4"/>
        <w:widowControl/>
        <w:numPr>
          <w:numId w:val="0"/>
        </w:numPr>
        <w:shd w:val="clear" w:fill="FFFFFF"/>
        <w:snapToGrid w:val="0"/>
        <w:ind w:right="0" w:rightChars="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val="en-US" w:eastAsia="zh-CN"/>
        </w:rPr>
        <w:t xml:space="preserve"> </w:t>
      </w:r>
      <w:r>
        <w:rPr>
          <w:rStyle w:val="7"/>
          <w:rFonts w:hint="eastAsia" w:ascii="方正楷体_GBK" w:hAnsi="方正楷体_GBK" w:eastAsia="方正楷体_GBK" w:cs="方正楷体_GBK"/>
          <w:b w:val="0"/>
          <w:bCs/>
          <w:sz w:val="32"/>
          <w:szCs w:val="32"/>
          <w:shd w:val="clear" w:fill="FFFFFF"/>
          <w:lang w:eastAsia="zh-CN"/>
        </w:rPr>
        <w:t>（一）收入支出决算总体情况说明</w:t>
      </w:r>
    </w:p>
    <w:p>
      <w:pPr>
        <w:pStyle w:val="4"/>
        <w:shd w:val="clear" w:color="auto" w:fill="FFFFFF"/>
        <w:rPr>
          <w:rFonts w:hint="eastAsia" w:ascii="方正仿宋_GBK" w:hAnsi="方正仿宋_GBK" w:eastAsia="方正仿宋_GBK" w:cs="方正仿宋_GBK"/>
          <w:color w:val="FF0000"/>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仿宋_GBK" w:hAnsi="方正仿宋_GBK" w:eastAsia="方正仿宋_GBK" w:cs="方正仿宋_GBK"/>
          <w:sz w:val="32"/>
          <w:szCs w:val="32"/>
          <w:shd w:val="clear" w:fill="FFFFFF"/>
          <w:lang w:val="en-US" w:eastAsia="zh-CN"/>
        </w:rPr>
        <w:t xml:space="preserve"> </w:t>
      </w:r>
      <w:r>
        <w:rPr>
          <w:rStyle w:val="7"/>
          <w:rFonts w:hint="eastAsia" w:ascii="方正仿宋_GBK" w:hAnsi="方正仿宋_GBK" w:eastAsia="方正仿宋_GBK" w:cs="方正仿宋_GBK"/>
          <w:sz w:val="32"/>
          <w:szCs w:val="32"/>
          <w:shd w:val="clear" w:fill="FFFFFF"/>
          <w:lang w:val="en-US"/>
        </w:rPr>
        <w:t>1.</w:t>
      </w:r>
      <w:r>
        <w:rPr>
          <w:rStyle w:val="7"/>
          <w:rFonts w:hint="eastAsia" w:ascii="方正仿宋_GBK" w:hAnsi="方正仿宋_GBK" w:eastAsia="方正仿宋_GBK" w:cs="方正仿宋_GBK"/>
          <w:sz w:val="32"/>
          <w:szCs w:val="32"/>
          <w:shd w:val="clear" w:fill="FFFFFF"/>
          <w:lang w:eastAsia="zh-CN"/>
        </w:rPr>
        <w:t>总体情况。</w:t>
      </w:r>
      <w:r>
        <w:rPr>
          <w:rFonts w:hint="eastAsia" w:ascii="方正仿宋_GBK" w:hAnsi="方正仿宋_GBK" w:eastAsia="方正仿宋_GBK" w:cs="方正仿宋_GBK"/>
          <w:sz w:val="32"/>
          <w:szCs w:val="32"/>
          <w:shd w:val="clear" w:fill="FFFFFF"/>
          <w:lang w:val="en-US"/>
        </w:rPr>
        <w:t>20</w:t>
      </w:r>
      <w:r>
        <w:rPr>
          <w:rFonts w:hint="eastAsia" w:ascii="方正仿宋_GBK" w:hAnsi="方正仿宋_GBK" w:eastAsia="方正仿宋_GBK" w:cs="方正仿宋_GBK"/>
          <w:sz w:val="32"/>
          <w:szCs w:val="32"/>
          <w:shd w:val="clear" w:fill="FFFFFF"/>
          <w:lang w:val="en-US" w:eastAsia="zh-CN"/>
        </w:rPr>
        <w:t>20</w:t>
      </w:r>
      <w:r>
        <w:rPr>
          <w:rFonts w:hint="eastAsia" w:ascii="方正仿宋_GBK" w:hAnsi="方正仿宋_GBK" w:eastAsia="方正仿宋_GBK" w:cs="方正仿宋_GBK"/>
          <w:snapToGrid w:val="0"/>
          <w:sz w:val="32"/>
          <w:szCs w:val="32"/>
          <w:shd w:val="clear" w:fill="FFFFFF"/>
          <w:lang w:eastAsia="zh-CN"/>
        </w:rPr>
        <w:t>年度收入总计</w:t>
      </w:r>
      <w:r>
        <w:rPr>
          <w:rFonts w:hint="eastAsia" w:ascii="方正仿宋_GBK" w:hAnsi="方正仿宋_GBK" w:eastAsia="方正仿宋_GBK" w:cs="方正仿宋_GBK"/>
          <w:sz w:val="32"/>
          <w:szCs w:val="32"/>
          <w:shd w:val="clear" w:fill="FFFFFF"/>
          <w:lang w:val="en-US" w:eastAsia="zh-CN"/>
        </w:rPr>
        <w:t>365.79</w:t>
      </w:r>
      <w:r>
        <w:rPr>
          <w:rFonts w:hint="eastAsia" w:ascii="方正仿宋_GBK" w:hAnsi="方正仿宋_GBK" w:eastAsia="方正仿宋_GBK" w:cs="方正仿宋_GBK"/>
          <w:snapToGrid w:val="0"/>
          <w:sz w:val="32"/>
          <w:szCs w:val="32"/>
          <w:shd w:val="clear" w:fill="FFFFFF"/>
          <w:lang w:eastAsia="zh-CN"/>
        </w:rPr>
        <w:t>万元，支出总计</w:t>
      </w:r>
      <w:r>
        <w:rPr>
          <w:rFonts w:hint="eastAsia" w:ascii="方正仿宋_GBK" w:hAnsi="方正仿宋_GBK" w:eastAsia="方正仿宋_GBK" w:cs="方正仿宋_GBK"/>
          <w:sz w:val="32"/>
          <w:szCs w:val="32"/>
          <w:shd w:val="clear" w:fill="FFFFFF"/>
          <w:lang w:val="en-US" w:eastAsia="zh-CN"/>
        </w:rPr>
        <w:t>365.79</w:t>
      </w:r>
      <w:r>
        <w:rPr>
          <w:rFonts w:hint="eastAsia" w:ascii="方正仿宋_GBK" w:hAnsi="方正仿宋_GBK" w:eastAsia="方正仿宋_GBK" w:cs="方正仿宋_GBK"/>
          <w:snapToGrid w:val="0"/>
          <w:sz w:val="32"/>
          <w:szCs w:val="32"/>
          <w:shd w:val="clear" w:fill="FFFFFF"/>
          <w:lang w:eastAsia="zh-CN"/>
        </w:rPr>
        <w:t>万元。收支较上年决算数增加</w:t>
      </w:r>
      <w:r>
        <w:rPr>
          <w:rFonts w:hint="eastAsia" w:ascii="方正仿宋_GBK" w:hAnsi="方正仿宋_GBK" w:eastAsia="方正仿宋_GBK" w:cs="方正仿宋_GBK"/>
          <w:sz w:val="32"/>
          <w:szCs w:val="32"/>
          <w:shd w:val="clear" w:fill="FFFFFF"/>
          <w:lang w:val="en-US" w:eastAsia="zh-CN"/>
        </w:rPr>
        <w:t>9.75</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2.74</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rPr>
        <w:t>人员经费增加及</w:t>
      </w:r>
      <w:r>
        <w:rPr>
          <w:rFonts w:hint="eastAsia" w:ascii="方正仿宋_GBK" w:hAnsi="方正仿宋_GBK" w:eastAsia="方正仿宋_GBK" w:cs="方正仿宋_GBK"/>
          <w:sz w:val="32"/>
          <w:szCs w:val="32"/>
          <w:lang w:val="en-US" w:eastAsia="zh-CN"/>
        </w:rPr>
        <w:t>附属工程</w:t>
      </w:r>
      <w:r>
        <w:rPr>
          <w:rFonts w:hint="eastAsia" w:ascii="方正仿宋_GBK" w:hAnsi="方正仿宋_GBK" w:eastAsia="方正仿宋_GBK" w:cs="方正仿宋_GBK"/>
          <w:sz w:val="32"/>
          <w:szCs w:val="32"/>
        </w:rPr>
        <w:t>项目支出。</w:t>
      </w:r>
    </w:p>
    <w:p>
      <w:pPr>
        <w:pStyle w:val="4"/>
        <w:widowControl/>
        <w:shd w:val="clear" w:fill="FFFFFF"/>
        <w:snapToGrid w:val="0"/>
        <w:rPr>
          <w:rStyle w:val="7"/>
          <w:rFonts w:hint="eastAsia" w:ascii="方正仿宋_GBK" w:hAnsi="方正仿宋_GBK" w:eastAsia="方正仿宋_GBK" w:cs="方正仿宋_GBK"/>
          <w:sz w:val="32"/>
          <w:szCs w:val="32"/>
          <w:shd w:val="clear" w:fill="FFFFFF"/>
          <w:lang w:val="en-US"/>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仿宋_GBK" w:hAnsi="方正仿宋_GBK" w:eastAsia="方正仿宋_GBK" w:cs="方正仿宋_GBK"/>
          <w:sz w:val="32"/>
          <w:szCs w:val="32"/>
          <w:shd w:val="clear" w:fill="FFFFFF"/>
          <w:lang w:val="en-US" w:eastAsia="zh-CN"/>
        </w:rPr>
        <w:t xml:space="preserve"> </w:t>
      </w:r>
      <w:r>
        <w:rPr>
          <w:rStyle w:val="7"/>
          <w:rFonts w:hint="eastAsia" w:ascii="方正仿宋_GBK" w:hAnsi="方正仿宋_GBK" w:eastAsia="方正仿宋_GBK" w:cs="方正仿宋_GBK"/>
          <w:sz w:val="32"/>
          <w:szCs w:val="32"/>
          <w:shd w:val="clear" w:fill="FFFFFF"/>
          <w:lang w:val="en-US"/>
        </w:rPr>
        <w:t>2.</w:t>
      </w:r>
      <w:r>
        <w:rPr>
          <w:rStyle w:val="7"/>
          <w:rFonts w:hint="eastAsia" w:ascii="方正仿宋_GBK" w:hAnsi="方正仿宋_GBK" w:eastAsia="方正仿宋_GBK" w:cs="方正仿宋_GBK"/>
          <w:sz w:val="32"/>
          <w:szCs w:val="32"/>
          <w:shd w:val="clear" w:fill="FFFFFF"/>
          <w:lang w:eastAsia="zh-CN"/>
        </w:rPr>
        <w:t>收入情况。</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年度收入合计</w:t>
      </w:r>
      <w:r>
        <w:rPr>
          <w:rFonts w:hint="eastAsia" w:ascii="方正仿宋_GBK" w:hAnsi="方正仿宋_GBK" w:eastAsia="方正仿宋_GBK" w:cs="方正仿宋_GBK"/>
          <w:sz w:val="32"/>
          <w:szCs w:val="32"/>
          <w:shd w:val="clear" w:fill="FFFFFF"/>
          <w:lang w:val="en-US" w:eastAsia="zh-CN"/>
        </w:rPr>
        <w:t>337.91</w:t>
      </w:r>
      <w:r>
        <w:rPr>
          <w:rFonts w:hint="eastAsia" w:ascii="方正仿宋_GBK" w:hAnsi="方正仿宋_GBK" w:eastAsia="方正仿宋_GBK" w:cs="方正仿宋_GBK"/>
          <w:snapToGrid w:val="0"/>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eastAsia="zh-CN"/>
        </w:rPr>
        <w:t>29.68</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9.63</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napToGrid w:val="0"/>
          <w:sz w:val="32"/>
          <w:szCs w:val="32"/>
          <w:shd w:val="clear" w:fill="FFFFFF"/>
          <w:lang w:val="en-US" w:eastAsia="zh-CN"/>
        </w:rPr>
        <w:t>公共卫生服务项目收入、其他卫生健康财政项目预算拨款收入增长，基本医疗业务收入增长</w:t>
      </w:r>
      <w:r>
        <w:rPr>
          <w:rFonts w:hint="eastAsia" w:ascii="方正仿宋_GBK" w:hAnsi="方正仿宋_GBK" w:eastAsia="方正仿宋_GBK" w:cs="方正仿宋_GBK"/>
          <w:snapToGrid w:val="0"/>
          <w:sz w:val="32"/>
          <w:szCs w:val="32"/>
          <w:shd w:val="clear" w:fill="FFFFFF"/>
          <w:lang w:eastAsia="zh-CN"/>
        </w:rPr>
        <w:t>。其中：财政拨款收入</w:t>
      </w:r>
      <w:r>
        <w:rPr>
          <w:rFonts w:hint="eastAsia" w:ascii="方正仿宋_GBK" w:hAnsi="方正仿宋_GBK" w:eastAsia="方正仿宋_GBK" w:cs="方正仿宋_GBK"/>
          <w:sz w:val="32"/>
          <w:szCs w:val="32"/>
          <w:shd w:val="clear" w:fill="FFFFFF"/>
          <w:lang w:val="en-US" w:eastAsia="zh-CN"/>
        </w:rPr>
        <w:t>114.48</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val="en-US" w:eastAsia="zh-CN"/>
        </w:rPr>
        <w:t>4</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z w:val="32"/>
          <w:szCs w:val="32"/>
          <w:shd w:val="clear" w:fill="FFFFFF"/>
          <w:lang w:val="en-US" w:eastAsia="zh-CN"/>
        </w:rPr>
        <w:t>41</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；事业收入</w:t>
      </w:r>
      <w:r>
        <w:rPr>
          <w:rFonts w:hint="eastAsia" w:ascii="方正仿宋_GBK" w:hAnsi="方正仿宋_GBK" w:eastAsia="方正仿宋_GBK" w:cs="方正仿宋_GBK"/>
          <w:sz w:val="32"/>
          <w:szCs w:val="32"/>
          <w:shd w:val="clear" w:fill="FFFFFF"/>
          <w:lang w:val="en-US" w:eastAsia="zh-CN"/>
        </w:rPr>
        <w:t>221.23</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6</w:t>
      </w:r>
      <w:r>
        <w:rPr>
          <w:rFonts w:hint="eastAsia" w:ascii="方正仿宋_GBK" w:hAnsi="方正仿宋_GBK" w:eastAsia="方正仿宋_GBK" w:cs="方正仿宋_GBK"/>
          <w:sz w:val="32"/>
          <w:szCs w:val="32"/>
          <w:shd w:val="clear" w:fill="FFFFFF"/>
          <w:lang w:val="en-US" w:eastAsia="zh-CN"/>
        </w:rPr>
        <w:t>5</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z w:val="32"/>
          <w:szCs w:val="32"/>
          <w:shd w:val="clear" w:fill="FFFFFF"/>
          <w:lang w:val="en-US" w:eastAsia="zh-CN"/>
        </w:rPr>
        <w:t>47</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；其他收入</w:t>
      </w:r>
      <w:r>
        <w:rPr>
          <w:rFonts w:hint="eastAsia" w:ascii="方正仿宋_GBK" w:hAnsi="方正仿宋_GBK" w:eastAsia="方正仿宋_GBK" w:cs="方正仿宋_GBK"/>
          <w:sz w:val="32"/>
          <w:szCs w:val="32"/>
          <w:shd w:val="clear" w:fill="FFFFFF"/>
          <w:lang w:val="en-US" w:eastAsia="zh-CN"/>
        </w:rPr>
        <w:t>0.40</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eastAsia="zh-CN"/>
        </w:rPr>
        <w:t>0.12</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。年初结转和结余</w:t>
      </w:r>
      <w:r>
        <w:rPr>
          <w:rFonts w:hint="eastAsia" w:ascii="方正仿宋_GBK" w:hAnsi="方正仿宋_GBK" w:eastAsia="方正仿宋_GBK" w:cs="方正仿宋_GBK"/>
          <w:sz w:val="32"/>
          <w:szCs w:val="32"/>
          <w:shd w:val="clear" w:fill="FFFFFF"/>
          <w:lang w:val="en-US"/>
        </w:rPr>
        <w:t>47.81</w:t>
      </w:r>
      <w:r>
        <w:rPr>
          <w:rFonts w:hint="eastAsia" w:ascii="方正仿宋_GBK" w:hAnsi="方正仿宋_GBK" w:eastAsia="方正仿宋_GBK" w:cs="方正仿宋_GBK"/>
          <w:snapToGrid w:val="0"/>
          <w:sz w:val="32"/>
          <w:szCs w:val="32"/>
          <w:shd w:val="clear" w:fill="FFFFFF"/>
          <w:lang w:eastAsia="zh-CN"/>
        </w:rPr>
        <w:t>万元。</w:t>
      </w:r>
      <w:r>
        <w:rPr>
          <w:rStyle w:val="7"/>
          <w:rFonts w:hint="eastAsia" w:ascii="方正仿宋_GBK" w:hAnsi="方正仿宋_GBK" w:eastAsia="方正仿宋_GBK" w:cs="方正仿宋_GBK"/>
          <w:sz w:val="32"/>
          <w:szCs w:val="32"/>
          <w:shd w:val="clear" w:fill="FFFFFF"/>
          <w:lang w:val="en-US"/>
        </w:rPr>
        <w:t xml:space="preserve">  </w:t>
      </w:r>
    </w:p>
    <w:p>
      <w:pPr>
        <w:pStyle w:val="4"/>
        <w:widowControl/>
        <w:shd w:val="clear" w:fill="FFFFFF"/>
        <w:snapToGrid w:val="0"/>
        <w:ind w:firstLine="643" w:firstLineChars="200"/>
        <w:rPr>
          <w:rFonts w:hint="eastAsia" w:ascii="方正仿宋_GBK" w:hAnsi="方正仿宋_GBK" w:eastAsia="方正仿宋_GBK" w:cs="方正仿宋_GBK"/>
          <w:snapToGrid w:val="0"/>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3.</w:t>
      </w:r>
      <w:r>
        <w:rPr>
          <w:rStyle w:val="7"/>
          <w:rFonts w:hint="eastAsia" w:ascii="方正仿宋_GBK" w:hAnsi="方正仿宋_GBK" w:eastAsia="方正仿宋_GBK" w:cs="方正仿宋_GBK"/>
          <w:sz w:val="32"/>
          <w:szCs w:val="32"/>
          <w:shd w:val="clear" w:fill="FFFFFF"/>
          <w:lang w:eastAsia="zh-CN"/>
        </w:rPr>
        <w:t>支出情况。</w:t>
      </w:r>
      <w:r>
        <w:rPr>
          <w:rFonts w:hint="eastAsia" w:ascii="方正仿宋_GBK" w:hAnsi="方正仿宋_GBK" w:eastAsia="方正仿宋_GBK" w:cs="方正仿宋_GBK"/>
          <w:sz w:val="32"/>
          <w:szCs w:val="32"/>
          <w:shd w:val="clear" w:fill="FFFFFF"/>
          <w:lang w:val="en-US"/>
        </w:rPr>
        <w:t>20</w:t>
      </w:r>
      <w:r>
        <w:rPr>
          <w:rFonts w:hint="eastAsia" w:ascii="方正仿宋_GBK" w:hAnsi="方正仿宋_GBK" w:eastAsia="方正仿宋_GBK" w:cs="方正仿宋_GBK"/>
          <w:sz w:val="32"/>
          <w:szCs w:val="32"/>
          <w:shd w:val="clear" w:fill="FFFFFF"/>
          <w:lang w:val="en-US" w:eastAsia="zh-CN"/>
        </w:rPr>
        <w:t>20</w:t>
      </w:r>
      <w:r>
        <w:rPr>
          <w:rFonts w:hint="eastAsia" w:ascii="方正仿宋_GBK" w:hAnsi="方正仿宋_GBK" w:eastAsia="方正仿宋_GBK" w:cs="方正仿宋_GBK"/>
          <w:snapToGrid w:val="0"/>
          <w:sz w:val="32"/>
          <w:szCs w:val="32"/>
          <w:shd w:val="clear" w:fill="FFFFFF"/>
          <w:lang w:eastAsia="zh-CN"/>
        </w:rPr>
        <w:t>年度支出合计</w:t>
      </w:r>
      <w:r>
        <w:rPr>
          <w:rFonts w:hint="eastAsia" w:ascii="方正仿宋_GBK" w:hAnsi="方正仿宋_GBK" w:eastAsia="方正仿宋_GBK" w:cs="方正仿宋_GBK"/>
          <w:sz w:val="32"/>
          <w:szCs w:val="32"/>
          <w:shd w:val="clear" w:fill="FFFFFF"/>
          <w:lang w:val="en-US" w:eastAsia="zh-CN"/>
        </w:rPr>
        <w:t>359.59</w:t>
      </w:r>
      <w:r>
        <w:rPr>
          <w:rFonts w:hint="eastAsia" w:ascii="方正仿宋_GBK" w:hAnsi="方正仿宋_GBK" w:eastAsia="方正仿宋_GBK" w:cs="方正仿宋_GBK"/>
          <w:snapToGrid w:val="0"/>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eastAsia="zh-CN"/>
        </w:rPr>
        <w:t>31.42</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9.57</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napToGrid w:val="0"/>
          <w:sz w:val="32"/>
          <w:szCs w:val="32"/>
          <w:shd w:val="clear" w:fill="FFFFFF"/>
          <w:lang w:val="en-US" w:eastAsia="zh-CN"/>
        </w:rPr>
        <w:t>其他卫生健康项目支出、基本支出、公共卫生项目支出</w:t>
      </w: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z w:val="32"/>
          <w:szCs w:val="32"/>
          <w:shd w:val="clear" w:fill="FFFFFF"/>
          <w:lang w:val="en-US" w:eastAsia="zh-CN"/>
        </w:rPr>
        <w:t>、医疗单位事业基本支出增加</w:t>
      </w:r>
      <w:r>
        <w:rPr>
          <w:rFonts w:hint="eastAsia" w:ascii="方正仿宋_GBK" w:hAnsi="方正仿宋_GBK" w:eastAsia="方正仿宋_GBK" w:cs="方正仿宋_GBK"/>
          <w:snapToGrid w:val="0"/>
          <w:sz w:val="32"/>
          <w:szCs w:val="32"/>
          <w:shd w:val="clear" w:fill="FFFFFF"/>
          <w:lang w:eastAsia="zh-CN"/>
        </w:rPr>
        <w:t>。其中：一般公共服务支出</w:t>
      </w:r>
      <w:r>
        <w:rPr>
          <w:rFonts w:hint="eastAsia" w:ascii="方正仿宋_GBK" w:hAnsi="方正仿宋_GBK" w:eastAsia="方正仿宋_GBK" w:cs="方正仿宋_GBK"/>
          <w:snapToGrid w:val="0"/>
          <w:sz w:val="32"/>
          <w:szCs w:val="32"/>
          <w:shd w:val="clear" w:fill="FFFFFF"/>
          <w:lang w:val="en-US" w:eastAsia="zh-CN"/>
        </w:rPr>
        <w:t>0.35万元，占0.1</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z w:val="32"/>
          <w:szCs w:val="32"/>
          <w:shd w:val="clear" w:fill="FFFFFF"/>
          <w:lang w:val="en-US" w:eastAsia="zh-CN"/>
        </w:rPr>
        <w:t>；社会保障和就业支出4.97万元，占1.38%；卫生健康支出350.00万元，占97.33%；住房保障支出2.48万元，占0.69%；抗疫特别国债安排的支出1.80万元，占0.5%。</w:t>
      </w:r>
    </w:p>
    <w:p>
      <w:pPr>
        <w:pStyle w:val="4"/>
        <w:widowControl/>
        <w:shd w:val="clear" w:fill="FFFFFF"/>
        <w:snapToGrid w:val="0"/>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4.</w:t>
      </w:r>
      <w:r>
        <w:rPr>
          <w:rStyle w:val="7"/>
          <w:rFonts w:hint="eastAsia" w:ascii="方正仿宋_GBK" w:hAnsi="方正仿宋_GBK" w:eastAsia="方正仿宋_GBK" w:cs="方正仿宋_GBK"/>
          <w:sz w:val="32"/>
          <w:szCs w:val="32"/>
          <w:shd w:val="clear" w:fill="FFFFFF"/>
          <w:lang w:eastAsia="zh-CN"/>
        </w:rPr>
        <w:t>结转结余情况。</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年度年末结转和结余</w:t>
      </w:r>
      <w:r>
        <w:rPr>
          <w:rFonts w:hint="eastAsia" w:ascii="方正仿宋_GBK" w:hAnsi="方正仿宋_GBK" w:eastAsia="方正仿宋_GBK" w:cs="方正仿宋_GBK"/>
          <w:sz w:val="32"/>
          <w:szCs w:val="32"/>
          <w:shd w:val="clear" w:fill="FFFFFF"/>
          <w:lang w:val="en-US" w:eastAsia="zh-CN"/>
        </w:rPr>
        <w:t>6.19</w:t>
      </w:r>
      <w:r>
        <w:rPr>
          <w:rFonts w:hint="eastAsia" w:ascii="方正仿宋_GBK" w:hAnsi="方正仿宋_GBK" w:eastAsia="方正仿宋_GBK" w:cs="方正仿宋_GBK"/>
          <w:snapToGrid w:val="0"/>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rPr>
        <w:t>19.94</w:t>
      </w:r>
      <w:r>
        <w:rPr>
          <w:rFonts w:hint="eastAsia" w:ascii="方正仿宋_GBK" w:hAnsi="方正仿宋_GBK" w:eastAsia="方正仿宋_GBK" w:cs="方正仿宋_GBK"/>
          <w:snapToGrid w:val="0"/>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eastAsia="zh-CN"/>
        </w:rPr>
        <w:t>71.55</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rPr>
        <w:t>建设项目款全额支出</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（二）财政拨款收入支出决算总体情况说明</w:t>
      </w:r>
    </w:p>
    <w:p>
      <w:pPr>
        <w:pStyle w:val="4"/>
        <w:widowControl/>
        <w:shd w:val="clear" w:fill="FFFFFF"/>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年度财政拨款收、支总计</w:t>
      </w:r>
      <w:r>
        <w:rPr>
          <w:rFonts w:hint="eastAsia" w:ascii="方正仿宋_GBK" w:hAnsi="方正仿宋_GBK" w:eastAsia="方正仿宋_GBK" w:cs="方正仿宋_GBK"/>
          <w:sz w:val="32"/>
          <w:szCs w:val="32"/>
          <w:shd w:val="clear" w:fill="FFFFFF"/>
          <w:lang w:val="en-US" w:eastAsia="zh-CN"/>
        </w:rPr>
        <w:t>116.28</w:t>
      </w:r>
      <w:r>
        <w:rPr>
          <w:rFonts w:hint="eastAsia" w:ascii="方正仿宋_GBK" w:hAnsi="方正仿宋_GBK" w:eastAsia="方正仿宋_GBK" w:cs="方正仿宋_GBK"/>
          <w:snapToGrid w:val="0"/>
          <w:sz w:val="32"/>
          <w:szCs w:val="32"/>
          <w:shd w:val="clear" w:fill="FFFFFF"/>
          <w:lang w:eastAsia="zh-CN"/>
        </w:rPr>
        <w:t>万元。与</w:t>
      </w:r>
      <w:r>
        <w:rPr>
          <w:rFonts w:hint="eastAsia" w:ascii="方正仿宋_GBK" w:hAnsi="方正仿宋_GBK" w:eastAsia="方正仿宋_GBK" w:cs="方正仿宋_GBK"/>
          <w:sz w:val="32"/>
          <w:szCs w:val="32"/>
          <w:shd w:val="clear" w:fill="FFFFFF"/>
          <w:lang w:val="en-US"/>
        </w:rPr>
        <w:t>201</w:t>
      </w:r>
      <w:r>
        <w:rPr>
          <w:rFonts w:hint="eastAsia" w:ascii="方正仿宋_GBK" w:hAnsi="方正仿宋_GBK" w:eastAsia="方正仿宋_GBK" w:cs="方正仿宋_GBK"/>
          <w:sz w:val="32"/>
          <w:szCs w:val="32"/>
          <w:shd w:val="clear" w:fill="FFFFFF"/>
          <w:lang w:val="en-US" w:eastAsia="zh-CN"/>
        </w:rPr>
        <w:t>9</w:t>
      </w:r>
      <w:r>
        <w:rPr>
          <w:rFonts w:hint="eastAsia" w:ascii="方正仿宋_GBK" w:hAnsi="方正仿宋_GBK" w:eastAsia="方正仿宋_GBK" w:cs="方正仿宋_GBK"/>
          <w:snapToGrid w:val="0"/>
          <w:sz w:val="32"/>
          <w:szCs w:val="32"/>
          <w:shd w:val="clear" w:fill="FFFFFF"/>
          <w:lang w:eastAsia="zh-CN"/>
        </w:rPr>
        <w:t>年相比，财政拨款收、支总计各减少</w:t>
      </w:r>
      <w:r>
        <w:rPr>
          <w:rFonts w:hint="eastAsia" w:ascii="方正仿宋_GBK" w:hAnsi="方正仿宋_GBK" w:eastAsia="方正仿宋_GBK" w:cs="方正仿宋_GBK"/>
          <w:sz w:val="32"/>
          <w:szCs w:val="32"/>
          <w:shd w:val="clear" w:fill="FFFFFF"/>
          <w:lang w:val="en-US" w:eastAsia="zh-CN"/>
        </w:rPr>
        <w:t>32.62</w:t>
      </w:r>
      <w:r>
        <w:rPr>
          <w:rFonts w:hint="eastAsia" w:ascii="方正仿宋_GBK" w:hAnsi="方正仿宋_GBK" w:eastAsia="方正仿宋_GBK" w:cs="方正仿宋_GBK"/>
          <w:snapToGrid w:val="0"/>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eastAsia="zh-CN"/>
        </w:rPr>
        <w:t>21.9</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。主要原因是在编在</w:t>
      </w:r>
      <w:r>
        <w:rPr>
          <w:rFonts w:hint="eastAsia" w:ascii="方正仿宋_GBK" w:hAnsi="方正仿宋_GBK" w:eastAsia="方正仿宋_GBK" w:cs="方正仿宋_GBK"/>
          <w:sz w:val="32"/>
          <w:szCs w:val="32"/>
        </w:rPr>
        <w:t>职</w:t>
      </w:r>
      <w:r>
        <w:rPr>
          <w:rFonts w:hint="eastAsia" w:ascii="方正仿宋_GBK" w:hAnsi="方正仿宋_GBK" w:eastAsia="方正仿宋_GBK" w:cs="方正仿宋_GBK"/>
          <w:sz w:val="32"/>
          <w:szCs w:val="32"/>
          <w:lang w:eastAsia="zh-CN"/>
        </w:rPr>
        <w:t>人员减少</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（三）一般公共预算财政拨款支出决算情况说明</w:t>
      </w:r>
    </w:p>
    <w:p>
      <w:pPr>
        <w:pStyle w:val="4"/>
        <w:widowControl/>
        <w:shd w:val="clear" w:fill="FFFFFF"/>
        <w:snapToGrid w:val="0"/>
        <w:rPr>
          <w:rFonts w:hint="eastAsia" w:ascii="方正仿宋_GBK" w:hAnsi="方正仿宋_GBK" w:eastAsia="方正仿宋_GBK" w:cs="方正仿宋_GBK"/>
          <w:snapToGrid w:val="0"/>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  1.</w:t>
      </w:r>
      <w:r>
        <w:rPr>
          <w:rStyle w:val="7"/>
          <w:rFonts w:hint="eastAsia" w:ascii="方正仿宋_GBK" w:hAnsi="方正仿宋_GBK" w:eastAsia="方正仿宋_GBK" w:cs="方正仿宋_GBK"/>
          <w:sz w:val="32"/>
          <w:szCs w:val="32"/>
          <w:shd w:val="clear" w:fill="FFFFFF"/>
          <w:lang w:eastAsia="zh-CN"/>
        </w:rPr>
        <w:t>收入情况。</w:t>
      </w:r>
      <w:r>
        <w:rPr>
          <w:rFonts w:hint="eastAsia" w:ascii="方正仿宋_GBK" w:hAnsi="方正仿宋_GBK" w:eastAsia="方正仿宋_GBK" w:cs="方正仿宋_GBK"/>
          <w:sz w:val="32"/>
          <w:szCs w:val="32"/>
          <w:shd w:val="clear" w:fill="FFFFFF"/>
          <w:lang w:val="en-US"/>
        </w:rPr>
        <w:t>20</w:t>
      </w:r>
      <w:r>
        <w:rPr>
          <w:rFonts w:hint="eastAsia" w:ascii="方正仿宋_GBK" w:hAnsi="方正仿宋_GBK" w:eastAsia="方正仿宋_GBK" w:cs="方正仿宋_GBK"/>
          <w:sz w:val="32"/>
          <w:szCs w:val="32"/>
          <w:shd w:val="clear" w:fill="FFFFFF"/>
          <w:lang w:val="en-US" w:eastAsia="zh-CN"/>
        </w:rPr>
        <w:t>20</w:t>
      </w:r>
      <w:r>
        <w:rPr>
          <w:rFonts w:hint="eastAsia" w:ascii="方正仿宋_GBK" w:hAnsi="方正仿宋_GBK" w:eastAsia="方正仿宋_GBK" w:cs="方正仿宋_GBK"/>
          <w:snapToGrid w:val="0"/>
          <w:sz w:val="32"/>
          <w:szCs w:val="32"/>
          <w:shd w:val="clear" w:fill="FFFFFF"/>
          <w:lang w:eastAsia="zh-CN"/>
        </w:rPr>
        <w:t>年度一般公共预算财政拨款收入</w:t>
      </w:r>
      <w:r>
        <w:rPr>
          <w:rFonts w:hint="eastAsia" w:ascii="方正仿宋_GBK" w:hAnsi="方正仿宋_GBK" w:eastAsia="方正仿宋_GBK" w:cs="方正仿宋_GBK"/>
          <w:snapToGrid w:val="0"/>
          <w:sz w:val="32"/>
          <w:szCs w:val="32"/>
          <w:shd w:val="clear" w:fill="FFFFFF"/>
          <w:lang w:val="en-US" w:eastAsia="zh-CN"/>
        </w:rPr>
        <w:t>114.48</w:t>
      </w:r>
      <w:r>
        <w:rPr>
          <w:rFonts w:hint="eastAsia" w:ascii="方正仿宋_GBK" w:hAnsi="方正仿宋_GBK" w:eastAsia="方正仿宋_GBK" w:cs="方正仿宋_GBK"/>
          <w:snapToGrid w:val="0"/>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eastAsia="zh-CN"/>
        </w:rPr>
        <w:t>13.39</w:t>
      </w:r>
      <w:r>
        <w:rPr>
          <w:rFonts w:hint="eastAsia" w:ascii="方正仿宋_GBK" w:hAnsi="方正仿宋_GBK" w:eastAsia="方正仿宋_GBK" w:cs="方正仿宋_GBK"/>
          <w:snapToGrid w:val="0"/>
          <w:sz w:val="32"/>
          <w:szCs w:val="32"/>
          <w:shd w:val="clear" w:fill="FFFFFF"/>
          <w:lang w:eastAsia="zh-CN"/>
        </w:rPr>
        <w:t>万元，增加</w:t>
      </w:r>
      <w:r>
        <w:rPr>
          <w:rFonts w:hint="eastAsia" w:ascii="方正仿宋_GBK" w:hAnsi="方正仿宋_GBK" w:eastAsia="方正仿宋_GBK" w:cs="方正仿宋_GBK"/>
          <w:sz w:val="32"/>
          <w:szCs w:val="32"/>
          <w:shd w:val="clear" w:fill="FFFFFF"/>
          <w:lang w:val="en-US" w:eastAsia="zh-CN"/>
        </w:rPr>
        <w:t>13.25</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lang w:val="en-US" w:eastAsia="zh-CN"/>
        </w:rPr>
        <w:t>在职人员待遇调整</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2.</w:t>
      </w:r>
      <w:r>
        <w:rPr>
          <w:rStyle w:val="7"/>
          <w:rFonts w:hint="eastAsia" w:ascii="方正仿宋_GBK" w:hAnsi="方正仿宋_GBK" w:eastAsia="方正仿宋_GBK" w:cs="方正仿宋_GBK"/>
          <w:sz w:val="32"/>
          <w:szCs w:val="32"/>
          <w:shd w:val="clear" w:fill="FFFFFF"/>
          <w:lang w:eastAsia="zh-CN"/>
        </w:rPr>
        <w:t>支出情况。</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年度一般公共预算财政拨款支出</w:t>
      </w:r>
      <w:r>
        <w:rPr>
          <w:rFonts w:hint="eastAsia" w:ascii="方正仿宋_GBK" w:hAnsi="方正仿宋_GBK" w:eastAsia="方正仿宋_GBK" w:cs="方正仿宋_GBK"/>
          <w:sz w:val="32"/>
          <w:szCs w:val="32"/>
          <w:shd w:val="clear" w:fill="FFFFFF"/>
          <w:lang w:val="en-US" w:eastAsia="zh-CN"/>
        </w:rPr>
        <w:t>136.16</w:t>
      </w:r>
      <w:r>
        <w:rPr>
          <w:rFonts w:hint="eastAsia" w:ascii="方正仿宋_GBK" w:hAnsi="方正仿宋_GBK" w:eastAsia="方正仿宋_GBK" w:cs="方正仿宋_GBK"/>
          <w:snapToGrid w:val="0"/>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eastAsia="zh-CN"/>
        </w:rPr>
        <w:t>15.14</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12.51</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rPr>
        <w:t>社会保障与就业支出、医疗卫生与计划生育支出增加</w:t>
      </w:r>
      <w:r>
        <w:rPr>
          <w:rFonts w:hint="eastAsia" w:ascii="方正仿宋_GBK" w:hAnsi="方正仿宋_GBK" w:eastAsia="方正仿宋_GBK" w:cs="方正仿宋_GBK"/>
          <w:snapToGrid w:val="0"/>
          <w:sz w:val="32"/>
          <w:szCs w:val="32"/>
          <w:shd w:val="clear" w:fill="FFFFFF"/>
          <w:lang w:eastAsia="zh-CN"/>
        </w:rPr>
        <w:t>。较年初预算数增加</w:t>
      </w:r>
      <w:r>
        <w:rPr>
          <w:rFonts w:hint="eastAsia" w:ascii="方正仿宋_GBK" w:hAnsi="方正仿宋_GBK" w:eastAsia="方正仿宋_GBK" w:cs="方正仿宋_GBK"/>
          <w:sz w:val="32"/>
          <w:szCs w:val="32"/>
          <w:shd w:val="clear" w:fill="FFFFFF"/>
          <w:lang w:val="en-US" w:eastAsia="zh-CN"/>
        </w:rPr>
        <w:t>21.68</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18.94</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w:t>
      </w:r>
      <w:r>
        <w:rPr>
          <w:rFonts w:hint="eastAsia" w:ascii="方正仿宋_GBK" w:hAnsi="方正仿宋_GBK" w:eastAsia="方正仿宋_GBK" w:cs="方正仿宋_GBK"/>
          <w:sz w:val="32"/>
          <w:szCs w:val="32"/>
        </w:rPr>
        <w:t>是社会保障与就业支出、医疗卫生与计划生育支出增加</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napToGrid w:val="0"/>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  3.</w:t>
      </w:r>
      <w:r>
        <w:rPr>
          <w:rStyle w:val="7"/>
          <w:rFonts w:hint="eastAsia" w:ascii="方正仿宋_GBK" w:hAnsi="方正仿宋_GBK" w:eastAsia="方正仿宋_GBK" w:cs="方正仿宋_GBK"/>
          <w:sz w:val="32"/>
          <w:szCs w:val="32"/>
          <w:shd w:val="clear" w:fill="FFFFFF"/>
          <w:lang w:eastAsia="zh-CN"/>
        </w:rPr>
        <w:t>结转结余情况。</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年度年末一般公共预算财政拨款结转和结余</w:t>
      </w:r>
      <w:r>
        <w:rPr>
          <w:rFonts w:hint="eastAsia" w:ascii="方正仿宋_GBK" w:hAnsi="方正仿宋_GBK" w:eastAsia="方正仿宋_GBK" w:cs="方正仿宋_GBK"/>
          <w:sz w:val="32"/>
          <w:szCs w:val="32"/>
          <w:shd w:val="clear" w:fill="FFFFFF"/>
          <w:lang w:val="en-US" w:eastAsia="zh-CN"/>
        </w:rPr>
        <w:t>6.19</w:t>
      </w:r>
      <w:r>
        <w:rPr>
          <w:rFonts w:hint="eastAsia" w:ascii="方正仿宋_GBK" w:hAnsi="方正仿宋_GBK" w:eastAsia="方正仿宋_GBK" w:cs="方正仿宋_GBK"/>
          <w:snapToGrid w:val="0"/>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eastAsia="zh-CN"/>
        </w:rPr>
        <w:t>21.68</w:t>
      </w:r>
      <w:r>
        <w:rPr>
          <w:rFonts w:hint="eastAsia" w:ascii="方正仿宋_GBK" w:hAnsi="方正仿宋_GBK" w:eastAsia="方正仿宋_GBK" w:cs="方正仿宋_GBK"/>
          <w:snapToGrid w:val="0"/>
          <w:sz w:val="32"/>
          <w:szCs w:val="32"/>
          <w:shd w:val="clear" w:fill="FFFFFF"/>
          <w:lang w:eastAsia="zh-CN"/>
        </w:rPr>
        <w:t>万元，下降</w:t>
      </w:r>
      <w:r>
        <w:rPr>
          <w:rFonts w:hint="eastAsia" w:ascii="方正仿宋_GBK" w:hAnsi="方正仿宋_GBK" w:eastAsia="方正仿宋_GBK" w:cs="方正仿宋_GBK"/>
          <w:sz w:val="32"/>
          <w:szCs w:val="32"/>
          <w:shd w:val="clear" w:fill="FFFFFF"/>
          <w:lang w:val="en-US" w:eastAsia="zh-CN"/>
        </w:rPr>
        <w:t>77.79</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rPr>
        <w:t>社会保障与就业支出、医疗卫生与计划生育支出增加</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napToGrid w:val="0"/>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  4.</w:t>
      </w:r>
      <w:r>
        <w:rPr>
          <w:rStyle w:val="7"/>
          <w:rFonts w:hint="eastAsia" w:ascii="方正仿宋_GBK" w:hAnsi="方正仿宋_GBK" w:eastAsia="方正仿宋_GBK" w:cs="方正仿宋_GBK"/>
          <w:sz w:val="32"/>
          <w:szCs w:val="32"/>
          <w:shd w:val="clear" w:fill="FFFFFF"/>
          <w:lang w:eastAsia="zh-CN"/>
        </w:rPr>
        <w:t>比较情况。</w:t>
      </w:r>
      <w:r>
        <w:rPr>
          <w:rFonts w:hint="eastAsia" w:ascii="方正仿宋_GBK" w:hAnsi="方正仿宋_GBK" w:eastAsia="方正仿宋_GBK" w:cs="方正仿宋_GBK"/>
          <w:snapToGrid w:val="0"/>
          <w:sz w:val="32"/>
          <w:szCs w:val="32"/>
          <w:shd w:val="clear" w:fill="FFFFFF"/>
          <w:lang w:eastAsia="zh-CN"/>
        </w:rPr>
        <w:t>本部门</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年度一般公共预算财政拨款支出主要用于以下几个方面：</w:t>
      </w:r>
    </w:p>
    <w:p>
      <w:pPr>
        <w:pStyle w:val="4"/>
        <w:widowControl/>
        <w:shd w:val="clear" w:fill="FFFFFF"/>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1</w:t>
      </w:r>
      <w:r>
        <w:rPr>
          <w:rFonts w:hint="eastAsia" w:ascii="方正仿宋_GBK" w:hAnsi="方正仿宋_GBK" w:eastAsia="方正仿宋_GBK" w:cs="方正仿宋_GBK"/>
          <w:snapToGrid w:val="0"/>
          <w:sz w:val="32"/>
          <w:szCs w:val="32"/>
          <w:shd w:val="clear" w:fill="FFFFFF"/>
          <w:lang w:eastAsia="zh-CN"/>
        </w:rPr>
        <w:t>）一般公共服务支出</w:t>
      </w:r>
      <w:r>
        <w:rPr>
          <w:rFonts w:hint="eastAsia" w:ascii="方正仿宋_GBK" w:hAnsi="方正仿宋_GBK" w:eastAsia="方正仿宋_GBK" w:cs="方正仿宋_GBK"/>
          <w:sz w:val="32"/>
          <w:szCs w:val="32"/>
          <w:shd w:val="clear" w:fill="FFFFFF"/>
          <w:lang w:val="en-US"/>
        </w:rPr>
        <w:t>0.3</w:t>
      </w:r>
      <w:r>
        <w:rPr>
          <w:rFonts w:hint="eastAsia" w:ascii="方正仿宋_GBK" w:hAnsi="方正仿宋_GBK" w:eastAsia="方正仿宋_GBK" w:cs="方正仿宋_GBK"/>
          <w:sz w:val="32"/>
          <w:szCs w:val="32"/>
          <w:shd w:val="clear" w:fill="FFFFFF"/>
          <w:lang w:val="en-US" w:eastAsia="zh-CN"/>
        </w:rPr>
        <w:t>5</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z w:val="32"/>
          <w:szCs w:val="32"/>
          <w:shd w:val="clear" w:fill="FFFFFF"/>
          <w:lang w:val="en-US" w:eastAsia="zh-CN"/>
        </w:rPr>
        <w:t>26</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，较年初预算数增加</w:t>
      </w:r>
      <w:r>
        <w:rPr>
          <w:rFonts w:hint="eastAsia" w:ascii="方正仿宋_GBK" w:hAnsi="方正仿宋_GBK" w:eastAsia="方正仿宋_GBK" w:cs="方正仿宋_GBK"/>
          <w:sz w:val="32"/>
          <w:szCs w:val="32"/>
          <w:shd w:val="clear" w:fill="FFFFFF"/>
          <w:lang w:val="en-US" w:eastAsia="zh-CN"/>
        </w:rPr>
        <w:t>0.003</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0.9</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color="auto" w:fill="FFFFFF"/>
          <w:lang w:eastAsia="zh-CN"/>
        </w:rPr>
        <w:t>主要原因是在职人员薪级晋升增资</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napToGrid w:val="0"/>
          <w:sz w:val="32"/>
          <w:szCs w:val="32"/>
          <w:shd w:val="clear" w:fill="FFFFFF"/>
          <w:lang w:eastAsia="zh-CN"/>
        </w:rPr>
        <w:t>）社会保障与就业支出</w:t>
      </w:r>
      <w:r>
        <w:rPr>
          <w:rFonts w:hint="eastAsia" w:ascii="方正仿宋_GBK" w:hAnsi="方正仿宋_GBK" w:eastAsia="方正仿宋_GBK" w:cs="方正仿宋_GBK"/>
          <w:sz w:val="32"/>
          <w:szCs w:val="32"/>
          <w:shd w:val="clear" w:fill="FFFFFF"/>
          <w:lang w:val="en-US" w:eastAsia="zh-CN"/>
        </w:rPr>
        <w:t>4.97</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eastAsia="zh-CN"/>
        </w:rPr>
        <w:t>3.65</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color="auto" w:fill="FFFFFF"/>
          <w:lang w:eastAsia="zh-CN"/>
        </w:rPr>
        <w:t>较年初预算数增加</w:t>
      </w:r>
      <w:r>
        <w:rPr>
          <w:rFonts w:hint="eastAsia" w:ascii="方正仿宋_GBK" w:hAnsi="方正仿宋_GBK" w:eastAsia="方正仿宋_GBK" w:cs="方正仿宋_GBK"/>
          <w:sz w:val="32"/>
          <w:szCs w:val="32"/>
          <w:shd w:val="clear" w:color="auto" w:fill="FFFFFF"/>
          <w:lang w:val="en-US" w:eastAsia="zh-CN"/>
        </w:rPr>
        <w:t>4.97</w:t>
      </w:r>
      <w:r>
        <w:rPr>
          <w:rFonts w:hint="eastAsia" w:ascii="方正仿宋_GBK" w:hAnsi="方正仿宋_GBK" w:eastAsia="方正仿宋_GBK" w:cs="方正仿宋_GBK"/>
          <w:sz w:val="32"/>
          <w:szCs w:val="32"/>
          <w:shd w:val="clear" w:color="auto" w:fill="FFFFFF"/>
          <w:lang w:eastAsia="zh-CN"/>
        </w:rPr>
        <w:t>万元，增长</w:t>
      </w:r>
      <w:r>
        <w:rPr>
          <w:rFonts w:hint="eastAsia" w:ascii="方正仿宋_GBK" w:hAnsi="方正仿宋_GBK" w:eastAsia="方正仿宋_GBK" w:cs="方正仿宋_GBK"/>
          <w:sz w:val="32"/>
          <w:szCs w:val="32"/>
          <w:shd w:val="clear" w:color="auto" w:fill="FFFFFF"/>
          <w:lang w:val="en-US" w:eastAsia="zh-CN"/>
        </w:rPr>
        <w:t>0.0</w:t>
      </w:r>
      <w:r>
        <w:rPr>
          <w:rFonts w:hint="eastAsia" w:ascii="方正仿宋_GBK" w:hAnsi="方正仿宋_GBK" w:eastAsia="方正仿宋_GBK" w:cs="方正仿宋_GBK"/>
          <w:sz w:val="32"/>
          <w:szCs w:val="32"/>
          <w:shd w:val="clear" w:color="auto" w:fill="FFFFFF"/>
          <w:lang w:eastAsia="zh-CN"/>
        </w:rPr>
        <w:t>%。</w:t>
      </w:r>
    </w:p>
    <w:p>
      <w:pPr>
        <w:pStyle w:val="4"/>
        <w:shd w:val="clear" w:color="auto" w:fill="FFFFFF"/>
        <w:spacing w:line="520" w:lineRule="exact"/>
        <w:jc w:val="left"/>
        <w:rPr>
          <w:rFonts w:hint="eastAsia" w:ascii="方正仿宋_GBK" w:hAnsi="方正仿宋_GBK" w:eastAsia="方正仿宋_GBK" w:cs="方正仿宋_GBK"/>
          <w:snapToGrid w:val="0"/>
          <w:sz w:val="32"/>
          <w:szCs w:val="32"/>
          <w:shd w:val="clear" w:fill="FFFFFF"/>
          <w:lang w:eastAsia="zh-CN"/>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eastAsia="zh-CN"/>
        </w:rPr>
        <w:t>3</w:t>
      </w:r>
      <w:r>
        <w:rPr>
          <w:rFonts w:hint="eastAsia" w:ascii="方正仿宋_GBK" w:hAnsi="方正仿宋_GBK" w:eastAsia="方正仿宋_GBK" w:cs="方正仿宋_GBK"/>
          <w:snapToGrid w:val="0"/>
          <w:sz w:val="32"/>
          <w:szCs w:val="32"/>
          <w:shd w:val="clear" w:fill="FFFFFF"/>
          <w:lang w:eastAsia="zh-CN"/>
        </w:rPr>
        <w:t>）卫生健康支出</w:t>
      </w:r>
      <w:r>
        <w:rPr>
          <w:rFonts w:hint="eastAsia" w:ascii="方正仿宋_GBK" w:hAnsi="方正仿宋_GBK" w:eastAsia="方正仿宋_GBK" w:cs="方正仿宋_GBK"/>
          <w:sz w:val="32"/>
          <w:szCs w:val="32"/>
          <w:shd w:val="clear" w:fill="FFFFFF"/>
          <w:lang w:val="en-US" w:eastAsia="zh-CN"/>
        </w:rPr>
        <w:t>128.36</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eastAsia="zh-CN"/>
        </w:rPr>
        <w:t>94.27</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color="auto" w:fill="FFFFFF"/>
          <w:lang w:eastAsia="zh-CN"/>
        </w:rPr>
        <w:t>较年初预算数增加</w:t>
      </w:r>
      <w:r>
        <w:rPr>
          <w:rFonts w:hint="eastAsia" w:ascii="方正仿宋_GBK" w:hAnsi="方正仿宋_GBK" w:eastAsia="方正仿宋_GBK" w:cs="方正仿宋_GBK"/>
          <w:sz w:val="32"/>
          <w:szCs w:val="32"/>
          <w:shd w:val="clear" w:color="auto" w:fill="FFFFFF"/>
          <w:lang w:val="en-US" w:eastAsia="zh-CN"/>
        </w:rPr>
        <w:t>21.68</w:t>
      </w:r>
      <w:r>
        <w:rPr>
          <w:rFonts w:hint="eastAsia" w:ascii="方正仿宋_GBK" w:hAnsi="方正仿宋_GBK" w:eastAsia="方正仿宋_GBK" w:cs="方正仿宋_GBK"/>
          <w:sz w:val="32"/>
          <w:szCs w:val="32"/>
          <w:shd w:val="clear" w:color="auto" w:fill="FFFFFF"/>
          <w:lang w:eastAsia="zh-CN"/>
        </w:rPr>
        <w:t>万元，增长</w:t>
      </w:r>
      <w:r>
        <w:rPr>
          <w:rFonts w:hint="eastAsia" w:ascii="方正仿宋_GBK" w:hAnsi="方正仿宋_GBK" w:eastAsia="方正仿宋_GBK" w:cs="方正仿宋_GBK"/>
          <w:sz w:val="32"/>
          <w:szCs w:val="32"/>
          <w:shd w:val="clear" w:color="auto" w:fill="FFFFFF"/>
          <w:lang w:val="en-US" w:eastAsia="zh-CN"/>
        </w:rPr>
        <w:t>20.32</w:t>
      </w:r>
      <w:r>
        <w:rPr>
          <w:rFonts w:hint="eastAsia" w:ascii="方正仿宋_GBK" w:hAnsi="方正仿宋_GBK" w:eastAsia="方正仿宋_GBK" w:cs="方正仿宋_GBK"/>
          <w:sz w:val="32"/>
          <w:szCs w:val="32"/>
          <w:shd w:val="clear" w:color="auto" w:fill="FFFFFF"/>
          <w:lang w:eastAsia="zh-CN"/>
        </w:rPr>
        <w:t>%，主要原因是人员经费及医疗设备费用及政府性基金预算财政拨款收入增加。</w:t>
      </w:r>
    </w:p>
    <w:p>
      <w:pPr>
        <w:pStyle w:val="4"/>
        <w:shd w:val="clear" w:color="auto" w:fill="FFFFFF"/>
        <w:spacing w:line="52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eastAsia="zh-CN"/>
        </w:rPr>
        <w:t>4</w:t>
      </w:r>
      <w:r>
        <w:rPr>
          <w:rFonts w:hint="eastAsia" w:ascii="方正仿宋_GBK" w:hAnsi="方正仿宋_GBK" w:eastAsia="方正仿宋_GBK" w:cs="方正仿宋_GBK"/>
          <w:snapToGrid w:val="0"/>
          <w:sz w:val="32"/>
          <w:szCs w:val="32"/>
          <w:shd w:val="clear" w:fill="FFFFFF"/>
          <w:lang w:eastAsia="zh-CN"/>
        </w:rPr>
        <w:t>）住房保障支出</w:t>
      </w:r>
      <w:r>
        <w:rPr>
          <w:rFonts w:hint="eastAsia" w:ascii="方正仿宋_GBK" w:hAnsi="方正仿宋_GBK" w:eastAsia="方正仿宋_GBK" w:cs="方正仿宋_GBK"/>
          <w:sz w:val="32"/>
          <w:szCs w:val="32"/>
          <w:shd w:val="clear" w:fill="FFFFFF"/>
          <w:lang w:val="en-US" w:eastAsia="zh-CN"/>
        </w:rPr>
        <w:t>2.48</w:t>
      </w:r>
      <w:r>
        <w:rPr>
          <w:rFonts w:hint="eastAsia" w:ascii="方正仿宋_GBK" w:hAnsi="方正仿宋_GBK" w:eastAsia="方正仿宋_GBK" w:cs="方正仿宋_GBK"/>
          <w:snapToGrid w:val="0"/>
          <w:sz w:val="32"/>
          <w:szCs w:val="32"/>
          <w:shd w:val="clear" w:fill="FFFFFF"/>
          <w:lang w:eastAsia="zh-CN"/>
        </w:rPr>
        <w:t>万元，占</w:t>
      </w:r>
      <w:r>
        <w:rPr>
          <w:rFonts w:hint="eastAsia" w:ascii="方正仿宋_GBK" w:hAnsi="方正仿宋_GBK" w:eastAsia="方正仿宋_GBK" w:cs="方正仿宋_GBK"/>
          <w:sz w:val="32"/>
          <w:szCs w:val="32"/>
          <w:shd w:val="clear" w:fill="FFFFFF"/>
          <w:lang w:val="en-US" w:eastAsia="zh-CN"/>
        </w:rPr>
        <w:t>1.82</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color="auto" w:fill="FFFFFF"/>
          <w:lang w:eastAsia="zh-CN"/>
        </w:rPr>
        <w:t>较年初预算数增加</w:t>
      </w:r>
      <w:r>
        <w:rPr>
          <w:rFonts w:hint="eastAsia" w:ascii="方正仿宋_GBK" w:hAnsi="方正仿宋_GBK" w:eastAsia="方正仿宋_GBK" w:cs="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eastAsia="zh-CN"/>
        </w:rPr>
        <w:t>万元，增长</w:t>
      </w:r>
      <w:r>
        <w:rPr>
          <w:rFonts w:hint="eastAsia" w:ascii="方正仿宋_GBK" w:hAnsi="方正仿宋_GBK" w:eastAsia="方正仿宋_GBK" w:cs="方正仿宋_GBK"/>
          <w:sz w:val="32"/>
          <w:szCs w:val="32"/>
          <w:shd w:val="clear" w:color="auto" w:fill="FFFFFF"/>
          <w:lang w:val="en-US" w:eastAsia="zh-CN"/>
        </w:rPr>
        <w:t>0.00</w:t>
      </w:r>
      <w:r>
        <w:rPr>
          <w:rFonts w:hint="eastAsia" w:ascii="方正仿宋_GBK" w:hAnsi="方正仿宋_GBK" w:eastAsia="方正仿宋_GBK" w:cs="方正仿宋_GBK"/>
          <w:sz w:val="32"/>
          <w:szCs w:val="32"/>
          <w:shd w:val="clear" w:color="auto" w:fill="FFFFFF"/>
          <w:lang w:eastAsia="zh-CN"/>
        </w:rPr>
        <w:t>%。</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（四）一般公共预算财政拨款基本支出决算情况说明</w:t>
      </w:r>
    </w:p>
    <w:p>
      <w:pPr>
        <w:pStyle w:val="4"/>
        <w:widowControl/>
        <w:shd w:val="clear" w:fill="FFFFFF"/>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w:t>
      </w:r>
      <w:r>
        <w:rPr>
          <w:rFonts w:hint="eastAsia" w:ascii="方正仿宋_GBK" w:hAnsi="方正仿宋_GBK" w:eastAsia="方正仿宋_GBK" w:cs="方正仿宋_GBK"/>
          <w:sz w:val="32"/>
          <w:szCs w:val="32"/>
          <w:shd w:val="clear" w:fill="FFFFFF"/>
          <w:lang w:val="en-US" w:eastAsia="zh-CN"/>
        </w:rPr>
        <w:t xml:space="preserve">  2020</w:t>
      </w:r>
      <w:r>
        <w:rPr>
          <w:rFonts w:hint="eastAsia" w:ascii="方正仿宋_GBK" w:hAnsi="方正仿宋_GBK" w:eastAsia="方正仿宋_GBK" w:cs="方正仿宋_GBK"/>
          <w:snapToGrid w:val="0"/>
          <w:sz w:val="32"/>
          <w:szCs w:val="32"/>
          <w:shd w:val="clear" w:fill="FFFFFF"/>
          <w:lang w:eastAsia="zh-CN"/>
        </w:rPr>
        <w:t>年度一般公共财政拨款基本支出</w:t>
      </w:r>
      <w:r>
        <w:rPr>
          <w:rFonts w:hint="eastAsia" w:ascii="方正仿宋_GBK" w:hAnsi="方正仿宋_GBK" w:eastAsia="方正仿宋_GBK" w:cs="方正仿宋_GBK"/>
          <w:snapToGrid w:val="0"/>
          <w:sz w:val="32"/>
          <w:szCs w:val="32"/>
          <w:shd w:val="clear" w:fill="FFFFFF"/>
          <w:lang w:val="en-US" w:eastAsia="zh-CN"/>
        </w:rPr>
        <w:t>62.30</w:t>
      </w:r>
      <w:r>
        <w:rPr>
          <w:rFonts w:hint="eastAsia" w:ascii="方正仿宋_GBK" w:hAnsi="方正仿宋_GBK" w:eastAsia="方正仿宋_GBK" w:cs="方正仿宋_GBK"/>
          <w:snapToGrid w:val="0"/>
          <w:sz w:val="32"/>
          <w:szCs w:val="32"/>
          <w:shd w:val="clear" w:fill="FFFFFF"/>
          <w:lang w:eastAsia="zh-CN"/>
        </w:rPr>
        <w:t>万元。其中：人员经费</w:t>
      </w:r>
      <w:r>
        <w:rPr>
          <w:rFonts w:hint="eastAsia" w:ascii="方正仿宋_GBK" w:hAnsi="方正仿宋_GBK" w:eastAsia="方正仿宋_GBK" w:cs="方正仿宋_GBK"/>
          <w:sz w:val="32"/>
          <w:szCs w:val="32"/>
          <w:shd w:val="clear" w:fill="FFFFFF"/>
          <w:lang w:val="en-US" w:eastAsia="zh-CN"/>
        </w:rPr>
        <w:t>58.35</w:t>
      </w:r>
      <w:r>
        <w:rPr>
          <w:rFonts w:hint="eastAsia" w:ascii="方正仿宋_GBK" w:hAnsi="方正仿宋_GBK" w:eastAsia="方正仿宋_GBK" w:cs="方正仿宋_GBK"/>
          <w:snapToGrid w:val="0"/>
          <w:sz w:val="32"/>
          <w:szCs w:val="32"/>
          <w:shd w:val="clear" w:fill="FFFFFF"/>
          <w:lang w:eastAsia="zh-CN"/>
        </w:rPr>
        <w:t>万元，较上年决算数减少</w:t>
      </w:r>
      <w:r>
        <w:rPr>
          <w:rFonts w:hint="eastAsia" w:ascii="方正仿宋_GBK" w:hAnsi="方正仿宋_GBK" w:eastAsia="方正仿宋_GBK" w:cs="方正仿宋_GBK"/>
          <w:sz w:val="32"/>
          <w:szCs w:val="32"/>
          <w:shd w:val="clear" w:fill="FFFFFF"/>
          <w:lang w:val="en-US" w:eastAsia="zh-CN"/>
        </w:rPr>
        <w:t>16.5</w:t>
      </w:r>
      <w:r>
        <w:rPr>
          <w:rFonts w:hint="eastAsia" w:ascii="方正仿宋_GBK" w:hAnsi="方正仿宋_GBK" w:eastAsia="方正仿宋_GBK" w:cs="方正仿宋_GBK"/>
          <w:snapToGrid w:val="0"/>
          <w:sz w:val="32"/>
          <w:szCs w:val="32"/>
          <w:shd w:val="clear" w:fill="FFFFFF"/>
          <w:lang w:eastAsia="zh-CN"/>
        </w:rPr>
        <w:t>万元，减少</w:t>
      </w:r>
      <w:r>
        <w:rPr>
          <w:rFonts w:hint="eastAsia" w:ascii="方正仿宋_GBK" w:hAnsi="方正仿宋_GBK" w:eastAsia="方正仿宋_GBK" w:cs="方正仿宋_GBK"/>
          <w:sz w:val="32"/>
          <w:szCs w:val="32"/>
          <w:shd w:val="clear" w:fill="FFFFFF"/>
          <w:lang w:val="en-US" w:eastAsia="zh-CN"/>
        </w:rPr>
        <w:t>22.04</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rPr>
        <w:t>人员经费</w:t>
      </w:r>
      <w:r>
        <w:rPr>
          <w:rFonts w:hint="eastAsia" w:ascii="方正仿宋_GBK" w:hAnsi="方正仿宋_GBK" w:eastAsia="方正仿宋_GBK" w:cs="方正仿宋_GBK"/>
          <w:snapToGrid w:val="0"/>
          <w:sz w:val="32"/>
          <w:szCs w:val="32"/>
          <w:shd w:val="clear" w:fill="FFFFFF"/>
          <w:lang w:eastAsia="zh-CN"/>
        </w:rPr>
        <w:t>。人员经费用途主要包括</w:t>
      </w:r>
      <w:r>
        <w:rPr>
          <w:rFonts w:hint="eastAsia" w:ascii="方正仿宋_GBK" w:hAnsi="方正仿宋_GBK" w:eastAsia="方正仿宋_GBK" w:cs="方正仿宋_GBK"/>
          <w:sz w:val="32"/>
          <w:szCs w:val="32"/>
          <w:lang w:val="en-US" w:eastAsia="zh-CN"/>
        </w:rPr>
        <w:t>基本工资12.55万元、津贴补贴3.60、绩效工资20.29万元、养老保险金3.31万元、住房公积金2.48万元、其他工资福利10.00万元、对个人及家庭补助1.86万元。</w:t>
      </w:r>
      <w:r>
        <w:rPr>
          <w:rFonts w:hint="eastAsia" w:ascii="方正仿宋_GBK" w:hAnsi="方正仿宋_GBK" w:eastAsia="方正仿宋_GBK" w:cs="方正仿宋_GBK"/>
          <w:snapToGrid w:val="0"/>
          <w:sz w:val="32"/>
          <w:szCs w:val="32"/>
          <w:shd w:val="clear" w:fill="FFFFFF"/>
          <w:lang w:eastAsia="zh-CN"/>
        </w:rPr>
        <w:t>公用经费</w:t>
      </w: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val="en-US" w:eastAsia="zh-CN"/>
        </w:rPr>
        <w:t>95</w:t>
      </w:r>
      <w:r>
        <w:rPr>
          <w:rFonts w:hint="eastAsia" w:ascii="方正仿宋_GBK" w:hAnsi="方正仿宋_GBK" w:eastAsia="方正仿宋_GBK" w:cs="方正仿宋_GBK"/>
          <w:snapToGrid w:val="0"/>
          <w:sz w:val="32"/>
          <w:szCs w:val="32"/>
          <w:shd w:val="clear" w:fill="FFFFFF"/>
          <w:lang w:eastAsia="zh-CN"/>
        </w:rPr>
        <w:t>万元，较上年决算数增加</w:t>
      </w:r>
      <w:r>
        <w:rPr>
          <w:rFonts w:hint="eastAsia" w:ascii="方正仿宋_GBK" w:hAnsi="方正仿宋_GBK" w:eastAsia="方正仿宋_GBK" w:cs="方正仿宋_GBK"/>
          <w:sz w:val="32"/>
          <w:szCs w:val="32"/>
          <w:shd w:val="clear" w:fill="FFFFFF"/>
          <w:lang w:val="en-US" w:eastAsia="zh-CN"/>
        </w:rPr>
        <w:t>0.33</w:t>
      </w:r>
      <w:r>
        <w:rPr>
          <w:rFonts w:hint="eastAsia" w:ascii="方正仿宋_GBK" w:hAnsi="方正仿宋_GBK" w:eastAsia="方正仿宋_GBK" w:cs="方正仿宋_GBK"/>
          <w:snapToGrid w:val="0"/>
          <w:sz w:val="32"/>
          <w:szCs w:val="32"/>
          <w:shd w:val="clear" w:fill="FFFFFF"/>
          <w:lang w:eastAsia="zh-CN"/>
        </w:rPr>
        <w:t>万元，增长</w:t>
      </w:r>
      <w:r>
        <w:rPr>
          <w:rFonts w:hint="eastAsia" w:ascii="方正仿宋_GBK" w:hAnsi="方正仿宋_GBK" w:eastAsia="方正仿宋_GBK" w:cs="方正仿宋_GBK"/>
          <w:sz w:val="32"/>
          <w:szCs w:val="32"/>
          <w:shd w:val="clear" w:fill="FFFFFF"/>
          <w:lang w:val="en-US" w:eastAsia="zh-CN"/>
        </w:rPr>
        <w:t>9.12</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，主要原因是</w:t>
      </w:r>
      <w:r>
        <w:rPr>
          <w:rFonts w:hint="eastAsia" w:ascii="方正仿宋_GBK" w:hAnsi="方正仿宋_GBK" w:eastAsia="方正仿宋_GBK" w:cs="方正仿宋_GBK"/>
          <w:sz w:val="32"/>
          <w:szCs w:val="32"/>
        </w:rPr>
        <w:t>新会计制度改革导致统计口径发生变化</w:t>
      </w:r>
      <w:r>
        <w:rPr>
          <w:rFonts w:hint="eastAsia" w:ascii="方正仿宋_GBK" w:hAnsi="方正仿宋_GBK" w:eastAsia="方正仿宋_GBK" w:cs="方正仿宋_GBK"/>
          <w:snapToGrid w:val="0"/>
          <w:sz w:val="32"/>
          <w:szCs w:val="32"/>
          <w:shd w:val="clear" w:fill="FFFFFF"/>
          <w:lang w:eastAsia="zh-CN"/>
        </w:rPr>
        <w:t>。公用经费用途主要包括办公费</w:t>
      </w:r>
      <w:r>
        <w:rPr>
          <w:rFonts w:hint="eastAsia" w:ascii="方正仿宋_GBK" w:hAnsi="方正仿宋_GBK" w:eastAsia="方正仿宋_GBK" w:cs="方正仿宋_GBK"/>
          <w:snapToGrid w:val="0"/>
          <w:sz w:val="32"/>
          <w:szCs w:val="32"/>
          <w:shd w:val="clear" w:fill="FFFFFF"/>
          <w:lang w:val="en-US" w:eastAsia="zh-CN"/>
        </w:rPr>
        <w:t>3.35万元、工会经费0.25万元、福利费0.35万元</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（五）政府性基金预算收支决算情况说明</w:t>
      </w:r>
    </w:p>
    <w:p>
      <w:pPr>
        <w:pStyle w:val="4"/>
        <w:shd w:val="clear" w:color="auto" w:fill="FFFFFF"/>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z w:val="32"/>
          <w:szCs w:val="32"/>
        </w:rPr>
        <w:t>本部门20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年度无政府性基金预算财政拨款收支。</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黑体_GBK" w:hAnsi="方正黑体_GBK" w:eastAsia="方正黑体_GBK" w:cs="方正黑体_GBK"/>
          <w:b w:val="0"/>
          <w:bCs/>
          <w:sz w:val="32"/>
          <w:szCs w:val="32"/>
          <w:shd w:val="clear" w:fill="FFFFFF"/>
          <w:lang w:eastAsia="zh-CN"/>
        </w:rPr>
        <w:t>三、</w:t>
      </w:r>
      <w:r>
        <w:rPr>
          <w:rStyle w:val="7"/>
          <w:rFonts w:hint="eastAsia" w:ascii="方正黑体_GBK" w:hAnsi="方正黑体_GBK" w:eastAsia="方正黑体_GBK" w:cs="方正黑体_GBK"/>
          <w:b w:val="0"/>
          <w:bCs/>
          <w:sz w:val="32"/>
          <w:szCs w:val="32"/>
          <w:shd w:val="clear" w:fill="FFFFFF"/>
          <w:lang w:val="en-US" w:eastAsia="zh-CN"/>
        </w:rPr>
        <w:t>“</w:t>
      </w:r>
      <w:r>
        <w:rPr>
          <w:rStyle w:val="7"/>
          <w:rFonts w:hint="eastAsia" w:ascii="方正黑体_GBK" w:hAnsi="方正黑体_GBK" w:eastAsia="方正黑体_GBK" w:cs="方正黑体_GBK"/>
          <w:b w:val="0"/>
          <w:bCs/>
          <w:sz w:val="32"/>
          <w:szCs w:val="32"/>
          <w:shd w:val="clear" w:fill="FFFFFF"/>
          <w:lang w:eastAsia="zh-CN"/>
        </w:rPr>
        <w:t>三公</w:t>
      </w:r>
      <w:r>
        <w:rPr>
          <w:rStyle w:val="7"/>
          <w:rFonts w:hint="eastAsia" w:ascii="方正黑体_GBK" w:hAnsi="方正黑体_GBK" w:eastAsia="方正黑体_GBK" w:cs="方正黑体_GBK"/>
          <w:b w:val="0"/>
          <w:bCs/>
          <w:sz w:val="32"/>
          <w:szCs w:val="32"/>
          <w:shd w:val="clear" w:fill="FFFFFF"/>
          <w:lang w:val="en-US" w:eastAsia="zh-CN"/>
        </w:rPr>
        <w:t>”</w:t>
      </w:r>
      <w:r>
        <w:rPr>
          <w:rStyle w:val="7"/>
          <w:rFonts w:hint="eastAsia" w:ascii="方正黑体_GBK" w:hAnsi="方正黑体_GBK" w:eastAsia="方正黑体_GBK" w:cs="方正黑体_GBK"/>
          <w:b w:val="0"/>
          <w:bCs/>
          <w:sz w:val="32"/>
          <w:szCs w:val="32"/>
          <w:shd w:val="clear" w:fill="FFFFFF"/>
          <w:lang w:eastAsia="zh-CN"/>
        </w:rPr>
        <w:t>经费情况说明</w:t>
      </w:r>
    </w:p>
    <w:p>
      <w:pPr>
        <w:pStyle w:val="4"/>
        <w:widowControl/>
        <w:numPr>
          <w:numId w:val="0"/>
        </w:numPr>
        <w:shd w:val="clear" w:fill="FFFFFF"/>
        <w:snapToGrid w:val="0"/>
        <w:ind w:right="0" w:rightChars="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val="en-US" w:eastAsia="zh-CN"/>
        </w:rPr>
        <w:t xml:space="preserve"> </w:t>
      </w:r>
      <w:r>
        <w:rPr>
          <w:rStyle w:val="7"/>
          <w:rFonts w:hint="eastAsia" w:ascii="方正楷体_GBK" w:hAnsi="方正楷体_GBK" w:eastAsia="方正楷体_GBK" w:cs="方正楷体_GBK"/>
          <w:b w:val="0"/>
          <w:bCs/>
          <w:sz w:val="32"/>
          <w:szCs w:val="32"/>
          <w:shd w:val="clear" w:fill="FFFFFF"/>
          <w:lang w:eastAsia="zh-CN"/>
        </w:rPr>
        <w:t>（一）</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三公</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经费支出总体情况说明</w:t>
      </w:r>
    </w:p>
    <w:p>
      <w:pPr>
        <w:pStyle w:val="4"/>
        <w:shd w:val="clear" w:color="auto" w:fill="FFFFFF"/>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z w:val="32"/>
          <w:szCs w:val="32"/>
        </w:rPr>
        <w:t>因我单位属于差额拨款单位，财政未保障我单位“三公”经费。</w:t>
      </w:r>
    </w:p>
    <w:p>
      <w:pPr>
        <w:pStyle w:val="4"/>
        <w:widowControl/>
        <w:shd w:val="clear" w:fill="FFFFFF"/>
        <w:snapToGrid w:val="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（二）</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三公</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经费分项支出情况</w:t>
      </w:r>
    </w:p>
    <w:p>
      <w:pPr>
        <w:pStyle w:val="4"/>
        <w:shd w:val="clear" w:color="auto" w:fill="FFFFFF"/>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z w:val="32"/>
          <w:szCs w:val="32"/>
        </w:rPr>
        <w:t>因我单位属于差额拨款单位，财政未保障我单位“三公”经费。</w:t>
      </w:r>
    </w:p>
    <w:p>
      <w:pPr>
        <w:pStyle w:val="4"/>
        <w:widowControl/>
        <w:shd w:val="clear" w:fill="FFFFFF"/>
        <w:snapToGrid w:val="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（三）</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三公</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经费实物量情况</w:t>
      </w:r>
    </w:p>
    <w:p>
      <w:pPr>
        <w:pStyle w:val="4"/>
        <w:shd w:val="clear" w:color="auto" w:fill="FFFFFF"/>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Fonts w:hint="eastAsia" w:ascii="方正仿宋_GBK" w:hAnsi="方正仿宋_GBK" w:eastAsia="方正仿宋_GBK" w:cs="方正仿宋_GBK"/>
          <w:sz w:val="32"/>
          <w:szCs w:val="32"/>
        </w:rPr>
        <w:t>因我单位属于差额拨款单位，财政未保障我单位“三公”经费。</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w:t>
      </w:r>
      <w:r>
        <w:rPr>
          <w:rStyle w:val="7"/>
          <w:rFonts w:hint="eastAsia" w:ascii="方正黑体_GBK" w:hAnsi="方正黑体_GBK" w:eastAsia="方正黑体_GBK" w:cs="方正黑体_GBK"/>
          <w:b w:val="0"/>
          <w:bCs/>
          <w:sz w:val="32"/>
          <w:szCs w:val="32"/>
          <w:shd w:val="clear" w:fill="FFFFFF"/>
          <w:lang w:val="en-US" w:eastAsia="zh-CN"/>
        </w:rPr>
        <w:t xml:space="preserve"> </w:t>
      </w:r>
      <w:r>
        <w:rPr>
          <w:rStyle w:val="7"/>
          <w:rFonts w:hint="eastAsia" w:ascii="方正黑体_GBK" w:hAnsi="方正黑体_GBK" w:eastAsia="方正黑体_GBK" w:cs="方正黑体_GBK"/>
          <w:b w:val="0"/>
          <w:bCs/>
          <w:sz w:val="32"/>
          <w:szCs w:val="32"/>
          <w:shd w:val="clear" w:fill="FFFFFF"/>
          <w:lang w:eastAsia="zh-CN"/>
        </w:rPr>
        <w:t>四、其他需要说明的事项</w:t>
      </w:r>
    </w:p>
    <w:p>
      <w:pPr>
        <w:pStyle w:val="4"/>
        <w:widowControl/>
        <w:numPr>
          <w:numId w:val="0"/>
        </w:numPr>
        <w:shd w:val="clear" w:fill="FFFFFF"/>
        <w:snapToGrid w:val="0"/>
        <w:ind w:left="361" w:leftChars="0" w:right="0" w:rightChars="0"/>
        <w:rPr>
          <w:rFonts w:hint="eastAsia"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fill="FFFFFF"/>
          <w:lang w:eastAsia="zh-CN"/>
        </w:rPr>
        <w:t>（一）机关运行经费情况说明。</w:t>
      </w:r>
      <w:r>
        <w:rPr>
          <w:rFonts w:hint="eastAsia" w:ascii="方正仿宋_GBK" w:hAnsi="方正仿宋_GBK" w:eastAsia="方正仿宋_GBK" w:cs="方正仿宋_GBK"/>
          <w:sz w:val="32"/>
          <w:szCs w:val="32"/>
        </w:rPr>
        <w:t>按照部门决算列报口径，我单位不在机关运行经费统计范围之内。</w:t>
      </w:r>
    </w:p>
    <w:p>
      <w:pPr>
        <w:pStyle w:val="4"/>
        <w:widowControl/>
        <w:shd w:val="clear" w:fill="FFFFFF"/>
        <w:snapToGrid w:val="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val="en-US"/>
        </w:rPr>
        <w:t xml:space="preserve">  </w:t>
      </w:r>
      <w:r>
        <w:rPr>
          <w:rStyle w:val="7"/>
          <w:rFonts w:hint="eastAsia" w:ascii="方正楷体_GBK" w:hAnsi="方正楷体_GBK" w:eastAsia="方正楷体_GBK" w:cs="方正楷体_GBK"/>
          <w:b w:val="0"/>
          <w:bCs/>
          <w:sz w:val="32"/>
          <w:szCs w:val="32"/>
          <w:shd w:val="clear" w:fill="FFFFFF"/>
          <w:lang w:eastAsia="zh-CN"/>
        </w:rPr>
        <w:t>（二）国有资产占用情况说明。</w:t>
      </w:r>
      <w:r>
        <w:rPr>
          <w:rFonts w:hint="eastAsia" w:ascii="方正仿宋_GBK" w:hAnsi="方正仿宋_GBK" w:eastAsia="方正仿宋_GBK" w:cs="方正仿宋_GBK"/>
          <w:snapToGrid w:val="0"/>
          <w:sz w:val="32"/>
          <w:szCs w:val="32"/>
          <w:shd w:val="clear" w:fill="FFFFFF"/>
          <w:lang w:eastAsia="zh-CN"/>
        </w:rPr>
        <w:t>截至</w:t>
      </w:r>
      <w:r>
        <w:rPr>
          <w:rFonts w:hint="eastAsia" w:ascii="方正仿宋_GBK" w:hAnsi="方正仿宋_GBK" w:eastAsia="方正仿宋_GBK" w:cs="方正仿宋_GBK"/>
          <w:sz w:val="32"/>
          <w:szCs w:val="32"/>
          <w:shd w:val="clear" w:fill="FFFFFF"/>
          <w:lang w:val="en-US"/>
        </w:rPr>
        <w:t>20</w:t>
      </w:r>
      <w:r>
        <w:rPr>
          <w:rFonts w:hint="eastAsia" w:ascii="方正仿宋_GBK" w:hAnsi="方正仿宋_GBK" w:eastAsia="方正仿宋_GBK" w:cs="方正仿宋_GBK"/>
          <w:sz w:val="32"/>
          <w:szCs w:val="32"/>
          <w:shd w:val="clear" w:fill="FFFFFF"/>
          <w:lang w:val="en-US" w:eastAsia="zh-CN"/>
        </w:rPr>
        <w:t>20</w:t>
      </w:r>
      <w:r>
        <w:rPr>
          <w:rFonts w:hint="eastAsia" w:ascii="方正仿宋_GBK" w:hAnsi="方正仿宋_GBK" w:eastAsia="方正仿宋_GBK" w:cs="方正仿宋_GBK"/>
          <w:snapToGrid w:val="0"/>
          <w:sz w:val="32"/>
          <w:szCs w:val="32"/>
          <w:shd w:val="clear" w:fill="FFFFFF"/>
          <w:lang w:eastAsia="zh-CN"/>
        </w:rPr>
        <w:t>年</w:t>
      </w:r>
      <w:r>
        <w:rPr>
          <w:rFonts w:hint="eastAsia" w:ascii="方正仿宋_GBK" w:hAnsi="方正仿宋_GBK" w:eastAsia="方正仿宋_GBK" w:cs="方正仿宋_GBK"/>
          <w:sz w:val="32"/>
          <w:szCs w:val="32"/>
          <w:shd w:val="clear" w:fill="FFFFFF"/>
          <w:lang w:val="en-US"/>
        </w:rPr>
        <w:t>12</w:t>
      </w:r>
      <w:r>
        <w:rPr>
          <w:rFonts w:hint="eastAsia" w:ascii="方正仿宋_GBK" w:hAnsi="方正仿宋_GBK" w:eastAsia="方正仿宋_GBK" w:cs="方正仿宋_GBK"/>
          <w:snapToGrid w:val="0"/>
          <w:sz w:val="32"/>
          <w:szCs w:val="32"/>
          <w:shd w:val="clear" w:fill="FFFFFF"/>
          <w:lang w:eastAsia="zh-CN"/>
        </w:rPr>
        <w:t>月</w:t>
      </w:r>
      <w:r>
        <w:rPr>
          <w:rFonts w:hint="eastAsia" w:ascii="方正仿宋_GBK" w:hAnsi="方正仿宋_GBK" w:eastAsia="方正仿宋_GBK" w:cs="方正仿宋_GBK"/>
          <w:sz w:val="32"/>
          <w:szCs w:val="32"/>
          <w:shd w:val="clear" w:fill="FFFFFF"/>
          <w:lang w:val="en-US"/>
        </w:rPr>
        <w:t>31</w:t>
      </w:r>
      <w:r>
        <w:rPr>
          <w:rFonts w:hint="eastAsia" w:ascii="方正仿宋_GBK" w:hAnsi="方正仿宋_GBK" w:eastAsia="方正仿宋_GBK" w:cs="方正仿宋_GBK"/>
          <w:snapToGrid w:val="0"/>
          <w:sz w:val="32"/>
          <w:szCs w:val="32"/>
          <w:shd w:val="clear" w:fill="FFFFFF"/>
          <w:lang w:eastAsia="zh-CN"/>
        </w:rPr>
        <w:t>日，本部门共有车辆</w:t>
      </w: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napToGrid w:val="0"/>
          <w:sz w:val="32"/>
          <w:szCs w:val="32"/>
          <w:shd w:val="clear" w:fill="FFFFFF"/>
          <w:lang w:eastAsia="zh-CN"/>
        </w:rPr>
        <w:t>辆，其中，副部（省）级及以上领导用车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辆、主要领导干部用车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辆、机要通信用车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辆、应急保障用车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辆、执法执勤用车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辆，特种专业技术用车</w:t>
      </w: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napToGrid w:val="0"/>
          <w:sz w:val="32"/>
          <w:szCs w:val="32"/>
          <w:shd w:val="clear" w:fill="FFFFFF"/>
          <w:lang w:eastAsia="zh-CN"/>
        </w:rPr>
        <w:t>辆，离退休干部用车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辆，其他用车</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辆。单价</w:t>
      </w:r>
      <w:r>
        <w:rPr>
          <w:rFonts w:hint="eastAsia" w:ascii="方正仿宋_GBK" w:hAnsi="方正仿宋_GBK" w:eastAsia="方正仿宋_GBK" w:cs="方正仿宋_GBK"/>
          <w:sz w:val="32"/>
          <w:szCs w:val="32"/>
          <w:shd w:val="clear" w:fill="FFFFFF"/>
          <w:lang w:val="en-US"/>
        </w:rPr>
        <w:t>50</w:t>
      </w:r>
      <w:r>
        <w:rPr>
          <w:rFonts w:hint="eastAsia" w:ascii="方正仿宋_GBK" w:hAnsi="方正仿宋_GBK" w:eastAsia="方正仿宋_GBK" w:cs="方正仿宋_GBK"/>
          <w:snapToGrid w:val="0"/>
          <w:sz w:val="32"/>
          <w:szCs w:val="32"/>
          <w:shd w:val="clear" w:fill="FFFFFF"/>
          <w:lang w:eastAsia="zh-CN"/>
        </w:rPr>
        <w:t>万元（含）以上通用设备</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台（套），单价</w:t>
      </w:r>
      <w:r>
        <w:rPr>
          <w:rFonts w:hint="eastAsia" w:ascii="方正仿宋_GBK" w:hAnsi="方正仿宋_GBK" w:eastAsia="方正仿宋_GBK" w:cs="方正仿宋_GBK"/>
          <w:sz w:val="32"/>
          <w:szCs w:val="32"/>
          <w:shd w:val="clear" w:fill="FFFFFF"/>
          <w:lang w:val="en-US"/>
        </w:rPr>
        <w:t>100</w:t>
      </w:r>
      <w:r>
        <w:rPr>
          <w:rFonts w:hint="eastAsia" w:ascii="方正仿宋_GBK" w:hAnsi="方正仿宋_GBK" w:eastAsia="方正仿宋_GBK" w:cs="方正仿宋_GBK"/>
          <w:snapToGrid w:val="0"/>
          <w:sz w:val="32"/>
          <w:szCs w:val="32"/>
          <w:shd w:val="clear" w:fill="FFFFFF"/>
          <w:lang w:eastAsia="zh-CN"/>
        </w:rPr>
        <w:t>万元（含）以上专用设备</w:t>
      </w:r>
      <w:r>
        <w:rPr>
          <w:rFonts w:hint="eastAsia" w:ascii="方正仿宋_GBK" w:hAnsi="方正仿宋_GBK" w:eastAsia="方正仿宋_GBK" w:cs="方正仿宋_GBK"/>
          <w:sz w:val="32"/>
          <w:szCs w:val="32"/>
          <w:shd w:val="clear" w:fill="FFFFFF"/>
          <w:lang w:val="en-US"/>
        </w:rPr>
        <w:t>0</w:t>
      </w:r>
      <w:r>
        <w:rPr>
          <w:rFonts w:hint="eastAsia" w:ascii="方正仿宋_GBK" w:hAnsi="方正仿宋_GBK" w:eastAsia="方正仿宋_GBK" w:cs="方正仿宋_GBK"/>
          <w:snapToGrid w:val="0"/>
          <w:sz w:val="32"/>
          <w:szCs w:val="32"/>
          <w:shd w:val="clear" w:fill="FFFFFF"/>
          <w:lang w:eastAsia="zh-CN"/>
        </w:rPr>
        <w:t>台（套）。</w:t>
      </w:r>
    </w:p>
    <w:p>
      <w:pPr>
        <w:pStyle w:val="4"/>
        <w:widowControl/>
        <w:shd w:val="clear" w:fill="FFFFFF"/>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w:t>
      </w:r>
      <w:r>
        <w:rPr>
          <w:rStyle w:val="7"/>
          <w:rFonts w:hint="eastAsia" w:ascii="方正仿宋_GBK" w:hAnsi="方正仿宋_GBK" w:eastAsia="方正仿宋_GBK" w:cs="方正仿宋_GBK"/>
          <w:sz w:val="32"/>
          <w:szCs w:val="32"/>
          <w:shd w:val="clear" w:fill="FFFFFF"/>
          <w:lang w:val="en-US"/>
        </w:rPr>
        <w:t> </w:t>
      </w:r>
      <w:r>
        <w:rPr>
          <w:rStyle w:val="7"/>
          <w:rFonts w:hint="eastAsia" w:ascii="方正楷体_GBK" w:hAnsi="方正楷体_GBK" w:eastAsia="方正楷体_GBK" w:cs="方正楷体_GBK"/>
          <w:b w:val="0"/>
          <w:bCs/>
          <w:sz w:val="32"/>
          <w:szCs w:val="32"/>
          <w:shd w:val="clear" w:fill="FFFFFF"/>
          <w:lang w:val="en-US" w:eastAsia="zh-CN"/>
        </w:rPr>
        <w:t xml:space="preserve"> </w:t>
      </w:r>
      <w:r>
        <w:rPr>
          <w:rStyle w:val="7"/>
          <w:rFonts w:hint="eastAsia" w:ascii="方正楷体_GBK" w:hAnsi="方正楷体_GBK" w:eastAsia="方正楷体_GBK" w:cs="方正楷体_GBK"/>
          <w:b w:val="0"/>
          <w:bCs/>
          <w:sz w:val="32"/>
          <w:szCs w:val="32"/>
          <w:shd w:val="clear" w:fill="FFFFFF"/>
          <w:lang w:eastAsia="zh-CN"/>
        </w:rPr>
        <w:t>（三）政府采购支出情况说明。</w:t>
      </w:r>
      <w:r>
        <w:rPr>
          <w:rFonts w:hint="eastAsia" w:ascii="方正仿宋_GBK" w:hAnsi="方正仿宋_GBK" w:eastAsia="方正仿宋_GBK" w:cs="方正仿宋_GBK"/>
          <w:sz w:val="32"/>
          <w:szCs w:val="32"/>
          <w:shd w:val="clear" w:fill="FFFFFF"/>
          <w:lang w:val="en-US" w:eastAsia="zh-CN"/>
        </w:rPr>
        <w:t>2020</w:t>
      </w:r>
      <w:r>
        <w:rPr>
          <w:rFonts w:hint="eastAsia" w:ascii="方正仿宋_GBK" w:hAnsi="方正仿宋_GBK" w:eastAsia="方正仿宋_GBK" w:cs="方正仿宋_GBK"/>
          <w:snapToGrid w:val="0"/>
          <w:sz w:val="32"/>
          <w:szCs w:val="32"/>
          <w:shd w:val="clear" w:fill="FFFFFF"/>
          <w:lang w:eastAsia="zh-CN"/>
        </w:rPr>
        <w:t>年度本部门政府采购支出总额</w:t>
      </w:r>
      <w:r>
        <w:rPr>
          <w:rFonts w:hint="eastAsia" w:ascii="方正仿宋_GBK" w:hAnsi="方正仿宋_GBK" w:eastAsia="方正仿宋_GBK" w:cs="方正仿宋_GBK"/>
          <w:b/>
          <w:bCs/>
          <w:color w:val="auto"/>
          <w:sz w:val="32"/>
          <w:szCs w:val="32"/>
          <w:shd w:val="clear" w:fill="FFFFFF"/>
          <w:lang w:val="en-US" w:eastAsia="zh-CN"/>
        </w:rPr>
        <w:t>3.39</w:t>
      </w:r>
      <w:r>
        <w:rPr>
          <w:rFonts w:hint="eastAsia" w:ascii="方正仿宋_GBK" w:hAnsi="方正仿宋_GBK" w:eastAsia="方正仿宋_GBK" w:cs="方正仿宋_GBK"/>
          <w:snapToGrid w:val="0"/>
          <w:sz w:val="32"/>
          <w:szCs w:val="32"/>
          <w:shd w:val="clear" w:fill="FFFFFF"/>
          <w:lang w:eastAsia="zh-CN"/>
        </w:rPr>
        <w:t>万元，其中：政府采购货物支出</w:t>
      </w:r>
      <w:r>
        <w:rPr>
          <w:rFonts w:hint="eastAsia" w:ascii="方正仿宋_GBK" w:hAnsi="方正仿宋_GBK" w:eastAsia="方正仿宋_GBK" w:cs="方正仿宋_GBK"/>
          <w:sz w:val="32"/>
          <w:szCs w:val="32"/>
          <w:shd w:val="clear" w:fill="FFFFFF"/>
          <w:lang w:val="en-US" w:eastAsia="zh-CN"/>
        </w:rPr>
        <w:t>3.39</w:t>
      </w:r>
      <w:r>
        <w:rPr>
          <w:rFonts w:hint="eastAsia" w:ascii="方正仿宋_GBK" w:hAnsi="方正仿宋_GBK" w:eastAsia="方正仿宋_GBK" w:cs="方正仿宋_GBK"/>
          <w:snapToGrid w:val="0"/>
          <w:sz w:val="32"/>
          <w:szCs w:val="32"/>
          <w:shd w:val="clear" w:fill="FFFFFF"/>
          <w:lang w:eastAsia="zh-CN"/>
        </w:rPr>
        <w:t>万元、政府采购工程支出</w:t>
      </w:r>
      <w:r>
        <w:rPr>
          <w:rFonts w:hint="eastAsia" w:ascii="方正仿宋_GBK" w:hAnsi="方正仿宋_GBK" w:eastAsia="方正仿宋_GBK" w:cs="方正仿宋_GBK"/>
          <w:sz w:val="32"/>
          <w:szCs w:val="32"/>
          <w:shd w:val="clear" w:fill="FFFFFF"/>
          <w:lang w:val="en-US"/>
        </w:rPr>
        <w:t>0.00</w:t>
      </w:r>
      <w:r>
        <w:rPr>
          <w:rFonts w:hint="eastAsia" w:ascii="方正仿宋_GBK" w:hAnsi="方正仿宋_GBK" w:eastAsia="方正仿宋_GBK" w:cs="方正仿宋_GBK"/>
          <w:snapToGrid w:val="0"/>
          <w:sz w:val="32"/>
          <w:szCs w:val="32"/>
          <w:shd w:val="clear" w:fill="FFFFFF"/>
          <w:lang w:eastAsia="zh-CN"/>
        </w:rPr>
        <w:t>万元、政府采购服务支出</w:t>
      </w:r>
      <w:r>
        <w:rPr>
          <w:rFonts w:hint="eastAsia" w:ascii="方正仿宋_GBK" w:hAnsi="方正仿宋_GBK" w:eastAsia="方正仿宋_GBK" w:cs="方正仿宋_GBK"/>
          <w:sz w:val="32"/>
          <w:szCs w:val="32"/>
          <w:shd w:val="clear" w:fill="FFFFFF"/>
          <w:lang w:val="en-US"/>
        </w:rPr>
        <w:t>0.00</w:t>
      </w:r>
      <w:r>
        <w:rPr>
          <w:rFonts w:hint="eastAsia" w:ascii="方正仿宋_GBK" w:hAnsi="方正仿宋_GBK" w:eastAsia="方正仿宋_GBK" w:cs="方正仿宋_GBK"/>
          <w:snapToGrid w:val="0"/>
          <w:sz w:val="32"/>
          <w:szCs w:val="32"/>
          <w:shd w:val="clear" w:fill="FFFFFF"/>
          <w:lang w:eastAsia="zh-CN"/>
        </w:rPr>
        <w:t>万元。授予中小企业合同金额</w:t>
      </w:r>
      <w:r>
        <w:rPr>
          <w:rFonts w:hint="eastAsia" w:ascii="方正仿宋_GBK" w:hAnsi="方正仿宋_GBK" w:eastAsia="方正仿宋_GBK" w:cs="方正仿宋_GBK"/>
          <w:sz w:val="32"/>
          <w:szCs w:val="32"/>
          <w:shd w:val="clear" w:fill="FFFFFF"/>
          <w:lang w:val="en-US" w:eastAsia="zh-CN"/>
        </w:rPr>
        <w:t>0.00</w:t>
      </w:r>
      <w:r>
        <w:rPr>
          <w:rFonts w:hint="eastAsia" w:ascii="方正仿宋_GBK" w:hAnsi="方正仿宋_GBK" w:eastAsia="方正仿宋_GBK" w:cs="方正仿宋_GBK"/>
          <w:snapToGrid w:val="0"/>
          <w:sz w:val="32"/>
          <w:szCs w:val="32"/>
          <w:shd w:val="clear" w:fill="FFFFFF"/>
          <w:lang w:eastAsia="zh-CN"/>
        </w:rPr>
        <w:t>万元，占政府采购支出总额的</w:t>
      </w:r>
      <w:r>
        <w:rPr>
          <w:rFonts w:hint="eastAsia" w:ascii="方正仿宋_GBK" w:hAnsi="方正仿宋_GBK" w:eastAsia="方正仿宋_GBK" w:cs="方正仿宋_GBK"/>
          <w:sz w:val="32"/>
          <w:szCs w:val="32"/>
          <w:shd w:val="clear" w:fill="FFFFFF"/>
          <w:lang w:val="en-US" w:eastAsia="zh-CN"/>
        </w:rPr>
        <w:t>0</w:t>
      </w:r>
      <w:r>
        <w:rPr>
          <w:rFonts w:hint="eastAsia" w:ascii="方正仿宋_GBK" w:hAnsi="方正仿宋_GBK" w:eastAsia="方正仿宋_GBK" w:cs="方正仿宋_GBK"/>
          <w:sz w:val="32"/>
          <w:szCs w:val="32"/>
          <w:shd w:val="clear" w:fill="FFFFFF"/>
          <w:lang w:val="en-US"/>
        </w:rPr>
        <w:t>0.00%</w:t>
      </w:r>
      <w:r>
        <w:rPr>
          <w:rFonts w:hint="eastAsia" w:ascii="方正仿宋_GBK" w:hAnsi="方正仿宋_GBK" w:eastAsia="方正仿宋_GBK" w:cs="方正仿宋_GBK"/>
          <w:snapToGrid w:val="0"/>
          <w:sz w:val="32"/>
          <w:szCs w:val="32"/>
          <w:shd w:val="clear" w:fill="FFFFFF"/>
          <w:lang w:eastAsia="zh-CN"/>
        </w:rPr>
        <w:t>，其中：授予小微企业合同金额</w:t>
      </w:r>
      <w:r>
        <w:rPr>
          <w:rFonts w:hint="eastAsia" w:ascii="方正仿宋_GBK" w:hAnsi="方正仿宋_GBK" w:eastAsia="方正仿宋_GBK" w:cs="方正仿宋_GBK"/>
          <w:sz w:val="32"/>
          <w:szCs w:val="32"/>
          <w:shd w:val="clear" w:fill="FFFFFF"/>
          <w:lang w:val="en-US" w:eastAsia="zh-CN"/>
        </w:rPr>
        <w:t>0.00</w:t>
      </w:r>
      <w:r>
        <w:rPr>
          <w:rFonts w:hint="eastAsia" w:ascii="方正仿宋_GBK" w:hAnsi="方正仿宋_GBK" w:eastAsia="方正仿宋_GBK" w:cs="方正仿宋_GBK"/>
          <w:snapToGrid w:val="0"/>
          <w:sz w:val="32"/>
          <w:szCs w:val="32"/>
          <w:shd w:val="clear" w:fill="FFFFFF"/>
          <w:lang w:eastAsia="zh-CN"/>
        </w:rPr>
        <w:t>万元，占政府采购支出总额的</w:t>
      </w:r>
      <w:r>
        <w:rPr>
          <w:rFonts w:hint="eastAsia" w:ascii="方正仿宋_GBK" w:hAnsi="方正仿宋_GBK" w:eastAsia="方正仿宋_GBK" w:cs="方正仿宋_GBK"/>
          <w:sz w:val="32"/>
          <w:szCs w:val="32"/>
          <w:shd w:val="clear" w:fill="FFFFFF"/>
          <w:lang w:val="en-US" w:eastAsia="zh-CN"/>
        </w:rPr>
        <w:t>0.00</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。主要用于采购卫生院</w:t>
      </w:r>
      <w:r>
        <w:rPr>
          <w:rFonts w:hint="eastAsia" w:ascii="方正仿宋_GBK" w:hAnsi="方正仿宋_GBK" w:eastAsia="方正仿宋_GBK" w:cs="方正仿宋_GBK"/>
          <w:sz w:val="32"/>
          <w:szCs w:val="32"/>
        </w:rPr>
        <w:t>建设设备</w:t>
      </w:r>
      <w:r>
        <w:rPr>
          <w:rFonts w:hint="eastAsia" w:ascii="方正仿宋_GBK" w:hAnsi="方正仿宋_GBK" w:eastAsia="方正仿宋_GBK" w:cs="方正仿宋_GBK"/>
          <w:snapToGrid w:val="0"/>
          <w:sz w:val="32"/>
          <w:szCs w:val="32"/>
          <w:shd w:val="clear" w:fill="FFFFFF"/>
          <w:lang w:eastAsia="zh-CN"/>
        </w:rPr>
        <w:t>。</w:t>
      </w:r>
    </w:p>
    <w:p>
      <w:pPr>
        <w:pStyle w:val="4"/>
        <w:widowControl/>
        <w:shd w:val="clear" w:fill="FFFFFF"/>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lang w:val="en-US"/>
        </w:rPr>
        <w:t xml:space="preserve">  </w:t>
      </w:r>
      <w:r>
        <w:rPr>
          <w:rStyle w:val="7"/>
          <w:rFonts w:hint="eastAsia" w:ascii="方正黑体_GBK" w:hAnsi="方正黑体_GBK" w:eastAsia="方正黑体_GBK" w:cs="方正黑体_GBK"/>
          <w:b w:val="0"/>
          <w:bCs/>
          <w:sz w:val="32"/>
          <w:szCs w:val="32"/>
          <w:shd w:val="clear" w:fill="FFFFFF"/>
          <w:lang w:val="en-US" w:eastAsia="zh-CN"/>
        </w:rPr>
        <w:t xml:space="preserve">  </w:t>
      </w:r>
      <w:r>
        <w:rPr>
          <w:rStyle w:val="7"/>
          <w:rFonts w:hint="eastAsia" w:ascii="方正黑体_GBK" w:hAnsi="方正黑体_GBK" w:eastAsia="方正黑体_GBK" w:cs="方正黑体_GBK"/>
          <w:b w:val="0"/>
          <w:bCs/>
          <w:sz w:val="32"/>
          <w:szCs w:val="32"/>
          <w:shd w:val="clear" w:fill="FFFFFF"/>
          <w:lang w:eastAsia="zh-CN"/>
        </w:rPr>
        <w:t>五、预算绩效管理情况说明</w:t>
      </w:r>
    </w:p>
    <w:p>
      <w:pPr>
        <w:pStyle w:val="4"/>
        <w:widowControl/>
        <w:numPr>
          <w:numId w:val="0"/>
        </w:numPr>
        <w:shd w:val="clear" w:fill="FFFFFF"/>
        <w:snapToGrid w:val="0"/>
        <w:ind w:left="361" w:leftChars="0" w:right="0" w:rightChars="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（一）预算绩效管理工作开展情况</w:t>
      </w:r>
    </w:p>
    <w:p>
      <w:pPr>
        <w:pStyle w:val="11"/>
        <w:tabs>
          <w:tab w:val="center" w:pos="4153"/>
          <w:tab w:val="left" w:pos="7275"/>
        </w:tabs>
        <w:spacing w:line="600" w:lineRule="exact"/>
        <w:ind w:firstLine="640"/>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kern w:val="0"/>
          <w:sz w:val="32"/>
          <w:szCs w:val="32"/>
        </w:rPr>
        <w:t>根据预算绩效管理要求，</w:t>
      </w:r>
      <w:r>
        <w:rPr>
          <w:rFonts w:hint="eastAsia" w:ascii="方正仿宋_GBK" w:hAnsi="方正仿宋_GBK" w:eastAsia="方正仿宋_GBK" w:cs="方正仿宋_GBK"/>
          <w:kern w:val="0"/>
          <w:sz w:val="32"/>
          <w:szCs w:val="32"/>
          <w:lang w:eastAsia="zh-CN"/>
        </w:rPr>
        <w:t>本单位</w:t>
      </w:r>
      <w:r>
        <w:rPr>
          <w:rFonts w:hint="eastAsia" w:ascii="方正仿宋_GBK" w:hAnsi="方正仿宋_GBK" w:eastAsia="方正仿宋_GBK" w:cs="方正仿宋_GBK"/>
          <w:kern w:val="0"/>
          <w:sz w:val="32"/>
          <w:szCs w:val="32"/>
        </w:rPr>
        <w:t>对部门整体</w:t>
      </w:r>
      <w:r>
        <w:rPr>
          <w:rFonts w:hint="eastAsia" w:ascii="方正仿宋_GBK" w:hAnsi="方正仿宋_GBK" w:eastAsia="方正仿宋_GBK" w:cs="方正仿宋_GBK"/>
          <w:kern w:val="0"/>
          <w:sz w:val="32"/>
          <w:szCs w:val="32"/>
          <w:lang w:eastAsia="zh-CN"/>
        </w:rPr>
        <w:t>绩效</w:t>
      </w:r>
      <w:r>
        <w:rPr>
          <w:rFonts w:hint="eastAsia" w:ascii="方正仿宋_GBK" w:hAnsi="方正仿宋_GBK" w:eastAsia="方正仿宋_GBK" w:cs="方正仿宋_GBK"/>
          <w:kern w:val="0"/>
          <w:sz w:val="32"/>
          <w:szCs w:val="32"/>
        </w:rPr>
        <w:t>开展了自评，从评价情况来看，</w:t>
      </w:r>
      <w:r>
        <w:rPr>
          <w:rFonts w:hint="eastAsia" w:ascii="方正仿宋_GBK" w:hAnsi="方正仿宋_GBK" w:eastAsia="方正仿宋_GBK" w:cs="方正仿宋_GBK"/>
          <w:kern w:val="0"/>
          <w:sz w:val="32"/>
          <w:szCs w:val="32"/>
          <w:lang w:eastAsia="zh-CN"/>
        </w:rPr>
        <w:t>实施的项目均已实现年初目标，完成较好</w:t>
      </w:r>
      <w:r>
        <w:rPr>
          <w:rFonts w:hint="eastAsia" w:ascii="方正仿宋_GBK" w:hAnsi="方正仿宋_GBK" w:eastAsia="方正仿宋_GBK" w:cs="方正仿宋_GBK"/>
          <w:kern w:val="0"/>
          <w:sz w:val="32"/>
          <w:szCs w:val="32"/>
        </w:rPr>
        <w:t>。</w:t>
      </w:r>
    </w:p>
    <w:p>
      <w:pPr>
        <w:pStyle w:val="11"/>
        <w:tabs>
          <w:tab w:val="center" w:pos="4153"/>
          <w:tab w:val="left" w:pos="7275"/>
        </w:tabs>
        <w:spacing w:line="600" w:lineRule="exact"/>
        <w:ind w:firstLine="640"/>
        <w:rPr>
          <w:rFonts w:hint="eastAsia" w:ascii="方正仿宋_GBK" w:hAnsi="方正仿宋_GBK" w:eastAsia="方正仿宋_GBK" w:cs="方正仿宋_GBK"/>
          <w:color w:val="333333"/>
          <w:sz w:val="32"/>
          <w:szCs w:val="32"/>
        </w:rPr>
      </w:pPr>
      <w:r>
        <w:rPr>
          <w:rStyle w:val="7"/>
          <w:rFonts w:hint="eastAsia" w:ascii="方正楷体_GBK" w:hAnsi="方正楷体_GBK" w:eastAsia="方正楷体_GBK" w:cs="方正楷体_GBK"/>
          <w:b w:val="0"/>
          <w:bCs/>
          <w:kern w:val="0"/>
          <w:sz w:val="32"/>
          <w:szCs w:val="32"/>
          <w:shd w:val="clear" w:fill="FFFFFF"/>
          <w:lang w:val="en-US" w:eastAsia="zh-CN" w:bidi="ar"/>
        </w:rPr>
        <w:t>（二）绩效自评结果</w:t>
      </w:r>
    </w:p>
    <w:p>
      <w:pPr>
        <w:pStyle w:val="11"/>
        <w:tabs>
          <w:tab w:val="center" w:pos="4153"/>
          <w:tab w:val="left" w:pos="7275"/>
        </w:tabs>
        <w:spacing w:line="600" w:lineRule="exact"/>
        <w:ind w:firstLine="643"/>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1.绩效目标自评表</w:t>
      </w:r>
    </w:p>
    <w:p>
      <w:pPr>
        <w:pStyle w:val="11"/>
        <w:tabs>
          <w:tab w:val="center" w:pos="4153"/>
          <w:tab w:val="left" w:pos="7275"/>
        </w:tabs>
        <w:spacing w:line="600" w:lineRule="exact"/>
        <w:ind w:firstLine="643"/>
        <w:rPr>
          <w:rFonts w:hint="eastAsia" w:ascii="方正仿宋_GBK" w:hAnsi="方正仿宋_GBK" w:eastAsia="方正仿宋_GBK" w:cs="方正仿宋_GBK"/>
          <w:b/>
          <w:kern w:val="0"/>
          <w:sz w:val="32"/>
          <w:szCs w:val="32"/>
        </w:rPr>
      </w:pPr>
    </w:p>
    <w:p>
      <w:pPr>
        <w:pStyle w:val="11"/>
        <w:tabs>
          <w:tab w:val="center" w:pos="4153"/>
          <w:tab w:val="left" w:pos="7275"/>
        </w:tabs>
        <w:spacing w:line="600" w:lineRule="exact"/>
        <w:ind w:firstLine="0" w:firstLineChars="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部门整体绩效自评表</w:t>
      </w:r>
    </w:p>
    <w:tbl>
      <w:tblPr>
        <w:tblStyle w:val="5"/>
        <w:tblW w:w="9993" w:type="dxa"/>
        <w:tblInd w:w="-318" w:type="dxa"/>
        <w:tblLayout w:type="fixed"/>
        <w:tblCellMar>
          <w:top w:w="0" w:type="dxa"/>
          <w:left w:w="108" w:type="dxa"/>
          <w:bottom w:w="0" w:type="dxa"/>
          <w:right w:w="108" w:type="dxa"/>
        </w:tblCellMar>
      </w:tblPr>
      <w:tblGrid>
        <w:gridCol w:w="816"/>
        <w:gridCol w:w="343"/>
        <w:gridCol w:w="665"/>
        <w:gridCol w:w="208"/>
        <w:gridCol w:w="256"/>
        <w:gridCol w:w="292"/>
        <w:gridCol w:w="559"/>
        <w:gridCol w:w="706"/>
        <w:gridCol w:w="323"/>
        <w:gridCol w:w="430"/>
        <w:gridCol w:w="253"/>
        <w:gridCol w:w="458"/>
        <w:gridCol w:w="88"/>
        <w:gridCol w:w="929"/>
        <w:gridCol w:w="1405"/>
        <w:gridCol w:w="91"/>
        <w:gridCol w:w="968"/>
        <w:gridCol w:w="1203"/>
      </w:tblGrid>
      <w:tr>
        <w:tblPrEx>
          <w:tblCellMar>
            <w:top w:w="0" w:type="dxa"/>
            <w:left w:w="108" w:type="dxa"/>
            <w:bottom w:w="0" w:type="dxa"/>
            <w:right w:w="108" w:type="dxa"/>
          </w:tblCellMar>
        </w:tblPrEx>
        <w:trPr>
          <w:trHeight w:val="575" w:hRule="atLeast"/>
        </w:trPr>
        <w:tc>
          <w:tcPr>
            <w:tcW w:w="81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主管</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部门</w:t>
            </w:r>
          </w:p>
        </w:tc>
        <w:tc>
          <w:tcPr>
            <w:tcW w:w="1472"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县卫生健康委</w:t>
            </w:r>
          </w:p>
        </w:tc>
        <w:tc>
          <w:tcPr>
            <w:tcW w:w="851"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财政处室</w:t>
            </w:r>
          </w:p>
        </w:tc>
        <w:tc>
          <w:tcPr>
            <w:tcW w:w="1029"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行社科</w:t>
            </w:r>
          </w:p>
        </w:tc>
        <w:tc>
          <w:tcPr>
            <w:tcW w:w="1141"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自评总分（分）</w:t>
            </w:r>
          </w:p>
        </w:tc>
        <w:tc>
          <w:tcPr>
            <w:tcW w:w="4684"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95</w:t>
            </w:r>
          </w:p>
        </w:tc>
      </w:tr>
      <w:tr>
        <w:tblPrEx>
          <w:tblCellMar>
            <w:top w:w="0" w:type="dxa"/>
            <w:left w:w="108" w:type="dxa"/>
            <w:bottom w:w="0" w:type="dxa"/>
            <w:right w:w="108" w:type="dxa"/>
          </w:tblCellMar>
        </w:tblPrEx>
        <w:trPr>
          <w:trHeight w:val="575" w:hRule="atLeast"/>
        </w:trPr>
        <w:tc>
          <w:tcPr>
            <w:tcW w:w="8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p>
        </w:tc>
        <w:tc>
          <w:tcPr>
            <w:tcW w:w="147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p>
        </w:tc>
        <w:tc>
          <w:tcPr>
            <w:tcW w:w="851"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p>
        </w:tc>
        <w:tc>
          <w:tcPr>
            <w:tcW w:w="102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p>
        </w:tc>
        <w:tc>
          <w:tcPr>
            <w:tcW w:w="114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部门</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联系人</w:t>
            </w:r>
          </w:p>
        </w:tc>
        <w:tc>
          <w:tcPr>
            <w:tcW w:w="1017" w:type="dxa"/>
            <w:gridSpan w:val="2"/>
            <w:tcBorders>
              <w:top w:val="nil"/>
              <w:left w:val="nil"/>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李仕鹏</w:t>
            </w:r>
          </w:p>
        </w:tc>
        <w:tc>
          <w:tcPr>
            <w:tcW w:w="1405" w:type="dxa"/>
            <w:tcBorders>
              <w:top w:val="nil"/>
              <w:left w:val="nil"/>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联系电话</w:t>
            </w:r>
          </w:p>
        </w:tc>
        <w:tc>
          <w:tcPr>
            <w:tcW w:w="226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18203070907</w:t>
            </w:r>
          </w:p>
        </w:tc>
      </w:tr>
      <w:tr>
        <w:tblPrEx>
          <w:tblCellMar>
            <w:top w:w="0" w:type="dxa"/>
            <w:left w:w="108" w:type="dxa"/>
            <w:bottom w:w="0" w:type="dxa"/>
            <w:right w:w="108" w:type="dxa"/>
          </w:tblCellMar>
        </w:tblPrEx>
        <w:trPr>
          <w:trHeight w:val="575" w:hRule="atLeast"/>
        </w:trPr>
        <w:tc>
          <w:tcPr>
            <w:tcW w:w="8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部门预算执行情况</w:t>
            </w:r>
          </w:p>
        </w:tc>
        <w:tc>
          <w:tcPr>
            <w:tcW w:w="1216" w:type="dxa"/>
            <w:gridSpan w:val="3"/>
            <w:vMerge w:val="restart"/>
            <w:tcBorders>
              <w:top w:val="nil"/>
              <w:left w:val="nil"/>
              <w:right w:val="nil"/>
            </w:tcBorders>
            <w:noWrap w:val="0"/>
            <w:vAlign w:val="center"/>
          </w:tcPr>
          <w:p>
            <w:pPr>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w:t>
            </w:r>
          </w:p>
          <w:p>
            <w:pPr>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资金</w:t>
            </w:r>
          </w:p>
          <w:p>
            <w:pPr>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（万元）</w:t>
            </w:r>
          </w:p>
        </w:tc>
        <w:tc>
          <w:tcPr>
            <w:tcW w:w="1107"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预算数</w:t>
            </w:r>
          </w:p>
        </w:tc>
        <w:tc>
          <w:tcPr>
            <w:tcW w:w="171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全年（调整）</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预算数</w:t>
            </w:r>
          </w:p>
        </w:tc>
        <w:tc>
          <w:tcPr>
            <w:tcW w:w="147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全年执行数</w:t>
            </w:r>
          </w:p>
        </w:tc>
        <w:tc>
          <w:tcPr>
            <w:tcW w:w="1405"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059"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权重</w:t>
            </w:r>
          </w:p>
        </w:tc>
        <w:tc>
          <w:tcPr>
            <w:tcW w:w="120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执行率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得分</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（分）</w:t>
            </w:r>
          </w:p>
        </w:tc>
      </w:tr>
      <w:tr>
        <w:tblPrEx>
          <w:tblCellMar>
            <w:top w:w="0" w:type="dxa"/>
            <w:left w:w="108" w:type="dxa"/>
            <w:bottom w:w="0" w:type="dxa"/>
            <w:right w:w="108" w:type="dxa"/>
          </w:tblCellMar>
        </w:tblPrEx>
        <w:trPr>
          <w:trHeight w:val="575" w:hRule="atLeast"/>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216" w:type="dxa"/>
            <w:gridSpan w:val="3"/>
            <w:vMerge w:val="continue"/>
            <w:tcBorders>
              <w:left w:val="nil"/>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p>
        </w:tc>
        <w:tc>
          <w:tcPr>
            <w:tcW w:w="1107"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94.48</w:t>
            </w:r>
          </w:p>
        </w:tc>
        <w:tc>
          <w:tcPr>
            <w:tcW w:w="1712"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110.48</w:t>
            </w:r>
          </w:p>
        </w:tc>
        <w:tc>
          <w:tcPr>
            <w:tcW w:w="1475"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108.0</w:t>
            </w:r>
          </w:p>
        </w:tc>
        <w:tc>
          <w:tcPr>
            <w:tcW w:w="1405" w:type="dxa"/>
            <w:tcBorders>
              <w:top w:val="nil"/>
              <w:left w:val="nil"/>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97.75</w:t>
            </w:r>
          </w:p>
        </w:tc>
        <w:tc>
          <w:tcPr>
            <w:tcW w:w="1059" w:type="dxa"/>
            <w:gridSpan w:val="2"/>
            <w:tcBorders>
              <w:top w:val="nil"/>
              <w:left w:val="nil"/>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20</w:t>
            </w:r>
          </w:p>
        </w:tc>
        <w:tc>
          <w:tcPr>
            <w:tcW w:w="1203" w:type="dxa"/>
            <w:tcBorders>
              <w:top w:val="nil"/>
              <w:left w:val="nil"/>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19</w:t>
            </w:r>
          </w:p>
        </w:tc>
      </w:tr>
      <w:tr>
        <w:tblPrEx>
          <w:tblCellMar>
            <w:top w:w="0" w:type="dxa"/>
            <w:left w:w="108" w:type="dxa"/>
            <w:bottom w:w="0" w:type="dxa"/>
            <w:right w:w="108" w:type="dxa"/>
          </w:tblCellMar>
        </w:tblPrEx>
        <w:trPr>
          <w:trHeight w:val="575" w:hRule="atLeast"/>
        </w:trPr>
        <w:tc>
          <w:tcPr>
            <w:tcW w:w="8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当年绩效目标</w:t>
            </w:r>
          </w:p>
        </w:tc>
        <w:tc>
          <w:tcPr>
            <w:tcW w:w="2323"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年初绩效目标</w:t>
            </w:r>
          </w:p>
        </w:tc>
        <w:tc>
          <w:tcPr>
            <w:tcW w:w="3187"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全年（调整）绩效目标</w:t>
            </w:r>
          </w:p>
        </w:tc>
        <w:tc>
          <w:tcPr>
            <w:tcW w:w="3667"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全年目标实际完成情况</w:t>
            </w:r>
          </w:p>
        </w:tc>
      </w:tr>
      <w:tr>
        <w:tblPrEx>
          <w:tblCellMar>
            <w:top w:w="0" w:type="dxa"/>
            <w:left w:w="108" w:type="dxa"/>
            <w:bottom w:w="0" w:type="dxa"/>
            <w:right w:w="108" w:type="dxa"/>
          </w:tblCellMar>
        </w:tblPrEx>
        <w:trPr>
          <w:trHeight w:val="712" w:hRule="atLeast"/>
        </w:trPr>
        <w:tc>
          <w:tcPr>
            <w:tcW w:w="8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2323"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完成主管部门及</w:t>
            </w:r>
            <w:r>
              <w:rPr>
                <w:rFonts w:hint="eastAsia" w:ascii="方正仿宋_GBK" w:hAnsi="方正仿宋_GBK" w:eastAsia="方正仿宋_GBK" w:cs="方正仿宋_GBK"/>
                <w:color w:val="000000"/>
                <w:kern w:val="0"/>
                <w:sz w:val="32"/>
                <w:szCs w:val="32"/>
                <w:lang w:eastAsia="zh-CN"/>
              </w:rPr>
              <w:t>上级各部门下达</w:t>
            </w:r>
            <w:r>
              <w:rPr>
                <w:rFonts w:hint="eastAsia" w:ascii="方正仿宋_GBK" w:hAnsi="方正仿宋_GBK" w:eastAsia="方正仿宋_GBK" w:cs="方正仿宋_GBK"/>
                <w:color w:val="000000"/>
                <w:kern w:val="0"/>
                <w:sz w:val="32"/>
                <w:szCs w:val="32"/>
                <w:lang w:val="en-US" w:eastAsia="zh-CN"/>
              </w:rPr>
              <w:t>的各项指标</w:t>
            </w:r>
            <w:r>
              <w:rPr>
                <w:rFonts w:hint="eastAsia" w:ascii="方正仿宋_GBK" w:hAnsi="方正仿宋_GBK" w:eastAsia="方正仿宋_GBK" w:cs="方正仿宋_GBK"/>
                <w:color w:val="000000"/>
                <w:kern w:val="0"/>
                <w:sz w:val="32"/>
                <w:szCs w:val="32"/>
                <w:lang w:eastAsia="zh-CN"/>
              </w:rPr>
              <w:t>任务。</w:t>
            </w:r>
          </w:p>
        </w:tc>
        <w:tc>
          <w:tcPr>
            <w:tcW w:w="3187"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完成主管部门及</w:t>
            </w:r>
            <w:r>
              <w:rPr>
                <w:rFonts w:hint="eastAsia" w:ascii="方正仿宋_GBK" w:hAnsi="方正仿宋_GBK" w:eastAsia="方正仿宋_GBK" w:cs="方正仿宋_GBK"/>
                <w:color w:val="000000"/>
                <w:kern w:val="0"/>
                <w:sz w:val="32"/>
                <w:szCs w:val="32"/>
                <w:lang w:eastAsia="zh-CN"/>
              </w:rPr>
              <w:t>上级各部门下达</w:t>
            </w:r>
            <w:r>
              <w:rPr>
                <w:rFonts w:hint="eastAsia" w:ascii="方正仿宋_GBK" w:hAnsi="方正仿宋_GBK" w:eastAsia="方正仿宋_GBK" w:cs="方正仿宋_GBK"/>
                <w:color w:val="000000"/>
                <w:kern w:val="0"/>
                <w:sz w:val="32"/>
                <w:szCs w:val="32"/>
                <w:lang w:val="en-US" w:eastAsia="zh-CN"/>
              </w:rPr>
              <w:t>的各项指标</w:t>
            </w:r>
            <w:r>
              <w:rPr>
                <w:rFonts w:hint="eastAsia" w:ascii="方正仿宋_GBK" w:hAnsi="方正仿宋_GBK" w:eastAsia="方正仿宋_GBK" w:cs="方正仿宋_GBK"/>
                <w:color w:val="000000"/>
                <w:kern w:val="0"/>
                <w:sz w:val="32"/>
                <w:szCs w:val="32"/>
                <w:lang w:eastAsia="zh-CN"/>
              </w:rPr>
              <w:t>任务。</w:t>
            </w:r>
          </w:p>
        </w:tc>
        <w:tc>
          <w:tcPr>
            <w:tcW w:w="3667"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已</w:t>
            </w:r>
            <w:r>
              <w:rPr>
                <w:rFonts w:hint="eastAsia" w:ascii="方正仿宋_GBK" w:hAnsi="方正仿宋_GBK" w:eastAsia="方正仿宋_GBK" w:cs="方正仿宋_GBK"/>
                <w:color w:val="000000"/>
                <w:kern w:val="0"/>
                <w:sz w:val="32"/>
                <w:szCs w:val="32"/>
              </w:rPr>
              <w:t>完成主管部门及</w:t>
            </w:r>
            <w:r>
              <w:rPr>
                <w:rFonts w:hint="eastAsia" w:ascii="方正仿宋_GBK" w:hAnsi="方正仿宋_GBK" w:eastAsia="方正仿宋_GBK" w:cs="方正仿宋_GBK"/>
                <w:color w:val="000000"/>
                <w:kern w:val="0"/>
                <w:sz w:val="32"/>
                <w:szCs w:val="32"/>
                <w:lang w:eastAsia="zh-CN"/>
              </w:rPr>
              <w:t>上级各部门下达</w:t>
            </w:r>
            <w:r>
              <w:rPr>
                <w:rFonts w:hint="eastAsia" w:ascii="方正仿宋_GBK" w:hAnsi="方正仿宋_GBK" w:eastAsia="方正仿宋_GBK" w:cs="方正仿宋_GBK"/>
                <w:color w:val="000000"/>
                <w:kern w:val="0"/>
                <w:sz w:val="32"/>
                <w:szCs w:val="32"/>
                <w:lang w:val="en-US" w:eastAsia="zh-CN"/>
              </w:rPr>
              <w:t>的各项指标</w:t>
            </w:r>
            <w:r>
              <w:rPr>
                <w:rFonts w:hint="eastAsia" w:ascii="方正仿宋_GBK" w:hAnsi="方正仿宋_GBK" w:eastAsia="方正仿宋_GBK" w:cs="方正仿宋_GBK"/>
                <w:color w:val="000000"/>
                <w:kern w:val="0"/>
                <w:sz w:val="32"/>
                <w:szCs w:val="32"/>
                <w:lang w:eastAsia="zh-CN"/>
              </w:rPr>
              <w:t>任务。</w:t>
            </w:r>
          </w:p>
        </w:tc>
      </w:tr>
      <w:tr>
        <w:tblPrEx>
          <w:tblCellMar>
            <w:top w:w="0" w:type="dxa"/>
            <w:left w:w="108" w:type="dxa"/>
            <w:bottom w:w="0" w:type="dxa"/>
            <w:right w:w="108" w:type="dxa"/>
          </w:tblCellMar>
        </w:tblPrEx>
        <w:trPr>
          <w:trHeight w:val="575" w:hRule="atLeast"/>
        </w:trPr>
        <w:tc>
          <w:tcPr>
            <w:tcW w:w="816"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绩效指标</w:t>
            </w:r>
          </w:p>
        </w:tc>
        <w:tc>
          <w:tcPr>
            <w:tcW w:w="1008" w:type="dxa"/>
            <w:gridSpan w:val="2"/>
            <w:tcBorders>
              <w:top w:val="nil"/>
              <w:left w:val="nil"/>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名称</w:t>
            </w:r>
          </w:p>
        </w:tc>
        <w:tc>
          <w:tcPr>
            <w:tcW w:w="756"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计量</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单位</w:t>
            </w:r>
          </w:p>
        </w:tc>
        <w:tc>
          <w:tcPr>
            <w:tcW w:w="55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性质</w:t>
            </w:r>
          </w:p>
        </w:tc>
        <w:tc>
          <w:tcPr>
            <w:tcW w:w="706"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年初</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值</w:t>
            </w:r>
          </w:p>
        </w:tc>
        <w:tc>
          <w:tcPr>
            <w:tcW w:w="753"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调整</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值</w:t>
            </w:r>
          </w:p>
        </w:tc>
        <w:tc>
          <w:tcPr>
            <w:tcW w:w="799"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全年</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完成</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值</w:t>
            </w:r>
          </w:p>
        </w:tc>
        <w:tc>
          <w:tcPr>
            <w:tcW w:w="92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得分</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系数</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w:t>
            </w:r>
          </w:p>
        </w:tc>
        <w:tc>
          <w:tcPr>
            <w:tcW w:w="1496"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指标权重</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（分）</w:t>
            </w:r>
          </w:p>
        </w:tc>
        <w:tc>
          <w:tcPr>
            <w:tcW w:w="968"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得分</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（分）</w:t>
            </w:r>
          </w:p>
        </w:tc>
        <w:tc>
          <w:tcPr>
            <w:tcW w:w="120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是否核心</w:t>
            </w:r>
          </w:p>
          <w:p>
            <w:pPr>
              <w:widowControl/>
              <w:spacing w:line="30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指标</w:t>
            </w:r>
          </w:p>
        </w:tc>
      </w:tr>
      <w:tr>
        <w:tblPrEx>
          <w:tblCellMar>
            <w:top w:w="0" w:type="dxa"/>
            <w:left w:w="108" w:type="dxa"/>
            <w:bottom w:w="0" w:type="dxa"/>
            <w:right w:w="108" w:type="dxa"/>
          </w:tblCellMar>
        </w:tblPrEx>
        <w:trPr>
          <w:trHeight w:val="500" w:hRule="atLeast"/>
        </w:trPr>
        <w:tc>
          <w:tcPr>
            <w:tcW w:w="816" w:type="dxa"/>
            <w:vMerge w:val="continue"/>
            <w:tcBorders>
              <w:left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008" w:type="dxa"/>
            <w:gridSpan w:val="2"/>
            <w:tcBorders>
              <w:top w:val="nil"/>
              <w:left w:val="nil"/>
              <w:bottom w:val="single" w:color="auto" w:sz="4" w:space="0"/>
              <w:right w:val="nil"/>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i w:val="0"/>
                <w:color w:val="000000"/>
                <w:kern w:val="0"/>
                <w:sz w:val="32"/>
                <w:szCs w:val="32"/>
                <w:u w:val="none"/>
                <w:lang w:val="en-US" w:eastAsia="zh-CN" w:bidi="ar"/>
              </w:rPr>
              <w:t>基本医疗服务考核情况</w:t>
            </w:r>
          </w:p>
        </w:tc>
        <w:tc>
          <w:tcPr>
            <w:tcW w:w="756"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优/良/中/差</w:t>
            </w:r>
          </w:p>
        </w:tc>
        <w:tc>
          <w:tcPr>
            <w:tcW w:w="55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定性指标</w:t>
            </w:r>
          </w:p>
        </w:tc>
        <w:tc>
          <w:tcPr>
            <w:tcW w:w="706"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良</w:t>
            </w:r>
          </w:p>
        </w:tc>
        <w:tc>
          <w:tcPr>
            <w:tcW w:w="753"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良</w:t>
            </w:r>
          </w:p>
        </w:tc>
        <w:tc>
          <w:tcPr>
            <w:tcW w:w="799"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良</w:t>
            </w:r>
          </w:p>
        </w:tc>
        <w:tc>
          <w:tcPr>
            <w:tcW w:w="92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90</w:t>
            </w:r>
          </w:p>
        </w:tc>
        <w:tc>
          <w:tcPr>
            <w:tcW w:w="1496"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20</w:t>
            </w:r>
          </w:p>
        </w:tc>
        <w:tc>
          <w:tcPr>
            <w:tcW w:w="968"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18</w:t>
            </w:r>
          </w:p>
        </w:tc>
        <w:tc>
          <w:tcPr>
            <w:tcW w:w="120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r>
      <w:tr>
        <w:tblPrEx>
          <w:tblCellMar>
            <w:top w:w="0" w:type="dxa"/>
            <w:left w:w="108" w:type="dxa"/>
            <w:bottom w:w="0" w:type="dxa"/>
            <w:right w:w="108" w:type="dxa"/>
          </w:tblCellMar>
        </w:tblPrEx>
        <w:trPr>
          <w:trHeight w:val="500" w:hRule="atLeast"/>
        </w:trPr>
        <w:tc>
          <w:tcPr>
            <w:tcW w:w="816" w:type="dxa"/>
            <w:vMerge w:val="continue"/>
            <w:tcBorders>
              <w:left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008" w:type="dxa"/>
            <w:gridSpan w:val="2"/>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i w:val="0"/>
                <w:color w:val="000000"/>
                <w:kern w:val="0"/>
                <w:sz w:val="32"/>
                <w:szCs w:val="32"/>
                <w:u w:val="none"/>
                <w:lang w:val="en-US" w:eastAsia="zh-CN" w:bidi="ar"/>
              </w:rPr>
              <w:t>国家基本公共卫生服务项目实施率</w:t>
            </w:r>
          </w:p>
        </w:tc>
        <w:tc>
          <w:tcPr>
            <w:tcW w:w="756"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w:t>
            </w:r>
          </w:p>
        </w:tc>
        <w:tc>
          <w:tcPr>
            <w:tcW w:w="55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定量指标</w:t>
            </w:r>
          </w:p>
        </w:tc>
        <w:tc>
          <w:tcPr>
            <w:tcW w:w="706"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753"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799"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92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1496"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20</w:t>
            </w:r>
          </w:p>
        </w:tc>
        <w:tc>
          <w:tcPr>
            <w:tcW w:w="968"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20</w:t>
            </w:r>
          </w:p>
        </w:tc>
        <w:tc>
          <w:tcPr>
            <w:tcW w:w="120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r>
      <w:tr>
        <w:tblPrEx>
          <w:tblCellMar>
            <w:top w:w="0" w:type="dxa"/>
            <w:left w:w="108" w:type="dxa"/>
            <w:bottom w:w="0" w:type="dxa"/>
            <w:right w:w="108" w:type="dxa"/>
          </w:tblCellMar>
        </w:tblPrEx>
        <w:trPr>
          <w:trHeight w:val="500" w:hRule="atLeast"/>
        </w:trPr>
        <w:tc>
          <w:tcPr>
            <w:tcW w:w="816" w:type="dxa"/>
            <w:vMerge w:val="continue"/>
            <w:tcBorders>
              <w:left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008" w:type="dxa"/>
            <w:gridSpan w:val="2"/>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i w:val="0"/>
                <w:color w:val="000000"/>
                <w:kern w:val="0"/>
                <w:sz w:val="32"/>
                <w:szCs w:val="32"/>
                <w:u w:val="none"/>
                <w:lang w:val="en-US" w:eastAsia="zh-CN" w:bidi="ar"/>
              </w:rPr>
              <w:t>主管部门考核达标率</w:t>
            </w:r>
          </w:p>
        </w:tc>
        <w:tc>
          <w:tcPr>
            <w:tcW w:w="756"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好/较/一般</w:t>
            </w:r>
          </w:p>
        </w:tc>
        <w:tc>
          <w:tcPr>
            <w:tcW w:w="55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定性指标</w:t>
            </w:r>
          </w:p>
        </w:tc>
        <w:tc>
          <w:tcPr>
            <w:tcW w:w="706"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好</w:t>
            </w:r>
          </w:p>
        </w:tc>
        <w:tc>
          <w:tcPr>
            <w:tcW w:w="753"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好</w:t>
            </w:r>
          </w:p>
        </w:tc>
        <w:tc>
          <w:tcPr>
            <w:tcW w:w="799" w:type="dxa"/>
            <w:gridSpan w:val="3"/>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较好</w:t>
            </w:r>
          </w:p>
        </w:tc>
        <w:tc>
          <w:tcPr>
            <w:tcW w:w="929"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80</w:t>
            </w:r>
          </w:p>
        </w:tc>
        <w:tc>
          <w:tcPr>
            <w:tcW w:w="1496"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968" w:type="dxa"/>
            <w:tcBorders>
              <w:top w:val="nil"/>
              <w:left w:val="single" w:color="auto" w:sz="4" w:space="0"/>
              <w:bottom w:val="single" w:color="auto" w:sz="4" w:space="0"/>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8</w:t>
            </w:r>
          </w:p>
        </w:tc>
        <w:tc>
          <w:tcPr>
            <w:tcW w:w="120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r>
      <w:tr>
        <w:tblPrEx>
          <w:tblCellMar>
            <w:top w:w="0" w:type="dxa"/>
            <w:left w:w="108" w:type="dxa"/>
            <w:bottom w:w="0" w:type="dxa"/>
            <w:right w:w="108" w:type="dxa"/>
          </w:tblCellMar>
        </w:tblPrEx>
        <w:trPr>
          <w:trHeight w:val="500" w:hRule="atLeast"/>
        </w:trPr>
        <w:tc>
          <w:tcPr>
            <w:tcW w:w="816" w:type="dxa"/>
            <w:vMerge w:val="continue"/>
            <w:tcBorders>
              <w:left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008"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i w:val="0"/>
                <w:color w:val="000000"/>
                <w:kern w:val="0"/>
                <w:sz w:val="32"/>
                <w:szCs w:val="32"/>
                <w:u w:val="none"/>
                <w:lang w:val="en-US" w:eastAsia="zh-CN" w:bidi="ar"/>
              </w:rPr>
              <w:t>基本药物制度执行率</w:t>
            </w:r>
          </w:p>
        </w:tc>
        <w:tc>
          <w:tcPr>
            <w:tcW w:w="756" w:type="dxa"/>
            <w:gridSpan w:val="3"/>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w:t>
            </w:r>
          </w:p>
        </w:tc>
        <w:tc>
          <w:tcPr>
            <w:tcW w:w="559"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定量指标</w:t>
            </w:r>
          </w:p>
        </w:tc>
        <w:tc>
          <w:tcPr>
            <w:tcW w:w="706"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c>
          <w:tcPr>
            <w:tcW w:w="753" w:type="dxa"/>
            <w:gridSpan w:val="2"/>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c>
          <w:tcPr>
            <w:tcW w:w="799" w:type="dxa"/>
            <w:gridSpan w:val="3"/>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c>
          <w:tcPr>
            <w:tcW w:w="929"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1496" w:type="dxa"/>
            <w:gridSpan w:val="2"/>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968"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1203" w:type="dxa"/>
            <w:tcBorders>
              <w:top w:val="nil"/>
              <w:left w:val="single" w:color="auto" w:sz="4" w:space="0"/>
              <w:bottom w:val="nil"/>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r>
      <w:tr>
        <w:tblPrEx>
          <w:tblCellMar>
            <w:top w:w="0" w:type="dxa"/>
            <w:left w:w="108" w:type="dxa"/>
            <w:bottom w:w="0" w:type="dxa"/>
            <w:right w:w="108" w:type="dxa"/>
          </w:tblCellMar>
        </w:tblPrEx>
        <w:trPr>
          <w:trHeight w:val="500" w:hRule="atLeast"/>
        </w:trPr>
        <w:tc>
          <w:tcPr>
            <w:tcW w:w="816" w:type="dxa"/>
            <w:tcBorders>
              <w:left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008"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党建工作完成率</w:t>
            </w:r>
          </w:p>
        </w:tc>
        <w:tc>
          <w:tcPr>
            <w:tcW w:w="756" w:type="dxa"/>
            <w:gridSpan w:val="3"/>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w:t>
            </w:r>
          </w:p>
        </w:tc>
        <w:tc>
          <w:tcPr>
            <w:tcW w:w="559"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定量指标</w:t>
            </w:r>
          </w:p>
        </w:tc>
        <w:tc>
          <w:tcPr>
            <w:tcW w:w="706"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753" w:type="dxa"/>
            <w:gridSpan w:val="2"/>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799" w:type="dxa"/>
            <w:gridSpan w:val="3"/>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929"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1496" w:type="dxa"/>
            <w:gridSpan w:val="2"/>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968"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1203" w:type="dxa"/>
            <w:tcBorders>
              <w:top w:val="nil"/>
              <w:left w:val="single" w:color="auto" w:sz="4" w:space="0"/>
              <w:bottom w:val="nil"/>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r>
      <w:tr>
        <w:tblPrEx>
          <w:tblCellMar>
            <w:top w:w="0" w:type="dxa"/>
            <w:left w:w="108" w:type="dxa"/>
            <w:bottom w:w="0" w:type="dxa"/>
            <w:right w:w="108" w:type="dxa"/>
          </w:tblCellMar>
        </w:tblPrEx>
        <w:trPr>
          <w:trHeight w:val="500" w:hRule="atLeast"/>
        </w:trPr>
        <w:tc>
          <w:tcPr>
            <w:tcW w:w="816" w:type="dxa"/>
            <w:tcBorders>
              <w:left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c>
          <w:tcPr>
            <w:tcW w:w="1008"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医院安全生产达标率</w:t>
            </w:r>
          </w:p>
        </w:tc>
        <w:tc>
          <w:tcPr>
            <w:tcW w:w="756" w:type="dxa"/>
            <w:gridSpan w:val="3"/>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w:t>
            </w:r>
          </w:p>
        </w:tc>
        <w:tc>
          <w:tcPr>
            <w:tcW w:w="559"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定量指标</w:t>
            </w:r>
          </w:p>
        </w:tc>
        <w:tc>
          <w:tcPr>
            <w:tcW w:w="706"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753" w:type="dxa"/>
            <w:gridSpan w:val="2"/>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799" w:type="dxa"/>
            <w:gridSpan w:val="3"/>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929"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100</w:t>
            </w:r>
          </w:p>
        </w:tc>
        <w:tc>
          <w:tcPr>
            <w:tcW w:w="1496" w:type="dxa"/>
            <w:gridSpan w:val="2"/>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968" w:type="dxa"/>
            <w:tcBorders>
              <w:top w:val="nil"/>
              <w:left w:val="single" w:color="auto" w:sz="4" w:space="0"/>
              <w:bottom w:val="nil"/>
              <w:right w:val="nil"/>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1203" w:type="dxa"/>
            <w:tcBorders>
              <w:top w:val="nil"/>
              <w:left w:val="single" w:color="auto" w:sz="4" w:space="0"/>
              <w:bottom w:val="nil"/>
              <w:right w:val="single" w:color="auto" w:sz="4" w:space="0"/>
            </w:tcBorders>
            <w:noWrap w:val="0"/>
            <w:vAlign w:val="center"/>
          </w:tcPr>
          <w:p>
            <w:pPr>
              <w:widowControl/>
              <w:spacing w:line="300" w:lineRule="exact"/>
              <w:jc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是</w:t>
            </w:r>
          </w:p>
        </w:tc>
      </w:tr>
      <w:tr>
        <w:tblPrEx>
          <w:tblCellMar>
            <w:top w:w="0" w:type="dxa"/>
            <w:left w:w="108" w:type="dxa"/>
            <w:bottom w:w="0" w:type="dxa"/>
            <w:right w:w="108" w:type="dxa"/>
          </w:tblCellMar>
        </w:tblPrEx>
        <w:trPr>
          <w:trHeight w:val="602" w:hRule="atLeast"/>
        </w:trPr>
        <w:tc>
          <w:tcPr>
            <w:tcW w:w="1159"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说明</w:t>
            </w:r>
          </w:p>
        </w:tc>
        <w:tc>
          <w:tcPr>
            <w:tcW w:w="8834" w:type="dxa"/>
            <w:gridSpan w:val="16"/>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方正仿宋_GBK" w:hAnsi="方正仿宋_GBK" w:eastAsia="方正仿宋_GBK" w:cs="方正仿宋_GBK"/>
                <w:color w:val="000000"/>
                <w:kern w:val="0"/>
                <w:sz w:val="32"/>
                <w:szCs w:val="32"/>
              </w:rPr>
            </w:pPr>
          </w:p>
        </w:tc>
      </w:tr>
    </w:tbl>
    <w:p>
      <w:pPr>
        <w:pStyle w:val="11"/>
        <w:tabs>
          <w:tab w:val="center" w:pos="4153"/>
          <w:tab w:val="left" w:pos="7275"/>
        </w:tabs>
        <w:spacing w:line="600" w:lineRule="exact"/>
        <w:ind w:firstLine="0" w:firstLineChars="0"/>
        <w:jc w:val="center"/>
        <w:rPr>
          <w:rFonts w:hint="eastAsia" w:ascii="方正仿宋_GBK" w:hAnsi="方正仿宋_GBK" w:eastAsia="方正仿宋_GBK" w:cs="方正仿宋_GBK"/>
          <w:color w:val="000000"/>
          <w:kern w:val="0"/>
          <w:sz w:val="32"/>
          <w:szCs w:val="32"/>
        </w:rPr>
      </w:pPr>
    </w:p>
    <w:p>
      <w:pPr>
        <w:pStyle w:val="11"/>
        <w:tabs>
          <w:tab w:val="center" w:pos="4153"/>
          <w:tab w:val="left" w:pos="7275"/>
        </w:tabs>
        <w:spacing w:line="600" w:lineRule="exact"/>
        <w:ind w:firstLine="0" w:firstLineChars="0"/>
        <w:jc w:val="center"/>
        <w:rPr>
          <w:rFonts w:hint="eastAsia" w:ascii="方正仿宋_GBK" w:hAnsi="方正仿宋_GBK" w:eastAsia="方正仿宋_GBK" w:cs="方正仿宋_GBK"/>
          <w:color w:val="000000"/>
          <w:kern w:val="0"/>
          <w:sz w:val="32"/>
          <w:szCs w:val="32"/>
        </w:rPr>
      </w:pPr>
    </w:p>
    <w:p>
      <w:pPr>
        <w:pStyle w:val="11"/>
        <w:tabs>
          <w:tab w:val="center" w:pos="4153"/>
          <w:tab w:val="left" w:pos="7275"/>
        </w:tabs>
        <w:spacing w:line="600" w:lineRule="exact"/>
        <w:ind w:firstLine="643"/>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2.绩效自评报告或案例</w:t>
      </w:r>
    </w:p>
    <w:p>
      <w:pPr>
        <w:pStyle w:val="11"/>
        <w:tabs>
          <w:tab w:val="center" w:pos="4153"/>
          <w:tab w:val="left" w:pos="7275"/>
        </w:tabs>
        <w:spacing w:line="520" w:lineRule="exact"/>
        <w:ind w:firstLine="64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本单位无绩效自评报告</w:t>
      </w:r>
      <w:r>
        <w:rPr>
          <w:rFonts w:hint="eastAsia" w:ascii="方正仿宋_GBK" w:hAnsi="方正仿宋_GBK" w:eastAsia="方正仿宋_GBK" w:cs="方正仿宋_GBK"/>
          <w:kern w:val="0"/>
          <w:sz w:val="32"/>
          <w:szCs w:val="32"/>
          <w:lang w:eastAsia="zh-CN"/>
        </w:rPr>
        <w:t>。</w:t>
      </w:r>
    </w:p>
    <w:p>
      <w:pPr>
        <w:pStyle w:val="4"/>
        <w:widowControl/>
        <w:numPr>
          <w:numId w:val="0"/>
        </w:numPr>
        <w:shd w:val="clear" w:fill="FFFFFF"/>
        <w:snapToGrid w:val="0"/>
        <w:ind w:left="361" w:leftChars="0" w:right="0" w:rightChars="0"/>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（三）重点绩效评价结果</w:t>
      </w:r>
    </w:p>
    <w:p>
      <w:pPr>
        <w:pStyle w:val="11"/>
        <w:tabs>
          <w:tab w:val="center" w:pos="4153"/>
          <w:tab w:val="left" w:pos="7275"/>
        </w:tabs>
        <w:spacing w:line="52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本单位无重点绩效评价结果。</w:t>
      </w:r>
    </w:p>
    <w:p>
      <w:pPr>
        <w:pStyle w:val="11"/>
        <w:tabs>
          <w:tab w:val="center" w:pos="4153"/>
          <w:tab w:val="left" w:pos="7275"/>
        </w:tabs>
        <w:spacing w:line="600" w:lineRule="exact"/>
        <w:ind w:firstLine="640"/>
        <w:rPr>
          <w:rStyle w:val="7"/>
          <w:rFonts w:hint="eastAsia" w:ascii="方正黑体_GBK" w:hAnsi="方正黑体_GBK" w:eastAsia="方正黑体_GBK" w:cs="方正黑体_GBK"/>
          <w:b w:val="0"/>
          <w:bCs/>
          <w:kern w:val="0"/>
          <w:sz w:val="32"/>
          <w:szCs w:val="32"/>
          <w:shd w:val="clear" w:fill="FFFFFF"/>
          <w:lang w:val="en-US" w:eastAsia="zh-CN" w:bidi="ar"/>
        </w:rPr>
      </w:pPr>
      <w:r>
        <w:rPr>
          <w:rStyle w:val="7"/>
          <w:rFonts w:hint="eastAsia" w:ascii="方正黑体_GBK" w:hAnsi="方正黑体_GBK" w:eastAsia="方正黑体_GBK" w:cs="方正黑体_GBK"/>
          <w:b w:val="0"/>
          <w:bCs/>
          <w:kern w:val="0"/>
          <w:sz w:val="32"/>
          <w:szCs w:val="32"/>
          <w:shd w:val="clear" w:fill="FFFFFF"/>
          <w:lang w:val="en-US" w:eastAsia="zh-CN" w:bidi="ar"/>
        </w:rPr>
        <w:t>六、专业名词解释</w:t>
      </w:r>
    </w:p>
    <w:p>
      <w:pPr>
        <w:pStyle w:val="4"/>
        <w:shd w:val="clear" w:color="auto" w:fill="FFFFFF"/>
        <w:spacing w:before="0" w:beforeAutospacing="0" w:after="0" w:afterAutospacing="0" w:line="580" w:lineRule="exact"/>
        <w:ind w:firstLine="640" w:firstLineChars="200"/>
        <w:jc w:val="both"/>
        <w:rPr>
          <w:rFonts w:hint="eastAsia"/>
          <w:b w:val="0"/>
          <w:bCs w:val="0"/>
        </w:rPr>
      </w:pPr>
      <w:r>
        <w:rPr>
          <w:rStyle w:val="7"/>
          <w:rFonts w:hint="eastAsia" w:ascii="方正楷体_GBK" w:eastAsia="方正楷体_GBK"/>
          <w:b w:val="0"/>
          <w:bCs w:val="0"/>
          <w:sz w:val="32"/>
          <w:szCs w:val="32"/>
        </w:rPr>
        <w:t>（一）财政拨款收入</w:t>
      </w:r>
      <w:r>
        <w:rPr>
          <w:rStyle w:val="7"/>
          <w:rFonts w:hint="eastAsia" w:ascii="方正楷体_GBK" w:eastAsia="方正楷体_GBK"/>
          <w:b w:val="0"/>
          <w:bCs w:val="0"/>
        </w:rPr>
        <w:t>：</w:t>
      </w:r>
      <w:r>
        <w:rPr>
          <w:rFonts w:hint="eastAsia" w:ascii="方正仿宋_GBK" w:eastAsia="方正仿宋_GBK"/>
          <w:b w:val="0"/>
          <w:bCs w:val="0"/>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（二）事业收入</w:t>
      </w:r>
      <w:r>
        <w:rPr>
          <w:rStyle w:val="7"/>
          <w:rFonts w:hint="eastAsia" w:ascii="方正楷体_GBK" w:eastAsia="方正楷体_GBK"/>
          <w:b w:val="0"/>
          <w:bCs w:val="0"/>
        </w:rPr>
        <w:t>：</w:t>
      </w:r>
      <w:r>
        <w:rPr>
          <w:rFonts w:hint="eastAsia" w:ascii="方正仿宋_GBK" w:eastAsia="方正仿宋_GBK"/>
          <w:b w:val="0"/>
          <w:bCs w:val="0"/>
          <w:sz w:val="32"/>
          <w:szCs w:val="32"/>
        </w:rPr>
        <w:t>指事业单位开展专业业务活动及其辅助活动取得的收入；事业单位收到的财政专户实际核拨的教育收费等资金在此反映。</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（三）经营收入</w:t>
      </w:r>
      <w:r>
        <w:rPr>
          <w:rStyle w:val="7"/>
          <w:rFonts w:hint="eastAsia" w:ascii="方正楷体_GBK" w:eastAsia="方正楷体_GBK"/>
          <w:b w:val="0"/>
          <w:bCs w:val="0"/>
        </w:rPr>
        <w:t>：</w:t>
      </w:r>
      <w:r>
        <w:rPr>
          <w:rFonts w:hint="eastAsia" w:ascii="方正仿宋_GBK" w:eastAsia="方正仿宋_GBK"/>
          <w:b w:val="0"/>
          <w:bCs w:val="0"/>
          <w:sz w:val="32"/>
          <w:szCs w:val="32"/>
        </w:rPr>
        <w:t>指事业单位在专业业务活动及其辅助活动之外开展非独立核算经营活动取得的收入。</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（四）其他收入</w:t>
      </w:r>
      <w:r>
        <w:rPr>
          <w:rStyle w:val="7"/>
          <w:rFonts w:hint="eastAsia" w:ascii="方正楷体_GBK" w:eastAsia="方正楷体_GBK"/>
          <w:b w:val="0"/>
          <w:bCs w:val="0"/>
        </w:rPr>
        <w:t>：</w:t>
      </w:r>
      <w:r>
        <w:rPr>
          <w:rFonts w:hint="eastAsia" w:ascii="方正仿宋_GBK" w:eastAsia="方正仿宋_GBK"/>
          <w:b w:val="0"/>
          <w:bCs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（五）用事业基金弥补收支差额</w:t>
      </w:r>
      <w:r>
        <w:rPr>
          <w:rStyle w:val="7"/>
          <w:rFonts w:hint="eastAsia" w:ascii="方正楷体_GBK" w:eastAsia="方正楷体_GBK"/>
          <w:b w:val="0"/>
          <w:bCs w:val="0"/>
        </w:rPr>
        <w:t>：</w:t>
      </w:r>
      <w:r>
        <w:rPr>
          <w:rFonts w:hint="eastAsia" w:ascii="方正仿宋_GBK" w:eastAsia="方正仿宋_GBK"/>
          <w:b w:val="0"/>
          <w:bCs w:val="0"/>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（六）年初结转和结余</w:t>
      </w:r>
      <w:r>
        <w:rPr>
          <w:rStyle w:val="7"/>
          <w:rFonts w:hint="eastAsia" w:ascii="方正楷体_GBK" w:eastAsia="方正楷体_GBK"/>
          <w:b w:val="0"/>
          <w:bCs w:val="0"/>
        </w:rPr>
        <w:t>：</w:t>
      </w:r>
      <w:r>
        <w:rPr>
          <w:rFonts w:hint="eastAsia" w:ascii="方正仿宋_GBK" w:eastAsia="方正仿宋_GBK"/>
          <w:b w:val="0"/>
          <w:bCs w:val="0"/>
          <w:sz w:val="32"/>
          <w:szCs w:val="32"/>
        </w:rPr>
        <w:t>指单位上年结转本年使用的基本支出结转、项目支出结转和结余、经营结余。不包括事业单位净资产项下的事业基金和专用基金。</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（七）结余分配</w:t>
      </w:r>
      <w:r>
        <w:rPr>
          <w:rStyle w:val="7"/>
          <w:rFonts w:hint="eastAsia" w:ascii="方正楷体_GBK" w:eastAsia="方正楷体_GBK"/>
          <w:b w:val="0"/>
          <w:bCs w:val="0"/>
        </w:rPr>
        <w:t>：</w:t>
      </w:r>
      <w:r>
        <w:rPr>
          <w:rFonts w:hint="eastAsia" w:ascii="方正仿宋_GBK" w:eastAsia="方正仿宋_GBK"/>
          <w:b w:val="0"/>
          <w:bCs w:val="0"/>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（八）年末结转和结余</w:t>
      </w:r>
      <w:r>
        <w:rPr>
          <w:rStyle w:val="7"/>
          <w:rFonts w:hint="eastAsia" w:ascii="方正楷体_GBK" w:eastAsia="方正楷体_GBK"/>
          <w:b w:val="0"/>
          <w:bCs w:val="0"/>
        </w:rPr>
        <w:t>：</w:t>
      </w:r>
      <w:r>
        <w:rPr>
          <w:rFonts w:hint="eastAsia" w:ascii="方正仿宋_GBK" w:eastAsia="方正仿宋_GBK"/>
          <w:b w:val="0"/>
          <w:bCs w:val="0"/>
          <w:sz w:val="32"/>
          <w:szCs w:val="32"/>
        </w:rPr>
        <w:t>指单位结转下年的基本支出结转、项目支出结转和结余、经营结余。不包括事业单位净资产项下的事业基金和专用基金。</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（九）基本支出</w:t>
      </w:r>
      <w:r>
        <w:rPr>
          <w:rStyle w:val="7"/>
          <w:rFonts w:hint="eastAsia" w:ascii="方正楷体_GBK" w:eastAsia="方正楷体_GBK"/>
          <w:b w:val="0"/>
          <w:bCs w:val="0"/>
        </w:rPr>
        <w:t>：</w:t>
      </w:r>
      <w:r>
        <w:rPr>
          <w:rFonts w:hint="eastAsia" w:ascii="方正仿宋_GBK" w:eastAsia="方正仿宋_GBK"/>
          <w:b w:val="0"/>
          <w:bCs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（十）项目支出</w:t>
      </w:r>
      <w:r>
        <w:rPr>
          <w:rStyle w:val="7"/>
          <w:rFonts w:hint="eastAsia" w:ascii="方正楷体_GBK" w:eastAsia="方正楷体_GBK"/>
          <w:b w:val="0"/>
          <w:bCs w:val="0"/>
        </w:rPr>
        <w:t>：</w:t>
      </w:r>
      <w:r>
        <w:rPr>
          <w:rFonts w:hint="eastAsia" w:ascii="方正仿宋_GBK" w:eastAsia="方正仿宋_GBK"/>
          <w:b w:val="0"/>
          <w:bCs w:val="0"/>
          <w:sz w:val="32"/>
          <w:szCs w:val="32"/>
        </w:rPr>
        <w:t>指在基本支出之外为完成特定行政任务和事业发展目标所发生的支出。</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（十一）经营支出</w:t>
      </w:r>
      <w:r>
        <w:rPr>
          <w:rStyle w:val="7"/>
          <w:rFonts w:hint="eastAsia" w:ascii="方正楷体_GBK" w:eastAsia="方正楷体_GBK"/>
          <w:b w:val="0"/>
          <w:bCs w:val="0"/>
        </w:rPr>
        <w:t>：</w:t>
      </w:r>
      <w:r>
        <w:rPr>
          <w:rFonts w:hint="eastAsia" w:ascii="方正仿宋_GBK" w:eastAsia="方正仿宋_GBK"/>
          <w:b w:val="0"/>
          <w:bCs w:val="0"/>
          <w:sz w:val="32"/>
          <w:szCs w:val="32"/>
        </w:rPr>
        <w:t>指事业单位在专业业务活动及其辅助活动之外开展非独立核算经营活动发生的支出。</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（十二）“三公”经费</w:t>
      </w:r>
      <w:r>
        <w:rPr>
          <w:rStyle w:val="7"/>
          <w:rFonts w:hint="eastAsia" w:ascii="方正楷体_GBK" w:eastAsia="方正楷体_GBK"/>
          <w:b w:val="0"/>
          <w:bCs w:val="0"/>
        </w:rPr>
        <w:t>：</w:t>
      </w:r>
      <w:r>
        <w:rPr>
          <w:rFonts w:hint="eastAsia" w:ascii="方正仿宋_GBK" w:eastAsia="方正仿宋_GBK"/>
          <w:b w:val="0"/>
          <w:bCs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（十三）机关运行经费</w:t>
      </w:r>
      <w:r>
        <w:rPr>
          <w:rStyle w:val="7"/>
          <w:rFonts w:hint="eastAsia" w:ascii="方正楷体_GBK" w:eastAsia="方正楷体_GBK"/>
          <w:b w:val="0"/>
          <w:bCs w:val="0"/>
        </w:rPr>
        <w:t>：</w:t>
      </w:r>
      <w:r>
        <w:rPr>
          <w:rFonts w:hint="eastAsia" w:ascii="方正仿宋_GBK" w:eastAsia="方正仿宋_GBK"/>
          <w:b w:val="0"/>
          <w:bCs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（十四）工资福利支出（支出经济分类科目类级）</w:t>
      </w:r>
      <w:r>
        <w:rPr>
          <w:rStyle w:val="7"/>
          <w:rFonts w:hint="eastAsia" w:ascii="方正楷体_GBK" w:eastAsia="方正楷体_GBK"/>
          <w:b w:val="0"/>
          <w:bCs w:val="0"/>
        </w:rPr>
        <w:t>：</w:t>
      </w:r>
      <w:r>
        <w:rPr>
          <w:rFonts w:hint="eastAsia" w:ascii="方正仿宋_GBK" w:eastAsia="方正仿宋_GBK"/>
          <w:b w:val="0"/>
          <w:bCs w:val="0"/>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（十五）商品和服务支出（支出经济分类科目类级）</w:t>
      </w:r>
      <w:r>
        <w:rPr>
          <w:rStyle w:val="7"/>
          <w:rFonts w:hint="eastAsia" w:ascii="方正楷体_GBK" w:eastAsia="方正楷体_GBK"/>
          <w:b w:val="0"/>
          <w:bCs w:val="0"/>
        </w:rPr>
        <w:t>：</w:t>
      </w:r>
      <w:r>
        <w:rPr>
          <w:rFonts w:hint="eastAsia" w:ascii="方正仿宋_GBK" w:eastAsia="方正仿宋_GBK"/>
          <w:b w:val="0"/>
          <w:bCs w:val="0"/>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（十六）对个人和家庭的补助（支出经济分类科目类级）：</w:t>
      </w:r>
      <w:r>
        <w:rPr>
          <w:rFonts w:hint="eastAsia" w:ascii="方正仿宋_GBK" w:eastAsia="方正仿宋_GBK"/>
          <w:b w:val="0"/>
          <w:bCs w:val="0"/>
          <w:sz w:val="32"/>
          <w:szCs w:val="32"/>
        </w:rPr>
        <w:t>反映用于对个人和家庭的补助支出。</w:t>
      </w:r>
    </w:p>
    <w:p>
      <w:pPr>
        <w:pStyle w:val="4"/>
        <w:shd w:val="clear" w:color="auto" w:fill="FFFFFF"/>
        <w:spacing w:before="0" w:beforeAutospacing="0" w:after="0" w:afterAutospacing="0" w:line="580" w:lineRule="exact"/>
        <w:ind w:firstLine="640" w:firstLineChars="200"/>
        <w:jc w:val="both"/>
        <w:rPr>
          <w:rFonts w:hint="eastAsia" w:ascii="方正仿宋_GBK" w:eastAsia="方正仿宋_GBK"/>
          <w:b w:val="0"/>
          <w:bCs w:val="0"/>
          <w:sz w:val="32"/>
          <w:szCs w:val="32"/>
        </w:rPr>
      </w:pPr>
      <w:r>
        <w:rPr>
          <w:rStyle w:val="7"/>
          <w:rFonts w:hint="eastAsia" w:ascii="方正楷体_GBK" w:eastAsia="方正楷体_GBK"/>
          <w:b w:val="0"/>
          <w:bCs w:val="0"/>
          <w:sz w:val="32"/>
          <w:szCs w:val="32"/>
        </w:rPr>
        <w:t>（十七）其他资本性支出（支出经济分类科目类级）</w:t>
      </w:r>
      <w:r>
        <w:rPr>
          <w:rStyle w:val="7"/>
          <w:rFonts w:hint="eastAsia" w:ascii="方正楷体_GBK" w:eastAsia="方正楷体_GBK"/>
          <w:b w:val="0"/>
          <w:bCs w:val="0"/>
        </w:rPr>
        <w:t>：</w:t>
      </w:r>
      <w:r>
        <w:rPr>
          <w:rFonts w:hint="eastAsia" w:ascii="方正仿宋_GBK" w:eastAsia="方正仿宋_GBK"/>
          <w:b w:val="0"/>
          <w:bCs w:val="0"/>
          <w:sz w:val="32"/>
          <w:szCs w:val="32"/>
        </w:rPr>
        <w:t>反映非各级发展与改革部门集中安排的用于购置固定资产、战略性和应急性储备、土地和无形资产，以及构建基础设施、大型修缮和财政支持企业更新改造所发生的支出。</w:t>
      </w:r>
    </w:p>
    <w:p>
      <w:pPr>
        <w:pStyle w:val="11"/>
        <w:tabs>
          <w:tab w:val="center" w:pos="4153"/>
          <w:tab w:val="left" w:pos="7275"/>
        </w:tabs>
        <w:spacing w:line="600" w:lineRule="exact"/>
        <w:ind w:firstLine="640"/>
        <w:rPr>
          <w:rStyle w:val="7"/>
          <w:rFonts w:hint="eastAsia" w:ascii="方正黑体_GBK" w:hAnsi="方正黑体_GBK" w:eastAsia="方正黑体_GBK" w:cs="方正黑体_GBK"/>
          <w:b w:val="0"/>
          <w:bCs/>
          <w:kern w:val="0"/>
          <w:sz w:val="32"/>
          <w:szCs w:val="32"/>
          <w:shd w:val="clear" w:fill="FFFFFF"/>
          <w:lang w:val="en-US" w:eastAsia="zh-CN" w:bidi="ar"/>
        </w:rPr>
      </w:pPr>
      <w:bookmarkStart w:id="0" w:name="_GoBack"/>
      <w:bookmarkEnd w:id="0"/>
      <w:r>
        <w:rPr>
          <w:rStyle w:val="7"/>
          <w:rFonts w:hint="eastAsia" w:ascii="方正黑体_GBK" w:hAnsi="方正黑体_GBK" w:eastAsia="方正黑体_GBK" w:cs="方正黑体_GBK"/>
          <w:b w:val="0"/>
          <w:bCs/>
          <w:kern w:val="0"/>
          <w:sz w:val="32"/>
          <w:szCs w:val="32"/>
          <w:shd w:val="clear" w:fill="FFFFFF"/>
          <w:lang w:val="en-US" w:eastAsia="zh-CN" w:bidi="ar"/>
        </w:rPr>
        <w:t>七、决算公开联系方式</w:t>
      </w:r>
    </w:p>
    <w:p>
      <w:pPr>
        <w:pStyle w:val="11"/>
        <w:tabs>
          <w:tab w:val="center" w:pos="4153"/>
          <w:tab w:val="left" w:pos="7275"/>
        </w:tabs>
        <w:spacing w:line="6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59291085</w:t>
      </w:r>
    </w:p>
    <w:p>
      <w:pPr>
        <w:pStyle w:val="11"/>
        <w:tabs>
          <w:tab w:val="center" w:pos="4153"/>
          <w:tab w:val="left" w:pos="7275"/>
        </w:tabs>
        <w:spacing w:line="600" w:lineRule="exact"/>
        <w:ind w:firstLine="64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ABED2"/>
    <w:multiLevelType w:val="singleLevel"/>
    <w:tmpl w:val="546ABED2"/>
    <w:lvl w:ilvl="0" w:tentative="0">
      <w:start w:val="1"/>
      <w:numFmt w:val="chineseCounting"/>
      <w:suff w:val="nothing"/>
      <w:lvlText w:val="（%1）"/>
      <w:lvlJc w:val="left"/>
      <w:pPr>
        <w:ind w:left="36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039C"/>
    <w:rsid w:val="003C52CF"/>
    <w:rsid w:val="00B672C3"/>
    <w:rsid w:val="00E1131F"/>
    <w:rsid w:val="07277DBB"/>
    <w:rsid w:val="0A7266B3"/>
    <w:rsid w:val="0B226F33"/>
    <w:rsid w:val="0B9C68C6"/>
    <w:rsid w:val="0BD6556B"/>
    <w:rsid w:val="0D0B6D83"/>
    <w:rsid w:val="0FE26A83"/>
    <w:rsid w:val="12260594"/>
    <w:rsid w:val="13BB427E"/>
    <w:rsid w:val="1E8B4856"/>
    <w:rsid w:val="1ECB1D20"/>
    <w:rsid w:val="1F0D73AF"/>
    <w:rsid w:val="1F2667A6"/>
    <w:rsid w:val="1FE52548"/>
    <w:rsid w:val="21281F01"/>
    <w:rsid w:val="23660100"/>
    <w:rsid w:val="292F019F"/>
    <w:rsid w:val="2C8859E4"/>
    <w:rsid w:val="2EF35536"/>
    <w:rsid w:val="303F57F0"/>
    <w:rsid w:val="31434F04"/>
    <w:rsid w:val="33AB7DD8"/>
    <w:rsid w:val="34A922FB"/>
    <w:rsid w:val="35D72C44"/>
    <w:rsid w:val="3F5E6A75"/>
    <w:rsid w:val="40CA3149"/>
    <w:rsid w:val="40EE13DC"/>
    <w:rsid w:val="42B860C7"/>
    <w:rsid w:val="45935D71"/>
    <w:rsid w:val="459553B9"/>
    <w:rsid w:val="45D80628"/>
    <w:rsid w:val="4C374BE4"/>
    <w:rsid w:val="50CC0DAC"/>
    <w:rsid w:val="50CC3320"/>
    <w:rsid w:val="51D424F8"/>
    <w:rsid w:val="58654C03"/>
    <w:rsid w:val="59D90B3E"/>
    <w:rsid w:val="5C0F0D21"/>
    <w:rsid w:val="5E0616D4"/>
    <w:rsid w:val="61D84407"/>
    <w:rsid w:val="62E3239C"/>
    <w:rsid w:val="66F13821"/>
    <w:rsid w:val="671E41A9"/>
    <w:rsid w:val="68B84023"/>
    <w:rsid w:val="6BF021F4"/>
    <w:rsid w:val="6C604995"/>
    <w:rsid w:val="6CFA08CC"/>
    <w:rsid w:val="717649B0"/>
    <w:rsid w:val="730E5049"/>
    <w:rsid w:val="752B5684"/>
    <w:rsid w:val="757D015A"/>
    <w:rsid w:val="775954F0"/>
    <w:rsid w:val="7D68787F"/>
    <w:rsid w:val="7E4E36C1"/>
    <w:rsid w:val="7E84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link w:val="10"/>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 w:type="character" w:customStyle="1" w:styleId="8">
    <w:name w:val="页脚 Char"/>
    <w:basedOn w:val="6"/>
    <w:link w:val="2"/>
    <w:qFormat/>
    <w:uiPriority w:val="0"/>
    <w:rPr>
      <w:rFonts w:hint="eastAsia" w:ascii="宋体" w:hAnsi="宋体" w:eastAsia="宋体" w:cs="宋体"/>
      <w:sz w:val="18"/>
      <w:szCs w:val="18"/>
    </w:rPr>
  </w:style>
  <w:style w:type="character" w:customStyle="1" w:styleId="9">
    <w:name w:val="页眉 Char"/>
    <w:basedOn w:val="6"/>
    <w:link w:val="3"/>
    <w:qFormat/>
    <w:uiPriority w:val="0"/>
    <w:rPr>
      <w:rFonts w:hint="eastAsia" w:ascii="宋体" w:hAnsi="宋体" w:eastAsia="宋体" w:cs="宋体"/>
      <w:sz w:val="18"/>
      <w:szCs w:val="18"/>
    </w:rPr>
  </w:style>
  <w:style w:type="character" w:customStyle="1" w:styleId="10">
    <w:name w:val="普通(网站) Char"/>
    <w:link w:val="4"/>
    <w:qFormat/>
    <w:uiPriority w:val="0"/>
    <w:rPr>
      <w:rFonts w:hint="eastAsia" w:ascii="宋体" w:hAnsi="宋体" w:eastAsia="宋体" w:cs="宋体"/>
      <w:kern w:val="0"/>
      <w:sz w:val="24"/>
      <w:szCs w:val="24"/>
      <w:lang w:val="en-US" w:eastAsia="zh-CN" w:bidi="ar"/>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3584</Words>
  <Characters>3975</Characters>
  <Lines>0</Lines>
  <Paragraphs>0</Paragraphs>
  <TotalTime>1</TotalTime>
  <ScaleCrop>false</ScaleCrop>
  <LinksUpToDate>false</LinksUpToDate>
  <CharactersWithSpaces>4082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2020-08-13T08:09:00Z</dcterms:created>
  <dc:creator>Administrator</dc:creator>
  <cp:lastModifiedBy>Administrator</cp:lastModifiedBy>
  <dcterms:modified xsi:type="dcterms:W3CDTF">2021-10-13T10:40:03Z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6101C3DD77D3426C9AE04F495D7B08E2</vt:lpwstr>
  </property>
</Properties>
</file>