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80" w:lineRule="exact"/>
        <w:ind w:firstLine="1760" w:firstLineChars="400"/>
        <w:jc w:val="both"/>
        <w:rPr>
          <w:rFonts w:hint="default" w:ascii="方正小标宋_GBK" w:hAnsi="方正小标宋_GBK" w:eastAsia="方正小标宋_GBK" w:cs="方正小标宋_GBK"/>
          <w:sz w:val="44"/>
          <w:szCs w:val="44"/>
        </w:rPr>
      </w:pPr>
    </w:p>
    <w:p>
      <w:pPr>
        <w:pStyle w:val="6"/>
        <w:spacing w:before="0" w:beforeAutospacing="0" w:after="0" w:afterAutospacing="0" w:line="580" w:lineRule="exact"/>
        <w:ind w:firstLine="1760" w:firstLineChars="400"/>
        <w:jc w:val="both"/>
        <w:rPr>
          <w:rFonts w:hint="default" w:ascii="Times New Roman" w:hAnsi="Times New Roman" w:eastAsia="方正小标宋_GBK"/>
          <w:sz w:val="44"/>
          <w:szCs w:val="44"/>
        </w:rPr>
      </w:pPr>
      <w:r>
        <w:rPr>
          <w:rFonts w:hint="default" w:ascii="Times New Roman" w:hAnsi="方正小标宋_GBK" w:eastAsia="方正小标宋_GBK"/>
          <w:sz w:val="44"/>
          <w:szCs w:val="44"/>
        </w:rPr>
        <w:t>中共城口县委政法委员会</w:t>
      </w:r>
    </w:p>
    <w:p>
      <w:pPr>
        <w:pStyle w:val="6"/>
        <w:spacing w:before="0" w:beforeAutospacing="0" w:after="0" w:afterAutospacing="0" w:line="580" w:lineRule="exact"/>
        <w:ind w:firstLine="1980" w:firstLineChars="450"/>
        <w:jc w:val="both"/>
        <w:rPr>
          <w:rFonts w:hint="default" w:ascii="Times New Roman" w:hAnsi="Times New Roman" w:eastAsia="方正小标宋_GBK"/>
          <w:sz w:val="44"/>
          <w:szCs w:val="44"/>
          <w:shd w:val="clear" w:color="auto" w:fill="FFFFFF"/>
        </w:rPr>
      </w:pPr>
      <w:r>
        <w:rPr>
          <w:rFonts w:hint="default" w:ascii="Times New Roman" w:hAnsi="Times New Roman" w:eastAsia="方正小标宋_GBK"/>
          <w:sz w:val="44"/>
          <w:szCs w:val="44"/>
          <w:shd w:val="clear" w:color="auto" w:fill="FFFFFF"/>
        </w:rPr>
        <w:t>2023</w:t>
      </w:r>
      <w:r>
        <w:rPr>
          <w:rFonts w:hint="default" w:ascii="Times New Roman" w:hAnsi="方正小标宋_GBK" w:eastAsia="方正小标宋_GBK"/>
          <w:sz w:val="44"/>
          <w:szCs w:val="44"/>
          <w:shd w:val="clear" w:color="auto" w:fill="FFFFFF"/>
        </w:rPr>
        <w:t>年度决算公开说明</w:t>
      </w:r>
    </w:p>
    <w:p>
      <w:pPr>
        <w:pStyle w:val="6"/>
        <w:shd w:val="clear" w:color="auto" w:fill="FFFFFF"/>
        <w:spacing w:before="0" w:beforeAutospacing="0" w:after="0" w:afterAutospacing="0" w:line="580" w:lineRule="exact"/>
        <w:ind w:firstLine="640" w:firstLineChars="200"/>
        <w:jc w:val="both"/>
        <w:rPr>
          <w:rStyle w:val="10"/>
          <w:rFonts w:hint="default" w:ascii="Times New Roman" w:hAnsi="Times New Roman" w:eastAsia="黑体"/>
          <w:b w:val="0"/>
          <w:sz w:val="32"/>
          <w:szCs w:val="32"/>
          <w:shd w:val="clear" w:color="auto" w:fill="FFFFFF"/>
        </w:rPr>
      </w:pPr>
    </w:p>
    <w:p>
      <w:pPr>
        <w:pStyle w:val="6"/>
        <w:shd w:val="clear" w:color="auto" w:fill="FFFFFF"/>
        <w:spacing w:before="0" w:beforeAutospacing="0" w:after="0" w:afterAutospacing="0" w:line="580" w:lineRule="exact"/>
        <w:ind w:firstLine="640" w:firstLineChars="200"/>
        <w:jc w:val="both"/>
        <w:rPr>
          <w:rFonts w:hint="default" w:ascii="Times New Roman" w:hAnsi="Times New Roman" w:eastAsia="黑体"/>
          <w:sz w:val="32"/>
          <w:szCs w:val="32"/>
        </w:rPr>
      </w:pPr>
      <w:r>
        <w:rPr>
          <w:rStyle w:val="10"/>
          <w:rFonts w:hint="default" w:ascii="Times New Roman" w:hAnsi="Times New Roman" w:eastAsia="黑体"/>
          <w:b w:val="0"/>
          <w:sz w:val="32"/>
          <w:szCs w:val="32"/>
          <w:shd w:val="clear" w:color="auto" w:fill="FFFFFF"/>
        </w:rPr>
        <w:t>一、单位基本情况</w:t>
      </w:r>
    </w:p>
    <w:p>
      <w:pPr>
        <w:pStyle w:val="6"/>
        <w:shd w:val="clear" w:color="auto" w:fill="FFFFFF"/>
        <w:spacing w:before="0" w:beforeAutospacing="0" w:after="0" w:afterAutospacing="0" w:line="58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楷体"/>
          <w:b w:val="0"/>
          <w:sz w:val="32"/>
          <w:szCs w:val="32"/>
          <w:shd w:val="clear" w:color="auto" w:fill="FFFFFF"/>
        </w:rPr>
        <w:t>（一）职能职责。</w:t>
      </w:r>
      <w:r>
        <w:rPr>
          <w:rFonts w:hint="default" w:ascii="Times New Roman" w:hAnsi="Times New Roman" w:eastAsia="方正仿宋_GBK"/>
          <w:sz w:val="32"/>
          <w:szCs w:val="32"/>
        </w:rPr>
        <w:t>县委政法委的主要职能职责是：深入贯彻习近平新时代中国特色社会主义思想，深入贯彻党的路线方针政策和决策部署，统一政法各部门思想和行动，坚持党对政法工作的绝对领导，坚决维护党中央权威和集中统一领导。深入贯彻党中央决定和市委、县委工作部署，推进平安建设、法治建设，加强过硬队伍建设，深化智能化建设，坚决维护国家政治安全、确保社会大局稳定、促进社会公平正义、保障人民安居乐业。了解掌握和分析研判政法工作情况动态，分析社会稳定形势，创新完善多部门参与的综治维稳工作机制，协调推动预防、化解影响稳定的社会矛盾和风险，协调应对和处置重大突发事件。加强对政法工作的督查，统筹协调社会治安综合治理、维护社会稳定、反邪教有关法律法规政策的实施工作。组织开展政法领域的调查研究，研究拟订政法工作的有关具体措施，及时向市委政法委、县委提出建议。掌握分析政法舆情动态，指导协调政法部门媒体网络宣传工作，指导政法部门做好涉及政法工作的重大宣传工作。监督和支持政法各部门依法行使职权，指导和协调政法各部门密切配合，研究和协调重大、疑难案件，推进严格执法、公正司法。组织研究政法改革中带有方向性、倾向性和普遍性的重大问题，深化政法改革。指导推动政法系统党的建设和政法队伍建设。协助县委及县委组织部管理政法部门领导班子和领导干部。代管城口县法学会。</w:t>
      </w:r>
    </w:p>
    <w:p>
      <w:pPr>
        <w:autoSpaceDE w:val="0"/>
        <w:snapToGrid w:val="0"/>
        <w:spacing w:line="580" w:lineRule="exact"/>
        <w:ind w:firstLine="640" w:firstLineChars="200"/>
        <w:jc w:val="both"/>
        <w:rPr>
          <w:rFonts w:hint="default" w:ascii="Times New Roman" w:hAnsi="Times New Roman" w:eastAsia="方正仿宋_GBK"/>
          <w:sz w:val="32"/>
          <w:szCs w:val="32"/>
        </w:rPr>
      </w:pPr>
      <w:r>
        <w:rPr>
          <w:rStyle w:val="16"/>
          <w:rFonts w:hint="eastAsia" w:eastAsia="方正楷体_GBK"/>
          <w:b w:val="0"/>
          <w:bCs w:val="0"/>
          <w:sz w:val="32"/>
          <w:szCs w:val="32"/>
        </w:rPr>
        <w:t>（二）机构设置。</w:t>
      </w:r>
      <w:r>
        <w:rPr>
          <w:rFonts w:hint="default" w:ascii="Times New Roman" w:hAnsi="Times New Roman" w:eastAsia="方正仿宋_GBK"/>
          <w:sz w:val="32"/>
          <w:szCs w:val="32"/>
        </w:rPr>
        <w:t>县委政法委设6个内设机构：</w:t>
      </w:r>
      <w:r>
        <w:rPr>
          <w:rFonts w:hint="default" w:ascii="Times New Roman" w:hAnsi="Times New Roman" w:eastAsia="方正仿宋_GBK"/>
          <w:b/>
          <w:bCs/>
          <w:sz w:val="32"/>
          <w:szCs w:val="32"/>
        </w:rPr>
        <w:t>办公室。</w:t>
      </w:r>
      <w:r>
        <w:rPr>
          <w:rFonts w:hint="default" w:ascii="Times New Roman" w:hAnsi="Times New Roman" w:eastAsia="方正仿宋_GBK"/>
          <w:sz w:val="32"/>
          <w:szCs w:val="32"/>
        </w:rPr>
        <w:t>负责机关文电、会务、机要、档案、财务、固定资产管理、保密、督办、信息、政工、工会、机关事务管理等工作。协助领导了解掌握政法工作全面情况。负责内外联系与综合协调工作。承担对外交流与合作工作。</w:t>
      </w:r>
      <w:r>
        <w:rPr>
          <w:rFonts w:hint="default" w:ascii="Times New Roman" w:hAnsi="Times New Roman" w:eastAsia="方正仿宋_GBK"/>
          <w:b/>
          <w:bCs/>
          <w:sz w:val="32"/>
          <w:szCs w:val="32"/>
        </w:rPr>
        <w:t>反邪教协调科。</w:t>
      </w:r>
      <w:r>
        <w:rPr>
          <w:rFonts w:hint="default" w:ascii="Times New Roman" w:hAnsi="Times New Roman" w:eastAsia="方正仿宋_GBK"/>
          <w:sz w:val="32"/>
          <w:szCs w:val="32"/>
        </w:rPr>
        <w:t>调查研究涉邪教问题，了解掌握邪教和对社会有危害气功组织的情况，分析研判形势，提出政策建议。协调推动全县各级各相关部门做好反邪教工作，统筹部署开展重大斗争活动。检查督促全县各级各部门严格执行防范和处理邪教有关法律法规及有关方针政策。</w:t>
      </w:r>
      <w:r>
        <w:rPr>
          <w:rFonts w:hint="default" w:ascii="Times New Roman" w:hAnsi="Times New Roman" w:eastAsia="方正仿宋_GBK"/>
          <w:b/>
          <w:bCs/>
          <w:sz w:val="32"/>
          <w:szCs w:val="32"/>
        </w:rPr>
        <w:t>维稳指导科。</w:t>
      </w:r>
      <w:r>
        <w:rPr>
          <w:rFonts w:hint="default" w:ascii="Times New Roman" w:hAnsi="Times New Roman" w:eastAsia="方正仿宋_GBK"/>
          <w:sz w:val="32"/>
          <w:szCs w:val="32"/>
        </w:rPr>
        <w:t>组织开展全县社会稳定形势调查研究，了解掌握社会稳定情况，提出对策建议。牵头组织全县社会安全稳定风险综合研判，统筹全县防范化解重大风险工作，推动预防、化解影响稳定的社会矛盾和风险，协调处理涉稳重大事项、突发性事件和群体性事件。</w:t>
      </w:r>
      <w:r>
        <w:rPr>
          <w:rFonts w:hint="default" w:ascii="Times New Roman" w:hAnsi="Times New Roman" w:eastAsia="方正仿宋_GBK"/>
          <w:b/>
          <w:bCs/>
          <w:sz w:val="32"/>
          <w:szCs w:val="32"/>
        </w:rPr>
        <w:t>综治及平安建设指导科</w:t>
      </w:r>
      <w:r>
        <w:rPr>
          <w:rFonts w:hint="default" w:ascii="Times New Roman" w:hAnsi="Times New Roman" w:eastAsia="方正仿宋_GBK"/>
          <w:sz w:val="32"/>
          <w:szCs w:val="32"/>
        </w:rPr>
        <w:t>。调査分析全县社会治安形势并提出对策建议。承担综治及平安建设工作的组织协调、督导检查和综合考评。指导协调全县各级各部门推进扫黑除恶、社会治安重点地区和突出治安问题排查整治、社会治安防控体系建设。牵头指导加强和创新基层社会治理工作。指导协调推动县乡村三级综治中心建设、深化拓展网格化服务管理，推动开展基层平安创建活动，组织指导“雪亮工程”等政法综治信息化、智能化建设。研究完善群众利益协调机制，组织协调矛盾纠纷多元化解工作。协调推动重点领域、行业、物品安全管理和流动人口、特殊人群和重点青少年群体等服务管理工作。负责见义勇为表彰奖励工作。</w:t>
      </w:r>
      <w:r>
        <w:rPr>
          <w:rFonts w:hint="default" w:ascii="Times New Roman" w:hAnsi="Times New Roman" w:eastAsia="方正仿宋_GBK"/>
          <w:b/>
          <w:bCs/>
          <w:sz w:val="32"/>
          <w:szCs w:val="32"/>
        </w:rPr>
        <w:t>法治与执法监督科。</w:t>
      </w:r>
      <w:r>
        <w:rPr>
          <w:rFonts w:hint="default" w:ascii="Times New Roman" w:hAnsi="Times New Roman" w:eastAsia="方正仿宋_GBK"/>
          <w:sz w:val="32"/>
          <w:szCs w:val="32"/>
        </w:rPr>
        <w:t>统筹政法系统为经济发展营造良好法治环境工作，掌握政法领域改革情况。统筹协调法治信息调研和新闻宣传、舆情监控、舆论引导工作，承担县委政法委新闻发布工作。统筹指导督办全县涉法涉诉信访工作，组织开展积案排查化解、司法救助、律师参与化解和代理涉法涉诉信访案件工作。监督检查政法部门执行党的路线方针政策和国家法律法规的情况，调查分析和及时纠正存在的倾向性问题。指导推动政法部门建立健全执法监督制度，针对突出违法问题组织开展专项检查、专项治理、案件评查工作。监督和支持政法各部门依法履行职责、行使职权，督促依法及时办理有重大影响、群众反映强烈的案件。指导协调市委政法委、县委交办案（事）件和需要县委政法委统筹研究把握原则政策的重大敏感案（事）件的依法处理工作。</w:t>
      </w:r>
      <w:r>
        <w:rPr>
          <w:rFonts w:hint="default" w:ascii="Times New Roman" w:hAnsi="Times New Roman" w:eastAsia="方正仿宋_GBK"/>
          <w:b/>
          <w:bCs/>
          <w:sz w:val="32"/>
          <w:szCs w:val="32"/>
        </w:rPr>
        <w:t>政法队伍建设科。</w:t>
      </w:r>
      <w:r>
        <w:rPr>
          <w:rFonts w:hint="default" w:ascii="Times New Roman" w:hAnsi="Times New Roman" w:eastAsia="方正仿宋_GBK"/>
          <w:sz w:val="32"/>
          <w:szCs w:val="32"/>
        </w:rPr>
        <w:t>协助县委及县委组织部管理政法部门领导班子和领导干部，研究提出加强政法队伍建设和领导班子建设的意见措施。指导推动政法系统党的建设。组织开展政治督察、政治轮训、纪律作风督查巡查工作，推动政法队伍纪律作风和廉政建设。指导组织开展委机关干部及政法队伍教育培训工作。指导政法系统人才队伍建设，配合有关部门办理政法系统功勋荣誉表彰有关工作。组织开展政法队伍满意度测评。负责干部人事管理工作。根据授权，代管城口县法学会的干部。</w:t>
      </w:r>
    </w:p>
    <w:p>
      <w:pPr>
        <w:spacing w:line="580" w:lineRule="exact"/>
        <w:ind w:firstLine="480" w:firstLineChars="150"/>
        <w:jc w:val="both"/>
        <w:rPr>
          <w:rFonts w:hint="default" w:ascii="Times New Roman" w:hAnsi="Times New Roman"/>
          <w:sz w:val="21"/>
          <w:szCs w:val="21"/>
        </w:rPr>
      </w:pPr>
      <w:r>
        <w:rPr>
          <w:rStyle w:val="16"/>
          <w:rFonts w:hint="eastAsia" w:eastAsia="方正楷体_GBK"/>
          <w:b w:val="0"/>
          <w:bCs w:val="0"/>
          <w:sz w:val="32"/>
          <w:szCs w:val="32"/>
        </w:rPr>
        <w:t>（三）单位构成。</w:t>
      </w:r>
      <w:r>
        <w:rPr>
          <w:rFonts w:hint="default" w:ascii="Times New Roman" w:hAnsi="Times New Roman" w:eastAsia="方正仿宋_GBK"/>
          <w:sz w:val="32"/>
          <w:szCs w:val="32"/>
        </w:rPr>
        <w:t>从预算单位构成看，纳入本部门2023年度决算编制的一级预算单位主要包括中共城口县委政法委员会、城口县法学会。县委政法委机关行政编制 12 名。设书记 1 名，由县委常委兼任；副书记 3 名，其中：1 名主持常务工作，按同级党政部门正职配备；政治处主任 1 名。内设机构领导职数原则按1 名配备。机关后勤服务人员事业编制 1 名。代管县法学会，县法学会设事业编制3名。2022年，县委政法委行政在编人员12名，机关后勤服务人员1名，事业在编人员3名。</w:t>
      </w:r>
    </w:p>
    <w:p>
      <w:pPr>
        <w:pStyle w:val="6"/>
        <w:shd w:val="clear" w:color="auto" w:fill="FFFFFF"/>
        <w:spacing w:before="0" w:beforeAutospacing="0" w:after="0" w:afterAutospacing="0" w:line="580" w:lineRule="exact"/>
        <w:ind w:firstLine="640" w:firstLineChars="200"/>
        <w:jc w:val="both"/>
        <w:rPr>
          <w:rStyle w:val="10"/>
          <w:rFonts w:hint="default" w:ascii="Times New Roman" w:hAnsi="Times New Roman" w:eastAsia="黑体"/>
          <w:b w:val="0"/>
          <w:sz w:val="32"/>
          <w:szCs w:val="32"/>
          <w:shd w:val="clear" w:color="auto" w:fill="FFFFFF"/>
        </w:rPr>
      </w:pPr>
      <w:r>
        <w:rPr>
          <w:rStyle w:val="10"/>
          <w:rFonts w:hint="default" w:ascii="Times New Roman" w:hAnsi="Times New Roman" w:eastAsia="黑体"/>
          <w:b w:val="0"/>
          <w:sz w:val="32"/>
          <w:szCs w:val="32"/>
          <w:shd w:val="clear" w:color="auto" w:fill="FFFFFF"/>
        </w:rPr>
        <w:t>二、单位决算情况说明</w:t>
      </w:r>
    </w:p>
    <w:p>
      <w:pPr>
        <w:pStyle w:val="11"/>
        <w:autoSpaceDE w:val="0"/>
        <w:spacing w:line="580" w:lineRule="exact"/>
        <w:ind w:firstLine="640"/>
        <w:jc w:val="both"/>
        <w:rPr>
          <w:rFonts w:ascii="Times New Roman" w:hAnsi="Times New Roman" w:eastAsia="楷体"/>
          <w:bCs/>
          <w:sz w:val="32"/>
          <w:szCs w:val="32"/>
          <w:shd w:val="clear" w:color="auto" w:fill="FFFFFF"/>
        </w:rPr>
      </w:pPr>
      <w:r>
        <w:rPr>
          <w:rFonts w:ascii="Times New Roman" w:hAnsi="Times New Roman" w:eastAsia="楷体"/>
          <w:bCs/>
          <w:sz w:val="32"/>
          <w:szCs w:val="32"/>
          <w:shd w:val="clear" w:color="auto" w:fill="FFFFFF"/>
        </w:rPr>
        <w:t>（一）收入支出决算总体情况说明。</w:t>
      </w:r>
    </w:p>
    <w:p>
      <w:pPr>
        <w:pStyle w:val="18"/>
        <w:spacing w:line="580" w:lineRule="exact"/>
        <w:ind w:firstLine="803" w:firstLineChars="250"/>
        <w:rPr>
          <w:rFonts w:eastAsia="方正仿宋_GBK"/>
          <w:sz w:val="32"/>
          <w:szCs w:val="32"/>
          <w:shd w:val="clear" w:color="auto" w:fill="FFFFFF"/>
        </w:rPr>
      </w:pPr>
      <w:r>
        <w:rPr>
          <w:rStyle w:val="10"/>
          <w:rFonts w:eastAsia="方正仿宋_GBK"/>
          <w:sz w:val="32"/>
          <w:szCs w:val="32"/>
          <w:shd w:val="clear" w:color="auto" w:fill="FFFFFF"/>
        </w:rPr>
        <w:t>1.总体情况。</w:t>
      </w:r>
      <w:r>
        <w:rPr>
          <w:rFonts w:eastAsia="方正仿宋_GBK"/>
          <w:sz w:val="32"/>
          <w:szCs w:val="32"/>
          <w:shd w:val="clear" w:color="auto" w:fill="FFFFFF"/>
        </w:rPr>
        <w:t>2023年度收入总计571.01万元，支出总计</w:t>
      </w:r>
      <w:r>
        <w:rPr>
          <w:rFonts w:eastAsia="方正仿宋_GBK"/>
          <w:sz w:val="32"/>
          <w:szCs w:val="32"/>
        </w:rPr>
        <w:t>571.01</w:t>
      </w:r>
      <w:r>
        <w:rPr>
          <w:rFonts w:eastAsia="方正仿宋_GBK"/>
          <w:sz w:val="32"/>
          <w:szCs w:val="32"/>
          <w:shd w:val="clear" w:color="auto" w:fill="FFFFFF"/>
        </w:rPr>
        <w:t>万元。收支较上年决算数增加122.31万元，增长27.26%，主要原因是2023年工资福利支出中增加支出公务员和事业人员绩效工资部分和专项支出在开展基层社会治理、防范化解重大风险攻坚战、邪教人员挂牌攻坚、未成年人保护等方面有增加。</w:t>
      </w:r>
    </w:p>
    <w:p>
      <w:pPr>
        <w:pStyle w:val="18"/>
        <w:spacing w:line="580" w:lineRule="exact"/>
        <w:ind w:firstLine="803" w:firstLineChars="250"/>
        <w:rPr>
          <w:rFonts w:eastAsia="方正仿宋_GBK"/>
          <w:sz w:val="32"/>
          <w:szCs w:val="32"/>
          <w:shd w:val="clear" w:color="auto" w:fill="FFFFFF"/>
        </w:rPr>
      </w:pPr>
      <w:r>
        <w:rPr>
          <w:rStyle w:val="10"/>
          <w:rFonts w:eastAsia="方正仿宋_GBK"/>
          <w:sz w:val="32"/>
          <w:szCs w:val="32"/>
          <w:shd w:val="clear" w:color="auto" w:fill="FFFFFF"/>
        </w:rPr>
        <w:t>2.收入情况。</w:t>
      </w:r>
      <w:r>
        <w:rPr>
          <w:rFonts w:eastAsia="方正仿宋_GBK"/>
          <w:sz w:val="32"/>
          <w:szCs w:val="32"/>
          <w:shd w:val="clear" w:color="auto" w:fill="FFFFFF"/>
        </w:rPr>
        <w:t>2023年度收入合计571.01万元，较上年决算数增加122.31万元，增长27.26%，主要原因是2023年工资福利支出中增加支出公务员和事业人员绩效工资部分和专项支出在开展基层社会治理、防范化解重大风险攻坚战、邪教人员挂牌攻坚、未成年人保护等方面有增加。其中：财政拨款收入</w:t>
      </w:r>
      <w:r>
        <w:rPr>
          <w:rFonts w:eastAsia="方正仿宋_GBK"/>
          <w:sz w:val="32"/>
          <w:szCs w:val="32"/>
        </w:rPr>
        <w:t>571.01</w:t>
      </w:r>
      <w:r>
        <w:rPr>
          <w:rFonts w:eastAsia="方正仿宋_GBK"/>
          <w:sz w:val="32"/>
          <w:szCs w:val="32"/>
          <w:shd w:val="clear" w:color="auto" w:fill="FFFFFF"/>
        </w:rPr>
        <w:t>万元，占</w:t>
      </w:r>
      <w:r>
        <w:rPr>
          <w:rFonts w:eastAsia="方正仿宋_GBK"/>
          <w:sz w:val="32"/>
          <w:szCs w:val="32"/>
        </w:rPr>
        <w:t>100.00</w:t>
      </w:r>
      <w:r>
        <w:rPr>
          <w:rFonts w:eastAsia="方正仿宋_GBK"/>
          <w:sz w:val="32"/>
          <w:szCs w:val="32"/>
          <w:shd w:val="clear" w:color="auto" w:fill="FFFFFF"/>
        </w:rPr>
        <w:t>%；事业收入</w:t>
      </w:r>
      <w:r>
        <w:rPr>
          <w:rFonts w:eastAsia="方正仿宋_GBK"/>
          <w:sz w:val="32"/>
          <w:szCs w:val="32"/>
        </w:rPr>
        <w:t>0.00</w:t>
      </w:r>
      <w:r>
        <w:rPr>
          <w:rFonts w:eastAsia="方正仿宋_GBK"/>
          <w:sz w:val="32"/>
          <w:szCs w:val="32"/>
          <w:shd w:val="clear" w:color="auto" w:fill="FFFFFF"/>
        </w:rPr>
        <w:t>万元，占0.00%；经营收入</w:t>
      </w:r>
      <w:r>
        <w:rPr>
          <w:rFonts w:eastAsia="方正仿宋_GBK"/>
          <w:sz w:val="32"/>
          <w:szCs w:val="32"/>
        </w:rPr>
        <w:t>0.00</w:t>
      </w:r>
      <w:r>
        <w:rPr>
          <w:rFonts w:eastAsia="方正仿宋_GBK"/>
          <w:sz w:val="32"/>
          <w:szCs w:val="32"/>
          <w:shd w:val="clear" w:color="auto" w:fill="FFFFFF"/>
        </w:rPr>
        <w:t>万元，占0.00%；其他收入</w:t>
      </w:r>
      <w:r>
        <w:rPr>
          <w:rFonts w:eastAsia="方正仿宋_GBK"/>
          <w:sz w:val="32"/>
          <w:szCs w:val="32"/>
        </w:rPr>
        <w:t>0.00</w:t>
      </w:r>
      <w:r>
        <w:rPr>
          <w:rFonts w:eastAsia="方正仿宋_GBK"/>
          <w:sz w:val="32"/>
          <w:szCs w:val="32"/>
          <w:shd w:val="clear" w:color="auto" w:fill="FFFFFF"/>
        </w:rPr>
        <w:t>万元，占0.00%。此外，使用非财政拨款结余和专用结余</w:t>
      </w:r>
      <w:r>
        <w:rPr>
          <w:rFonts w:eastAsia="方正仿宋_GBK"/>
          <w:sz w:val="32"/>
          <w:szCs w:val="32"/>
        </w:rPr>
        <w:t>0.00</w:t>
      </w:r>
      <w:r>
        <w:rPr>
          <w:rFonts w:eastAsia="方正仿宋_GBK"/>
          <w:sz w:val="32"/>
          <w:szCs w:val="32"/>
          <w:shd w:val="clear" w:color="auto" w:fill="FFFFFF"/>
        </w:rPr>
        <w:t>万元，年初结转和结余</w:t>
      </w:r>
      <w:r>
        <w:rPr>
          <w:rFonts w:eastAsia="方正仿宋_GBK"/>
          <w:sz w:val="32"/>
          <w:szCs w:val="32"/>
        </w:rPr>
        <w:t>0.00</w:t>
      </w:r>
      <w:r>
        <w:rPr>
          <w:rFonts w:eastAsia="方正仿宋_GBK"/>
          <w:sz w:val="32"/>
          <w:szCs w:val="32"/>
          <w:shd w:val="clear" w:color="auto" w:fill="FFFFFF"/>
        </w:rPr>
        <w:t>万元。</w:t>
      </w:r>
    </w:p>
    <w:p>
      <w:pPr>
        <w:pStyle w:val="18"/>
        <w:spacing w:line="580" w:lineRule="exact"/>
        <w:ind w:firstLine="803" w:firstLineChars="250"/>
        <w:rPr>
          <w:rFonts w:eastAsia="方正仿宋_GBK"/>
          <w:sz w:val="32"/>
          <w:szCs w:val="32"/>
          <w:shd w:val="clear" w:color="auto" w:fill="FFFFFF"/>
        </w:rPr>
      </w:pPr>
      <w:r>
        <w:rPr>
          <w:rStyle w:val="10"/>
          <w:rFonts w:eastAsia="方正仿宋_GBK"/>
          <w:sz w:val="32"/>
          <w:szCs w:val="32"/>
          <w:shd w:val="clear" w:color="auto" w:fill="FFFFFF"/>
        </w:rPr>
        <w:t>3.支出情况。</w:t>
      </w:r>
      <w:r>
        <w:rPr>
          <w:rFonts w:eastAsia="方正仿宋_GBK"/>
          <w:sz w:val="32"/>
          <w:szCs w:val="32"/>
          <w:shd w:val="clear" w:color="auto" w:fill="FFFFFF"/>
        </w:rPr>
        <w:t>2023年度支出合计</w:t>
      </w:r>
      <w:r>
        <w:rPr>
          <w:rFonts w:eastAsia="方正仿宋_GBK"/>
          <w:sz w:val="32"/>
          <w:szCs w:val="32"/>
        </w:rPr>
        <w:t>571.01</w:t>
      </w:r>
      <w:r>
        <w:rPr>
          <w:rFonts w:eastAsia="方正仿宋_GBK"/>
          <w:sz w:val="32"/>
          <w:szCs w:val="32"/>
          <w:shd w:val="clear" w:color="auto" w:fill="FFFFFF"/>
        </w:rPr>
        <w:t>万元，较上年决算数增加122.31万元，增长27.26%，主要原因是2023年工资福利支出中增加支出公务员和事业人员绩效工资部分和专项支出在开展基层社会治理、防范化解重大风险攻坚战、邪教人员挂牌攻坚、未成年人保护等方面有增加。其中：基本支出</w:t>
      </w:r>
      <w:r>
        <w:rPr>
          <w:rFonts w:eastAsia="方正仿宋_GBK"/>
          <w:sz w:val="32"/>
          <w:szCs w:val="32"/>
        </w:rPr>
        <w:t>456.01</w:t>
      </w:r>
      <w:r>
        <w:rPr>
          <w:rFonts w:eastAsia="方正仿宋_GBK"/>
          <w:sz w:val="32"/>
          <w:szCs w:val="32"/>
          <w:shd w:val="clear" w:color="auto" w:fill="FFFFFF"/>
        </w:rPr>
        <w:t>万元，占79.86%；项目支出</w:t>
      </w:r>
      <w:r>
        <w:rPr>
          <w:rFonts w:eastAsia="方正仿宋_GBK"/>
          <w:sz w:val="32"/>
          <w:szCs w:val="32"/>
        </w:rPr>
        <w:t>115.00</w:t>
      </w:r>
      <w:r>
        <w:rPr>
          <w:rFonts w:eastAsia="方正仿宋_GBK"/>
          <w:sz w:val="32"/>
          <w:szCs w:val="32"/>
          <w:shd w:val="clear" w:color="auto" w:fill="FFFFFF"/>
        </w:rPr>
        <w:t>万元，占20.14%；经营支出</w:t>
      </w:r>
      <w:r>
        <w:rPr>
          <w:rFonts w:eastAsia="方正仿宋_GBK"/>
          <w:sz w:val="32"/>
          <w:szCs w:val="32"/>
        </w:rPr>
        <w:t>0.00</w:t>
      </w:r>
      <w:r>
        <w:rPr>
          <w:rFonts w:eastAsia="方正仿宋_GBK"/>
          <w:sz w:val="32"/>
          <w:szCs w:val="32"/>
          <w:shd w:val="clear" w:color="auto" w:fill="FFFFFF"/>
        </w:rPr>
        <w:t>万元，占0.00%。此外，结余分配</w:t>
      </w:r>
      <w:r>
        <w:rPr>
          <w:rFonts w:eastAsia="方正仿宋_GBK"/>
          <w:sz w:val="32"/>
          <w:szCs w:val="32"/>
        </w:rPr>
        <w:t>0.00</w:t>
      </w:r>
      <w:r>
        <w:rPr>
          <w:rFonts w:eastAsia="方正仿宋_GBK"/>
          <w:sz w:val="32"/>
          <w:szCs w:val="32"/>
          <w:shd w:val="clear" w:color="auto" w:fill="FFFFFF"/>
        </w:rPr>
        <w:t>万元。</w:t>
      </w:r>
    </w:p>
    <w:p>
      <w:pPr>
        <w:pStyle w:val="6"/>
        <w:snapToGrid w:val="0"/>
        <w:spacing w:before="0" w:beforeAutospacing="0" w:after="0" w:afterAutospacing="0" w:line="58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4.结转结余情况。</w:t>
      </w:r>
      <w:r>
        <w:rPr>
          <w:rFonts w:hint="default" w:ascii="Times New Roman" w:hAnsi="Times New Roman" w:eastAsia="方正仿宋_GBK"/>
          <w:sz w:val="32"/>
          <w:szCs w:val="32"/>
          <w:shd w:val="clear" w:color="auto" w:fill="FFFFFF"/>
        </w:rPr>
        <w:t>2023年度年末结转和结余0.00万元，较上年决算数无增减，主要原因是统筹支付完成全年财政预算资金。</w:t>
      </w:r>
    </w:p>
    <w:p>
      <w:pPr>
        <w:pStyle w:val="11"/>
        <w:autoSpaceDE w:val="0"/>
        <w:spacing w:line="580" w:lineRule="exact"/>
        <w:ind w:firstLine="640"/>
        <w:jc w:val="both"/>
        <w:rPr>
          <w:rFonts w:ascii="Times New Roman" w:hAnsi="Times New Roman" w:eastAsia="楷体"/>
          <w:bCs/>
          <w:sz w:val="32"/>
          <w:szCs w:val="32"/>
          <w:shd w:val="clear" w:color="auto" w:fill="FFFFFF"/>
        </w:rPr>
      </w:pPr>
      <w:r>
        <w:rPr>
          <w:rFonts w:ascii="Times New Roman" w:hAnsi="Times New Roman" w:eastAsia="楷体"/>
          <w:bCs/>
          <w:sz w:val="32"/>
          <w:szCs w:val="32"/>
          <w:shd w:val="clear" w:color="auto" w:fill="FFFFFF"/>
        </w:rPr>
        <w:t>（二）财政拨款收入支出决算总体情况说明</w:t>
      </w:r>
    </w:p>
    <w:p>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财政拨款收、支总计571.01万元。与2022年相比，财政拨款收、支总计各增加122.31万元，增长27.26%。主要原因是2023年工资福利支出中增加支出公务员和事业人员绩效工资部分和专项支出在开展基层社会治理、防范化解重大风险攻坚战、邪教人员挂牌攻坚、未成年人保护等方面有增加。</w:t>
      </w:r>
    </w:p>
    <w:p>
      <w:pPr>
        <w:pStyle w:val="11"/>
        <w:autoSpaceDE w:val="0"/>
        <w:spacing w:line="580" w:lineRule="exact"/>
        <w:ind w:firstLine="640"/>
        <w:jc w:val="both"/>
        <w:rPr>
          <w:rFonts w:ascii="Times New Roman" w:hAnsi="Times New Roman" w:eastAsia="楷体"/>
          <w:bCs/>
          <w:sz w:val="32"/>
          <w:szCs w:val="32"/>
          <w:shd w:val="clear" w:color="auto" w:fill="FFFFFF"/>
        </w:rPr>
      </w:pPr>
      <w:r>
        <w:rPr>
          <w:rFonts w:ascii="Times New Roman" w:hAnsi="Times New Roman" w:eastAsia="楷体"/>
          <w:bCs/>
          <w:sz w:val="32"/>
          <w:szCs w:val="32"/>
          <w:shd w:val="clear" w:color="auto" w:fill="FFFFFF"/>
        </w:rPr>
        <w:t>（三）一般公共预算财政拨款收入支出决算情况说明</w:t>
      </w:r>
    </w:p>
    <w:p>
      <w:pPr>
        <w:pStyle w:val="6"/>
        <w:snapToGrid w:val="0"/>
        <w:spacing w:before="0" w:beforeAutospacing="0" w:after="0" w:afterAutospacing="0" w:line="58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2023年度一般公共预算财政拨款收入</w:t>
      </w:r>
      <w:r>
        <w:rPr>
          <w:rFonts w:hint="default" w:ascii="Times New Roman" w:hAnsi="Times New Roman" w:eastAsia="方正仿宋_GBK"/>
          <w:sz w:val="32"/>
          <w:szCs w:val="32"/>
        </w:rPr>
        <w:t>571.01</w:t>
      </w:r>
      <w:r>
        <w:rPr>
          <w:rFonts w:hint="default" w:ascii="Times New Roman" w:hAnsi="Times New Roman" w:eastAsia="方正仿宋_GBK"/>
          <w:sz w:val="32"/>
          <w:szCs w:val="32"/>
          <w:shd w:val="clear" w:color="auto" w:fill="FFFFFF"/>
        </w:rPr>
        <w:t>万元，较上年决算数增加122.31万元，增长27.26%。主要原因是2023年工资福利支出中增加支出公务员和事业人员绩效工资部分和专项支出在开展基层社会治理、防范化解重大风险攻坚战、邪教人员挂牌攻坚、未成年人保护等方面有增加。较年初预算数减少23.93万元，下降4.02%。主要原因是2023年年中追加预算工资正常调标部分、退休干部死亡抚恤金等21.07万元和2023年度项目实际年初预算的专项经费45万元在年末是通过指标拨付至县委政法委代管专户，故较年初预算数减少23.93万元。此外，年初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80"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2023年度一般公共预算财政拨款支出</w:t>
      </w:r>
      <w:r>
        <w:rPr>
          <w:rFonts w:hint="default" w:ascii="Times New Roman" w:hAnsi="Times New Roman" w:eastAsia="方正仿宋_GBK"/>
          <w:sz w:val="32"/>
          <w:szCs w:val="32"/>
        </w:rPr>
        <w:t>571.01</w:t>
      </w:r>
      <w:r>
        <w:rPr>
          <w:rFonts w:hint="default" w:ascii="Times New Roman" w:hAnsi="Times New Roman" w:eastAsia="方正仿宋_GBK"/>
          <w:sz w:val="32"/>
          <w:szCs w:val="32"/>
          <w:shd w:val="clear" w:color="auto" w:fill="FFFFFF"/>
        </w:rPr>
        <w:t>万元，较上年决算数增加122.31万元，增长27.26%。主要原因是2023年工资福利支出中增加支出公务员和事业人员绩效工资部分和专项支出在开展基层社会治理、防范化解重大风险攻坚战、邪教人员挂牌攻坚、未成年人保护等方面有增加。较年初预算数减少23.93万元，下降4.02%。主要原因是2023年年中追加预算工资正常调标部分、退休干部死亡抚恤金等21.07万元和2023年度项目实际年初预算的专项经费45万元在年末是通过指标拨付至县委政法委代管专户。</w:t>
      </w:r>
    </w:p>
    <w:p>
      <w:pPr>
        <w:pStyle w:val="6"/>
        <w:snapToGrid w:val="0"/>
        <w:spacing w:before="0" w:beforeAutospacing="0" w:after="0" w:afterAutospacing="0" w:line="58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2023年度年末一般公共预算财政拨款结转和结余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万元，较上年决算数无增减，主要原因是统筹支付完成全年财政预算资金。</w:t>
      </w:r>
    </w:p>
    <w:p>
      <w:pPr>
        <w:pStyle w:val="6"/>
        <w:snapToGrid w:val="0"/>
        <w:spacing w:before="0" w:beforeAutospacing="0" w:after="0" w:afterAutospacing="0" w:line="580"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4.比较情况。</w:t>
      </w:r>
      <w:r>
        <w:rPr>
          <w:rFonts w:hint="default" w:ascii="Times New Roman" w:hAnsi="Times New Roman" w:eastAsia="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（1）一般公共服务支出</w:t>
      </w:r>
      <w:r>
        <w:rPr>
          <w:rFonts w:hint="default" w:ascii="Times New Roman" w:hAnsi="Times New Roman" w:eastAsia="方正仿宋_GBK"/>
          <w:sz w:val="32"/>
          <w:szCs w:val="32"/>
        </w:rPr>
        <w:t>442.01</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77.41</w:t>
      </w:r>
      <w:r>
        <w:rPr>
          <w:rFonts w:hint="default" w:ascii="Times New Roman" w:hAnsi="Times New Roman" w:eastAsia="方正仿宋_GBK"/>
          <w:sz w:val="32"/>
          <w:szCs w:val="32"/>
          <w:shd w:val="clear" w:color="auto" w:fill="FFFFFF"/>
        </w:rPr>
        <w:t>%，较年初预算数减少43.89万元，下降9.03%，主要原因2023年度项目实际年初预算的专项经费45万元在年末是通过指标拨付至县委政法委代管专户。</w:t>
      </w:r>
    </w:p>
    <w:p>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（2）社会保障与就业支出</w:t>
      </w:r>
      <w:r>
        <w:rPr>
          <w:rFonts w:hint="default" w:ascii="Times New Roman" w:hAnsi="Times New Roman" w:eastAsia="方正仿宋_GBK"/>
          <w:sz w:val="32"/>
          <w:szCs w:val="32"/>
        </w:rPr>
        <w:t>83.87</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14.69</w:t>
      </w:r>
      <w:r>
        <w:rPr>
          <w:rFonts w:hint="default" w:ascii="Times New Roman" w:hAnsi="Times New Roman" w:eastAsia="方正仿宋_GBK"/>
          <w:sz w:val="32"/>
          <w:szCs w:val="32"/>
          <w:shd w:val="clear" w:color="auto" w:fill="FFFFFF"/>
        </w:rPr>
        <w:t>%，较年初预算数增加19.96万元，增长31.23%，主要原因是公务员养老保险、职业年金缴费基数增加基础绩效奖金部分。</w:t>
      </w:r>
    </w:p>
    <w:p>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（3）卫生健康支出</w:t>
      </w:r>
      <w:r>
        <w:rPr>
          <w:rFonts w:hint="default" w:ascii="Times New Roman" w:hAnsi="Times New Roman" w:eastAsia="方正仿宋_GBK"/>
          <w:sz w:val="32"/>
          <w:szCs w:val="32"/>
        </w:rPr>
        <w:t>17.54</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3.07</w:t>
      </w:r>
      <w:r>
        <w:rPr>
          <w:rFonts w:hint="default" w:ascii="Times New Roman" w:hAnsi="Times New Roman" w:eastAsia="方正仿宋_GBK"/>
          <w:sz w:val="32"/>
          <w:szCs w:val="32"/>
          <w:shd w:val="clear" w:color="auto" w:fill="FFFFFF"/>
        </w:rPr>
        <w:t>%，较年初预算数无增减，主要原因是在职人员本年人员无变动，卫生健康支出无增减。</w:t>
      </w:r>
    </w:p>
    <w:p>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（4）</w:t>
      </w:r>
      <w:r>
        <w:rPr>
          <w:rFonts w:hint="default" w:ascii="Times New Roman" w:hAnsi="Times New Roman" w:eastAsia="方正仿宋_GBK"/>
          <w:sz w:val="32"/>
          <w:szCs w:val="32"/>
        </w:rPr>
        <w:t>住房保障支出27.59</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4.83</w:t>
      </w:r>
      <w:r>
        <w:rPr>
          <w:rFonts w:hint="default" w:ascii="Times New Roman" w:hAnsi="Times New Roman" w:eastAsia="方正仿宋_GBK"/>
          <w:sz w:val="32"/>
          <w:szCs w:val="32"/>
          <w:shd w:val="clear" w:color="auto" w:fill="FFFFFF"/>
        </w:rPr>
        <w:t>%，较年初预算数无增减，主要原因是在职人员本年人员无变动，卫生健康支出无增减。</w:t>
      </w:r>
    </w:p>
    <w:p>
      <w:pPr>
        <w:pStyle w:val="11"/>
        <w:autoSpaceDE w:val="0"/>
        <w:spacing w:line="580" w:lineRule="exact"/>
        <w:ind w:firstLine="640"/>
        <w:jc w:val="both"/>
        <w:rPr>
          <w:rFonts w:ascii="Times New Roman" w:hAnsi="Times New Roman" w:eastAsia="楷体"/>
          <w:bCs/>
          <w:sz w:val="32"/>
          <w:szCs w:val="32"/>
          <w:shd w:val="clear" w:color="auto" w:fill="FFFFFF"/>
        </w:rPr>
      </w:pPr>
      <w:r>
        <w:rPr>
          <w:rFonts w:ascii="Times New Roman" w:hAnsi="Times New Roman" w:eastAsia="楷体"/>
          <w:bCs/>
          <w:sz w:val="32"/>
          <w:szCs w:val="32"/>
          <w:shd w:val="clear" w:color="auto" w:fill="FFFFFF"/>
        </w:rPr>
        <w:t>（四）一般公共预算财政拨款基本支出决算情况说明</w:t>
      </w:r>
    </w:p>
    <w:p>
      <w:pPr>
        <w:pStyle w:val="6"/>
        <w:autoSpaceDE w:val="0"/>
        <w:spacing w:before="0" w:beforeAutospacing="0" w:after="0" w:afterAutospacing="0" w:line="58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 2023年度一般公共财政拨款基本支出</w:t>
      </w:r>
      <w:r>
        <w:rPr>
          <w:rFonts w:hint="default" w:ascii="Times New Roman" w:hAnsi="Times New Roman" w:eastAsia="方正仿宋_GBK"/>
          <w:sz w:val="32"/>
          <w:szCs w:val="32"/>
        </w:rPr>
        <w:t>456.01</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408.16</w:t>
      </w:r>
      <w:r>
        <w:rPr>
          <w:rFonts w:hint="default" w:ascii="Times New Roman" w:hAnsi="Times New Roman" w:eastAsia="方正仿宋_GBK"/>
          <w:sz w:val="32"/>
          <w:szCs w:val="32"/>
          <w:shd w:val="clear" w:color="auto" w:fill="FFFFFF"/>
        </w:rPr>
        <w:t>万元，较上年决算数增加108.43万元，增长36.18%，主要原因是2023年工资福利支出中增加支出在职人员绩效工资部分，年中追加预算在职职工工资调标和退休职工死亡抚恤金。人员经费用途主要包括职工基本工资、津贴补贴、奖金、绩效工资、养老保险和职业年金缴费、医疗保险缴费、住房公积金等费用支出。公用经费</w:t>
      </w:r>
      <w:r>
        <w:rPr>
          <w:rFonts w:hint="default" w:ascii="Times New Roman" w:hAnsi="Times New Roman" w:eastAsia="方正仿宋_GBK"/>
          <w:sz w:val="32"/>
          <w:szCs w:val="32"/>
        </w:rPr>
        <w:t>47.85</w:t>
      </w:r>
      <w:r>
        <w:rPr>
          <w:rFonts w:hint="default" w:ascii="Times New Roman" w:hAnsi="Times New Roman" w:eastAsia="方正仿宋_GBK"/>
          <w:sz w:val="32"/>
          <w:szCs w:val="32"/>
          <w:shd w:val="clear" w:color="auto" w:fill="FFFFFF"/>
        </w:rPr>
        <w:t>万元，较上年决算数增加12.38万元，增长34.90%，主要原因是随着平安城口建设、“885”考核工作、基层社会治理等工作需要，在广告宣传制作、差旅费用等公用经费方面有增加。公用经费用途主要包括公用经费用途主要包括办公费、印刷费、差旅费、公务用车运行维护费、公务接待费等支出。</w:t>
      </w:r>
    </w:p>
    <w:p>
      <w:pPr>
        <w:pStyle w:val="11"/>
        <w:autoSpaceDE w:val="0"/>
        <w:spacing w:line="580" w:lineRule="exact"/>
        <w:ind w:firstLine="480" w:firstLineChars="150"/>
        <w:jc w:val="both"/>
        <w:rPr>
          <w:rFonts w:ascii="Times New Roman" w:hAnsi="Times New Roman" w:eastAsia="楷体"/>
          <w:bCs/>
          <w:sz w:val="32"/>
          <w:szCs w:val="32"/>
        </w:rPr>
      </w:pPr>
      <w:r>
        <w:rPr>
          <w:rFonts w:ascii="Times New Roman" w:hAnsi="Times New Roman" w:eastAsia="楷体"/>
          <w:bCs/>
          <w:sz w:val="32"/>
          <w:szCs w:val="32"/>
          <w:shd w:val="clear" w:color="auto" w:fill="FFFFFF"/>
        </w:rPr>
        <w:t>（五）政府性基金预算收支决算情况说明</w:t>
      </w:r>
    </w:p>
    <w:p>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方正仿宋_GBK"/>
          <w:b w:val="0"/>
          <w:sz w:val="32"/>
          <w:szCs w:val="32"/>
        </w:rPr>
        <w:t>本单位2023年度无政府性基金预算财政拨款收支。</w:t>
      </w:r>
    </w:p>
    <w:p>
      <w:pPr>
        <w:pStyle w:val="11"/>
        <w:autoSpaceDE w:val="0"/>
        <w:spacing w:line="580" w:lineRule="exact"/>
        <w:ind w:firstLine="640"/>
        <w:jc w:val="both"/>
        <w:rPr>
          <w:rFonts w:ascii="Times New Roman" w:hAnsi="Times New Roman" w:eastAsia="楷体"/>
          <w:bCs/>
          <w:sz w:val="32"/>
          <w:szCs w:val="32"/>
          <w:shd w:val="clear" w:color="auto" w:fill="FFFFFF"/>
        </w:rPr>
      </w:pPr>
      <w:r>
        <w:rPr>
          <w:rFonts w:ascii="Times New Roman" w:hAnsi="Times New Roman" w:eastAsia="楷体"/>
          <w:bCs/>
          <w:sz w:val="32"/>
          <w:szCs w:val="32"/>
          <w:shd w:val="clear" w:color="auto" w:fill="FFFFFF"/>
        </w:rPr>
        <w:t>（六）国有资本经营预算财政拨款支出决算情况说明</w:t>
      </w:r>
    </w:p>
    <w:p>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方正仿宋_GBK"/>
          <w:b w:val="0"/>
          <w:sz w:val="32"/>
          <w:szCs w:val="32"/>
        </w:rPr>
        <w:t>本单位2023年度无国有资本经营预算财政拨款支出。</w:t>
      </w:r>
    </w:p>
    <w:p>
      <w:pPr>
        <w:pStyle w:val="6"/>
        <w:shd w:val="clear" w:color="auto" w:fill="FFFFFF"/>
        <w:spacing w:before="0" w:beforeAutospacing="0" w:after="0" w:afterAutospacing="0" w:line="580" w:lineRule="exact"/>
        <w:ind w:firstLine="640" w:firstLineChars="200"/>
        <w:jc w:val="both"/>
        <w:rPr>
          <w:rStyle w:val="10"/>
          <w:rFonts w:hint="default" w:ascii="Times New Roman" w:hAnsi="Times New Roman" w:eastAsia="黑体"/>
          <w:b w:val="0"/>
          <w:sz w:val="32"/>
          <w:szCs w:val="32"/>
          <w:shd w:val="clear" w:color="auto" w:fill="FFFFFF"/>
        </w:rPr>
      </w:pPr>
      <w:r>
        <w:rPr>
          <w:rStyle w:val="10"/>
          <w:rFonts w:hint="default" w:ascii="Times New Roman" w:hAnsi="Times New Roman" w:eastAsia="黑体"/>
          <w:b w:val="0"/>
          <w:sz w:val="32"/>
          <w:szCs w:val="32"/>
          <w:shd w:val="clear" w:color="auto" w:fill="FFFFFF"/>
        </w:rPr>
        <w:t>三、“三公”经费情况说明</w:t>
      </w:r>
    </w:p>
    <w:p>
      <w:pPr>
        <w:pStyle w:val="11"/>
        <w:autoSpaceDE w:val="0"/>
        <w:spacing w:line="580" w:lineRule="exact"/>
        <w:ind w:firstLine="640"/>
        <w:jc w:val="both"/>
        <w:rPr>
          <w:rFonts w:ascii="Times New Roman" w:hAnsi="Times New Roman" w:eastAsia="楷体"/>
          <w:bCs/>
          <w:sz w:val="32"/>
          <w:szCs w:val="32"/>
          <w:shd w:val="clear" w:color="auto" w:fill="FFFFFF"/>
        </w:rPr>
      </w:pPr>
      <w:r>
        <w:rPr>
          <w:rFonts w:ascii="Times New Roman" w:hAnsi="Times New Roman" w:eastAsia="楷体"/>
          <w:bCs/>
          <w:sz w:val="32"/>
          <w:szCs w:val="32"/>
          <w:shd w:val="clear" w:color="auto" w:fill="FFFFFF"/>
        </w:rPr>
        <w:t>（一）“三公”经费支出总体情况说明</w:t>
      </w:r>
    </w:p>
    <w:p>
      <w:pPr>
        <w:pStyle w:val="6"/>
        <w:autoSpaceDE w:val="0"/>
        <w:spacing w:before="0" w:beforeAutospacing="0" w:after="0" w:afterAutospacing="0" w:line="58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2023年度“三公”经费支出共计</w:t>
      </w:r>
      <w:r>
        <w:rPr>
          <w:rFonts w:hint="default" w:ascii="Times New Roman" w:hAnsi="Times New Roman" w:eastAsia="方正仿宋_GBK"/>
          <w:sz w:val="32"/>
          <w:szCs w:val="32"/>
        </w:rPr>
        <w:t>8.00</w:t>
      </w:r>
      <w:r>
        <w:rPr>
          <w:rFonts w:hint="default" w:ascii="Times New Roman" w:hAnsi="Times New Roman" w:eastAsia="方正仿宋_GBK"/>
          <w:sz w:val="32"/>
          <w:szCs w:val="32"/>
          <w:shd w:val="clear" w:color="auto" w:fill="FFFFFF"/>
        </w:rPr>
        <w:t>万元，较年初预算数无增减，主要原因是本单位严格按照年初预算范围内开支“三公”经费。较上年支出数减少2.80万元，下降25.93%，主要原因是压紧开支，力争保持“三公”经费支出只减不增。</w:t>
      </w:r>
    </w:p>
    <w:p>
      <w:pPr>
        <w:pStyle w:val="11"/>
        <w:autoSpaceDE w:val="0"/>
        <w:spacing w:line="580" w:lineRule="exact"/>
        <w:ind w:firstLine="640"/>
        <w:jc w:val="both"/>
        <w:rPr>
          <w:rFonts w:ascii="Times New Roman" w:hAnsi="Times New Roman" w:eastAsia="楷体"/>
          <w:bCs/>
          <w:sz w:val="32"/>
          <w:szCs w:val="32"/>
          <w:shd w:val="clear" w:color="auto" w:fill="FFFFFF"/>
        </w:rPr>
      </w:pPr>
      <w:r>
        <w:rPr>
          <w:rFonts w:ascii="Times New Roman" w:hAnsi="Times New Roman" w:eastAsia="楷体"/>
          <w:bCs/>
          <w:sz w:val="32"/>
          <w:szCs w:val="32"/>
          <w:shd w:val="clear" w:color="auto" w:fill="FFFFFF"/>
        </w:rPr>
        <w:t>（二）“三公”经费分项支出情况</w:t>
      </w:r>
    </w:p>
    <w:p>
      <w:pPr>
        <w:pStyle w:val="6"/>
        <w:autoSpaceDE w:val="0"/>
        <w:spacing w:before="0" w:beforeAutospacing="0" w:after="0" w:afterAutospacing="0" w:line="58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2023年度本单位因公出国（境）费用</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 xml:space="preserve">万元，主要是主要原因是本单位2023年度未产生因公出国（境）费用支出。 </w:t>
      </w:r>
    </w:p>
    <w:p>
      <w:pPr>
        <w:pStyle w:val="6"/>
        <w:autoSpaceDE w:val="0"/>
        <w:spacing w:before="0" w:beforeAutospacing="0" w:after="0" w:afterAutospacing="0" w:line="58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 公务车购置费</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 xml:space="preserve">万元，主要原因是本单位2023年度未购置公务用车。 </w:t>
      </w:r>
    </w:p>
    <w:p>
      <w:pPr>
        <w:pStyle w:val="18"/>
        <w:spacing w:line="580" w:lineRule="exact"/>
        <w:ind w:firstLine="640" w:firstLineChars="200"/>
      </w:pPr>
      <w:r>
        <w:rPr>
          <w:rFonts w:eastAsia="方正仿宋_GBK"/>
          <w:sz w:val="32"/>
          <w:szCs w:val="32"/>
          <w:shd w:val="clear" w:color="auto" w:fill="FFFFFF"/>
        </w:rPr>
        <w:t> 公务车运行维护费</w:t>
      </w:r>
      <w:r>
        <w:rPr>
          <w:rFonts w:eastAsia="方正仿宋_GBK"/>
          <w:sz w:val="32"/>
          <w:szCs w:val="32"/>
        </w:rPr>
        <w:t>6.00</w:t>
      </w:r>
      <w:r>
        <w:rPr>
          <w:rFonts w:eastAsia="方正仿宋_GBK"/>
          <w:sz w:val="32"/>
          <w:szCs w:val="32"/>
          <w:shd w:val="clear" w:color="auto" w:fill="FFFFFF"/>
        </w:rPr>
        <w:t>万元，主要用于市内因公出行、日常下乡所需车辆的燃油费、维修费、过桥过路费、保险费等。费用支出较年初预算数无增减，主要原因是严格按预算开支，车辆运行费用较年初预算范围内开支。较上年支出数增加0.10万元，增长1.69%，主要原因是本年公务用车出行次数有所增加。</w:t>
      </w:r>
    </w:p>
    <w:p>
      <w:pPr>
        <w:pStyle w:val="18"/>
        <w:spacing w:line="580" w:lineRule="exact"/>
        <w:ind w:firstLine="200"/>
      </w:pPr>
      <w:r>
        <w:rPr>
          <w:rFonts w:eastAsia="方正仿宋_GBK"/>
          <w:sz w:val="32"/>
          <w:szCs w:val="32"/>
          <w:shd w:val="clear" w:color="auto" w:fill="FFFFFF"/>
        </w:rPr>
        <w:t>     公务接待费</w:t>
      </w:r>
      <w:r>
        <w:rPr>
          <w:rFonts w:eastAsia="方正仿宋_GBK"/>
          <w:sz w:val="32"/>
          <w:szCs w:val="32"/>
        </w:rPr>
        <w:t>2.00</w:t>
      </w:r>
      <w:r>
        <w:rPr>
          <w:rFonts w:eastAsia="方正仿宋_GBK"/>
          <w:sz w:val="32"/>
          <w:szCs w:val="32"/>
          <w:shd w:val="clear" w:color="auto" w:fill="FFFFFF"/>
        </w:rPr>
        <w:t>万元，主要用于接待接待上级部门到我县开展平安建设调研督导检查等工作。费用支出较年初预算数无增减，主要原因是压紧开支，将支出控制在预算范围内。较上年支出数减少2.90万元，下降59.18%，主要原因是本年</w:t>
      </w:r>
      <w:r>
        <w:rPr>
          <w:rFonts w:hint="eastAsia" w:eastAsia="方正仿宋_GBK"/>
          <w:sz w:val="32"/>
          <w:szCs w:val="32"/>
          <w:shd w:val="clear" w:color="auto" w:fill="FFFFFF"/>
        </w:rPr>
        <w:t>接收市级部门调研指导工作次数减少，</w:t>
      </w:r>
      <w:r>
        <w:rPr>
          <w:rFonts w:eastAsia="方正仿宋_GBK"/>
          <w:sz w:val="32"/>
          <w:szCs w:val="32"/>
          <w:shd w:val="clear" w:color="auto" w:fill="FFFFFF"/>
        </w:rPr>
        <w:t>公务接待</w:t>
      </w:r>
      <w:r>
        <w:rPr>
          <w:rFonts w:hint="eastAsia" w:eastAsia="方正仿宋_GBK"/>
          <w:sz w:val="32"/>
          <w:szCs w:val="32"/>
          <w:shd w:val="clear" w:color="auto" w:fill="FFFFFF"/>
        </w:rPr>
        <w:t>支出经费对应</w:t>
      </w:r>
      <w:r>
        <w:rPr>
          <w:rFonts w:eastAsia="方正仿宋_GBK"/>
          <w:sz w:val="32"/>
          <w:szCs w:val="32"/>
          <w:shd w:val="clear" w:color="auto" w:fill="FFFFFF"/>
        </w:rPr>
        <w:t>减少。</w:t>
      </w:r>
    </w:p>
    <w:p>
      <w:pPr>
        <w:pStyle w:val="11"/>
        <w:autoSpaceDE w:val="0"/>
        <w:spacing w:line="580" w:lineRule="exact"/>
        <w:ind w:firstLine="640"/>
        <w:jc w:val="both"/>
        <w:rPr>
          <w:rFonts w:ascii="Times New Roman" w:hAnsi="Times New Roman" w:eastAsia="楷体"/>
          <w:bCs/>
          <w:sz w:val="32"/>
          <w:szCs w:val="32"/>
          <w:shd w:val="clear" w:color="auto" w:fill="FFFFFF"/>
        </w:rPr>
      </w:pPr>
      <w:r>
        <w:rPr>
          <w:rFonts w:ascii="Times New Roman" w:hAnsi="Times New Roman" w:eastAsia="楷体"/>
          <w:bCs/>
          <w:sz w:val="32"/>
          <w:szCs w:val="32"/>
          <w:shd w:val="clear" w:color="auto" w:fill="FFFFFF"/>
        </w:rPr>
        <w:t>（三）“三公”经费实物量情况</w:t>
      </w:r>
    </w:p>
    <w:p>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2023年度本单位因公出国（境）共计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30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400</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人。2023年本单位人均接待费</w:t>
      </w:r>
      <w:r>
        <w:rPr>
          <w:rFonts w:hint="default" w:ascii="Times New Roman" w:hAnsi="Times New Roman" w:eastAsia="方正仿宋_GBK"/>
          <w:sz w:val="32"/>
          <w:szCs w:val="32"/>
        </w:rPr>
        <w:t>50.00</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6.00</w:t>
      </w:r>
      <w:r>
        <w:rPr>
          <w:rFonts w:hint="default" w:ascii="Times New Roman" w:hAnsi="Times New Roman" w:eastAsia="方正仿宋_GBK"/>
          <w:sz w:val="32"/>
          <w:szCs w:val="32"/>
          <w:shd w:val="clear" w:color="auto" w:fill="FFFFFF"/>
        </w:rPr>
        <w:t>万元。</w:t>
      </w:r>
    </w:p>
    <w:p>
      <w:pPr>
        <w:pStyle w:val="6"/>
        <w:shd w:val="clear" w:color="auto" w:fill="FFFFFF"/>
        <w:spacing w:before="0" w:beforeAutospacing="0" w:after="0" w:afterAutospacing="0" w:line="580" w:lineRule="exact"/>
        <w:ind w:firstLine="640" w:firstLineChars="200"/>
        <w:jc w:val="both"/>
        <w:rPr>
          <w:rStyle w:val="10"/>
          <w:rFonts w:hint="default" w:ascii="Times New Roman" w:hAnsi="Times New Roman" w:eastAsia="方正仿宋_GBK"/>
          <w:b w:val="0"/>
          <w:sz w:val="32"/>
          <w:szCs w:val="32"/>
          <w:shd w:val="clear" w:color="auto" w:fill="FFFFFF"/>
        </w:rPr>
      </w:pPr>
      <w:r>
        <w:rPr>
          <w:rStyle w:val="10"/>
          <w:rFonts w:hint="default" w:ascii="Times New Roman" w:hAnsi="Times New Roman" w:eastAsia="黑体"/>
          <w:b w:val="0"/>
          <w:sz w:val="32"/>
          <w:szCs w:val="32"/>
          <w:shd w:val="clear" w:color="auto" w:fill="FFFFFF"/>
        </w:rPr>
        <w:t>四、其他需要说明的事项</w:t>
      </w:r>
    </w:p>
    <w:p>
      <w:pPr>
        <w:pStyle w:val="11"/>
        <w:autoSpaceDE w:val="0"/>
        <w:spacing w:line="580" w:lineRule="exact"/>
        <w:ind w:firstLine="419" w:firstLineChars="131"/>
        <w:jc w:val="both"/>
        <w:rPr>
          <w:rFonts w:ascii="Times New Roman" w:hAnsi="Times New Roman" w:eastAsia="楷体"/>
          <w:bCs/>
          <w:sz w:val="32"/>
          <w:szCs w:val="32"/>
          <w:shd w:val="clear" w:color="auto" w:fill="FFFFFF"/>
        </w:rPr>
      </w:pPr>
      <w:r>
        <w:rPr>
          <w:rFonts w:ascii="Times New Roman" w:hAnsi="Times New Roman" w:eastAsia="楷体"/>
          <w:bCs/>
          <w:sz w:val="32"/>
          <w:szCs w:val="32"/>
          <w:shd w:val="clear" w:color="auto" w:fill="FFFFFF"/>
        </w:rPr>
        <w:t>（一）财政拨款会议费和培训费情况说明</w:t>
      </w:r>
    </w:p>
    <w:p>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本年度会议费支出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万元，较上年决算数减少5.00万元，下降100.00%，主要原因是因年初预算未细分会议费，财政未保障我单位会议费。本年度培训费支出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万元，较上年决算数减少5.00万元，下降100.00%，主要原因是因年初预算未细分会议费，财政未保障我单位培训费。</w:t>
      </w:r>
    </w:p>
    <w:p>
      <w:pPr>
        <w:pStyle w:val="11"/>
        <w:autoSpaceDE w:val="0"/>
        <w:spacing w:line="580" w:lineRule="exact"/>
        <w:ind w:firstLine="640"/>
        <w:jc w:val="both"/>
        <w:rPr>
          <w:rFonts w:ascii="Times New Roman" w:hAnsi="Times New Roman" w:eastAsia="楷体"/>
          <w:bCs/>
          <w:sz w:val="32"/>
          <w:szCs w:val="32"/>
          <w:shd w:val="clear" w:color="auto" w:fill="FFFFFF"/>
        </w:rPr>
      </w:pPr>
      <w:r>
        <w:rPr>
          <w:rFonts w:ascii="Times New Roman" w:hAnsi="Times New Roman" w:eastAsia="楷体"/>
          <w:bCs/>
          <w:sz w:val="32"/>
          <w:szCs w:val="32"/>
          <w:shd w:val="clear" w:color="auto" w:fill="FFFFFF"/>
        </w:rPr>
        <w:t>（二）机关运行经费情况说明</w:t>
      </w:r>
    </w:p>
    <w:p>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2023年度本单位机关运行经费支出</w:t>
      </w:r>
      <w:r>
        <w:rPr>
          <w:rFonts w:hint="default" w:ascii="Times New Roman" w:hAnsi="Times New Roman" w:eastAsia="方正仿宋_GBK"/>
          <w:sz w:val="32"/>
          <w:szCs w:val="32"/>
        </w:rPr>
        <w:t>47.85</w:t>
      </w:r>
      <w:r>
        <w:rPr>
          <w:rFonts w:hint="default" w:ascii="Times New Roman" w:hAnsi="Times New Roman" w:eastAsia="方正仿宋_GBK"/>
          <w:sz w:val="32"/>
          <w:szCs w:val="32"/>
          <w:shd w:val="clear" w:color="auto" w:fill="FFFFFF"/>
        </w:rPr>
        <w:t>万元，机关运行经费主要用于开支包括办公费、印刷费、差旅费、公务用车运行维护费、公务接待费等支出。机关运行经费较上年支出数增加12.38万元，增长34.90%，主要原因是随着平安城口建设、“885”考核工作、基层社会治理等工作需要，在广告宣传制作、差旅费用等公用经费方面有增加。</w:t>
      </w:r>
    </w:p>
    <w:p>
      <w:pPr>
        <w:pStyle w:val="6"/>
        <w:snapToGrid w:val="0"/>
        <w:spacing w:before="0" w:beforeAutospacing="0" w:after="0" w:afterAutospacing="0" w:line="580" w:lineRule="exact"/>
        <w:ind w:firstLine="640" w:firstLineChars="200"/>
        <w:jc w:val="both"/>
        <w:rPr>
          <w:rFonts w:hint="default" w:ascii="Times New Roman" w:hAnsi="Times New Roman" w:eastAsia="楷体"/>
          <w:bCs/>
          <w:sz w:val="32"/>
          <w:szCs w:val="32"/>
          <w:shd w:val="clear" w:color="auto" w:fill="FFFFFF"/>
        </w:rPr>
      </w:pPr>
      <w:r>
        <w:rPr>
          <w:rFonts w:hint="default" w:ascii="Times New Roman" w:hAnsi="Times New Roman" w:eastAsia="楷体"/>
          <w:bCs/>
          <w:sz w:val="32"/>
          <w:szCs w:val="32"/>
          <w:shd w:val="clear" w:color="auto" w:fill="FFFFFF"/>
        </w:rPr>
        <w:t>（三）国有资产占用情况说明</w:t>
      </w:r>
    </w:p>
    <w:p>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截至2023年12月31日，本单位共有车辆</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pPr>
        <w:pStyle w:val="11"/>
        <w:autoSpaceDE w:val="0"/>
        <w:spacing w:line="580" w:lineRule="exact"/>
        <w:ind w:firstLine="640"/>
        <w:jc w:val="both"/>
        <w:rPr>
          <w:rFonts w:ascii="Times New Roman" w:hAnsi="Times New Roman" w:eastAsia="楷体"/>
          <w:bCs/>
          <w:sz w:val="32"/>
          <w:szCs w:val="32"/>
          <w:shd w:val="clear" w:color="auto" w:fill="FFFFFF"/>
        </w:rPr>
      </w:pPr>
      <w:r>
        <w:rPr>
          <w:rFonts w:ascii="Times New Roman" w:hAnsi="Times New Roman" w:eastAsia="楷体"/>
          <w:bCs/>
          <w:sz w:val="32"/>
          <w:szCs w:val="32"/>
          <w:shd w:val="clear" w:color="auto" w:fill="FFFFFF"/>
        </w:rPr>
        <w:t>（四）政府采购支出情况说明</w:t>
      </w:r>
    </w:p>
    <w:p>
      <w:pPr>
        <w:pStyle w:val="6"/>
        <w:snapToGrid w:val="0"/>
        <w:spacing w:before="0" w:beforeAutospacing="0" w:after="0" w:afterAutospacing="0" w:line="580"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  2023年度本单位政府采购支出总额</w:t>
      </w:r>
      <w:r>
        <w:rPr>
          <w:rFonts w:hint="default" w:ascii="Times New Roman" w:hAnsi="Times New Roman" w:eastAsia="方正仿宋_GBK"/>
          <w:sz w:val="32"/>
          <w:szCs w:val="32"/>
        </w:rPr>
        <w:t>1.51</w:t>
      </w:r>
      <w:r>
        <w:rPr>
          <w:rFonts w:hint="default" w:ascii="Times New Roman" w:hAnsi="Times New Roman" w:eastAsia="方正仿宋_GBK"/>
          <w:sz w:val="32"/>
          <w:szCs w:val="32"/>
          <w:shd w:val="clear" w:color="auto" w:fill="FFFFFF"/>
        </w:rPr>
        <w:t>万元，其中：政府采购货物支出</w:t>
      </w:r>
      <w:r>
        <w:rPr>
          <w:rFonts w:hint="default" w:ascii="Times New Roman" w:hAnsi="Times New Roman" w:eastAsia="方正仿宋_GBK"/>
          <w:sz w:val="32"/>
          <w:szCs w:val="32"/>
        </w:rPr>
        <w:t>1.51</w:t>
      </w:r>
      <w:r>
        <w:rPr>
          <w:rFonts w:hint="default" w:ascii="Times New Roman" w:hAnsi="Times New Roman" w:eastAsia="方正仿宋_GBK"/>
          <w:sz w:val="32"/>
          <w:szCs w:val="32"/>
          <w:shd w:val="clear" w:color="auto" w:fill="FFFFFF"/>
        </w:rPr>
        <w:t>万元、政府采购工程支出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万元、政府采购服务支出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万元。授予中小企业合同金额</w:t>
      </w:r>
      <w:r>
        <w:rPr>
          <w:rFonts w:hint="default" w:ascii="Times New Roman" w:hAnsi="Times New Roman" w:eastAsia="方正仿宋_GBK"/>
          <w:sz w:val="32"/>
          <w:szCs w:val="32"/>
        </w:rPr>
        <w:t>0.00万</w:t>
      </w:r>
      <w:r>
        <w:rPr>
          <w:rFonts w:hint="default" w:ascii="Times New Roman" w:hAnsi="Times New Roman" w:eastAsia="方正仿宋_GBK"/>
          <w:sz w:val="32"/>
          <w:szCs w:val="32"/>
          <w:shd w:val="clear" w:color="auto" w:fill="FFFFFF"/>
        </w:rPr>
        <w:t>元，占政府采购支出总额的0.00%，其中：授予小微企业合同金额0.00万元，占政府采购支出总额的0.00 %。主要用于采购办公电脑和综治系统拼接处理器支出。</w:t>
      </w:r>
    </w:p>
    <w:p>
      <w:pPr>
        <w:pStyle w:val="6"/>
        <w:numPr>
          <w:ilvl w:val="0"/>
          <w:numId w:val="1"/>
        </w:numPr>
        <w:shd w:val="clear" w:color="auto" w:fill="FFFFFF"/>
        <w:spacing w:before="0" w:beforeAutospacing="0" w:after="0" w:afterAutospacing="0" w:line="580" w:lineRule="exact"/>
        <w:ind w:firstLine="640" w:firstLineChars="200"/>
        <w:jc w:val="both"/>
        <w:rPr>
          <w:rStyle w:val="10"/>
          <w:rFonts w:hint="default" w:ascii="Times New Roman" w:hAnsi="Times New Roman" w:eastAsia="黑体"/>
          <w:b w:val="0"/>
          <w:sz w:val="32"/>
          <w:szCs w:val="32"/>
          <w:shd w:val="clear" w:color="auto" w:fill="FFFFFF"/>
        </w:rPr>
      </w:pPr>
      <w:r>
        <w:rPr>
          <w:rStyle w:val="10"/>
          <w:rFonts w:hint="default" w:ascii="Times New Roman" w:hAnsi="Times New Roman" w:eastAsia="黑体"/>
          <w:b w:val="0"/>
          <w:sz w:val="32"/>
          <w:szCs w:val="32"/>
          <w:shd w:val="clear" w:color="auto" w:fill="FFFFFF"/>
        </w:rPr>
        <w:t>预算绩效管理情况说明</w:t>
      </w:r>
    </w:p>
    <w:p>
      <w:pPr>
        <w:pStyle w:val="11"/>
        <w:autoSpaceDE w:val="0"/>
        <w:spacing w:line="580" w:lineRule="exact"/>
        <w:ind w:firstLine="640"/>
        <w:jc w:val="both"/>
        <w:rPr>
          <w:rFonts w:ascii="Times New Roman" w:hAnsi="Times New Roman" w:eastAsia="楷体"/>
          <w:bCs/>
          <w:sz w:val="32"/>
          <w:szCs w:val="32"/>
          <w:shd w:val="clear" w:color="auto" w:fill="FFFFFF"/>
        </w:rPr>
      </w:pPr>
      <w:r>
        <w:rPr>
          <w:rFonts w:ascii="Times New Roman" w:hAnsi="Times New Roman" w:eastAsia="楷体"/>
          <w:bCs/>
          <w:sz w:val="32"/>
          <w:szCs w:val="32"/>
          <w:shd w:val="clear" w:color="auto" w:fill="FFFFFF"/>
        </w:rPr>
        <w:t>（一）单位自评情况</w:t>
      </w:r>
    </w:p>
    <w:p>
      <w:pPr>
        <w:pStyle w:val="6"/>
        <w:autoSpaceDE w:val="0"/>
        <w:spacing w:before="0" w:beforeAutospacing="0" w:after="0" w:afterAutospacing="0" w:line="58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rPr>
        <w:t>根据预算绩效管理要求，我委</w:t>
      </w:r>
      <w:r>
        <w:rPr>
          <w:rFonts w:hint="default" w:ascii="Times New Roman" w:hAnsi="Times New Roman" w:eastAsia="方正仿宋_GBK"/>
          <w:sz w:val="32"/>
          <w:szCs w:val="32"/>
          <w:shd w:val="clear" w:color="auto" w:fill="FFFFFF"/>
        </w:rPr>
        <w:t>对防范化解重大风险攻坚战专项工作、反邪教协调工作、综治及平安建设指导工作、法治与执法监督工作、基层治理工作经费、扫黑除恶6个项目开展了绩效自评。</w:t>
      </w:r>
      <w:r>
        <w:rPr>
          <w:rFonts w:hint="default" w:ascii="Times New Roman" w:hAnsi="Times New Roman" w:eastAsia="方正仿宋_GBK"/>
          <w:sz w:val="32"/>
          <w:szCs w:val="32"/>
        </w:rPr>
        <w:t>其中，</w:t>
      </w:r>
      <w:r>
        <w:rPr>
          <w:rFonts w:hint="default" w:ascii="Times New Roman" w:hAnsi="Times New Roman" w:eastAsia="方正仿宋_GBK"/>
          <w:sz w:val="32"/>
          <w:szCs w:val="32"/>
          <w:shd w:val="clear" w:color="auto" w:fill="FFFFFF"/>
        </w:rPr>
        <w:t>以填报目标自评表形式开展自评6项，涉及资金</w:t>
      </w:r>
      <w:r>
        <w:rPr>
          <w:rFonts w:ascii="Times New Roman" w:hAnsi="Times New Roman" w:eastAsia="方正仿宋_GBK"/>
          <w:sz w:val="32"/>
          <w:szCs w:val="32"/>
          <w:shd w:val="clear" w:color="auto" w:fill="FFFFFF"/>
        </w:rPr>
        <w:t>115</w:t>
      </w:r>
      <w:r>
        <w:rPr>
          <w:rFonts w:hint="default" w:ascii="Times New Roman" w:hAnsi="Times New Roman" w:eastAsia="方正仿宋_GBK"/>
          <w:sz w:val="32"/>
          <w:szCs w:val="32"/>
          <w:shd w:val="clear" w:color="auto" w:fill="FFFFFF"/>
        </w:rPr>
        <w:t>万元；以委托第三方形式开展绩效自评0项，从评价情况来看，项目经费的合理运行，达到了预期的效果，为服务县域经济社会发展为主要职责，提供强有力的政法</w:t>
      </w:r>
      <w:r>
        <w:rPr>
          <w:rFonts w:ascii="Times New Roman" w:hAnsi="Times New Roman" w:eastAsia="方正仿宋_GBK"/>
          <w:sz w:val="32"/>
          <w:szCs w:val="32"/>
          <w:shd w:val="clear" w:color="auto" w:fill="FFFFFF"/>
        </w:rPr>
        <w:t>保障。</w:t>
      </w:r>
    </w:p>
    <w:p>
      <w:pPr>
        <w:pStyle w:val="11"/>
        <w:autoSpaceDE w:val="0"/>
        <w:spacing w:line="580" w:lineRule="exact"/>
        <w:ind w:firstLine="640"/>
        <w:jc w:val="both"/>
        <w:rPr>
          <w:rFonts w:ascii="Times New Roman" w:hAnsi="Times New Roman" w:eastAsia="楷体"/>
          <w:bCs/>
          <w:sz w:val="32"/>
          <w:szCs w:val="32"/>
          <w:shd w:val="clear" w:color="auto" w:fill="FFFFFF"/>
        </w:rPr>
      </w:pPr>
      <w:r>
        <w:rPr>
          <w:rFonts w:ascii="Times New Roman" w:hAnsi="Times New Roman" w:eastAsia="楷体"/>
          <w:bCs/>
          <w:sz w:val="32"/>
          <w:szCs w:val="32"/>
          <w:shd w:val="clear" w:color="auto" w:fill="FFFFFF"/>
        </w:rPr>
        <w:t>（二）单位绩效评价情况</w:t>
      </w:r>
    </w:p>
    <w:p>
      <w:pPr>
        <w:pStyle w:val="19"/>
        <w:autoSpaceDE w:val="0"/>
        <w:spacing w:line="580" w:lineRule="exact"/>
        <w:ind w:firstLine="640"/>
        <w:rPr>
          <w:rFonts w:eastAsia="方正仿宋_GBK"/>
          <w:sz w:val="32"/>
          <w:szCs w:val="32"/>
          <w:shd w:val="clear" w:color="auto" w:fill="FFFFFF"/>
        </w:rPr>
      </w:pPr>
      <w:r>
        <w:rPr>
          <w:rFonts w:eastAsia="方正仿宋_GBK"/>
          <w:sz w:val="32"/>
          <w:szCs w:val="32"/>
          <w:shd w:val="clear" w:color="auto" w:fill="FFFFFF"/>
        </w:rPr>
        <w:t>我单位对防范化解重大风险攻坚战专项工作、反邪教协调工作、综治及平安建设指导工作、法治与执法监督工作、基层治理工作经费、扫黑除恶6个项目开展了整体绩效评价，涉及财政拨款项目资金</w:t>
      </w:r>
      <w:r>
        <w:rPr>
          <w:rFonts w:hint="eastAsia" w:eastAsia="方正仿宋_GBK"/>
          <w:sz w:val="32"/>
          <w:szCs w:val="32"/>
          <w:shd w:val="clear" w:color="auto" w:fill="FFFFFF"/>
        </w:rPr>
        <w:t>115</w:t>
      </w:r>
      <w:r>
        <w:rPr>
          <w:rFonts w:eastAsia="方正仿宋_GBK"/>
          <w:sz w:val="32"/>
          <w:szCs w:val="32"/>
          <w:shd w:val="clear" w:color="auto" w:fill="FFFFFF"/>
        </w:rPr>
        <w:t>万元，评价得分</w:t>
      </w:r>
      <w:r>
        <w:rPr>
          <w:rFonts w:hint="eastAsia" w:eastAsia="方正仿宋_GBK"/>
          <w:sz w:val="32"/>
          <w:szCs w:val="32"/>
          <w:shd w:val="clear" w:color="auto" w:fill="FFFFFF"/>
        </w:rPr>
        <w:t>100</w:t>
      </w:r>
      <w:r>
        <w:rPr>
          <w:rFonts w:eastAsia="方正仿宋_GBK"/>
          <w:sz w:val="32"/>
          <w:szCs w:val="32"/>
          <w:shd w:val="clear" w:color="auto" w:fill="FFFFFF"/>
        </w:rPr>
        <w:t>分，评价等次为优秀。</w:t>
      </w:r>
    </w:p>
    <w:p>
      <w:pPr>
        <w:pStyle w:val="19"/>
        <w:autoSpaceDE w:val="0"/>
        <w:spacing w:line="580" w:lineRule="exact"/>
        <w:ind w:firstLine="643"/>
        <w:rPr>
          <w:rFonts w:eastAsia="方正仿宋_GBK"/>
          <w:b/>
          <w:bCs/>
          <w:sz w:val="32"/>
          <w:szCs w:val="32"/>
          <w:shd w:val="clear" w:color="auto" w:fill="FFFFFF"/>
        </w:rPr>
      </w:pPr>
      <w:r>
        <w:rPr>
          <w:rFonts w:eastAsia="方正仿宋_GBK"/>
          <w:b/>
          <w:bCs/>
          <w:color w:val="333333"/>
          <w:sz w:val="32"/>
          <w:szCs w:val="32"/>
        </w:rPr>
        <w:t>1.</w:t>
      </w:r>
      <w:r>
        <w:rPr>
          <w:rFonts w:eastAsia="方正仿宋_GBK"/>
          <w:b/>
          <w:bCs/>
          <w:sz w:val="32"/>
          <w:szCs w:val="32"/>
          <w:shd w:val="clear" w:color="auto" w:fill="FFFFFF"/>
        </w:rPr>
        <w:t>防范化解重大风险专项工作</w:t>
      </w:r>
    </w:p>
    <w:p>
      <w:pPr>
        <w:pStyle w:val="19"/>
        <w:autoSpaceDE w:val="0"/>
        <w:spacing w:line="580" w:lineRule="exact"/>
        <w:ind w:firstLine="640"/>
        <w:rPr>
          <w:rFonts w:eastAsia="方正仿宋_GBK"/>
          <w:sz w:val="32"/>
          <w:szCs w:val="32"/>
          <w:shd w:val="clear" w:color="auto" w:fill="FFFFFF"/>
        </w:rPr>
      </w:pPr>
      <w:r>
        <w:rPr>
          <w:rFonts w:eastAsia="方正仿宋_GBK"/>
          <w:sz w:val="32"/>
          <w:szCs w:val="32"/>
          <w:shd w:val="clear" w:color="auto" w:fill="FFFFFF"/>
        </w:rPr>
        <w:t>防范化解重大风险专项工作总体完成情况是贯彻落实中央、市委决策部署和县委工作要求，组织、协调、推动专项小组重大风险防范化解工作事项的落实；指导、督促各乡镇（街道）和重点任务牵头单位、责任单位落实工作措施；协调、督查推动本专项小组工作，总结推广工作典型经验；组织开展宣传工作；开展调查研究，及时发现各乡镇（街道）和重点任务牵头单位、责任单位工作中存在的问题，并针对性地提出意见建议，迎接市级季度、年度考核和完成县级防范化解重大风险攻坚战考核工作。项目全年预算数为15万元，执行数为15万元，完成预算的100%。主要产出和效果是贯彻落实中央、市委关于坚决打好防范化解重大风险攻坚战的决策部署和县委工作要求，研究制定坚决打好防范化解重大风险攻坚战重要政策、总体方案，部署坚决打好防范化解重大风险攻坚战工作任务；统筹协调坚决打好防范化解重大风险攻坚战重大问题、重要工作；指导推动督促中央、市委和县委坚决打好防范化解重大风险攻坚战重大政策举措的落实；四是组织开展重要工作调研和督察，总结推广工作经验；组织实施防范化解重大风险宣传工作。</w:t>
      </w:r>
    </w:p>
    <w:p>
      <w:pPr>
        <w:pStyle w:val="19"/>
        <w:autoSpaceDE w:val="0"/>
        <w:spacing w:line="580" w:lineRule="exact"/>
        <w:ind w:firstLine="643"/>
        <w:rPr>
          <w:rFonts w:eastAsia="方正仿宋_GBK"/>
          <w:b/>
          <w:bCs/>
          <w:sz w:val="32"/>
          <w:szCs w:val="32"/>
          <w:shd w:val="clear" w:color="auto" w:fill="FFFFFF"/>
        </w:rPr>
      </w:pPr>
      <w:r>
        <w:rPr>
          <w:rFonts w:eastAsia="方正仿宋_GBK"/>
          <w:b/>
          <w:bCs/>
          <w:sz w:val="32"/>
          <w:szCs w:val="32"/>
          <w:shd w:val="clear" w:color="auto" w:fill="FFFFFF"/>
        </w:rPr>
        <w:t>2.反邪教协调工作</w:t>
      </w:r>
    </w:p>
    <w:p>
      <w:pPr>
        <w:pStyle w:val="19"/>
        <w:autoSpaceDE w:val="0"/>
        <w:spacing w:line="580" w:lineRule="exact"/>
        <w:ind w:firstLine="640"/>
        <w:rPr>
          <w:rFonts w:eastAsia="方正仿宋_GBK"/>
          <w:sz w:val="32"/>
          <w:szCs w:val="32"/>
          <w:shd w:val="clear" w:color="auto" w:fill="FFFFFF"/>
        </w:rPr>
      </w:pPr>
      <w:r>
        <w:rPr>
          <w:rFonts w:eastAsia="方正仿宋_GBK"/>
          <w:sz w:val="32"/>
          <w:szCs w:val="32"/>
          <w:shd w:val="clear" w:color="auto" w:fill="FFFFFF"/>
        </w:rPr>
        <w:t>反邪教协调工作总体完成情况是调查研究涉邪教问题，了解掌握邪教和对社会有危害气功组织的情况，分析研判形势，提出政策建议。协调推动全县各级各相关部门做好反邪教工作，统筹部署开展重大斗争活动。项目全年预算数为30万元，执行数为30万元，完成预算的100%。主要产出和效果是检查督促全县各级各部门严格执行防范和处理邪教有关法律法规及有关方针政策，推进无邪教创建活动；开展反邪教宣传工作和邪教人员的教育转化工作。</w:t>
      </w:r>
    </w:p>
    <w:p>
      <w:pPr>
        <w:pStyle w:val="19"/>
        <w:autoSpaceDE w:val="0"/>
        <w:spacing w:line="580" w:lineRule="exact"/>
        <w:ind w:firstLine="643"/>
        <w:rPr>
          <w:rFonts w:eastAsia="方正仿宋_GBK"/>
          <w:b/>
          <w:bCs/>
          <w:sz w:val="32"/>
          <w:szCs w:val="32"/>
          <w:shd w:val="clear" w:color="auto" w:fill="FFFFFF"/>
        </w:rPr>
      </w:pPr>
      <w:r>
        <w:rPr>
          <w:rFonts w:eastAsia="方正仿宋_GBK"/>
          <w:b/>
          <w:bCs/>
          <w:sz w:val="32"/>
          <w:szCs w:val="32"/>
          <w:shd w:val="clear" w:color="auto" w:fill="FFFFFF"/>
        </w:rPr>
        <w:t>3.综治及平安建设指导工作</w:t>
      </w:r>
    </w:p>
    <w:p>
      <w:pPr>
        <w:pStyle w:val="19"/>
        <w:autoSpaceDE w:val="0"/>
        <w:spacing w:line="580" w:lineRule="exact"/>
        <w:ind w:firstLine="640"/>
        <w:rPr>
          <w:rFonts w:eastAsia="方正仿宋_GBK"/>
          <w:sz w:val="32"/>
          <w:szCs w:val="32"/>
          <w:shd w:val="clear" w:color="auto" w:fill="FFFFFF"/>
        </w:rPr>
      </w:pPr>
      <w:r>
        <w:rPr>
          <w:rFonts w:eastAsia="方正仿宋_GBK"/>
          <w:sz w:val="32"/>
          <w:szCs w:val="32"/>
          <w:shd w:val="clear" w:color="auto" w:fill="FFFFFF"/>
        </w:rPr>
        <w:t>综治及平安建设指导工作总体完成情况是调査分析全县社会治安形势并提出对策建议。承担综治及平安建设工作的组织协调、督导检查和综合考评。指导协调全县各级各部门常态化推进扫黑除恶、社会治安重点地区和突出治安问题排查整治、社会治安防控体系建设。项目全年预算数为20万元，执行数为20万元，完成预算的100%。主要产出和效果是牵头指导加强和创新基层社会治理工作，指导协调推动县乡村三级综治中心建设、深化拓展网格化服务管理，推动开展基层平安创建活动，组织指导“雪亮工程”等政法综治信息化、智能化建设</w:t>
      </w:r>
      <w:r>
        <w:rPr>
          <w:rFonts w:hint="eastAsia" w:eastAsia="方正仿宋_GBK"/>
          <w:sz w:val="32"/>
          <w:szCs w:val="32"/>
          <w:shd w:val="clear" w:color="auto" w:fill="FFFFFF"/>
        </w:rPr>
        <w:t>；</w:t>
      </w:r>
      <w:r>
        <w:rPr>
          <w:rFonts w:eastAsia="方正仿宋_GBK"/>
          <w:sz w:val="32"/>
          <w:szCs w:val="32"/>
          <w:shd w:val="clear" w:color="auto" w:fill="FFFFFF"/>
        </w:rPr>
        <w:t>研究完善群众利益协调机制，组织协调矛盾纠纷多元化解工作。协调推动重点领域、行业、物品安全管理和流动人口、特殊人群和重点青少年群体等服务管理工作</w:t>
      </w:r>
      <w:r>
        <w:rPr>
          <w:rFonts w:hint="eastAsia" w:eastAsia="方正仿宋_GBK"/>
          <w:sz w:val="32"/>
          <w:szCs w:val="32"/>
          <w:shd w:val="clear" w:color="auto" w:fill="FFFFFF"/>
        </w:rPr>
        <w:t>；</w:t>
      </w:r>
      <w:r>
        <w:rPr>
          <w:rFonts w:eastAsia="方正仿宋_GBK"/>
          <w:sz w:val="32"/>
          <w:szCs w:val="32"/>
          <w:shd w:val="clear" w:color="auto" w:fill="FFFFFF"/>
        </w:rPr>
        <w:t>负责见义勇为表彰奖励工作。</w:t>
      </w:r>
    </w:p>
    <w:p>
      <w:pPr>
        <w:pStyle w:val="19"/>
        <w:autoSpaceDE w:val="0"/>
        <w:spacing w:line="580" w:lineRule="exact"/>
        <w:ind w:firstLine="643"/>
        <w:rPr>
          <w:rFonts w:eastAsia="方正仿宋_GBK"/>
          <w:b/>
          <w:bCs/>
          <w:sz w:val="32"/>
          <w:szCs w:val="32"/>
          <w:shd w:val="clear" w:color="auto" w:fill="FFFFFF"/>
        </w:rPr>
      </w:pPr>
      <w:r>
        <w:rPr>
          <w:rFonts w:eastAsia="方正仿宋_GBK"/>
          <w:b/>
          <w:bCs/>
          <w:sz w:val="32"/>
          <w:szCs w:val="32"/>
          <w:shd w:val="clear" w:color="auto" w:fill="FFFFFF"/>
        </w:rPr>
        <w:t>4.法治与执法监督工作</w:t>
      </w:r>
    </w:p>
    <w:p>
      <w:pPr>
        <w:pStyle w:val="19"/>
        <w:autoSpaceDE w:val="0"/>
        <w:spacing w:line="580" w:lineRule="exact"/>
        <w:ind w:firstLine="640"/>
        <w:rPr>
          <w:rFonts w:eastAsia="方正仿宋_GBK"/>
          <w:sz w:val="32"/>
          <w:szCs w:val="32"/>
          <w:shd w:val="clear" w:color="auto" w:fill="FFFFFF"/>
        </w:rPr>
      </w:pPr>
      <w:r>
        <w:rPr>
          <w:rFonts w:eastAsia="方正仿宋_GBK"/>
          <w:sz w:val="32"/>
          <w:szCs w:val="32"/>
          <w:shd w:val="clear" w:color="auto" w:fill="FFFFFF"/>
        </w:rPr>
        <w:t>法治与执法监督工作总体完成情况是统筹政法系统为经济发展营造良好法治环境工作，掌握政法领域改革情况。统筹协调法治信息调研和新闻宣传、舆情监控、舆论引导工作，承担县委政法委新闻发布工作。统筹指导督办全县涉法涉诉信访工作，组织开展积案排查化解、司法救助、律师参与化解和代理涉法涉诉信访案件工作。项目全年预算数为10万元，执行数为10万元，完成预算的100%。主要产出和效果是监督检查政法部门执行党的路线方针政策和国家法律法规的情况，调查分析和及时纠正存在的倾向性问题；指导推动政法部门建立健全执法监督制度，针对突出违法问题组织开展专项检查、专项治理、案件评查工作；监督和支持政法各部门依法履行职责、行使职权，督促依法及时办理有重大影响、群众反映强烈的案件，指导协调市委政法委、县委交办案（事）件和需要县委政法委统筹研究把握原则政策的重大敏感案（事）件的依法处理工作。</w:t>
      </w:r>
    </w:p>
    <w:p>
      <w:pPr>
        <w:pStyle w:val="19"/>
        <w:autoSpaceDE w:val="0"/>
        <w:spacing w:line="580" w:lineRule="exact"/>
        <w:ind w:firstLine="643"/>
        <w:rPr>
          <w:rFonts w:eastAsia="方正仿宋_GBK"/>
          <w:b/>
          <w:bCs/>
          <w:sz w:val="32"/>
          <w:szCs w:val="32"/>
          <w:shd w:val="clear" w:color="auto" w:fill="FFFFFF"/>
        </w:rPr>
      </w:pPr>
      <w:r>
        <w:rPr>
          <w:rFonts w:eastAsia="方正仿宋_GBK"/>
          <w:b/>
          <w:bCs/>
          <w:sz w:val="32"/>
          <w:szCs w:val="32"/>
          <w:shd w:val="clear" w:color="auto" w:fill="FFFFFF"/>
        </w:rPr>
        <w:t>5.</w:t>
      </w:r>
      <w:r>
        <w:rPr>
          <w:rFonts w:eastAsia="方正仿宋_GBK"/>
          <w:b/>
          <w:sz w:val="32"/>
          <w:szCs w:val="32"/>
          <w:shd w:val="clear" w:color="auto" w:fill="FFFFFF"/>
        </w:rPr>
        <w:t xml:space="preserve"> 基层治理工作经费</w:t>
      </w:r>
    </w:p>
    <w:p>
      <w:pPr>
        <w:autoSpaceDE w:val="0"/>
        <w:spacing w:line="58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基层治理工作总体完成情况是牵头指导市域社会治理现代化试点工作，有序推进综治中心规范化建设，深化拓展网格化服务管理，推动开展基层平安创建活动。项目全年预算数为20万元，执行数为20万元，完成预算的100%。主要产出和效果是全面提升“群众说事处”等治理品牌效能，组织指导“雪亮工程”等政法综治信息化、智能化建设，研究完善群众利益协调机制，组织协调矛盾纠纷多元化解工作。</w:t>
      </w:r>
    </w:p>
    <w:p>
      <w:pPr>
        <w:pStyle w:val="19"/>
        <w:autoSpaceDE w:val="0"/>
        <w:spacing w:line="580" w:lineRule="exact"/>
        <w:ind w:firstLine="643"/>
        <w:rPr>
          <w:rFonts w:eastAsia="方正仿宋_GBK"/>
          <w:b/>
          <w:sz w:val="32"/>
          <w:szCs w:val="32"/>
          <w:shd w:val="clear" w:color="auto" w:fill="FFFFFF"/>
        </w:rPr>
      </w:pPr>
      <w:r>
        <w:rPr>
          <w:rFonts w:hint="eastAsia" w:eastAsia="方正仿宋_GBK"/>
          <w:b/>
          <w:bCs/>
          <w:sz w:val="32"/>
          <w:szCs w:val="32"/>
          <w:shd w:val="clear" w:color="auto" w:fill="FFFFFF"/>
        </w:rPr>
        <w:t>6</w:t>
      </w:r>
      <w:r>
        <w:rPr>
          <w:rFonts w:eastAsia="方正仿宋_GBK"/>
          <w:b/>
          <w:bCs/>
          <w:sz w:val="32"/>
          <w:szCs w:val="32"/>
          <w:shd w:val="clear" w:color="auto" w:fill="FFFFFF"/>
        </w:rPr>
        <w:t>.</w:t>
      </w:r>
      <w:r>
        <w:rPr>
          <w:rFonts w:eastAsia="方正仿宋_GBK"/>
          <w:b/>
          <w:sz w:val="32"/>
          <w:szCs w:val="32"/>
          <w:shd w:val="clear" w:color="auto" w:fill="FFFFFF"/>
        </w:rPr>
        <w:t xml:space="preserve"> 扫黑除恶</w:t>
      </w:r>
    </w:p>
    <w:p>
      <w:pPr>
        <w:pStyle w:val="19"/>
        <w:autoSpaceDE w:val="0"/>
        <w:spacing w:line="580" w:lineRule="exact"/>
        <w:ind w:firstLine="640"/>
        <w:rPr>
          <w:rFonts w:eastAsia="方正仿宋_GBK"/>
          <w:kern w:val="0"/>
          <w:sz w:val="32"/>
          <w:szCs w:val="32"/>
          <w:shd w:val="clear" w:color="auto" w:fill="FFFFFF"/>
        </w:rPr>
      </w:pPr>
      <w:r>
        <w:rPr>
          <w:rFonts w:eastAsia="方正仿宋_GBK"/>
          <w:sz w:val="32"/>
          <w:szCs w:val="32"/>
          <w:shd w:val="clear" w:color="auto" w:fill="FFFFFF"/>
        </w:rPr>
        <w:t>扫黑除恶工作总体完成情</w:t>
      </w:r>
      <w:r>
        <w:rPr>
          <w:rFonts w:eastAsia="方正仿宋_GBK"/>
          <w:kern w:val="0"/>
          <w:sz w:val="32"/>
          <w:szCs w:val="32"/>
          <w:shd w:val="clear" w:color="auto" w:fill="FFFFFF"/>
        </w:rPr>
        <w:t>况深入推进教育、金融放贷、市场流通等重点行业领域整治，集中打击一批涉黑涉恶违法犯罪，有效治理一批群众反映强烈的行业领域突出问题。</w:t>
      </w:r>
      <w:r>
        <w:rPr>
          <w:rFonts w:eastAsia="方正仿宋_GBK"/>
          <w:sz w:val="32"/>
          <w:szCs w:val="32"/>
          <w:shd w:val="clear" w:color="auto" w:fill="FFFFFF"/>
        </w:rPr>
        <w:t>项目全年预算数为20万元，执行数为20万元，完成预算的100%。主要产出和效果是进一步建立健全扫黑除</w:t>
      </w:r>
      <w:r>
        <w:rPr>
          <w:rFonts w:hint="eastAsia" w:eastAsia="方正仿宋_GBK"/>
          <w:sz w:val="32"/>
          <w:szCs w:val="32"/>
          <w:shd w:val="clear" w:color="auto" w:fill="FFFFFF"/>
          <w:lang w:eastAsia="zh-CN"/>
        </w:rPr>
        <w:t>恶</w:t>
      </w:r>
      <w:bookmarkStart w:id="0" w:name="_GoBack"/>
      <w:bookmarkEnd w:id="0"/>
      <w:r>
        <w:rPr>
          <w:rFonts w:eastAsia="方正仿宋_GBK"/>
          <w:sz w:val="32"/>
          <w:szCs w:val="32"/>
          <w:shd w:val="clear" w:color="auto" w:fill="FFFFFF"/>
        </w:rPr>
        <w:t>专项斗争</w:t>
      </w:r>
      <w:r>
        <w:rPr>
          <w:rFonts w:eastAsia="方正仿宋_GBK"/>
          <w:kern w:val="0"/>
          <w:sz w:val="32"/>
          <w:szCs w:val="32"/>
          <w:shd w:val="clear" w:color="auto" w:fill="FFFFFF"/>
        </w:rPr>
        <w:t>源头治理的制度体系，努力实现行业领域涉黑涉恶犯罪有效铲除、行业乱象得到有效治理、行业秩序明显好转、长效机制基本建立、人民群众满意度提升。</w:t>
      </w:r>
    </w:p>
    <w:p>
      <w:pPr>
        <w:pStyle w:val="6"/>
        <w:widowControl w:val="0"/>
        <w:shd w:val="clear" w:color="auto" w:fill="FFFFFF"/>
        <w:autoSpaceDE w:val="0"/>
        <w:spacing w:before="0" w:beforeAutospacing="0" w:after="0" w:afterAutospacing="0" w:line="600" w:lineRule="exact"/>
        <w:ind w:firstLine="643" w:firstLineChars="200"/>
        <w:jc w:val="both"/>
        <w:rPr>
          <w:rStyle w:val="16"/>
          <w:rFonts w:hint="eastAsia" w:eastAsia="方正楷体_GBK"/>
          <w:sz w:val="32"/>
          <w:szCs w:val="32"/>
          <w:shd w:val="clear" w:color="auto" w:fill="FFFFFF"/>
        </w:rPr>
      </w:pPr>
    </w:p>
    <w:p>
      <w:pPr>
        <w:pStyle w:val="6"/>
        <w:widowControl w:val="0"/>
        <w:shd w:val="clear" w:color="auto" w:fill="FFFFFF"/>
        <w:autoSpaceDE w:val="0"/>
        <w:spacing w:before="0" w:beforeAutospacing="0" w:after="0" w:afterAutospacing="0" w:line="600" w:lineRule="exact"/>
        <w:ind w:firstLine="643" w:firstLineChars="200"/>
        <w:jc w:val="both"/>
        <w:rPr>
          <w:rStyle w:val="16"/>
          <w:rFonts w:hint="eastAsia" w:eastAsia="方正楷体_GBK"/>
          <w:sz w:val="32"/>
          <w:szCs w:val="32"/>
          <w:shd w:val="clear" w:color="auto" w:fill="FFFFFF"/>
        </w:rPr>
      </w:pPr>
    </w:p>
    <w:p>
      <w:pPr>
        <w:pStyle w:val="6"/>
        <w:widowControl w:val="0"/>
        <w:shd w:val="clear" w:color="auto" w:fill="FFFFFF"/>
        <w:autoSpaceDE w:val="0"/>
        <w:spacing w:before="0" w:beforeAutospacing="0" w:after="0" w:afterAutospacing="0" w:line="600" w:lineRule="exact"/>
        <w:ind w:firstLine="643" w:firstLineChars="200"/>
        <w:jc w:val="both"/>
        <w:rPr>
          <w:rStyle w:val="16"/>
          <w:rFonts w:hint="eastAsia" w:eastAsia="方正楷体_GBK"/>
          <w:sz w:val="32"/>
          <w:szCs w:val="32"/>
          <w:shd w:val="clear" w:color="auto" w:fill="FFFFFF"/>
        </w:rPr>
      </w:pPr>
    </w:p>
    <w:p>
      <w:pPr>
        <w:pStyle w:val="6"/>
        <w:widowControl w:val="0"/>
        <w:shd w:val="clear" w:color="auto" w:fill="FFFFFF"/>
        <w:autoSpaceDE w:val="0"/>
        <w:spacing w:before="0" w:beforeAutospacing="0" w:after="0" w:afterAutospacing="0" w:line="600" w:lineRule="exact"/>
        <w:ind w:firstLine="643" w:firstLineChars="200"/>
        <w:jc w:val="both"/>
        <w:rPr>
          <w:rStyle w:val="16"/>
          <w:rFonts w:hint="eastAsia" w:eastAsia="方正楷体_GBK"/>
          <w:sz w:val="32"/>
          <w:szCs w:val="32"/>
          <w:shd w:val="clear" w:color="auto" w:fill="FFFFFF"/>
        </w:rPr>
      </w:pPr>
    </w:p>
    <w:p>
      <w:pPr>
        <w:pStyle w:val="6"/>
        <w:widowControl w:val="0"/>
        <w:shd w:val="clear" w:color="auto" w:fill="FFFFFF"/>
        <w:autoSpaceDE w:val="0"/>
        <w:spacing w:before="0" w:beforeAutospacing="0" w:after="0" w:afterAutospacing="0" w:line="600" w:lineRule="exact"/>
        <w:ind w:firstLine="643" w:firstLineChars="200"/>
        <w:jc w:val="both"/>
        <w:rPr>
          <w:rStyle w:val="16"/>
          <w:rFonts w:hint="eastAsia" w:eastAsia="方正楷体_GBK"/>
          <w:sz w:val="32"/>
          <w:szCs w:val="32"/>
          <w:shd w:val="clear" w:color="auto" w:fill="FFFFFF"/>
        </w:rPr>
      </w:pPr>
    </w:p>
    <w:p>
      <w:pPr>
        <w:pStyle w:val="6"/>
        <w:widowControl w:val="0"/>
        <w:shd w:val="clear" w:color="auto" w:fill="FFFFFF"/>
        <w:autoSpaceDE w:val="0"/>
        <w:spacing w:before="0" w:beforeAutospacing="0" w:after="0" w:afterAutospacing="0" w:line="600" w:lineRule="exact"/>
        <w:ind w:firstLine="643" w:firstLineChars="200"/>
        <w:jc w:val="both"/>
        <w:rPr>
          <w:rStyle w:val="16"/>
          <w:rFonts w:hint="eastAsia" w:eastAsia="方正楷体_GBK"/>
          <w:sz w:val="32"/>
          <w:szCs w:val="32"/>
          <w:shd w:val="clear" w:color="auto" w:fill="FFFFFF"/>
        </w:rPr>
      </w:pPr>
    </w:p>
    <w:p>
      <w:pPr>
        <w:pStyle w:val="6"/>
        <w:widowControl w:val="0"/>
        <w:shd w:val="clear" w:color="auto" w:fill="FFFFFF"/>
        <w:autoSpaceDE w:val="0"/>
        <w:spacing w:before="0" w:beforeAutospacing="0" w:after="0" w:afterAutospacing="0" w:line="600" w:lineRule="exact"/>
        <w:ind w:firstLine="643" w:firstLineChars="200"/>
        <w:jc w:val="both"/>
        <w:rPr>
          <w:rStyle w:val="16"/>
          <w:rFonts w:hint="eastAsia" w:eastAsia="方正楷体_GBK"/>
          <w:sz w:val="32"/>
          <w:szCs w:val="32"/>
          <w:shd w:val="clear" w:color="auto" w:fill="FFFFFF"/>
        </w:rPr>
      </w:pPr>
    </w:p>
    <w:p>
      <w:pPr>
        <w:pStyle w:val="6"/>
        <w:widowControl w:val="0"/>
        <w:shd w:val="clear" w:color="auto" w:fill="FFFFFF"/>
        <w:autoSpaceDE w:val="0"/>
        <w:spacing w:before="0" w:beforeAutospacing="0" w:after="0" w:afterAutospacing="0" w:line="600" w:lineRule="exact"/>
        <w:ind w:firstLine="643" w:firstLineChars="200"/>
        <w:jc w:val="both"/>
        <w:rPr>
          <w:rStyle w:val="16"/>
          <w:rFonts w:hint="eastAsia" w:eastAsia="方正楷体_GBK"/>
          <w:sz w:val="32"/>
          <w:szCs w:val="32"/>
          <w:shd w:val="clear" w:color="auto" w:fill="FFFFFF"/>
        </w:rPr>
      </w:pPr>
    </w:p>
    <w:p>
      <w:pPr>
        <w:pStyle w:val="6"/>
        <w:widowControl w:val="0"/>
        <w:shd w:val="clear" w:color="auto" w:fill="FFFFFF"/>
        <w:autoSpaceDE w:val="0"/>
        <w:spacing w:before="0" w:beforeAutospacing="0" w:after="0" w:afterAutospacing="0" w:line="600" w:lineRule="exact"/>
        <w:ind w:firstLine="643" w:firstLineChars="200"/>
        <w:jc w:val="both"/>
        <w:rPr>
          <w:rStyle w:val="16"/>
          <w:rFonts w:hint="eastAsia" w:eastAsia="方正楷体_GBK"/>
          <w:sz w:val="32"/>
          <w:szCs w:val="32"/>
          <w:shd w:val="clear" w:color="auto" w:fill="FFFFFF"/>
        </w:rPr>
      </w:pPr>
    </w:p>
    <w:p>
      <w:pPr>
        <w:pStyle w:val="6"/>
        <w:widowControl w:val="0"/>
        <w:shd w:val="clear" w:color="auto" w:fill="FFFFFF"/>
        <w:autoSpaceDE w:val="0"/>
        <w:spacing w:before="0" w:beforeAutospacing="0" w:after="0" w:afterAutospacing="0" w:line="600" w:lineRule="exact"/>
        <w:ind w:firstLine="643" w:firstLineChars="200"/>
        <w:jc w:val="both"/>
        <w:rPr>
          <w:rStyle w:val="16"/>
          <w:rFonts w:hint="eastAsia" w:eastAsia="方正楷体_GBK"/>
          <w:sz w:val="32"/>
          <w:szCs w:val="32"/>
          <w:shd w:val="clear" w:color="auto" w:fill="FFFFFF"/>
        </w:rPr>
      </w:pPr>
    </w:p>
    <w:p>
      <w:pPr>
        <w:pStyle w:val="6"/>
        <w:widowControl w:val="0"/>
        <w:shd w:val="clear" w:color="auto" w:fill="FFFFFF"/>
        <w:autoSpaceDE w:val="0"/>
        <w:spacing w:before="0" w:beforeAutospacing="0" w:after="0" w:afterAutospacing="0" w:line="600" w:lineRule="exact"/>
        <w:ind w:firstLine="643" w:firstLineChars="200"/>
        <w:jc w:val="both"/>
        <w:rPr>
          <w:rStyle w:val="16"/>
          <w:rFonts w:hint="eastAsia" w:eastAsia="方正楷体_GBK"/>
          <w:sz w:val="32"/>
          <w:szCs w:val="32"/>
          <w:shd w:val="clear" w:color="auto" w:fill="FFFFFF"/>
        </w:rPr>
      </w:pPr>
    </w:p>
    <w:p>
      <w:pPr>
        <w:pStyle w:val="6"/>
        <w:widowControl w:val="0"/>
        <w:shd w:val="clear" w:color="auto" w:fill="FFFFFF"/>
        <w:autoSpaceDE w:val="0"/>
        <w:spacing w:before="0" w:beforeAutospacing="0" w:after="0" w:afterAutospacing="0" w:line="600" w:lineRule="exact"/>
        <w:ind w:firstLine="643" w:firstLineChars="200"/>
        <w:jc w:val="both"/>
        <w:rPr>
          <w:rStyle w:val="16"/>
          <w:rFonts w:hint="eastAsia" w:eastAsia="方正楷体_GBK"/>
          <w:sz w:val="32"/>
          <w:szCs w:val="32"/>
          <w:shd w:val="clear" w:color="auto" w:fill="FFFFFF"/>
        </w:rPr>
      </w:pPr>
    </w:p>
    <w:p>
      <w:pPr>
        <w:pStyle w:val="6"/>
        <w:widowControl w:val="0"/>
        <w:shd w:val="clear" w:color="auto" w:fill="FFFFFF"/>
        <w:autoSpaceDE w:val="0"/>
        <w:spacing w:before="0" w:beforeAutospacing="0" w:after="0" w:afterAutospacing="0" w:line="600" w:lineRule="exact"/>
        <w:ind w:firstLine="643" w:firstLineChars="200"/>
        <w:jc w:val="both"/>
        <w:rPr>
          <w:rStyle w:val="16"/>
          <w:rFonts w:hint="eastAsia" w:eastAsia="方正楷体_GBK"/>
          <w:sz w:val="32"/>
          <w:szCs w:val="32"/>
          <w:shd w:val="clear" w:color="auto" w:fill="FFFFFF"/>
        </w:rPr>
      </w:pPr>
    </w:p>
    <w:p>
      <w:pPr>
        <w:pStyle w:val="6"/>
        <w:widowControl w:val="0"/>
        <w:shd w:val="clear" w:color="auto" w:fill="FFFFFF"/>
        <w:autoSpaceDE w:val="0"/>
        <w:spacing w:before="0" w:beforeAutospacing="0" w:after="0" w:afterAutospacing="0" w:line="600" w:lineRule="exact"/>
        <w:ind w:firstLine="643" w:firstLineChars="200"/>
        <w:jc w:val="both"/>
        <w:rPr>
          <w:rStyle w:val="16"/>
          <w:rFonts w:hint="eastAsia" w:eastAsia="方正楷体_GBK"/>
          <w:sz w:val="32"/>
          <w:szCs w:val="32"/>
          <w:shd w:val="clear" w:color="auto" w:fill="FFFFFF"/>
        </w:rPr>
      </w:pPr>
    </w:p>
    <w:p>
      <w:pPr>
        <w:pStyle w:val="6"/>
        <w:widowControl w:val="0"/>
        <w:shd w:val="clear" w:color="auto" w:fill="FFFFFF"/>
        <w:autoSpaceDE w:val="0"/>
        <w:spacing w:before="0" w:beforeAutospacing="0" w:after="0" w:afterAutospacing="0" w:line="600" w:lineRule="exact"/>
        <w:ind w:firstLine="643" w:firstLineChars="200"/>
        <w:jc w:val="both"/>
        <w:rPr>
          <w:rStyle w:val="16"/>
          <w:rFonts w:hint="eastAsia" w:eastAsia="方正楷体_GBK"/>
          <w:sz w:val="32"/>
          <w:szCs w:val="32"/>
          <w:shd w:val="clear" w:color="auto" w:fill="FFFFFF"/>
        </w:rPr>
      </w:pPr>
    </w:p>
    <w:p>
      <w:pPr>
        <w:pStyle w:val="6"/>
        <w:widowControl w:val="0"/>
        <w:shd w:val="clear" w:color="auto" w:fill="FFFFFF"/>
        <w:autoSpaceDE w:val="0"/>
        <w:spacing w:before="0" w:beforeAutospacing="0" w:after="0" w:afterAutospacing="0" w:line="600" w:lineRule="exact"/>
        <w:ind w:firstLine="643" w:firstLineChars="200"/>
        <w:jc w:val="both"/>
        <w:rPr>
          <w:rStyle w:val="16"/>
          <w:rFonts w:hint="eastAsia" w:eastAsia="方正楷体_GBK"/>
          <w:sz w:val="32"/>
          <w:szCs w:val="32"/>
          <w:shd w:val="clear" w:color="auto" w:fill="FFFFFF"/>
        </w:rPr>
      </w:pPr>
    </w:p>
    <w:p>
      <w:pPr>
        <w:pStyle w:val="6"/>
        <w:widowControl w:val="0"/>
        <w:shd w:val="clear" w:color="auto" w:fill="FFFFFF"/>
        <w:autoSpaceDE w:val="0"/>
        <w:spacing w:before="0" w:beforeAutospacing="0" w:after="0" w:afterAutospacing="0" w:line="600" w:lineRule="exact"/>
        <w:ind w:firstLine="643" w:firstLineChars="200"/>
        <w:jc w:val="both"/>
        <w:rPr>
          <w:rStyle w:val="16"/>
          <w:rFonts w:hint="eastAsia" w:eastAsia="方正楷体_GBK"/>
          <w:sz w:val="32"/>
          <w:szCs w:val="32"/>
          <w:shd w:val="clear" w:color="auto" w:fill="FFFFFF"/>
        </w:rPr>
      </w:pPr>
    </w:p>
    <w:p>
      <w:pPr>
        <w:pStyle w:val="6"/>
        <w:widowControl w:val="0"/>
        <w:shd w:val="clear" w:color="auto" w:fill="FFFFFF"/>
        <w:autoSpaceDE w:val="0"/>
        <w:spacing w:before="0" w:beforeAutospacing="0" w:after="0" w:afterAutospacing="0" w:line="600" w:lineRule="exact"/>
        <w:ind w:firstLine="643" w:firstLineChars="200"/>
        <w:jc w:val="both"/>
        <w:rPr>
          <w:rStyle w:val="16"/>
          <w:rFonts w:hint="eastAsia" w:eastAsia="方正楷体_GBK"/>
          <w:sz w:val="32"/>
          <w:szCs w:val="32"/>
          <w:shd w:val="clear" w:color="auto" w:fill="FFFFFF"/>
        </w:rPr>
      </w:pPr>
    </w:p>
    <w:p>
      <w:pPr>
        <w:pStyle w:val="6"/>
        <w:widowControl w:val="0"/>
        <w:shd w:val="clear" w:color="auto" w:fill="FFFFFF"/>
        <w:autoSpaceDE w:val="0"/>
        <w:spacing w:before="0" w:beforeAutospacing="0" w:after="0" w:afterAutospacing="0" w:line="600" w:lineRule="exact"/>
        <w:ind w:firstLine="643" w:firstLineChars="200"/>
        <w:jc w:val="both"/>
        <w:rPr>
          <w:rStyle w:val="16"/>
          <w:rFonts w:hint="eastAsia" w:eastAsia="方正楷体_GBK"/>
          <w:sz w:val="32"/>
          <w:szCs w:val="32"/>
          <w:shd w:val="clear" w:color="auto" w:fill="FFFFFF"/>
        </w:rPr>
      </w:pPr>
    </w:p>
    <w:p>
      <w:pPr>
        <w:pStyle w:val="6"/>
        <w:widowControl w:val="0"/>
        <w:shd w:val="clear" w:color="auto" w:fill="FFFFFF"/>
        <w:autoSpaceDE w:val="0"/>
        <w:spacing w:before="0" w:beforeAutospacing="0" w:after="0" w:afterAutospacing="0" w:line="600" w:lineRule="exact"/>
        <w:ind w:firstLine="643" w:firstLineChars="200"/>
        <w:jc w:val="both"/>
        <w:rPr>
          <w:rStyle w:val="16"/>
          <w:rFonts w:hint="eastAsia" w:eastAsia="方正楷体_GBK"/>
          <w:sz w:val="32"/>
          <w:szCs w:val="32"/>
          <w:shd w:val="clear" w:color="auto" w:fill="FFFFFF"/>
        </w:rPr>
      </w:pPr>
    </w:p>
    <w:p>
      <w:pPr>
        <w:pStyle w:val="6"/>
        <w:widowControl w:val="0"/>
        <w:shd w:val="clear" w:color="auto" w:fill="FFFFFF"/>
        <w:autoSpaceDE w:val="0"/>
        <w:spacing w:before="0" w:beforeAutospacing="0" w:after="0" w:afterAutospacing="0" w:line="600" w:lineRule="exact"/>
        <w:ind w:firstLine="313" w:firstLineChars="98"/>
        <w:jc w:val="both"/>
        <w:rPr>
          <w:rStyle w:val="16"/>
          <w:rFonts w:hint="eastAsia" w:ascii="方正楷体_GBK" w:eastAsia="方正楷体_GBK"/>
          <w:b w:val="0"/>
          <w:sz w:val="32"/>
          <w:szCs w:val="32"/>
          <w:shd w:val="clear" w:color="auto" w:fill="FFFFFF"/>
        </w:rPr>
      </w:pPr>
      <w:r>
        <w:rPr>
          <w:rStyle w:val="16"/>
          <w:rFonts w:hint="eastAsia" w:ascii="方正楷体_GBK" w:eastAsia="方正楷体_GBK"/>
          <w:b w:val="0"/>
          <w:sz w:val="32"/>
          <w:szCs w:val="32"/>
          <w:shd w:val="clear" w:color="auto" w:fill="FFFFFF"/>
        </w:rPr>
        <w:t>（三）公开内容。</w:t>
      </w:r>
    </w:p>
    <w:p>
      <w:pPr>
        <w:pStyle w:val="19"/>
        <w:autoSpaceDE w:val="0"/>
        <w:spacing w:line="580" w:lineRule="exact"/>
        <w:ind w:firstLine="720"/>
        <w:rPr>
          <w:rFonts w:eastAsia="方正小标宋_GBK"/>
          <w:kern w:val="0"/>
          <w:sz w:val="36"/>
          <w:szCs w:val="36"/>
        </w:rPr>
      </w:pPr>
      <w:r>
        <w:rPr>
          <w:rFonts w:eastAsia="方正小标宋_GBK"/>
          <w:kern w:val="0"/>
          <w:sz w:val="36"/>
          <w:szCs w:val="36"/>
        </w:rPr>
        <w:t xml:space="preserve"> </w:t>
      </w:r>
    </w:p>
    <w:p>
      <w:pPr>
        <w:pStyle w:val="19"/>
        <w:spacing w:line="600" w:lineRule="exact"/>
        <w:ind w:firstLine="2880" w:firstLineChars="800"/>
        <w:rPr>
          <w:rFonts w:eastAsia="方正仿宋_GBK"/>
          <w:kern w:val="0"/>
          <w:sz w:val="32"/>
          <w:szCs w:val="32"/>
        </w:rPr>
      </w:pPr>
      <w:r>
        <w:rPr>
          <w:rFonts w:eastAsia="方正小标宋_GBK"/>
          <w:kern w:val="0"/>
          <w:sz w:val="36"/>
          <w:szCs w:val="36"/>
        </w:rPr>
        <w:t>部门整体绩效自评表</w:t>
      </w:r>
    </w:p>
    <w:tbl>
      <w:tblPr>
        <w:tblStyle w:val="7"/>
        <w:tblW w:w="9993" w:type="dxa"/>
        <w:tblInd w:w="-318" w:type="dxa"/>
        <w:tblLayout w:type="fixed"/>
        <w:tblCellMar>
          <w:top w:w="0" w:type="dxa"/>
          <w:left w:w="108" w:type="dxa"/>
          <w:bottom w:w="0" w:type="dxa"/>
          <w:right w:w="108" w:type="dxa"/>
        </w:tblCellMar>
      </w:tblPr>
      <w:tblGrid>
        <w:gridCol w:w="953"/>
        <w:gridCol w:w="732"/>
        <w:gridCol w:w="347"/>
        <w:gridCol w:w="256"/>
        <w:gridCol w:w="102"/>
        <w:gridCol w:w="749"/>
        <w:gridCol w:w="706"/>
        <w:gridCol w:w="323"/>
        <w:gridCol w:w="522"/>
        <w:gridCol w:w="161"/>
        <w:gridCol w:w="458"/>
        <w:gridCol w:w="362"/>
        <w:gridCol w:w="851"/>
        <w:gridCol w:w="1209"/>
        <w:gridCol w:w="91"/>
        <w:gridCol w:w="968"/>
        <w:gridCol w:w="1203"/>
      </w:tblGrid>
      <w:tr>
        <w:tblPrEx>
          <w:tblCellMar>
            <w:top w:w="0" w:type="dxa"/>
            <w:left w:w="108" w:type="dxa"/>
            <w:bottom w:w="0" w:type="dxa"/>
            <w:right w:w="108" w:type="dxa"/>
          </w:tblCellMar>
        </w:tblPrEx>
        <w:trPr>
          <w:trHeight w:val="575" w:hRule="atLeast"/>
        </w:trPr>
        <w:tc>
          <w:tcPr>
            <w:tcW w:w="953" w:type="dxa"/>
            <w:vMerge w:val="restart"/>
            <w:tcBorders>
              <w:top w:val="single" w:color="auto"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eastAsia="方正仿宋_GBK"/>
                <w:color w:val="000000"/>
              </w:rPr>
              <w:t>主管</w:t>
            </w:r>
          </w:p>
          <w:p>
            <w:pPr>
              <w:spacing w:line="300" w:lineRule="exact"/>
              <w:jc w:val="center"/>
              <w:rPr>
                <w:rFonts w:hint="default" w:ascii="Times New Roman" w:hAnsi="Times New Roman" w:eastAsia="方正仿宋_GBK"/>
                <w:color w:val="000000"/>
              </w:rPr>
            </w:pPr>
            <w:r>
              <w:rPr>
                <w:rFonts w:hint="default" w:ascii="Times New Roman" w:eastAsia="方正仿宋_GBK"/>
                <w:color w:val="000000"/>
              </w:rPr>
              <w:t>部门</w:t>
            </w:r>
          </w:p>
        </w:tc>
        <w:tc>
          <w:tcPr>
            <w:tcW w:w="1335" w:type="dxa"/>
            <w:gridSpan w:val="3"/>
            <w:vMerge w:val="restart"/>
            <w:tcBorders>
              <w:top w:val="single" w:color="auto" w:sz="4" w:space="0"/>
              <w:left w:val="nil"/>
              <w:bottom w:val="single" w:color="000000"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eastAsia="方正仿宋_GBK"/>
                <w:color w:val="000000"/>
              </w:rPr>
              <w:t>中共城口县委政法委员会</w:t>
            </w:r>
          </w:p>
          <w:p>
            <w:pPr>
              <w:spacing w:line="300" w:lineRule="exact"/>
              <w:jc w:val="center"/>
              <w:rPr>
                <w:rFonts w:hint="default" w:ascii="Times New Roman" w:hAnsi="Times New Roman" w:eastAsia="方正仿宋_GBK"/>
                <w:color w:val="000000"/>
              </w:rPr>
            </w:pPr>
          </w:p>
        </w:tc>
        <w:tc>
          <w:tcPr>
            <w:tcW w:w="851" w:type="dxa"/>
            <w:gridSpan w:val="2"/>
            <w:vMerge w:val="restart"/>
            <w:tcBorders>
              <w:top w:val="single" w:color="auto" w:sz="4" w:space="0"/>
              <w:left w:val="nil"/>
              <w:bottom w:val="single" w:color="000000"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eastAsia="方正仿宋_GBK"/>
                <w:color w:val="000000"/>
              </w:rPr>
              <w:t>财政处室</w:t>
            </w:r>
          </w:p>
        </w:tc>
        <w:tc>
          <w:tcPr>
            <w:tcW w:w="1029" w:type="dxa"/>
            <w:gridSpan w:val="2"/>
            <w:vMerge w:val="restart"/>
            <w:tcBorders>
              <w:top w:val="single" w:color="auto" w:sz="4" w:space="0"/>
              <w:left w:val="nil"/>
              <w:bottom w:val="single" w:color="000000"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eastAsia="方正仿宋_GBK"/>
                <w:color w:val="000000"/>
              </w:rPr>
              <w:t>行政财务管理科</w:t>
            </w:r>
          </w:p>
        </w:tc>
        <w:tc>
          <w:tcPr>
            <w:tcW w:w="1141"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eastAsia="方正仿宋_GBK"/>
                <w:color w:val="000000"/>
              </w:rPr>
              <w:t>自评总分（分）</w:t>
            </w:r>
          </w:p>
        </w:tc>
        <w:tc>
          <w:tcPr>
            <w:tcW w:w="4684" w:type="dxa"/>
            <w:gridSpan w:val="6"/>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10分</w:t>
            </w:r>
          </w:p>
        </w:tc>
      </w:tr>
      <w:tr>
        <w:tblPrEx>
          <w:tblCellMar>
            <w:top w:w="0" w:type="dxa"/>
            <w:left w:w="108" w:type="dxa"/>
            <w:bottom w:w="0" w:type="dxa"/>
            <w:right w:w="108" w:type="dxa"/>
          </w:tblCellMar>
        </w:tblPrEx>
        <w:trPr>
          <w:trHeight w:val="585" w:hRule="atLeast"/>
        </w:trPr>
        <w:tc>
          <w:tcPr>
            <w:tcW w:w="953" w:type="dxa"/>
            <w:vMerge w:val="continue"/>
            <w:tcBorders>
              <w:top w:val="single" w:color="auto" w:sz="4" w:space="0"/>
              <w:left w:val="single" w:color="auto" w:sz="4" w:space="0"/>
              <w:bottom w:val="single" w:color="000000" w:sz="4" w:space="0"/>
              <w:right w:val="single" w:color="auto" w:sz="4" w:space="0"/>
            </w:tcBorders>
            <w:vAlign w:val="center"/>
          </w:tcPr>
          <w:p>
            <w:pPr>
              <w:rPr>
                <w:rFonts w:hint="default" w:ascii="Times New Roman" w:hAnsi="Times New Roman" w:eastAsia="方正仿宋_GBK"/>
                <w:color w:val="000000"/>
              </w:rPr>
            </w:pPr>
          </w:p>
        </w:tc>
        <w:tc>
          <w:tcPr>
            <w:tcW w:w="1335" w:type="dxa"/>
            <w:gridSpan w:val="3"/>
            <w:vMerge w:val="continue"/>
            <w:tcBorders>
              <w:top w:val="single" w:color="auto" w:sz="4" w:space="0"/>
              <w:left w:val="nil"/>
              <w:bottom w:val="single" w:color="000000" w:sz="4" w:space="0"/>
              <w:right w:val="single" w:color="000000" w:sz="4" w:space="0"/>
            </w:tcBorders>
            <w:vAlign w:val="center"/>
          </w:tcPr>
          <w:p>
            <w:pPr>
              <w:rPr>
                <w:rFonts w:hint="default" w:ascii="Times New Roman" w:hAnsi="Times New Roman" w:eastAsia="方正仿宋_GBK"/>
                <w:color w:val="000000"/>
              </w:rPr>
            </w:pPr>
          </w:p>
        </w:tc>
        <w:tc>
          <w:tcPr>
            <w:tcW w:w="851" w:type="dxa"/>
            <w:gridSpan w:val="2"/>
            <w:vMerge w:val="continue"/>
            <w:tcBorders>
              <w:top w:val="single" w:color="auto" w:sz="4" w:space="0"/>
              <w:left w:val="nil"/>
              <w:bottom w:val="single" w:color="000000" w:sz="4" w:space="0"/>
              <w:right w:val="single" w:color="auto" w:sz="4" w:space="0"/>
            </w:tcBorders>
            <w:vAlign w:val="center"/>
          </w:tcPr>
          <w:p>
            <w:pPr>
              <w:rPr>
                <w:rFonts w:hint="default" w:ascii="Times New Roman" w:hAnsi="Times New Roman" w:eastAsia="方正仿宋_GBK"/>
                <w:color w:val="000000"/>
              </w:rPr>
            </w:pPr>
          </w:p>
        </w:tc>
        <w:tc>
          <w:tcPr>
            <w:tcW w:w="1029" w:type="dxa"/>
            <w:gridSpan w:val="2"/>
            <w:vMerge w:val="continue"/>
            <w:tcBorders>
              <w:top w:val="single" w:color="auto" w:sz="4" w:space="0"/>
              <w:left w:val="nil"/>
              <w:bottom w:val="single" w:color="000000" w:sz="4" w:space="0"/>
              <w:right w:val="single" w:color="000000" w:sz="4" w:space="0"/>
            </w:tcBorders>
            <w:vAlign w:val="center"/>
          </w:tcPr>
          <w:p>
            <w:pPr>
              <w:rPr>
                <w:rFonts w:hint="default" w:ascii="Times New Roman" w:hAnsi="Times New Roman" w:eastAsia="方正仿宋_GBK"/>
                <w:color w:val="000000"/>
              </w:rPr>
            </w:pPr>
          </w:p>
        </w:tc>
        <w:tc>
          <w:tcPr>
            <w:tcW w:w="1141" w:type="dxa"/>
            <w:gridSpan w:val="3"/>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eastAsia="方正仿宋_GBK"/>
                <w:color w:val="000000"/>
              </w:rPr>
              <w:t>部门</w:t>
            </w:r>
          </w:p>
          <w:p>
            <w:pPr>
              <w:spacing w:line="300" w:lineRule="exact"/>
              <w:jc w:val="center"/>
              <w:rPr>
                <w:rFonts w:hint="default" w:ascii="Times New Roman" w:hAnsi="Times New Roman" w:eastAsia="方正仿宋_GBK"/>
                <w:color w:val="000000"/>
              </w:rPr>
            </w:pPr>
            <w:r>
              <w:rPr>
                <w:rFonts w:hint="default" w:ascii="Times New Roman" w:eastAsia="方正仿宋_GBK"/>
                <w:color w:val="000000"/>
              </w:rPr>
              <w:t>联系人</w:t>
            </w:r>
          </w:p>
        </w:tc>
        <w:tc>
          <w:tcPr>
            <w:tcW w:w="1213"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eastAsia="方正仿宋_GBK"/>
                <w:color w:val="000000"/>
              </w:rPr>
              <w:t>谢素娟</w:t>
            </w:r>
          </w:p>
        </w:tc>
        <w:tc>
          <w:tcPr>
            <w:tcW w:w="1209"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eastAsia="方正仿宋_GBK"/>
                <w:color w:val="000000"/>
              </w:rPr>
              <w:t>联系电话</w:t>
            </w:r>
          </w:p>
        </w:tc>
        <w:tc>
          <w:tcPr>
            <w:tcW w:w="2262" w:type="dxa"/>
            <w:gridSpan w:val="3"/>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59221566</w:t>
            </w:r>
          </w:p>
        </w:tc>
      </w:tr>
      <w:tr>
        <w:tblPrEx>
          <w:tblCellMar>
            <w:top w:w="0" w:type="dxa"/>
            <w:left w:w="108" w:type="dxa"/>
            <w:bottom w:w="0" w:type="dxa"/>
            <w:right w:w="108" w:type="dxa"/>
          </w:tblCellMar>
        </w:tblPrEx>
        <w:trPr>
          <w:trHeight w:val="575" w:hRule="atLeast"/>
        </w:trPr>
        <w:tc>
          <w:tcPr>
            <w:tcW w:w="953" w:type="dxa"/>
            <w:vMerge w:val="restart"/>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r>
              <w:rPr>
                <w:rFonts w:hint="default" w:ascii="Times New Roman" w:eastAsia="方正仿宋_GBK"/>
                <w:color w:val="000000"/>
              </w:rPr>
              <w:t>部门预算执行情况</w:t>
            </w:r>
          </w:p>
        </w:tc>
        <w:tc>
          <w:tcPr>
            <w:tcW w:w="1079" w:type="dxa"/>
            <w:gridSpan w:val="2"/>
            <w:vMerge w:val="restart"/>
            <w:tcBorders>
              <w:top w:val="nil"/>
              <w:left w:val="nil"/>
              <w:bottom w:val="nil"/>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eastAsia="方正仿宋_GBK"/>
                <w:color w:val="000000"/>
              </w:rPr>
              <w:t>预算</w:t>
            </w:r>
          </w:p>
          <w:p>
            <w:pPr>
              <w:spacing w:line="300" w:lineRule="exact"/>
              <w:jc w:val="center"/>
              <w:rPr>
                <w:rFonts w:hint="default" w:ascii="Times New Roman" w:hAnsi="Times New Roman" w:eastAsia="方正仿宋_GBK"/>
                <w:color w:val="000000"/>
              </w:rPr>
            </w:pPr>
            <w:r>
              <w:rPr>
                <w:rFonts w:hint="default" w:ascii="Times New Roman" w:eastAsia="方正仿宋_GBK"/>
                <w:color w:val="000000"/>
              </w:rPr>
              <w:t>资金</w:t>
            </w:r>
          </w:p>
          <w:p>
            <w:pPr>
              <w:widowControl w:val="0"/>
              <w:spacing w:line="300" w:lineRule="exact"/>
              <w:jc w:val="center"/>
              <w:rPr>
                <w:rFonts w:hint="default" w:ascii="Times New Roman" w:hAnsi="Times New Roman" w:eastAsia="方正仿宋_GBK"/>
                <w:color w:val="000000"/>
              </w:rPr>
            </w:pPr>
            <w:r>
              <w:rPr>
                <w:rFonts w:hint="default" w:ascii="Times New Roman" w:eastAsia="方正仿宋_GBK"/>
                <w:color w:val="000000"/>
              </w:rPr>
              <w:t>（万元）</w:t>
            </w:r>
          </w:p>
        </w:tc>
        <w:tc>
          <w:tcPr>
            <w:tcW w:w="1107" w:type="dxa"/>
            <w:gridSpan w:val="3"/>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eastAsia="方正仿宋_GBK"/>
                <w:color w:val="000000"/>
              </w:rPr>
              <w:t>年初</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预算数</w:t>
            </w:r>
          </w:p>
        </w:tc>
        <w:tc>
          <w:tcPr>
            <w:tcW w:w="1712"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全年（调整）</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预算数</w:t>
            </w:r>
          </w:p>
        </w:tc>
        <w:tc>
          <w:tcPr>
            <w:tcW w:w="1671"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全年执行数</w:t>
            </w:r>
          </w:p>
        </w:tc>
        <w:tc>
          <w:tcPr>
            <w:tcW w:w="1209"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执行率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w:t>
            </w:r>
          </w:p>
        </w:tc>
        <w:tc>
          <w:tcPr>
            <w:tcW w:w="1059"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执行率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权重</w:t>
            </w:r>
          </w:p>
        </w:tc>
        <w:tc>
          <w:tcPr>
            <w:tcW w:w="1203"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执行率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得分</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（分）</w:t>
            </w:r>
          </w:p>
        </w:tc>
      </w:tr>
      <w:tr>
        <w:tblPrEx>
          <w:tblCellMar>
            <w:top w:w="0" w:type="dxa"/>
            <w:left w:w="108" w:type="dxa"/>
            <w:bottom w:w="0" w:type="dxa"/>
            <w:right w:w="108" w:type="dxa"/>
          </w:tblCellMar>
        </w:tblPrEx>
        <w:trPr>
          <w:trHeight w:val="575" w:hRule="atLeast"/>
        </w:trPr>
        <w:tc>
          <w:tcPr>
            <w:tcW w:w="953"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1079" w:type="dxa"/>
            <w:gridSpan w:val="2"/>
            <w:vMerge w:val="continue"/>
            <w:tcBorders>
              <w:top w:val="nil"/>
              <w:left w:val="nil"/>
              <w:bottom w:val="nil"/>
              <w:right w:val="nil"/>
            </w:tcBorders>
            <w:vAlign w:val="center"/>
          </w:tcPr>
          <w:p>
            <w:pPr>
              <w:rPr>
                <w:rFonts w:hint="default" w:ascii="Times New Roman" w:hAnsi="Times New Roman" w:eastAsia="方正仿宋_GBK"/>
                <w:color w:val="000000"/>
              </w:rPr>
            </w:pPr>
          </w:p>
        </w:tc>
        <w:tc>
          <w:tcPr>
            <w:tcW w:w="1107" w:type="dxa"/>
            <w:gridSpan w:val="3"/>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571.01</w:t>
            </w:r>
          </w:p>
        </w:tc>
        <w:tc>
          <w:tcPr>
            <w:tcW w:w="1712"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571.01</w:t>
            </w:r>
          </w:p>
        </w:tc>
        <w:tc>
          <w:tcPr>
            <w:tcW w:w="1671"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571.01</w:t>
            </w:r>
          </w:p>
        </w:tc>
        <w:tc>
          <w:tcPr>
            <w:tcW w:w="1209"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1059"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1203"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r>
      <w:tr>
        <w:tblPrEx>
          <w:tblCellMar>
            <w:top w:w="0" w:type="dxa"/>
            <w:left w:w="108" w:type="dxa"/>
            <w:bottom w:w="0" w:type="dxa"/>
            <w:right w:w="108" w:type="dxa"/>
          </w:tblCellMar>
        </w:tblPrEx>
        <w:trPr>
          <w:trHeight w:val="3427" w:hRule="atLeast"/>
        </w:trPr>
        <w:tc>
          <w:tcPr>
            <w:tcW w:w="953" w:type="dxa"/>
            <w:vMerge w:val="restart"/>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当年绩效目标</w:t>
            </w:r>
          </w:p>
        </w:tc>
        <w:tc>
          <w:tcPr>
            <w:tcW w:w="2186" w:type="dxa"/>
            <w:gridSpan w:val="5"/>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年初绩效目标</w:t>
            </w:r>
          </w:p>
        </w:tc>
        <w:tc>
          <w:tcPr>
            <w:tcW w:w="3383" w:type="dxa"/>
            <w:gridSpan w:val="7"/>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全年（调整）绩效目标</w:t>
            </w:r>
          </w:p>
        </w:tc>
        <w:tc>
          <w:tcPr>
            <w:tcW w:w="3471"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全年目标实际完成情况</w:t>
            </w:r>
          </w:p>
        </w:tc>
      </w:tr>
      <w:tr>
        <w:tblPrEx>
          <w:tblCellMar>
            <w:top w:w="0" w:type="dxa"/>
            <w:left w:w="108" w:type="dxa"/>
            <w:bottom w:w="0" w:type="dxa"/>
            <w:right w:w="108" w:type="dxa"/>
          </w:tblCellMar>
        </w:tblPrEx>
        <w:trPr>
          <w:trHeight w:val="2893" w:hRule="atLeast"/>
        </w:trPr>
        <w:tc>
          <w:tcPr>
            <w:tcW w:w="953"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2186" w:type="dxa"/>
            <w:gridSpan w:val="5"/>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全面完成了我县平安建设暨防范化解重大风险攻坚战、基层社会治理、防范和处理邪教等各项重点工作任务。</w:t>
            </w:r>
          </w:p>
        </w:tc>
        <w:tc>
          <w:tcPr>
            <w:tcW w:w="3383" w:type="dxa"/>
            <w:gridSpan w:val="7"/>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推进基层社会治理各项工作。</w:t>
            </w:r>
          </w:p>
        </w:tc>
        <w:tc>
          <w:tcPr>
            <w:tcW w:w="3471"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全面完成了我县平安建设暨防范化解重大风险攻坚战、基层社会治理、防范和处理邪教等各项重点工作任务。</w:t>
            </w:r>
          </w:p>
        </w:tc>
      </w:tr>
      <w:tr>
        <w:tblPrEx>
          <w:tblCellMar>
            <w:top w:w="0" w:type="dxa"/>
            <w:left w:w="108" w:type="dxa"/>
            <w:bottom w:w="0" w:type="dxa"/>
            <w:right w:w="108" w:type="dxa"/>
          </w:tblCellMar>
        </w:tblPrEx>
        <w:trPr>
          <w:trHeight w:val="575" w:hRule="atLeast"/>
        </w:trPr>
        <w:tc>
          <w:tcPr>
            <w:tcW w:w="953" w:type="dxa"/>
            <w:vMerge w:val="restart"/>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绩效指标</w:t>
            </w:r>
          </w:p>
        </w:tc>
        <w:tc>
          <w:tcPr>
            <w:tcW w:w="732" w:type="dxa"/>
            <w:tcBorders>
              <w:top w:val="nil"/>
              <w:left w:val="nil"/>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名称</w:t>
            </w:r>
          </w:p>
        </w:tc>
        <w:tc>
          <w:tcPr>
            <w:tcW w:w="705" w:type="dxa"/>
            <w:gridSpan w:val="3"/>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计量</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单位</w:t>
            </w:r>
          </w:p>
        </w:tc>
        <w:tc>
          <w:tcPr>
            <w:tcW w:w="749"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性质</w:t>
            </w:r>
          </w:p>
        </w:tc>
        <w:tc>
          <w:tcPr>
            <w:tcW w:w="70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年初</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值</w:t>
            </w:r>
          </w:p>
        </w:tc>
        <w:tc>
          <w:tcPr>
            <w:tcW w:w="845"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调整</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值</w:t>
            </w:r>
          </w:p>
        </w:tc>
        <w:tc>
          <w:tcPr>
            <w:tcW w:w="981" w:type="dxa"/>
            <w:gridSpan w:val="3"/>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完成</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值</w:t>
            </w:r>
          </w:p>
        </w:tc>
        <w:tc>
          <w:tcPr>
            <w:tcW w:w="851"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得分</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系数</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w:t>
            </w:r>
          </w:p>
        </w:tc>
        <w:tc>
          <w:tcPr>
            <w:tcW w:w="130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指标权重</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（分）</w:t>
            </w:r>
          </w:p>
        </w:tc>
        <w:tc>
          <w:tcPr>
            <w:tcW w:w="968"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得分</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（分）</w:t>
            </w:r>
          </w:p>
        </w:tc>
        <w:tc>
          <w:tcPr>
            <w:tcW w:w="1203"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是否核心</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tc>
      </w:tr>
      <w:tr>
        <w:tblPrEx>
          <w:tblCellMar>
            <w:top w:w="0" w:type="dxa"/>
            <w:left w:w="108" w:type="dxa"/>
            <w:bottom w:w="0" w:type="dxa"/>
            <w:right w:w="108" w:type="dxa"/>
          </w:tblCellMar>
        </w:tblPrEx>
        <w:trPr>
          <w:trHeight w:val="500" w:hRule="atLeast"/>
        </w:trPr>
        <w:tc>
          <w:tcPr>
            <w:tcW w:w="953"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732" w:type="dxa"/>
            <w:tcBorders>
              <w:top w:val="nil"/>
              <w:left w:val="nil"/>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行政运行</w:t>
            </w:r>
          </w:p>
        </w:tc>
        <w:tc>
          <w:tcPr>
            <w:tcW w:w="705" w:type="dxa"/>
            <w:gridSpan w:val="3"/>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年</w:t>
            </w:r>
          </w:p>
        </w:tc>
        <w:tc>
          <w:tcPr>
            <w:tcW w:w="749"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p>
        </w:tc>
        <w:tc>
          <w:tcPr>
            <w:tcW w:w="706"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571.01</w:t>
            </w:r>
          </w:p>
        </w:tc>
        <w:tc>
          <w:tcPr>
            <w:tcW w:w="845" w:type="dxa"/>
            <w:gridSpan w:val="2"/>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0</w:t>
            </w:r>
          </w:p>
        </w:tc>
        <w:tc>
          <w:tcPr>
            <w:tcW w:w="981" w:type="dxa"/>
            <w:gridSpan w:val="3"/>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571.01</w:t>
            </w:r>
          </w:p>
        </w:tc>
        <w:tc>
          <w:tcPr>
            <w:tcW w:w="851"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1300" w:type="dxa"/>
            <w:gridSpan w:val="2"/>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968"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1203"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是</w:t>
            </w:r>
          </w:p>
        </w:tc>
      </w:tr>
      <w:tr>
        <w:tblPrEx>
          <w:tblCellMar>
            <w:top w:w="0" w:type="dxa"/>
            <w:left w:w="108" w:type="dxa"/>
            <w:bottom w:w="0" w:type="dxa"/>
            <w:right w:w="108" w:type="dxa"/>
          </w:tblCellMar>
        </w:tblPrEx>
        <w:trPr>
          <w:trHeight w:val="1030" w:hRule="atLeast"/>
        </w:trPr>
        <w:tc>
          <w:tcPr>
            <w:tcW w:w="953"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说明</w:t>
            </w:r>
          </w:p>
        </w:tc>
        <w:tc>
          <w:tcPr>
            <w:tcW w:w="9040" w:type="dxa"/>
            <w:gridSpan w:val="16"/>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p>
        </w:tc>
      </w:tr>
    </w:tbl>
    <w:p>
      <w:pPr>
        <w:spacing w:line="600" w:lineRule="exact"/>
        <w:ind w:firstLine="2340" w:firstLineChars="650"/>
        <w:rPr>
          <w:rFonts w:hint="default" w:eastAsia="方正小标宋_GBK"/>
          <w:color w:val="000000"/>
          <w:sz w:val="36"/>
          <w:szCs w:val="36"/>
        </w:rPr>
      </w:pPr>
    </w:p>
    <w:p>
      <w:pPr>
        <w:spacing w:line="600" w:lineRule="exact"/>
        <w:ind w:firstLine="2340" w:firstLineChars="650"/>
        <w:rPr>
          <w:rFonts w:hint="default" w:eastAsia="方正小标宋_GBK"/>
          <w:color w:val="000000"/>
          <w:sz w:val="36"/>
          <w:szCs w:val="36"/>
        </w:rPr>
      </w:pPr>
      <w:r>
        <w:rPr>
          <w:rFonts w:eastAsia="方正小标宋_GBK"/>
          <w:color w:val="000000"/>
          <w:sz w:val="36"/>
          <w:szCs w:val="36"/>
        </w:rPr>
        <w:t>二</w:t>
      </w:r>
      <w:r>
        <w:rPr>
          <w:rFonts w:hint="default" w:eastAsia="方正小标宋_GBK"/>
          <w:color w:val="000000"/>
          <w:sz w:val="36"/>
          <w:szCs w:val="36"/>
        </w:rPr>
        <w:t>级项目绩效自评表</w:t>
      </w:r>
    </w:p>
    <w:tbl>
      <w:tblPr>
        <w:tblStyle w:val="7"/>
        <w:tblW w:w="10079" w:type="dxa"/>
        <w:jc w:val="center"/>
        <w:tblLayout w:type="fixed"/>
        <w:tblCellMar>
          <w:top w:w="0" w:type="dxa"/>
          <w:left w:w="108" w:type="dxa"/>
          <w:bottom w:w="0" w:type="dxa"/>
          <w:right w:w="108" w:type="dxa"/>
        </w:tblCellMar>
      </w:tblPr>
      <w:tblGrid>
        <w:gridCol w:w="692"/>
        <w:gridCol w:w="751"/>
        <w:gridCol w:w="537"/>
        <w:gridCol w:w="166"/>
        <w:gridCol w:w="249"/>
        <w:gridCol w:w="455"/>
        <w:gridCol w:w="141"/>
        <w:gridCol w:w="222"/>
        <w:gridCol w:w="340"/>
        <w:gridCol w:w="699"/>
        <w:gridCol w:w="1004"/>
        <w:gridCol w:w="1091"/>
        <w:gridCol w:w="936"/>
        <w:gridCol w:w="414"/>
        <w:gridCol w:w="986"/>
        <w:gridCol w:w="1396"/>
      </w:tblGrid>
      <w:tr>
        <w:trPr>
          <w:trHeight w:val="479"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项目</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名称</w:t>
            </w:r>
          </w:p>
        </w:tc>
        <w:tc>
          <w:tcPr>
            <w:tcW w:w="1703"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防范化解重大风险专项工作</w:t>
            </w:r>
          </w:p>
        </w:tc>
        <w:tc>
          <w:tcPr>
            <w:tcW w:w="818"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项目</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编码</w:t>
            </w:r>
          </w:p>
        </w:tc>
        <w:tc>
          <w:tcPr>
            <w:tcW w:w="1039" w:type="dxa"/>
            <w:gridSpan w:val="2"/>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0001</w:t>
            </w:r>
          </w:p>
        </w:tc>
        <w:tc>
          <w:tcPr>
            <w:tcW w:w="1004"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自评</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总分</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（分）</w:t>
            </w:r>
          </w:p>
        </w:tc>
        <w:tc>
          <w:tcPr>
            <w:tcW w:w="4823" w:type="dxa"/>
            <w:gridSpan w:val="5"/>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10分</w:t>
            </w:r>
          </w:p>
        </w:tc>
      </w:tr>
      <w:tr>
        <w:tblPrEx>
          <w:tblCellMar>
            <w:top w:w="0" w:type="dxa"/>
            <w:left w:w="108" w:type="dxa"/>
            <w:bottom w:w="0" w:type="dxa"/>
            <w:right w:w="108" w:type="dxa"/>
          </w:tblCellMar>
        </w:tblPrEx>
        <w:trPr>
          <w:trHeight w:val="479" w:hRule="atLeast"/>
          <w:jc w:val="center"/>
        </w:trPr>
        <w:tc>
          <w:tcPr>
            <w:tcW w:w="692"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主管</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部门</w:t>
            </w:r>
          </w:p>
        </w:tc>
        <w:tc>
          <w:tcPr>
            <w:tcW w:w="1703"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中共城口县委政法委员会</w:t>
            </w:r>
          </w:p>
        </w:tc>
        <w:tc>
          <w:tcPr>
            <w:tcW w:w="818" w:type="dxa"/>
            <w:gridSpan w:val="3"/>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财政</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处室</w:t>
            </w:r>
          </w:p>
        </w:tc>
        <w:tc>
          <w:tcPr>
            <w:tcW w:w="1039" w:type="dxa"/>
            <w:gridSpan w:val="2"/>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行政财务管理科</w:t>
            </w:r>
          </w:p>
        </w:tc>
        <w:tc>
          <w:tcPr>
            <w:tcW w:w="1004"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项目</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联系人</w:t>
            </w:r>
          </w:p>
        </w:tc>
        <w:tc>
          <w:tcPr>
            <w:tcW w:w="1091"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谢素娟</w:t>
            </w: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联系电话</w:t>
            </w:r>
          </w:p>
        </w:tc>
        <w:tc>
          <w:tcPr>
            <w:tcW w:w="2382" w:type="dxa"/>
            <w:gridSpan w:val="2"/>
            <w:tcBorders>
              <w:top w:val="single" w:color="auto" w:sz="4" w:space="0"/>
              <w:left w:val="nil"/>
              <w:bottom w:val="single" w:color="auto" w:sz="4" w:space="0"/>
              <w:right w:val="single" w:color="000000" w:sz="4" w:space="0"/>
            </w:tcBorders>
            <w:vAlign w:val="center"/>
          </w:tcPr>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59221566</w:t>
            </w:r>
          </w:p>
        </w:tc>
      </w:tr>
      <w:tr>
        <w:tblPrEx>
          <w:tblCellMar>
            <w:top w:w="0" w:type="dxa"/>
            <w:left w:w="108" w:type="dxa"/>
            <w:bottom w:w="0" w:type="dxa"/>
            <w:right w:w="108" w:type="dxa"/>
          </w:tblCellMar>
        </w:tblPrEx>
        <w:trPr>
          <w:trHeight w:val="479" w:hRule="atLeast"/>
          <w:jc w:val="center"/>
        </w:trPr>
        <w:tc>
          <w:tcPr>
            <w:tcW w:w="692" w:type="dxa"/>
            <w:vMerge w:val="restart"/>
            <w:tcBorders>
              <w:top w:val="nil"/>
              <w:left w:val="single" w:color="auto" w:sz="4" w:space="0"/>
              <w:bottom w:val="single" w:color="auto" w:sz="4" w:space="0"/>
              <w:right w:val="single" w:color="auto" w:sz="4" w:space="0"/>
            </w:tcBorders>
            <w:vAlign w:val="center"/>
          </w:tcPr>
          <w:p>
            <w:pPr>
              <w:spacing w:line="300" w:lineRule="exact"/>
              <w:ind w:left="113" w:right="113"/>
              <w:jc w:val="center"/>
              <w:rPr>
                <w:rFonts w:hint="default" w:ascii="Times New Roman" w:hAnsi="Times New Roman" w:eastAsia="方正仿宋_GBK"/>
                <w:color w:val="000000"/>
              </w:rPr>
            </w:pPr>
            <w:r>
              <w:rPr>
                <w:rFonts w:hint="default" w:ascii="Times New Roman" w:hAnsi="Times New Roman" w:eastAsia="方正仿宋_GBK"/>
                <w:color w:val="000000"/>
              </w:rPr>
              <w:t>项目资金（万元）</w:t>
            </w:r>
          </w:p>
        </w:tc>
        <w:tc>
          <w:tcPr>
            <w:tcW w:w="1288" w:type="dxa"/>
            <w:gridSpan w:val="2"/>
            <w:vMerge w:val="restart"/>
            <w:tcBorders>
              <w:top w:val="nil"/>
              <w:left w:val="nil"/>
              <w:bottom w:val="nil"/>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年度</w:t>
            </w:r>
          </w:p>
          <w:p>
            <w:pPr>
              <w:widowControl w:val="0"/>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总金额</w:t>
            </w:r>
          </w:p>
        </w:tc>
        <w:tc>
          <w:tcPr>
            <w:tcW w:w="1011"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年初</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预算数</w:t>
            </w:r>
          </w:p>
        </w:tc>
        <w:tc>
          <w:tcPr>
            <w:tcW w:w="1261"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（调整）预算数</w:t>
            </w:r>
          </w:p>
        </w:tc>
        <w:tc>
          <w:tcPr>
            <w:tcW w:w="209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全年执行数</w:t>
            </w: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执行率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w:t>
            </w:r>
          </w:p>
        </w:tc>
        <w:tc>
          <w:tcPr>
            <w:tcW w:w="98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执行率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权重</w:t>
            </w: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执行率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得分</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（分）</w:t>
            </w:r>
          </w:p>
        </w:tc>
      </w:tr>
      <w:tr>
        <w:tblPrEx>
          <w:tblCellMar>
            <w:top w:w="0" w:type="dxa"/>
            <w:left w:w="108" w:type="dxa"/>
            <w:bottom w:w="0" w:type="dxa"/>
            <w:right w:w="108" w:type="dxa"/>
          </w:tblCellMar>
        </w:tblPrEx>
        <w:trPr>
          <w:trHeight w:val="479"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600" w:type="dxa"/>
            <w:gridSpan w:val="2"/>
            <w:vMerge w:val="continue"/>
            <w:tcBorders>
              <w:top w:val="nil"/>
              <w:left w:val="nil"/>
              <w:bottom w:val="nil"/>
              <w:right w:val="nil"/>
            </w:tcBorders>
            <w:vAlign w:val="center"/>
          </w:tcPr>
          <w:p>
            <w:pPr>
              <w:rPr>
                <w:rFonts w:hint="default" w:ascii="Times New Roman" w:hAnsi="Times New Roman" w:eastAsia="方正仿宋_GBK"/>
                <w:color w:val="000000"/>
              </w:rPr>
            </w:pPr>
          </w:p>
        </w:tc>
        <w:tc>
          <w:tcPr>
            <w:tcW w:w="1011"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15</w:t>
            </w:r>
          </w:p>
        </w:tc>
        <w:tc>
          <w:tcPr>
            <w:tcW w:w="1261"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0</w:t>
            </w:r>
          </w:p>
        </w:tc>
        <w:tc>
          <w:tcPr>
            <w:tcW w:w="209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15</w:t>
            </w: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98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rPr>
            </w:pPr>
            <w:r>
              <w:rPr>
                <w:rFonts w:hint="default" w:ascii="Times New Roman" w:hAnsi="Times New Roman" w:eastAsia="方正仿宋_GBK"/>
              </w:rPr>
              <w:t>100</w:t>
            </w: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r>
      <w:tr>
        <w:tblPrEx>
          <w:tblCellMar>
            <w:top w:w="0" w:type="dxa"/>
            <w:left w:w="108" w:type="dxa"/>
            <w:bottom w:w="0" w:type="dxa"/>
            <w:right w:w="108" w:type="dxa"/>
          </w:tblCellMar>
        </w:tblPrEx>
        <w:trPr>
          <w:trHeight w:val="479"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1288" w:type="dxa"/>
            <w:gridSpan w:val="2"/>
            <w:tcBorders>
              <w:top w:val="nil"/>
              <w:left w:val="nil"/>
              <w:bottom w:val="single" w:color="auto" w:sz="4" w:space="0"/>
              <w:right w:val="nil"/>
            </w:tcBorders>
            <w:vAlign w:val="center"/>
          </w:tcPr>
          <w:p>
            <w:pPr>
              <w:spacing w:line="300" w:lineRule="exact"/>
              <w:rPr>
                <w:rFonts w:hint="default" w:ascii="Times New Roman" w:hAnsi="Times New Roman" w:eastAsia="方正仿宋_GBK"/>
                <w:color w:val="000000"/>
              </w:rPr>
            </w:pPr>
            <w:r>
              <w:rPr>
                <w:rFonts w:hint="default" w:ascii="Times New Roman" w:hAnsi="Times New Roman" w:eastAsia="方正仿宋_GBK"/>
                <w:color w:val="000000"/>
              </w:rPr>
              <w:t>其中：</w:t>
            </w:r>
          </w:p>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县级支出</w:t>
            </w:r>
          </w:p>
        </w:tc>
        <w:tc>
          <w:tcPr>
            <w:tcW w:w="1011"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15</w:t>
            </w:r>
          </w:p>
        </w:tc>
        <w:tc>
          <w:tcPr>
            <w:tcW w:w="1261"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0</w:t>
            </w:r>
          </w:p>
        </w:tc>
        <w:tc>
          <w:tcPr>
            <w:tcW w:w="209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15</w:t>
            </w: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98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r>
      <w:tr>
        <w:tblPrEx>
          <w:tblCellMar>
            <w:top w:w="0" w:type="dxa"/>
            <w:left w:w="108" w:type="dxa"/>
            <w:bottom w:w="0" w:type="dxa"/>
            <w:right w:w="108" w:type="dxa"/>
          </w:tblCellMar>
        </w:tblPrEx>
        <w:trPr>
          <w:trHeight w:val="479"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1288" w:type="dxa"/>
            <w:gridSpan w:val="2"/>
            <w:tcBorders>
              <w:top w:val="nil"/>
              <w:left w:val="nil"/>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补助区县</w:t>
            </w:r>
          </w:p>
        </w:tc>
        <w:tc>
          <w:tcPr>
            <w:tcW w:w="1011"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p>
        </w:tc>
        <w:tc>
          <w:tcPr>
            <w:tcW w:w="1261"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209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98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r>
      <w:tr>
        <w:tblPrEx>
          <w:tblCellMar>
            <w:top w:w="0" w:type="dxa"/>
            <w:left w:w="108" w:type="dxa"/>
            <w:bottom w:w="0" w:type="dxa"/>
            <w:right w:w="108" w:type="dxa"/>
          </w:tblCellMar>
        </w:tblPrEx>
        <w:trPr>
          <w:trHeight w:val="479" w:hRule="atLeast"/>
          <w:jc w:val="center"/>
        </w:trPr>
        <w:tc>
          <w:tcPr>
            <w:tcW w:w="692" w:type="dxa"/>
            <w:vMerge w:val="restart"/>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当年绩效目标</w:t>
            </w:r>
          </w:p>
        </w:tc>
        <w:tc>
          <w:tcPr>
            <w:tcW w:w="2521" w:type="dxa"/>
            <w:gridSpan w:val="7"/>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年初绩效目标</w:t>
            </w:r>
          </w:p>
        </w:tc>
        <w:tc>
          <w:tcPr>
            <w:tcW w:w="3134"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全年（调整）绩效目标</w:t>
            </w:r>
          </w:p>
        </w:tc>
        <w:tc>
          <w:tcPr>
            <w:tcW w:w="3732"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全年目标实际完成情况</w:t>
            </w:r>
          </w:p>
        </w:tc>
      </w:tr>
      <w:tr>
        <w:tblPrEx>
          <w:tblCellMar>
            <w:top w:w="0" w:type="dxa"/>
            <w:left w:w="108" w:type="dxa"/>
            <w:bottom w:w="0" w:type="dxa"/>
            <w:right w:w="108" w:type="dxa"/>
          </w:tblCellMar>
        </w:tblPrEx>
        <w:trPr>
          <w:trHeight w:val="1078"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2521" w:type="dxa"/>
            <w:gridSpan w:val="7"/>
            <w:tcBorders>
              <w:top w:val="single" w:color="auto" w:sz="4" w:space="0"/>
              <w:left w:val="nil"/>
              <w:bottom w:val="single" w:color="auto" w:sz="4" w:space="0"/>
              <w:right w:val="single" w:color="000000" w:sz="4" w:space="0"/>
            </w:tcBorders>
            <w:vAlign w:val="center"/>
          </w:tcPr>
          <w:p>
            <w:pPr>
              <w:spacing w:line="300" w:lineRule="exact"/>
              <w:ind w:firstLine="480" w:firstLineChars="200"/>
              <w:rPr>
                <w:rFonts w:hint="default" w:ascii="Times New Roman" w:hAnsi="Times New Roman" w:eastAsia="方正仿宋_GBK"/>
                <w:color w:val="000000"/>
              </w:rPr>
            </w:pPr>
            <w:r>
              <w:rPr>
                <w:rFonts w:hint="default" w:ascii="Times New Roman" w:hAnsi="Times New Roman" w:eastAsia="方正仿宋_GBK"/>
                <w:color w:val="000000"/>
              </w:rPr>
              <w:t>完成我县平安建设暨防范化解重大风险攻坚战各项工作。</w:t>
            </w:r>
          </w:p>
        </w:tc>
        <w:tc>
          <w:tcPr>
            <w:tcW w:w="3134"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推动平安建设工作</w:t>
            </w:r>
          </w:p>
        </w:tc>
        <w:tc>
          <w:tcPr>
            <w:tcW w:w="3732" w:type="dxa"/>
            <w:gridSpan w:val="4"/>
            <w:tcBorders>
              <w:top w:val="single" w:color="auto" w:sz="4" w:space="0"/>
              <w:left w:val="nil"/>
              <w:bottom w:val="single" w:color="auto" w:sz="4" w:space="0"/>
              <w:right w:val="single" w:color="000000" w:sz="4" w:space="0"/>
            </w:tcBorders>
            <w:vAlign w:val="center"/>
          </w:tcPr>
          <w:p>
            <w:pPr>
              <w:spacing w:line="300" w:lineRule="exact"/>
              <w:ind w:firstLine="480" w:firstLineChars="200"/>
              <w:rPr>
                <w:rFonts w:hint="default" w:ascii="Times New Roman" w:hAnsi="Times New Roman" w:eastAsia="方正仿宋_GBK"/>
                <w:color w:val="000000"/>
              </w:rPr>
            </w:pPr>
            <w:r>
              <w:rPr>
                <w:rFonts w:hint="default" w:ascii="Times New Roman" w:hAnsi="Times New Roman" w:eastAsia="方正仿宋_GBK"/>
                <w:color w:val="000000"/>
              </w:rPr>
              <w:t>全面完成了我县平安建设暨防范化解重大风险攻坚战各项工作。</w:t>
            </w:r>
          </w:p>
        </w:tc>
      </w:tr>
      <w:tr>
        <w:tblPrEx>
          <w:tblCellMar>
            <w:top w:w="0" w:type="dxa"/>
            <w:left w:w="108" w:type="dxa"/>
            <w:bottom w:w="0" w:type="dxa"/>
            <w:right w:w="108" w:type="dxa"/>
          </w:tblCellMar>
        </w:tblPrEx>
        <w:trPr>
          <w:trHeight w:val="479" w:hRule="atLeast"/>
          <w:jc w:val="center"/>
        </w:trPr>
        <w:tc>
          <w:tcPr>
            <w:tcW w:w="692" w:type="dxa"/>
            <w:vMerge w:val="restart"/>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绩效指标</w:t>
            </w:r>
          </w:p>
        </w:tc>
        <w:tc>
          <w:tcPr>
            <w:tcW w:w="751" w:type="dxa"/>
            <w:tcBorders>
              <w:top w:val="nil"/>
              <w:left w:val="nil"/>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名称</w:t>
            </w:r>
          </w:p>
        </w:tc>
        <w:tc>
          <w:tcPr>
            <w:tcW w:w="703" w:type="dxa"/>
            <w:gridSpan w:val="2"/>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计量</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单位</w:t>
            </w:r>
          </w:p>
        </w:tc>
        <w:tc>
          <w:tcPr>
            <w:tcW w:w="704"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性质</w:t>
            </w:r>
          </w:p>
        </w:tc>
        <w:tc>
          <w:tcPr>
            <w:tcW w:w="703" w:type="dxa"/>
            <w:gridSpan w:val="3"/>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年初</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值</w:t>
            </w:r>
          </w:p>
        </w:tc>
        <w:tc>
          <w:tcPr>
            <w:tcW w:w="699"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调整</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值</w:t>
            </w:r>
          </w:p>
        </w:tc>
        <w:tc>
          <w:tcPr>
            <w:tcW w:w="1004"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完成值</w:t>
            </w:r>
          </w:p>
        </w:tc>
        <w:tc>
          <w:tcPr>
            <w:tcW w:w="1091"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得分</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系数</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w:t>
            </w:r>
          </w:p>
        </w:tc>
        <w:tc>
          <w:tcPr>
            <w:tcW w:w="93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权重</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（分）</w:t>
            </w:r>
          </w:p>
        </w:tc>
        <w:tc>
          <w:tcPr>
            <w:tcW w:w="140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指标得分</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（分）</w:t>
            </w: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是否核心</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tc>
      </w:tr>
      <w:tr>
        <w:tblPrEx>
          <w:tblCellMar>
            <w:top w:w="0" w:type="dxa"/>
            <w:left w:w="108" w:type="dxa"/>
            <w:bottom w:w="0" w:type="dxa"/>
            <w:right w:w="108" w:type="dxa"/>
          </w:tblCellMar>
        </w:tblPrEx>
        <w:trPr>
          <w:trHeight w:val="417"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751" w:type="dxa"/>
            <w:tcBorders>
              <w:top w:val="nil"/>
              <w:left w:val="nil"/>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防范化解重大风险攻坚战工作</w:t>
            </w:r>
          </w:p>
        </w:tc>
        <w:tc>
          <w:tcPr>
            <w:tcW w:w="703" w:type="dxa"/>
            <w:gridSpan w:val="2"/>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个</w:t>
            </w:r>
          </w:p>
        </w:tc>
        <w:tc>
          <w:tcPr>
            <w:tcW w:w="704" w:type="dxa"/>
            <w:gridSpan w:val="2"/>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项目经费</w:t>
            </w:r>
          </w:p>
        </w:tc>
        <w:tc>
          <w:tcPr>
            <w:tcW w:w="703" w:type="dxa"/>
            <w:gridSpan w:val="3"/>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15</w:t>
            </w:r>
          </w:p>
        </w:tc>
        <w:tc>
          <w:tcPr>
            <w:tcW w:w="699"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0</w:t>
            </w:r>
          </w:p>
        </w:tc>
        <w:tc>
          <w:tcPr>
            <w:tcW w:w="1004"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15</w:t>
            </w:r>
          </w:p>
        </w:tc>
        <w:tc>
          <w:tcPr>
            <w:tcW w:w="1091"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936"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1400" w:type="dxa"/>
            <w:gridSpan w:val="2"/>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1396"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是</w:t>
            </w:r>
          </w:p>
        </w:tc>
      </w:tr>
      <w:tr>
        <w:tblPrEx>
          <w:tblCellMar>
            <w:top w:w="0" w:type="dxa"/>
            <w:left w:w="108" w:type="dxa"/>
            <w:bottom w:w="0" w:type="dxa"/>
            <w:right w:w="108" w:type="dxa"/>
          </w:tblCellMar>
        </w:tblPrEx>
        <w:trPr>
          <w:trHeight w:val="1477" w:hRule="atLeast"/>
          <w:jc w:val="center"/>
        </w:trPr>
        <w:tc>
          <w:tcPr>
            <w:tcW w:w="692" w:type="dxa"/>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说明</w:t>
            </w:r>
          </w:p>
        </w:tc>
        <w:tc>
          <w:tcPr>
            <w:tcW w:w="9387" w:type="dxa"/>
            <w:gridSpan w:val="15"/>
            <w:tcBorders>
              <w:top w:val="single" w:color="auto" w:sz="4" w:space="0"/>
              <w:left w:val="nil"/>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p>
        </w:tc>
      </w:tr>
    </w:tbl>
    <w:p>
      <w:pPr>
        <w:pStyle w:val="19"/>
        <w:spacing w:line="600" w:lineRule="exact"/>
        <w:ind w:firstLine="2880" w:firstLineChars="800"/>
        <w:rPr>
          <w:rFonts w:eastAsia="方正小标宋_GBK"/>
          <w:color w:val="000000"/>
          <w:kern w:val="0"/>
          <w:sz w:val="36"/>
          <w:szCs w:val="36"/>
        </w:rPr>
      </w:pPr>
    </w:p>
    <w:p>
      <w:pPr>
        <w:pStyle w:val="19"/>
        <w:spacing w:line="600" w:lineRule="exact"/>
        <w:ind w:firstLine="2880" w:firstLineChars="800"/>
        <w:rPr>
          <w:rFonts w:eastAsia="方正小标宋_GBK"/>
          <w:color w:val="000000"/>
          <w:kern w:val="0"/>
          <w:sz w:val="36"/>
          <w:szCs w:val="36"/>
        </w:rPr>
      </w:pPr>
    </w:p>
    <w:p>
      <w:pPr>
        <w:pStyle w:val="19"/>
        <w:spacing w:line="600" w:lineRule="exact"/>
        <w:ind w:firstLine="2880" w:firstLineChars="800"/>
        <w:rPr>
          <w:rFonts w:eastAsia="方正小标宋_GBK"/>
          <w:color w:val="000000"/>
          <w:kern w:val="0"/>
          <w:sz w:val="36"/>
          <w:szCs w:val="36"/>
        </w:rPr>
      </w:pPr>
    </w:p>
    <w:p>
      <w:pPr>
        <w:pStyle w:val="19"/>
        <w:spacing w:line="600" w:lineRule="exact"/>
        <w:ind w:firstLine="2880" w:firstLineChars="800"/>
        <w:rPr>
          <w:rFonts w:eastAsia="方正小标宋_GBK"/>
          <w:color w:val="000000"/>
          <w:kern w:val="0"/>
          <w:sz w:val="36"/>
          <w:szCs w:val="36"/>
        </w:rPr>
      </w:pPr>
      <w:r>
        <w:rPr>
          <w:rFonts w:hint="eastAsia" w:eastAsia="方正小标宋_GBK"/>
          <w:color w:val="000000"/>
          <w:kern w:val="0"/>
          <w:sz w:val="36"/>
          <w:szCs w:val="36"/>
        </w:rPr>
        <w:t>二</w:t>
      </w:r>
      <w:r>
        <w:rPr>
          <w:rFonts w:eastAsia="方正小标宋_GBK"/>
          <w:color w:val="000000"/>
          <w:kern w:val="0"/>
          <w:sz w:val="36"/>
          <w:szCs w:val="36"/>
        </w:rPr>
        <w:t>级项目绩效自评表</w:t>
      </w:r>
    </w:p>
    <w:tbl>
      <w:tblPr>
        <w:tblStyle w:val="7"/>
        <w:tblW w:w="10079" w:type="dxa"/>
        <w:jc w:val="center"/>
        <w:tblLayout w:type="fixed"/>
        <w:tblCellMar>
          <w:top w:w="0" w:type="dxa"/>
          <w:left w:w="108" w:type="dxa"/>
          <w:bottom w:w="0" w:type="dxa"/>
          <w:right w:w="108" w:type="dxa"/>
        </w:tblCellMar>
      </w:tblPr>
      <w:tblGrid>
        <w:gridCol w:w="692"/>
        <w:gridCol w:w="751"/>
        <w:gridCol w:w="537"/>
        <w:gridCol w:w="166"/>
        <w:gridCol w:w="249"/>
        <w:gridCol w:w="455"/>
        <w:gridCol w:w="141"/>
        <w:gridCol w:w="562"/>
        <w:gridCol w:w="699"/>
        <w:gridCol w:w="1004"/>
        <w:gridCol w:w="1091"/>
        <w:gridCol w:w="936"/>
        <w:gridCol w:w="414"/>
        <w:gridCol w:w="986"/>
        <w:gridCol w:w="1396"/>
      </w:tblGrid>
      <w:tr>
        <w:tblPrEx>
          <w:tblCellMar>
            <w:top w:w="0" w:type="dxa"/>
            <w:left w:w="108" w:type="dxa"/>
            <w:bottom w:w="0" w:type="dxa"/>
            <w:right w:w="108" w:type="dxa"/>
          </w:tblCellMar>
        </w:tblPrEx>
        <w:trPr>
          <w:trHeight w:val="1058"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项目</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名称</w:t>
            </w:r>
          </w:p>
        </w:tc>
        <w:tc>
          <w:tcPr>
            <w:tcW w:w="1703"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反邪教协调</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工作</w:t>
            </w:r>
          </w:p>
        </w:tc>
        <w:tc>
          <w:tcPr>
            <w:tcW w:w="1158"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项目</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编码</w:t>
            </w:r>
          </w:p>
        </w:tc>
        <w:tc>
          <w:tcPr>
            <w:tcW w:w="699" w:type="dxa"/>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000</w:t>
            </w:r>
            <w:r>
              <w:rPr>
                <w:rFonts w:ascii="Times New Roman" w:hAnsi="Times New Roman" w:eastAsia="方正仿宋_GBK"/>
                <w:color w:val="000000"/>
              </w:rPr>
              <w:t>2</w:t>
            </w:r>
          </w:p>
        </w:tc>
        <w:tc>
          <w:tcPr>
            <w:tcW w:w="1004"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自评</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总分</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（分）</w:t>
            </w:r>
          </w:p>
        </w:tc>
        <w:tc>
          <w:tcPr>
            <w:tcW w:w="4823" w:type="dxa"/>
            <w:gridSpan w:val="5"/>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10分</w:t>
            </w:r>
          </w:p>
        </w:tc>
      </w:tr>
      <w:tr>
        <w:tblPrEx>
          <w:tblCellMar>
            <w:top w:w="0" w:type="dxa"/>
            <w:left w:w="108" w:type="dxa"/>
            <w:bottom w:w="0" w:type="dxa"/>
            <w:right w:w="108" w:type="dxa"/>
          </w:tblCellMar>
        </w:tblPrEx>
        <w:trPr>
          <w:trHeight w:val="479" w:hRule="atLeast"/>
          <w:jc w:val="center"/>
        </w:trPr>
        <w:tc>
          <w:tcPr>
            <w:tcW w:w="692"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主管</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部门</w:t>
            </w:r>
          </w:p>
        </w:tc>
        <w:tc>
          <w:tcPr>
            <w:tcW w:w="1703"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中共城口县委政法委员会</w:t>
            </w:r>
          </w:p>
        </w:tc>
        <w:tc>
          <w:tcPr>
            <w:tcW w:w="1158" w:type="dxa"/>
            <w:gridSpan w:val="3"/>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财政</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处室</w:t>
            </w:r>
          </w:p>
        </w:tc>
        <w:tc>
          <w:tcPr>
            <w:tcW w:w="699" w:type="dxa"/>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行政财务管理科</w:t>
            </w:r>
          </w:p>
        </w:tc>
        <w:tc>
          <w:tcPr>
            <w:tcW w:w="1004"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项目</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联系人</w:t>
            </w:r>
          </w:p>
        </w:tc>
        <w:tc>
          <w:tcPr>
            <w:tcW w:w="1091"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谢素娟</w:t>
            </w: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联系电话</w:t>
            </w:r>
          </w:p>
        </w:tc>
        <w:tc>
          <w:tcPr>
            <w:tcW w:w="2382" w:type="dxa"/>
            <w:gridSpan w:val="2"/>
            <w:tcBorders>
              <w:top w:val="single" w:color="auto" w:sz="4" w:space="0"/>
              <w:left w:val="nil"/>
              <w:bottom w:val="single" w:color="auto" w:sz="4" w:space="0"/>
              <w:right w:val="single" w:color="000000" w:sz="4" w:space="0"/>
            </w:tcBorders>
            <w:vAlign w:val="center"/>
          </w:tcPr>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59221566</w:t>
            </w:r>
          </w:p>
        </w:tc>
      </w:tr>
      <w:tr>
        <w:tblPrEx>
          <w:tblCellMar>
            <w:top w:w="0" w:type="dxa"/>
            <w:left w:w="108" w:type="dxa"/>
            <w:bottom w:w="0" w:type="dxa"/>
            <w:right w:w="108" w:type="dxa"/>
          </w:tblCellMar>
        </w:tblPrEx>
        <w:trPr>
          <w:trHeight w:val="479" w:hRule="atLeast"/>
          <w:jc w:val="center"/>
        </w:trPr>
        <w:tc>
          <w:tcPr>
            <w:tcW w:w="692" w:type="dxa"/>
            <w:vMerge w:val="restart"/>
            <w:tcBorders>
              <w:top w:val="nil"/>
              <w:left w:val="single" w:color="auto" w:sz="4" w:space="0"/>
              <w:bottom w:val="single" w:color="auto" w:sz="4" w:space="0"/>
              <w:right w:val="single" w:color="auto" w:sz="4" w:space="0"/>
            </w:tcBorders>
            <w:vAlign w:val="center"/>
          </w:tcPr>
          <w:p>
            <w:pPr>
              <w:spacing w:line="300" w:lineRule="exact"/>
              <w:ind w:left="113" w:right="113"/>
              <w:jc w:val="center"/>
              <w:rPr>
                <w:rFonts w:hint="default" w:ascii="Times New Roman" w:hAnsi="Times New Roman" w:eastAsia="方正仿宋_GBK"/>
                <w:color w:val="000000"/>
              </w:rPr>
            </w:pPr>
            <w:r>
              <w:rPr>
                <w:rFonts w:hint="default" w:ascii="Times New Roman" w:hAnsi="Times New Roman" w:eastAsia="方正仿宋_GBK"/>
                <w:color w:val="000000"/>
              </w:rPr>
              <w:t>项目资金（万元）</w:t>
            </w:r>
          </w:p>
        </w:tc>
        <w:tc>
          <w:tcPr>
            <w:tcW w:w="1288" w:type="dxa"/>
            <w:gridSpan w:val="2"/>
            <w:vMerge w:val="restart"/>
            <w:tcBorders>
              <w:top w:val="nil"/>
              <w:left w:val="nil"/>
              <w:bottom w:val="nil"/>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年度</w:t>
            </w:r>
          </w:p>
          <w:p>
            <w:pPr>
              <w:widowControl w:val="0"/>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总金额</w:t>
            </w:r>
          </w:p>
        </w:tc>
        <w:tc>
          <w:tcPr>
            <w:tcW w:w="1011"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年初</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预算数</w:t>
            </w:r>
          </w:p>
        </w:tc>
        <w:tc>
          <w:tcPr>
            <w:tcW w:w="1261"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（调整）预算数</w:t>
            </w:r>
          </w:p>
        </w:tc>
        <w:tc>
          <w:tcPr>
            <w:tcW w:w="209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全年执行数</w:t>
            </w: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执行率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w:t>
            </w:r>
          </w:p>
        </w:tc>
        <w:tc>
          <w:tcPr>
            <w:tcW w:w="98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执行率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权重</w:t>
            </w: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执行率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得分</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（分）</w:t>
            </w:r>
          </w:p>
        </w:tc>
      </w:tr>
      <w:tr>
        <w:tblPrEx>
          <w:tblCellMar>
            <w:top w:w="0" w:type="dxa"/>
            <w:left w:w="108" w:type="dxa"/>
            <w:bottom w:w="0" w:type="dxa"/>
            <w:right w:w="108" w:type="dxa"/>
          </w:tblCellMar>
        </w:tblPrEx>
        <w:trPr>
          <w:trHeight w:val="479"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600" w:type="dxa"/>
            <w:gridSpan w:val="2"/>
            <w:vMerge w:val="continue"/>
            <w:tcBorders>
              <w:top w:val="nil"/>
              <w:left w:val="nil"/>
              <w:bottom w:val="nil"/>
              <w:right w:val="nil"/>
            </w:tcBorders>
            <w:vAlign w:val="center"/>
          </w:tcPr>
          <w:p>
            <w:pPr>
              <w:rPr>
                <w:rFonts w:hint="default" w:ascii="Times New Roman" w:hAnsi="Times New Roman" w:eastAsia="方正仿宋_GBK"/>
                <w:color w:val="000000"/>
              </w:rPr>
            </w:pPr>
          </w:p>
        </w:tc>
        <w:tc>
          <w:tcPr>
            <w:tcW w:w="1011"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30</w:t>
            </w:r>
          </w:p>
        </w:tc>
        <w:tc>
          <w:tcPr>
            <w:tcW w:w="1261"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0</w:t>
            </w:r>
          </w:p>
        </w:tc>
        <w:tc>
          <w:tcPr>
            <w:tcW w:w="209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30</w:t>
            </w: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98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rPr>
            </w:pPr>
            <w:r>
              <w:rPr>
                <w:rFonts w:hint="default" w:ascii="Times New Roman" w:hAnsi="Times New Roman" w:eastAsia="方正仿宋_GBK"/>
              </w:rPr>
              <w:t>100</w:t>
            </w: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r>
      <w:tr>
        <w:tblPrEx>
          <w:tblCellMar>
            <w:top w:w="0" w:type="dxa"/>
            <w:left w:w="108" w:type="dxa"/>
            <w:bottom w:w="0" w:type="dxa"/>
            <w:right w:w="108" w:type="dxa"/>
          </w:tblCellMar>
        </w:tblPrEx>
        <w:trPr>
          <w:trHeight w:val="501"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1288" w:type="dxa"/>
            <w:gridSpan w:val="2"/>
            <w:tcBorders>
              <w:top w:val="nil"/>
              <w:left w:val="nil"/>
              <w:bottom w:val="single" w:color="auto" w:sz="4" w:space="0"/>
              <w:right w:val="nil"/>
            </w:tcBorders>
            <w:vAlign w:val="center"/>
          </w:tcPr>
          <w:p>
            <w:pPr>
              <w:spacing w:line="300" w:lineRule="exact"/>
              <w:rPr>
                <w:rFonts w:hint="default" w:ascii="Times New Roman" w:hAnsi="Times New Roman" w:eastAsia="方正仿宋_GBK"/>
                <w:color w:val="000000"/>
              </w:rPr>
            </w:pPr>
            <w:r>
              <w:rPr>
                <w:rFonts w:hint="default" w:ascii="Times New Roman" w:hAnsi="Times New Roman" w:eastAsia="方正仿宋_GBK"/>
                <w:color w:val="000000"/>
              </w:rPr>
              <w:t>其中：</w:t>
            </w:r>
          </w:p>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县级支出</w:t>
            </w:r>
          </w:p>
        </w:tc>
        <w:tc>
          <w:tcPr>
            <w:tcW w:w="1011"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30</w:t>
            </w:r>
          </w:p>
        </w:tc>
        <w:tc>
          <w:tcPr>
            <w:tcW w:w="1261"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0</w:t>
            </w:r>
          </w:p>
        </w:tc>
        <w:tc>
          <w:tcPr>
            <w:tcW w:w="209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30</w:t>
            </w: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98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r>
      <w:tr>
        <w:tblPrEx>
          <w:tblCellMar>
            <w:top w:w="0" w:type="dxa"/>
            <w:left w:w="108" w:type="dxa"/>
            <w:bottom w:w="0" w:type="dxa"/>
            <w:right w:w="108" w:type="dxa"/>
          </w:tblCellMar>
        </w:tblPrEx>
        <w:trPr>
          <w:trHeight w:val="479"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1288" w:type="dxa"/>
            <w:gridSpan w:val="2"/>
            <w:tcBorders>
              <w:top w:val="nil"/>
              <w:left w:val="nil"/>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补助区县</w:t>
            </w:r>
          </w:p>
        </w:tc>
        <w:tc>
          <w:tcPr>
            <w:tcW w:w="1011"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p>
        </w:tc>
        <w:tc>
          <w:tcPr>
            <w:tcW w:w="1261"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209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98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r>
      <w:tr>
        <w:tblPrEx>
          <w:tblCellMar>
            <w:top w:w="0" w:type="dxa"/>
            <w:left w:w="108" w:type="dxa"/>
            <w:bottom w:w="0" w:type="dxa"/>
            <w:right w:w="108" w:type="dxa"/>
          </w:tblCellMar>
        </w:tblPrEx>
        <w:trPr>
          <w:trHeight w:val="479" w:hRule="atLeast"/>
          <w:jc w:val="center"/>
        </w:trPr>
        <w:tc>
          <w:tcPr>
            <w:tcW w:w="692" w:type="dxa"/>
            <w:vMerge w:val="restart"/>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当年绩效目标</w:t>
            </w:r>
          </w:p>
        </w:tc>
        <w:tc>
          <w:tcPr>
            <w:tcW w:w="2861" w:type="dxa"/>
            <w:gridSpan w:val="7"/>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年初绩效目标</w:t>
            </w:r>
          </w:p>
        </w:tc>
        <w:tc>
          <w:tcPr>
            <w:tcW w:w="2794" w:type="dxa"/>
            <w:gridSpan w:val="3"/>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全年（调整）绩效目标</w:t>
            </w:r>
          </w:p>
        </w:tc>
        <w:tc>
          <w:tcPr>
            <w:tcW w:w="3732"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全年目标实际完成情况</w:t>
            </w:r>
          </w:p>
        </w:tc>
      </w:tr>
      <w:tr>
        <w:tblPrEx>
          <w:tblCellMar>
            <w:top w:w="0" w:type="dxa"/>
            <w:left w:w="108" w:type="dxa"/>
            <w:bottom w:w="0" w:type="dxa"/>
            <w:right w:w="108" w:type="dxa"/>
          </w:tblCellMar>
        </w:tblPrEx>
        <w:trPr>
          <w:trHeight w:val="1078"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2861" w:type="dxa"/>
            <w:gridSpan w:val="7"/>
            <w:tcBorders>
              <w:top w:val="single" w:color="auto" w:sz="4" w:space="0"/>
              <w:left w:val="nil"/>
              <w:bottom w:val="single" w:color="auto" w:sz="4" w:space="0"/>
              <w:right w:val="single" w:color="000000" w:sz="4" w:space="0"/>
            </w:tcBorders>
            <w:vAlign w:val="center"/>
          </w:tcPr>
          <w:p>
            <w:pPr>
              <w:spacing w:line="300" w:lineRule="exact"/>
              <w:ind w:firstLine="480" w:firstLineChars="200"/>
              <w:rPr>
                <w:rFonts w:hint="default" w:ascii="Times New Roman" w:hAnsi="Times New Roman" w:eastAsia="方正仿宋_GBK"/>
                <w:color w:val="000000"/>
              </w:rPr>
            </w:pPr>
            <w:r>
              <w:rPr>
                <w:rFonts w:hint="default" w:ascii="Times New Roman" w:hAnsi="Times New Roman" w:eastAsia="方正仿宋_GBK"/>
                <w:color w:val="000000"/>
              </w:rPr>
              <w:t xml:space="preserve">调查研究涉邪教问题，分析研判形势，提出政策建议。协调推动全县各级各相关部门做好反邪教工作，统筹部署开展重大斗争活动。 </w:t>
            </w:r>
          </w:p>
        </w:tc>
        <w:tc>
          <w:tcPr>
            <w:tcW w:w="2794" w:type="dxa"/>
            <w:gridSpan w:val="3"/>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开展无邪教创建活动</w:t>
            </w:r>
          </w:p>
        </w:tc>
        <w:tc>
          <w:tcPr>
            <w:tcW w:w="3732" w:type="dxa"/>
            <w:gridSpan w:val="4"/>
            <w:tcBorders>
              <w:top w:val="single" w:color="auto" w:sz="4" w:space="0"/>
              <w:left w:val="nil"/>
              <w:bottom w:val="single" w:color="auto" w:sz="4" w:space="0"/>
              <w:right w:val="single" w:color="000000" w:sz="4" w:space="0"/>
            </w:tcBorders>
            <w:vAlign w:val="center"/>
          </w:tcPr>
          <w:p>
            <w:pPr>
              <w:spacing w:line="300" w:lineRule="exact"/>
              <w:ind w:firstLine="480" w:firstLineChars="200"/>
              <w:rPr>
                <w:rFonts w:hint="default" w:ascii="Times New Roman" w:hAnsi="Times New Roman" w:eastAsia="方正仿宋_GBK"/>
                <w:color w:val="000000"/>
              </w:rPr>
            </w:pPr>
            <w:r>
              <w:rPr>
                <w:rFonts w:hint="default" w:ascii="Times New Roman" w:hAnsi="Times New Roman" w:eastAsia="方正仿宋_GBK"/>
                <w:color w:val="000000"/>
              </w:rPr>
              <w:t xml:space="preserve">全面完成调查研究涉邪教问题，分析研判形势，提出政策建议。协调推动全县各级各相关部门做好反邪教工作，统筹部署开展重大斗争活动。 </w:t>
            </w:r>
          </w:p>
        </w:tc>
      </w:tr>
      <w:tr>
        <w:tblPrEx>
          <w:tblCellMar>
            <w:top w:w="0" w:type="dxa"/>
            <w:left w:w="108" w:type="dxa"/>
            <w:bottom w:w="0" w:type="dxa"/>
            <w:right w:w="108" w:type="dxa"/>
          </w:tblCellMar>
        </w:tblPrEx>
        <w:trPr>
          <w:trHeight w:val="479" w:hRule="atLeast"/>
          <w:jc w:val="center"/>
        </w:trPr>
        <w:tc>
          <w:tcPr>
            <w:tcW w:w="692" w:type="dxa"/>
            <w:vMerge w:val="restart"/>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绩效指标</w:t>
            </w:r>
          </w:p>
        </w:tc>
        <w:tc>
          <w:tcPr>
            <w:tcW w:w="751" w:type="dxa"/>
            <w:tcBorders>
              <w:top w:val="nil"/>
              <w:left w:val="nil"/>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名称</w:t>
            </w:r>
          </w:p>
        </w:tc>
        <w:tc>
          <w:tcPr>
            <w:tcW w:w="703" w:type="dxa"/>
            <w:gridSpan w:val="2"/>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计量</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单位</w:t>
            </w:r>
          </w:p>
        </w:tc>
        <w:tc>
          <w:tcPr>
            <w:tcW w:w="704"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性质</w:t>
            </w:r>
          </w:p>
        </w:tc>
        <w:tc>
          <w:tcPr>
            <w:tcW w:w="703"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年初</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值</w:t>
            </w:r>
          </w:p>
        </w:tc>
        <w:tc>
          <w:tcPr>
            <w:tcW w:w="699"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调整</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值</w:t>
            </w:r>
          </w:p>
        </w:tc>
        <w:tc>
          <w:tcPr>
            <w:tcW w:w="1004"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完成值</w:t>
            </w:r>
          </w:p>
        </w:tc>
        <w:tc>
          <w:tcPr>
            <w:tcW w:w="1091"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得分</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系数</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w:t>
            </w:r>
          </w:p>
        </w:tc>
        <w:tc>
          <w:tcPr>
            <w:tcW w:w="93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权重</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（分）</w:t>
            </w:r>
          </w:p>
        </w:tc>
        <w:tc>
          <w:tcPr>
            <w:tcW w:w="140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指标得分</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（分）</w:t>
            </w: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是否核心</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tc>
      </w:tr>
      <w:tr>
        <w:tblPrEx>
          <w:tblCellMar>
            <w:top w:w="0" w:type="dxa"/>
            <w:left w:w="108" w:type="dxa"/>
            <w:bottom w:w="0" w:type="dxa"/>
            <w:right w:w="108" w:type="dxa"/>
          </w:tblCellMar>
        </w:tblPrEx>
        <w:trPr>
          <w:trHeight w:val="417"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751" w:type="dxa"/>
            <w:tcBorders>
              <w:top w:val="nil"/>
              <w:left w:val="nil"/>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反邪教协调工作</w:t>
            </w:r>
          </w:p>
        </w:tc>
        <w:tc>
          <w:tcPr>
            <w:tcW w:w="703" w:type="dxa"/>
            <w:gridSpan w:val="2"/>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个</w:t>
            </w:r>
          </w:p>
        </w:tc>
        <w:tc>
          <w:tcPr>
            <w:tcW w:w="704" w:type="dxa"/>
            <w:gridSpan w:val="2"/>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项目经费</w:t>
            </w:r>
          </w:p>
        </w:tc>
        <w:tc>
          <w:tcPr>
            <w:tcW w:w="703" w:type="dxa"/>
            <w:gridSpan w:val="2"/>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30</w:t>
            </w:r>
          </w:p>
        </w:tc>
        <w:tc>
          <w:tcPr>
            <w:tcW w:w="699"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0</w:t>
            </w:r>
          </w:p>
        </w:tc>
        <w:tc>
          <w:tcPr>
            <w:tcW w:w="1004"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30</w:t>
            </w:r>
          </w:p>
        </w:tc>
        <w:tc>
          <w:tcPr>
            <w:tcW w:w="1091"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936"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1400" w:type="dxa"/>
            <w:gridSpan w:val="2"/>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1396"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是</w:t>
            </w:r>
          </w:p>
        </w:tc>
      </w:tr>
      <w:tr>
        <w:tblPrEx>
          <w:tblCellMar>
            <w:top w:w="0" w:type="dxa"/>
            <w:left w:w="108" w:type="dxa"/>
            <w:bottom w:w="0" w:type="dxa"/>
            <w:right w:w="108" w:type="dxa"/>
          </w:tblCellMar>
        </w:tblPrEx>
        <w:trPr>
          <w:trHeight w:val="1927" w:hRule="atLeast"/>
          <w:jc w:val="center"/>
        </w:trPr>
        <w:tc>
          <w:tcPr>
            <w:tcW w:w="692" w:type="dxa"/>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说明</w:t>
            </w:r>
          </w:p>
        </w:tc>
        <w:tc>
          <w:tcPr>
            <w:tcW w:w="9387" w:type="dxa"/>
            <w:gridSpan w:val="14"/>
            <w:tcBorders>
              <w:top w:val="single" w:color="auto" w:sz="4" w:space="0"/>
              <w:left w:val="nil"/>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p>
        </w:tc>
      </w:tr>
    </w:tbl>
    <w:p>
      <w:pPr>
        <w:pStyle w:val="19"/>
        <w:spacing w:line="600" w:lineRule="exact"/>
        <w:ind w:firstLine="2880" w:firstLineChars="800"/>
        <w:rPr>
          <w:rFonts w:eastAsia="方正小标宋_GBK"/>
          <w:color w:val="000000"/>
          <w:kern w:val="0"/>
          <w:sz w:val="36"/>
          <w:szCs w:val="36"/>
        </w:rPr>
      </w:pPr>
    </w:p>
    <w:p>
      <w:pPr>
        <w:pStyle w:val="19"/>
        <w:spacing w:line="600" w:lineRule="exact"/>
        <w:ind w:firstLine="2880" w:firstLineChars="800"/>
        <w:rPr>
          <w:rFonts w:eastAsia="方正小标宋_GBK"/>
          <w:color w:val="000000"/>
          <w:kern w:val="0"/>
          <w:sz w:val="36"/>
          <w:szCs w:val="36"/>
        </w:rPr>
      </w:pPr>
    </w:p>
    <w:p>
      <w:pPr>
        <w:pStyle w:val="19"/>
        <w:spacing w:line="600" w:lineRule="exact"/>
        <w:ind w:firstLine="2880" w:firstLineChars="800"/>
        <w:rPr>
          <w:rFonts w:eastAsia="方正小标宋_GBK"/>
          <w:color w:val="000000"/>
          <w:kern w:val="0"/>
          <w:sz w:val="36"/>
          <w:szCs w:val="36"/>
        </w:rPr>
      </w:pPr>
      <w:r>
        <w:rPr>
          <w:rFonts w:hint="eastAsia" w:eastAsia="方正小标宋_GBK"/>
          <w:color w:val="000000"/>
          <w:kern w:val="0"/>
          <w:sz w:val="36"/>
          <w:szCs w:val="36"/>
        </w:rPr>
        <w:t>二</w:t>
      </w:r>
      <w:r>
        <w:rPr>
          <w:rFonts w:eastAsia="方正小标宋_GBK"/>
          <w:color w:val="000000"/>
          <w:kern w:val="0"/>
          <w:sz w:val="36"/>
          <w:szCs w:val="36"/>
        </w:rPr>
        <w:t>级项目绩效自评表</w:t>
      </w:r>
    </w:p>
    <w:tbl>
      <w:tblPr>
        <w:tblStyle w:val="7"/>
        <w:tblW w:w="10079" w:type="dxa"/>
        <w:jc w:val="center"/>
        <w:tblLayout w:type="fixed"/>
        <w:tblCellMar>
          <w:top w:w="0" w:type="dxa"/>
          <w:left w:w="108" w:type="dxa"/>
          <w:bottom w:w="0" w:type="dxa"/>
          <w:right w:w="108" w:type="dxa"/>
        </w:tblCellMar>
      </w:tblPr>
      <w:tblGrid>
        <w:gridCol w:w="692"/>
        <w:gridCol w:w="751"/>
        <w:gridCol w:w="537"/>
        <w:gridCol w:w="166"/>
        <w:gridCol w:w="249"/>
        <w:gridCol w:w="455"/>
        <w:gridCol w:w="141"/>
        <w:gridCol w:w="222"/>
        <w:gridCol w:w="340"/>
        <w:gridCol w:w="699"/>
        <w:gridCol w:w="1004"/>
        <w:gridCol w:w="1091"/>
        <w:gridCol w:w="936"/>
        <w:gridCol w:w="414"/>
        <w:gridCol w:w="986"/>
        <w:gridCol w:w="1396"/>
      </w:tblGrid>
      <w:tr>
        <w:tblPrEx>
          <w:tblCellMar>
            <w:top w:w="0" w:type="dxa"/>
            <w:left w:w="108" w:type="dxa"/>
            <w:bottom w:w="0" w:type="dxa"/>
            <w:right w:w="108" w:type="dxa"/>
          </w:tblCellMar>
        </w:tblPrEx>
        <w:trPr>
          <w:trHeight w:val="479"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项目</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名称</w:t>
            </w:r>
          </w:p>
        </w:tc>
        <w:tc>
          <w:tcPr>
            <w:tcW w:w="1703"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综治及平安建设指导工作</w:t>
            </w:r>
          </w:p>
        </w:tc>
        <w:tc>
          <w:tcPr>
            <w:tcW w:w="818"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项目</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编码</w:t>
            </w:r>
          </w:p>
        </w:tc>
        <w:tc>
          <w:tcPr>
            <w:tcW w:w="1039" w:type="dxa"/>
            <w:gridSpan w:val="2"/>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000</w:t>
            </w:r>
            <w:r>
              <w:rPr>
                <w:rFonts w:ascii="Times New Roman" w:hAnsi="Times New Roman" w:eastAsia="方正仿宋_GBK"/>
                <w:color w:val="000000"/>
              </w:rPr>
              <w:t>3</w:t>
            </w:r>
          </w:p>
        </w:tc>
        <w:tc>
          <w:tcPr>
            <w:tcW w:w="1004"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自评</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总分</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（分）</w:t>
            </w:r>
          </w:p>
        </w:tc>
        <w:tc>
          <w:tcPr>
            <w:tcW w:w="4823" w:type="dxa"/>
            <w:gridSpan w:val="5"/>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10分</w:t>
            </w:r>
          </w:p>
        </w:tc>
      </w:tr>
      <w:tr>
        <w:tblPrEx>
          <w:tblCellMar>
            <w:top w:w="0" w:type="dxa"/>
            <w:left w:w="108" w:type="dxa"/>
            <w:bottom w:w="0" w:type="dxa"/>
            <w:right w:w="108" w:type="dxa"/>
          </w:tblCellMar>
        </w:tblPrEx>
        <w:trPr>
          <w:trHeight w:val="479" w:hRule="atLeast"/>
          <w:jc w:val="center"/>
        </w:trPr>
        <w:tc>
          <w:tcPr>
            <w:tcW w:w="692"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主管</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部门</w:t>
            </w:r>
          </w:p>
        </w:tc>
        <w:tc>
          <w:tcPr>
            <w:tcW w:w="1703"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中共城口县委政法委员会</w:t>
            </w:r>
          </w:p>
        </w:tc>
        <w:tc>
          <w:tcPr>
            <w:tcW w:w="818" w:type="dxa"/>
            <w:gridSpan w:val="3"/>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财政</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处室</w:t>
            </w:r>
          </w:p>
        </w:tc>
        <w:tc>
          <w:tcPr>
            <w:tcW w:w="1039" w:type="dxa"/>
            <w:gridSpan w:val="2"/>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行政财务管理科</w:t>
            </w:r>
          </w:p>
        </w:tc>
        <w:tc>
          <w:tcPr>
            <w:tcW w:w="1004"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项目</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联系人</w:t>
            </w:r>
          </w:p>
        </w:tc>
        <w:tc>
          <w:tcPr>
            <w:tcW w:w="1091"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谢素娟</w:t>
            </w: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联系电话</w:t>
            </w:r>
          </w:p>
        </w:tc>
        <w:tc>
          <w:tcPr>
            <w:tcW w:w="2382" w:type="dxa"/>
            <w:gridSpan w:val="2"/>
            <w:tcBorders>
              <w:top w:val="single" w:color="auto" w:sz="4" w:space="0"/>
              <w:left w:val="nil"/>
              <w:bottom w:val="single" w:color="auto" w:sz="4" w:space="0"/>
              <w:right w:val="single" w:color="000000" w:sz="4" w:space="0"/>
            </w:tcBorders>
            <w:vAlign w:val="center"/>
          </w:tcPr>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59221566</w:t>
            </w:r>
          </w:p>
        </w:tc>
      </w:tr>
      <w:tr>
        <w:tblPrEx>
          <w:tblCellMar>
            <w:top w:w="0" w:type="dxa"/>
            <w:left w:w="108" w:type="dxa"/>
            <w:bottom w:w="0" w:type="dxa"/>
            <w:right w:w="108" w:type="dxa"/>
          </w:tblCellMar>
        </w:tblPrEx>
        <w:trPr>
          <w:trHeight w:val="479" w:hRule="atLeast"/>
          <w:jc w:val="center"/>
        </w:trPr>
        <w:tc>
          <w:tcPr>
            <w:tcW w:w="692" w:type="dxa"/>
            <w:vMerge w:val="restart"/>
            <w:tcBorders>
              <w:top w:val="nil"/>
              <w:left w:val="single" w:color="auto" w:sz="4" w:space="0"/>
              <w:bottom w:val="single" w:color="auto" w:sz="4" w:space="0"/>
              <w:right w:val="single" w:color="auto" w:sz="4" w:space="0"/>
            </w:tcBorders>
            <w:vAlign w:val="center"/>
          </w:tcPr>
          <w:p>
            <w:pPr>
              <w:spacing w:line="300" w:lineRule="exact"/>
              <w:ind w:left="113" w:right="113"/>
              <w:jc w:val="center"/>
              <w:rPr>
                <w:rFonts w:hint="default" w:ascii="Times New Roman" w:hAnsi="Times New Roman" w:eastAsia="方正仿宋_GBK"/>
                <w:color w:val="000000"/>
              </w:rPr>
            </w:pPr>
            <w:r>
              <w:rPr>
                <w:rFonts w:hint="default" w:ascii="Times New Roman" w:hAnsi="Times New Roman" w:eastAsia="方正仿宋_GBK"/>
                <w:color w:val="000000"/>
              </w:rPr>
              <w:t>项目资金（万元）</w:t>
            </w:r>
          </w:p>
        </w:tc>
        <w:tc>
          <w:tcPr>
            <w:tcW w:w="1288" w:type="dxa"/>
            <w:gridSpan w:val="2"/>
            <w:vMerge w:val="restart"/>
            <w:tcBorders>
              <w:top w:val="nil"/>
              <w:left w:val="nil"/>
              <w:bottom w:val="nil"/>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年度</w:t>
            </w:r>
          </w:p>
          <w:p>
            <w:pPr>
              <w:widowControl w:val="0"/>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总金额</w:t>
            </w:r>
          </w:p>
        </w:tc>
        <w:tc>
          <w:tcPr>
            <w:tcW w:w="1011"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年初</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预算数</w:t>
            </w:r>
          </w:p>
        </w:tc>
        <w:tc>
          <w:tcPr>
            <w:tcW w:w="1261"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（调整）预算数</w:t>
            </w:r>
          </w:p>
        </w:tc>
        <w:tc>
          <w:tcPr>
            <w:tcW w:w="209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全年执行数</w:t>
            </w: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执行率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w:t>
            </w:r>
          </w:p>
        </w:tc>
        <w:tc>
          <w:tcPr>
            <w:tcW w:w="98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执行率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权重</w:t>
            </w: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执行率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得分</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（分）</w:t>
            </w:r>
          </w:p>
        </w:tc>
      </w:tr>
      <w:tr>
        <w:tblPrEx>
          <w:tblCellMar>
            <w:top w:w="0" w:type="dxa"/>
            <w:left w:w="108" w:type="dxa"/>
            <w:bottom w:w="0" w:type="dxa"/>
            <w:right w:w="108" w:type="dxa"/>
          </w:tblCellMar>
        </w:tblPrEx>
        <w:trPr>
          <w:trHeight w:val="479"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600" w:type="dxa"/>
            <w:gridSpan w:val="2"/>
            <w:vMerge w:val="continue"/>
            <w:tcBorders>
              <w:top w:val="nil"/>
              <w:left w:val="nil"/>
              <w:bottom w:val="nil"/>
              <w:right w:val="nil"/>
            </w:tcBorders>
            <w:vAlign w:val="center"/>
          </w:tcPr>
          <w:p>
            <w:pPr>
              <w:rPr>
                <w:rFonts w:hint="default" w:ascii="Times New Roman" w:hAnsi="Times New Roman" w:eastAsia="方正仿宋_GBK"/>
                <w:color w:val="000000"/>
              </w:rPr>
            </w:pPr>
          </w:p>
        </w:tc>
        <w:tc>
          <w:tcPr>
            <w:tcW w:w="1011"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20</w:t>
            </w:r>
          </w:p>
        </w:tc>
        <w:tc>
          <w:tcPr>
            <w:tcW w:w="1261"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0</w:t>
            </w:r>
          </w:p>
        </w:tc>
        <w:tc>
          <w:tcPr>
            <w:tcW w:w="209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20</w:t>
            </w: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98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rPr>
            </w:pPr>
            <w:r>
              <w:rPr>
                <w:rFonts w:hint="default" w:ascii="Times New Roman" w:hAnsi="Times New Roman" w:eastAsia="方正仿宋_GBK"/>
              </w:rPr>
              <w:t>100</w:t>
            </w: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r>
      <w:tr>
        <w:tblPrEx>
          <w:tblCellMar>
            <w:top w:w="0" w:type="dxa"/>
            <w:left w:w="108" w:type="dxa"/>
            <w:bottom w:w="0" w:type="dxa"/>
            <w:right w:w="108" w:type="dxa"/>
          </w:tblCellMar>
        </w:tblPrEx>
        <w:trPr>
          <w:trHeight w:val="479"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1288" w:type="dxa"/>
            <w:gridSpan w:val="2"/>
            <w:tcBorders>
              <w:top w:val="nil"/>
              <w:left w:val="nil"/>
              <w:bottom w:val="single" w:color="auto" w:sz="4" w:space="0"/>
              <w:right w:val="nil"/>
            </w:tcBorders>
            <w:vAlign w:val="center"/>
          </w:tcPr>
          <w:p>
            <w:pPr>
              <w:spacing w:line="300" w:lineRule="exact"/>
              <w:rPr>
                <w:rFonts w:hint="default" w:ascii="Times New Roman" w:hAnsi="Times New Roman" w:eastAsia="方正仿宋_GBK"/>
                <w:color w:val="000000"/>
              </w:rPr>
            </w:pPr>
            <w:r>
              <w:rPr>
                <w:rFonts w:hint="default" w:ascii="Times New Roman" w:hAnsi="Times New Roman" w:eastAsia="方正仿宋_GBK"/>
                <w:color w:val="000000"/>
              </w:rPr>
              <w:t>其中：</w:t>
            </w:r>
          </w:p>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县级支出</w:t>
            </w:r>
          </w:p>
        </w:tc>
        <w:tc>
          <w:tcPr>
            <w:tcW w:w="1011"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20</w:t>
            </w:r>
          </w:p>
        </w:tc>
        <w:tc>
          <w:tcPr>
            <w:tcW w:w="1261"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0</w:t>
            </w:r>
          </w:p>
        </w:tc>
        <w:tc>
          <w:tcPr>
            <w:tcW w:w="209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20</w:t>
            </w: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98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r>
      <w:tr>
        <w:tblPrEx>
          <w:tblCellMar>
            <w:top w:w="0" w:type="dxa"/>
            <w:left w:w="108" w:type="dxa"/>
            <w:bottom w:w="0" w:type="dxa"/>
            <w:right w:w="108" w:type="dxa"/>
          </w:tblCellMar>
        </w:tblPrEx>
        <w:trPr>
          <w:trHeight w:val="479"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1288" w:type="dxa"/>
            <w:gridSpan w:val="2"/>
            <w:tcBorders>
              <w:top w:val="nil"/>
              <w:left w:val="nil"/>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补助区县</w:t>
            </w:r>
          </w:p>
        </w:tc>
        <w:tc>
          <w:tcPr>
            <w:tcW w:w="1011"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p>
        </w:tc>
        <w:tc>
          <w:tcPr>
            <w:tcW w:w="1261"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209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98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r>
      <w:tr>
        <w:tblPrEx>
          <w:tblCellMar>
            <w:top w:w="0" w:type="dxa"/>
            <w:left w:w="108" w:type="dxa"/>
            <w:bottom w:w="0" w:type="dxa"/>
            <w:right w:w="108" w:type="dxa"/>
          </w:tblCellMar>
        </w:tblPrEx>
        <w:trPr>
          <w:trHeight w:val="479" w:hRule="atLeast"/>
          <w:jc w:val="center"/>
        </w:trPr>
        <w:tc>
          <w:tcPr>
            <w:tcW w:w="692" w:type="dxa"/>
            <w:vMerge w:val="restart"/>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当年绩效目标</w:t>
            </w:r>
          </w:p>
        </w:tc>
        <w:tc>
          <w:tcPr>
            <w:tcW w:w="2521" w:type="dxa"/>
            <w:gridSpan w:val="7"/>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年初绩效目标</w:t>
            </w:r>
          </w:p>
        </w:tc>
        <w:tc>
          <w:tcPr>
            <w:tcW w:w="3134"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全年（调整）绩效目标</w:t>
            </w:r>
          </w:p>
        </w:tc>
        <w:tc>
          <w:tcPr>
            <w:tcW w:w="3732"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全年目标实际完成情况</w:t>
            </w:r>
          </w:p>
        </w:tc>
      </w:tr>
      <w:tr>
        <w:tblPrEx>
          <w:tblCellMar>
            <w:top w:w="0" w:type="dxa"/>
            <w:left w:w="108" w:type="dxa"/>
            <w:bottom w:w="0" w:type="dxa"/>
            <w:right w:w="108" w:type="dxa"/>
          </w:tblCellMar>
        </w:tblPrEx>
        <w:trPr>
          <w:trHeight w:val="1078"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2521" w:type="dxa"/>
            <w:gridSpan w:val="7"/>
            <w:tcBorders>
              <w:top w:val="single" w:color="auto" w:sz="4" w:space="0"/>
              <w:left w:val="nil"/>
              <w:bottom w:val="single" w:color="auto" w:sz="4" w:space="0"/>
              <w:right w:val="single" w:color="000000" w:sz="4" w:space="0"/>
            </w:tcBorders>
            <w:vAlign w:val="center"/>
          </w:tcPr>
          <w:p>
            <w:pPr>
              <w:spacing w:line="300" w:lineRule="exact"/>
              <w:ind w:firstLine="480" w:firstLineChars="200"/>
              <w:rPr>
                <w:rFonts w:hint="default" w:ascii="Times New Roman" w:hAnsi="Times New Roman" w:eastAsia="方正仿宋_GBK"/>
                <w:color w:val="000000"/>
              </w:rPr>
            </w:pPr>
            <w:r>
              <w:rPr>
                <w:rFonts w:hint="default" w:ascii="Times New Roman" w:hAnsi="Times New Roman" w:eastAsia="方正仿宋_GBK"/>
                <w:color w:val="000000"/>
              </w:rPr>
              <w:t>调査分析全县社会治安形势，推进扫黑除恶、社会治安重点地区和突出治安问题排查整治、社会治安防控体系建设。</w:t>
            </w:r>
          </w:p>
        </w:tc>
        <w:tc>
          <w:tcPr>
            <w:tcW w:w="3134"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创新基层社会治理</w:t>
            </w:r>
          </w:p>
        </w:tc>
        <w:tc>
          <w:tcPr>
            <w:tcW w:w="3732" w:type="dxa"/>
            <w:gridSpan w:val="4"/>
            <w:tcBorders>
              <w:top w:val="single" w:color="auto" w:sz="4" w:space="0"/>
              <w:left w:val="nil"/>
              <w:bottom w:val="single" w:color="auto" w:sz="4" w:space="0"/>
              <w:right w:val="single" w:color="000000" w:sz="4" w:space="0"/>
            </w:tcBorders>
            <w:vAlign w:val="center"/>
          </w:tcPr>
          <w:p>
            <w:pPr>
              <w:spacing w:line="300" w:lineRule="exact"/>
              <w:ind w:firstLine="480" w:firstLineChars="200"/>
              <w:rPr>
                <w:rFonts w:hint="default" w:ascii="Times New Roman" w:hAnsi="Times New Roman" w:eastAsia="方正仿宋_GBK"/>
                <w:color w:val="000000"/>
              </w:rPr>
            </w:pPr>
            <w:r>
              <w:rPr>
                <w:rFonts w:hint="default" w:ascii="Times New Roman" w:hAnsi="Times New Roman" w:eastAsia="方正仿宋_GBK"/>
                <w:color w:val="000000"/>
              </w:rPr>
              <w:t>全面完成调査分析全县社会治安形势，推进扫黑除恶、社会治安重点地区和突出治安问题排查整治、社会治安防控体系建设。</w:t>
            </w:r>
          </w:p>
        </w:tc>
      </w:tr>
      <w:tr>
        <w:tblPrEx>
          <w:tblCellMar>
            <w:top w:w="0" w:type="dxa"/>
            <w:left w:w="108" w:type="dxa"/>
            <w:bottom w:w="0" w:type="dxa"/>
            <w:right w:w="108" w:type="dxa"/>
          </w:tblCellMar>
        </w:tblPrEx>
        <w:trPr>
          <w:trHeight w:val="479" w:hRule="atLeast"/>
          <w:jc w:val="center"/>
        </w:trPr>
        <w:tc>
          <w:tcPr>
            <w:tcW w:w="692" w:type="dxa"/>
            <w:vMerge w:val="restart"/>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绩效指标</w:t>
            </w:r>
          </w:p>
        </w:tc>
        <w:tc>
          <w:tcPr>
            <w:tcW w:w="751" w:type="dxa"/>
            <w:tcBorders>
              <w:top w:val="nil"/>
              <w:left w:val="nil"/>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名称</w:t>
            </w:r>
          </w:p>
        </w:tc>
        <w:tc>
          <w:tcPr>
            <w:tcW w:w="703" w:type="dxa"/>
            <w:gridSpan w:val="2"/>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计量</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单位</w:t>
            </w:r>
          </w:p>
        </w:tc>
        <w:tc>
          <w:tcPr>
            <w:tcW w:w="704"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性质</w:t>
            </w:r>
          </w:p>
        </w:tc>
        <w:tc>
          <w:tcPr>
            <w:tcW w:w="703" w:type="dxa"/>
            <w:gridSpan w:val="3"/>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年初</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值</w:t>
            </w:r>
          </w:p>
        </w:tc>
        <w:tc>
          <w:tcPr>
            <w:tcW w:w="699"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调整</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值</w:t>
            </w:r>
          </w:p>
        </w:tc>
        <w:tc>
          <w:tcPr>
            <w:tcW w:w="1004"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完成值</w:t>
            </w:r>
          </w:p>
        </w:tc>
        <w:tc>
          <w:tcPr>
            <w:tcW w:w="1091"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得分</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系数</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w:t>
            </w:r>
          </w:p>
        </w:tc>
        <w:tc>
          <w:tcPr>
            <w:tcW w:w="93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权重</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（分）</w:t>
            </w:r>
          </w:p>
        </w:tc>
        <w:tc>
          <w:tcPr>
            <w:tcW w:w="140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指标得分</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（分）</w:t>
            </w: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是否核心</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tc>
      </w:tr>
      <w:tr>
        <w:tblPrEx>
          <w:tblCellMar>
            <w:top w:w="0" w:type="dxa"/>
            <w:left w:w="108" w:type="dxa"/>
            <w:bottom w:w="0" w:type="dxa"/>
            <w:right w:w="108" w:type="dxa"/>
          </w:tblCellMar>
        </w:tblPrEx>
        <w:trPr>
          <w:trHeight w:val="417"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751" w:type="dxa"/>
            <w:tcBorders>
              <w:top w:val="nil"/>
              <w:left w:val="nil"/>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综治及平安建设指导工作</w:t>
            </w:r>
          </w:p>
        </w:tc>
        <w:tc>
          <w:tcPr>
            <w:tcW w:w="703" w:type="dxa"/>
            <w:gridSpan w:val="2"/>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个</w:t>
            </w:r>
          </w:p>
        </w:tc>
        <w:tc>
          <w:tcPr>
            <w:tcW w:w="704" w:type="dxa"/>
            <w:gridSpan w:val="2"/>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项目经费</w:t>
            </w:r>
          </w:p>
        </w:tc>
        <w:tc>
          <w:tcPr>
            <w:tcW w:w="703" w:type="dxa"/>
            <w:gridSpan w:val="3"/>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20</w:t>
            </w:r>
          </w:p>
        </w:tc>
        <w:tc>
          <w:tcPr>
            <w:tcW w:w="699"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0</w:t>
            </w:r>
          </w:p>
        </w:tc>
        <w:tc>
          <w:tcPr>
            <w:tcW w:w="1004"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20</w:t>
            </w:r>
          </w:p>
        </w:tc>
        <w:tc>
          <w:tcPr>
            <w:tcW w:w="1091"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936"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1400" w:type="dxa"/>
            <w:gridSpan w:val="2"/>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1396"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是</w:t>
            </w:r>
          </w:p>
        </w:tc>
      </w:tr>
      <w:tr>
        <w:tblPrEx>
          <w:tblCellMar>
            <w:top w:w="0" w:type="dxa"/>
            <w:left w:w="108" w:type="dxa"/>
            <w:bottom w:w="0" w:type="dxa"/>
            <w:right w:w="108" w:type="dxa"/>
          </w:tblCellMar>
        </w:tblPrEx>
        <w:trPr>
          <w:trHeight w:val="1477" w:hRule="atLeast"/>
          <w:jc w:val="center"/>
        </w:trPr>
        <w:tc>
          <w:tcPr>
            <w:tcW w:w="692" w:type="dxa"/>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说明</w:t>
            </w:r>
          </w:p>
        </w:tc>
        <w:tc>
          <w:tcPr>
            <w:tcW w:w="9387" w:type="dxa"/>
            <w:gridSpan w:val="15"/>
            <w:tcBorders>
              <w:top w:val="single" w:color="auto" w:sz="4" w:space="0"/>
              <w:left w:val="nil"/>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p>
        </w:tc>
      </w:tr>
    </w:tbl>
    <w:p>
      <w:pPr>
        <w:pStyle w:val="19"/>
        <w:spacing w:line="600" w:lineRule="exact"/>
        <w:ind w:firstLine="2880" w:firstLineChars="800"/>
        <w:rPr>
          <w:rFonts w:eastAsia="方正小标宋_GBK"/>
          <w:color w:val="000000"/>
          <w:kern w:val="0"/>
          <w:sz w:val="36"/>
          <w:szCs w:val="36"/>
        </w:rPr>
      </w:pPr>
    </w:p>
    <w:p>
      <w:pPr>
        <w:pStyle w:val="19"/>
        <w:spacing w:line="600" w:lineRule="exact"/>
        <w:ind w:firstLine="2880" w:firstLineChars="800"/>
        <w:rPr>
          <w:rFonts w:eastAsia="方正小标宋_GBK"/>
          <w:color w:val="000000"/>
          <w:kern w:val="0"/>
          <w:sz w:val="36"/>
          <w:szCs w:val="36"/>
        </w:rPr>
      </w:pPr>
    </w:p>
    <w:p>
      <w:pPr>
        <w:spacing w:line="600" w:lineRule="exact"/>
        <w:ind w:firstLine="2520" w:firstLineChars="700"/>
        <w:rPr>
          <w:rFonts w:hint="default" w:eastAsia="方正小标宋_GBK"/>
          <w:color w:val="000000"/>
          <w:sz w:val="36"/>
          <w:szCs w:val="36"/>
        </w:rPr>
      </w:pPr>
      <w:r>
        <w:rPr>
          <w:rFonts w:eastAsia="方正小标宋_GBK"/>
          <w:color w:val="000000"/>
          <w:sz w:val="36"/>
          <w:szCs w:val="36"/>
        </w:rPr>
        <w:t>二</w:t>
      </w:r>
      <w:r>
        <w:rPr>
          <w:rFonts w:hint="default" w:eastAsia="方正小标宋_GBK"/>
          <w:color w:val="000000"/>
          <w:sz w:val="36"/>
          <w:szCs w:val="36"/>
        </w:rPr>
        <w:t>级项目绩效自评表</w:t>
      </w:r>
    </w:p>
    <w:tbl>
      <w:tblPr>
        <w:tblStyle w:val="7"/>
        <w:tblW w:w="10079" w:type="dxa"/>
        <w:jc w:val="center"/>
        <w:tblLayout w:type="fixed"/>
        <w:tblCellMar>
          <w:top w:w="0" w:type="dxa"/>
          <w:left w:w="108" w:type="dxa"/>
          <w:bottom w:w="0" w:type="dxa"/>
          <w:right w:w="108" w:type="dxa"/>
        </w:tblCellMar>
      </w:tblPr>
      <w:tblGrid>
        <w:gridCol w:w="692"/>
        <w:gridCol w:w="751"/>
        <w:gridCol w:w="537"/>
        <w:gridCol w:w="166"/>
        <w:gridCol w:w="249"/>
        <w:gridCol w:w="455"/>
        <w:gridCol w:w="141"/>
        <w:gridCol w:w="222"/>
        <w:gridCol w:w="340"/>
        <w:gridCol w:w="699"/>
        <w:gridCol w:w="1004"/>
        <w:gridCol w:w="1091"/>
        <w:gridCol w:w="936"/>
        <w:gridCol w:w="414"/>
        <w:gridCol w:w="986"/>
        <w:gridCol w:w="1396"/>
      </w:tblGrid>
      <w:tr>
        <w:tblPrEx>
          <w:tblCellMar>
            <w:top w:w="0" w:type="dxa"/>
            <w:left w:w="108" w:type="dxa"/>
            <w:bottom w:w="0" w:type="dxa"/>
            <w:right w:w="108" w:type="dxa"/>
          </w:tblCellMar>
        </w:tblPrEx>
        <w:trPr>
          <w:trHeight w:val="479"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项目</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名称</w:t>
            </w:r>
          </w:p>
        </w:tc>
        <w:tc>
          <w:tcPr>
            <w:tcW w:w="1703"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法治与执法监督工作</w:t>
            </w:r>
          </w:p>
        </w:tc>
        <w:tc>
          <w:tcPr>
            <w:tcW w:w="818"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项目</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编码</w:t>
            </w:r>
          </w:p>
        </w:tc>
        <w:tc>
          <w:tcPr>
            <w:tcW w:w="1039" w:type="dxa"/>
            <w:gridSpan w:val="2"/>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0004</w:t>
            </w:r>
          </w:p>
        </w:tc>
        <w:tc>
          <w:tcPr>
            <w:tcW w:w="1004"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自评</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总分</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（分）</w:t>
            </w:r>
          </w:p>
        </w:tc>
        <w:tc>
          <w:tcPr>
            <w:tcW w:w="4823" w:type="dxa"/>
            <w:gridSpan w:val="5"/>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10分</w:t>
            </w:r>
          </w:p>
        </w:tc>
      </w:tr>
      <w:tr>
        <w:tblPrEx>
          <w:tblCellMar>
            <w:top w:w="0" w:type="dxa"/>
            <w:left w:w="108" w:type="dxa"/>
            <w:bottom w:w="0" w:type="dxa"/>
            <w:right w:w="108" w:type="dxa"/>
          </w:tblCellMar>
        </w:tblPrEx>
        <w:trPr>
          <w:trHeight w:val="479" w:hRule="atLeast"/>
          <w:jc w:val="center"/>
        </w:trPr>
        <w:tc>
          <w:tcPr>
            <w:tcW w:w="692"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主管</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部门</w:t>
            </w:r>
          </w:p>
        </w:tc>
        <w:tc>
          <w:tcPr>
            <w:tcW w:w="1703"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中共城口县委政法委员会</w:t>
            </w:r>
          </w:p>
        </w:tc>
        <w:tc>
          <w:tcPr>
            <w:tcW w:w="818" w:type="dxa"/>
            <w:gridSpan w:val="3"/>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财政</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处室</w:t>
            </w:r>
          </w:p>
        </w:tc>
        <w:tc>
          <w:tcPr>
            <w:tcW w:w="1039" w:type="dxa"/>
            <w:gridSpan w:val="2"/>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行政财务管理科</w:t>
            </w:r>
          </w:p>
        </w:tc>
        <w:tc>
          <w:tcPr>
            <w:tcW w:w="1004"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项目</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联系人</w:t>
            </w:r>
          </w:p>
        </w:tc>
        <w:tc>
          <w:tcPr>
            <w:tcW w:w="1091"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谢素娟</w:t>
            </w: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联系电话</w:t>
            </w:r>
          </w:p>
        </w:tc>
        <w:tc>
          <w:tcPr>
            <w:tcW w:w="2382" w:type="dxa"/>
            <w:gridSpan w:val="2"/>
            <w:tcBorders>
              <w:top w:val="single" w:color="auto" w:sz="4" w:space="0"/>
              <w:left w:val="nil"/>
              <w:bottom w:val="single" w:color="auto" w:sz="4" w:space="0"/>
              <w:right w:val="single" w:color="000000" w:sz="4" w:space="0"/>
            </w:tcBorders>
            <w:vAlign w:val="center"/>
          </w:tcPr>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59221566</w:t>
            </w:r>
          </w:p>
        </w:tc>
      </w:tr>
      <w:tr>
        <w:tblPrEx>
          <w:tblCellMar>
            <w:top w:w="0" w:type="dxa"/>
            <w:left w:w="108" w:type="dxa"/>
            <w:bottom w:w="0" w:type="dxa"/>
            <w:right w:w="108" w:type="dxa"/>
          </w:tblCellMar>
        </w:tblPrEx>
        <w:trPr>
          <w:trHeight w:val="479" w:hRule="atLeast"/>
          <w:jc w:val="center"/>
        </w:trPr>
        <w:tc>
          <w:tcPr>
            <w:tcW w:w="692" w:type="dxa"/>
            <w:vMerge w:val="restart"/>
            <w:tcBorders>
              <w:top w:val="nil"/>
              <w:left w:val="single" w:color="auto" w:sz="4" w:space="0"/>
              <w:bottom w:val="single" w:color="auto" w:sz="4" w:space="0"/>
              <w:right w:val="single" w:color="auto" w:sz="4" w:space="0"/>
            </w:tcBorders>
            <w:vAlign w:val="center"/>
          </w:tcPr>
          <w:p>
            <w:pPr>
              <w:spacing w:line="300" w:lineRule="exact"/>
              <w:ind w:left="113" w:right="113"/>
              <w:jc w:val="center"/>
              <w:rPr>
                <w:rFonts w:hint="default" w:ascii="Times New Roman" w:hAnsi="Times New Roman" w:eastAsia="方正仿宋_GBK"/>
                <w:color w:val="000000"/>
              </w:rPr>
            </w:pPr>
            <w:r>
              <w:rPr>
                <w:rFonts w:hint="default" w:ascii="Times New Roman" w:hAnsi="Times New Roman" w:eastAsia="方正仿宋_GBK"/>
                <w:color w:val="000000"/>
              </w:rPr>
              <w:t>项目资金（万元）</w:t>
            </w:r>
          </w:p>
        </w:tc>
        <w:tc>
          <w:tcPr>
            <w:tcW w:w="1288" w:type="dxa"/>
            <w:gridSpan w:val="2"/>
            <w:vMerge w:val="restart"/>
            <w:tcBorders>
              <w:top w:val="nil"/>
              <w:left w:val="nil"/>
              <w:bottom w:val="nil"/>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年度</w:t>
            </w:r>
          </w:p>
          <w:p>
            <w:pPr>
              <w:widowControl w:val="0"/>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总金额</w:t>
            </w:r>
          </w:p>
        </w:tc>
        <w:tc>
          <w:tcPr>
            <w:tcW w:w="1011"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年初</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预算数</w:t>
            </w:r>
          </w:p>
        </w:tc>
        <w:tc>
          <w:tcPr>
            <w:tcW w:w="1261"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（调整）预算数</w:t>
            </w:r>
          </w:p>
        </w:tc>
        <w:tc>
          <w:tcPr>
            <w:tcW w:w="209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全年执行数</w:t>
            </w: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执行率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w:t>
            </w:r>
          </w:p>
        </w:tc>
        <w:tc>
          <w:tcPr>
            <w:tcW w:w="98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执行率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权重</w:t>
            </w: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执行率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得分</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（分）</w:t>
            </w:r>
          </w:p>
        </w:tc>
      </w:tr>
      <w:tr>
        <w:tblPrEx>
          <w:tblCellMar>
            <w:top w:w="0" w:type="dxa"/>
            <w:left w:w="108" w:type="dxa"/>
            <w:bottom w:w="0" w:type="dxa"/>
            <w:right w:w="108" w:type="dxa"/>
          </w:tblCellMar>
        </w:tblPrEx>
        <w:trPr>
          <w:trHeight w:val="479"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600" w:type="dxa"/>
            <w:gridSpan w:val="2"/>
            <w:vMerge w:val="continue"/>
            <w:tcBorders>
              <w:top w:val="nil"/>
              <w:left w:val="nil"/>
              <w:bottom w:val="nil"/>
              <w:right w:val="nil"/>
            </w:tcBorders>
            <w:vAlign w:val="center"/>
          </w:tcPr>
          <w:p>
            <w:pPr>
              <w:rPr>
                <w:rFonts w:hint="default" w:ascii="Times New Roman" w:hAnsi="Times New Roman" w:eastAsia="方正仿宋_GBK"/>
                <w:color w:val="000000"/>
              </w:rPr>
            </w:pPr>
          </w:p>
        </w:tc>
        <w:tc>
          <w:tcPr>
            <w:tcW w:w="1011"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10</w:t>
            </w:r>
          </w:p>
        </w:tc>
        <w:tc>
          <w:tcPr>
            <w:tcW w:w="1261"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0</w:t>
            </w:r>
          </w:p>
        </w:tc>
        <w:tc>
          <w:tcPr>
            <w:tcW w:w="209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w:t>
            </w: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98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rPr>
            </w:pPr>
            <w:r>
              <w:rPr>
                <w:rFonts w:hint="default" w:ascii="Times New Roman" w:hAnsi="Times New Roman" w:eastAsia="方正仿宋_GBK"/>
              </w:rPr>
              <w:t>100</w:t>
            </w: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r>
      <w:tr>
        <w:tblPrEx>
          <w:tblCellMar>
            <w:top w:w="0" w:type="dxa"/>
            <w:left w:w="108" w:type="dxa"/>
            <w:bottom w:w="0" w:type="dxa"/>
            <w:right w:w="108" w:type="dxa"/>
          </w:tblCellMar>
        </w:tblPrEx>
        <w:trPr>
          <w:trHeight w:val="479"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1288" w:type="dxa"/>
            <w:gridSpan w:val="2"/>
            <w:tcBorders>
              <w:top w:val="nil"/>
              <w:left w:val="nil"/>
              <w:bottom w:val="single" w:color="auto" w:sz="4" w:space="0"/>
              <w:right w:val="nil"/>
            </w:tcBorders>
            <w:vAlign w:val="center"/>
          </w:tcPr>
          <w:p>
            <w:pPr>
              <w:spacing w:line="300" w:lineRule="exact"/>
              <w:rPr>
                <w:rFonts w:hint="default" w:ascii="Times New Roman" w:hAnsi="Times New Roman" w:eastAsia="方正仿宋_GBK"/>
                <w:color w:val="000000"/>
              </w:rPr>
            </w:pPr>
            <w:r>
              <w:rPr>
                <w:rFonts w:hint="default" w:ascii="Times New Roman" w:hAnsi="Times New Roman" w:eastAsia="方正仿宋_GBK"/>
                <w:color w:val="000000"/>
              </w:rPr>
              <w:t>其中：</w:t>
            </w:r>
          </w:p>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县级支出</w:t>
            </w:r>
          </w:p>
        </w:tc>
        <w:tc>
          <w:tcPr>
            <w:tcW w:w="1011"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w:t>
            </w:r>
          </w:p>
        </w:tc>
        <w:tc>
          <w:tcPr>
            <w:tcW w:w="1261"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0</w:t>
            </w:r>
          </w:p>
        </w:tc>
        <w:tc>
          <w:tcPr>
            <w:tcW w:w="209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w:t>
            </w: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98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r>
      <w:tr>
        <w:tblPrEx>
          <w:tblCellMar>
            <w:top w:w="0" w:type="dxa"/>
            <w:left w:w="108" w:type="dxa"/>
            <w:bottom w:w="0" w:type="dxa"/>
            <w:right w:w="108" w:type="dxa"/>
          </w:tblCellMar>
        </w:tblPrEx>
        <w:trPr>
          <w:trHeight w:val="479"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1288" w:type="dxa"/>
            <w:gridSpan w:val="2"/>
            <w:tcBorders>
              <w:top w:val="nil"/>
              <w:left w:val="nil"/>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补助区县</w:t>
            </w:r>
          </w:p>
        </w:tc>
        <w:tc>
          <w:tcPr>
            <w:tcW w:w="1011"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p>
        </w:tc>
        <w:tc>
          <w:tcPr>
            <w:tcW w:w="1261"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209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98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r>
      <w:tr>
        <w:tblPrEx>
          <w:tblCellMar>
            <w:top w:w="0" w:type="dxa"/>
            <w:left w:w="108" w:type="dxa"/>
            <w:bottom w:w="0" w:type="dxa"/>
            <w:right w:w="108" w:type="dxa"/>
          </w:tblCellMar>
        </w:tblPrEx>
        <w:trPr>
          <w:trHeight w:val="479" w:hRule="atLeast"/>
          <w:jc w:val="center"/>
        </w:trPr>
        <w:tc>
          <w:tcPr>
            <w:tcW w:w="692" w:type="dxa"/>
            <w:vMerge w:val="restart"/>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当年绩效目标</w:t>
            </w:r>
          </w:p>
        </w:tc>
        <w:tc>
          <w:tcPr>
            <w:tcW w:w="2521" w:type="dxa"/>
            <w:gridSpan w:val="7"/>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年初绩效目标</w:t>
            </w:r>
          </w:p>
        </w:tc>
        <w:tc>
          <w:tcPr>
            <w:tcW w:w="3134"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全年（调整）绩效目标</w:t>
            </w:r>
          </w:p>
        </w:tc>
        <w:tc>
          <w:tcPr>
            <w:tcW w:w="3732"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全年目标实际完成情况</w:t>
            </w:r>
          </w:p>
        </w:tc>
      </w:tr>
      <w:tr>
        <w:tblPrEx>
          <w:tblCellMar>
            <w:top w:w="0" w:type="dxa"/>
            <w:left w:w="108" w:type="dxa"/>
            <w:bottom w:w="0" w:type="dxa"/>
            <w:right w:w="108" w:type="dxa"/>
          </w:tblCellMar>
        </w:tblPrEx>
        <w:trPr>
          <w:trHeight w:val="1078"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2521" w:type="dxa"/>
            <w:gridSpan w:val="7"/>
            <w:tcBorders>
              <w:top w:val="single" w:color="auto" w:sz="4" w:space="0"/>
              <w:left w:val="nil"/>
              <w:bottom w:val="single" w:color="auto" w:sz="4" w:space="0"/>
              <w:right w:val="single" w:color="000000" w:sz="4" w:space="0"/>
            </w:tcBorders>
            <w:vAlign w:val="center"/>
          </w:tcPr>
          <w:p>
            <w:pPr>
              <w:spacing w:line="300" w:lineRule="exact"/>
              <w:ind w:firstLine="480" w:firstLineChars="200"/>
              <w:rPr>
                <w:rFonts w:hint="default" w:ascii="Times New Roman" w:hAnsi="Times New Roman" w:eastAsia="方正仿宋_GBK"/>
                <w:color w:val="000000"/>
              </w:rPr>
            </w:pPr>
            <w:r>
              <w:rPr>
                <w:rFonts w:hint="default" w:ascii="Times New Roman" w:hAnsi="Times New Roman" w:eastAsia="方正仿宋_GBK"/>
                <w:color w:val="000000"/>
              </w:rPr>
              <w:t>统筹政法系统案件评查、法治信息调研和新闻宣传、舆情监控、舆论引导等工作。</w:t>
            </w:r>
          </w:p>
        </w:tc>
        <w:tc>
          <w:tcPr>
            <w:tcW w:w="3134" w:type="dxa"/>
            <w:gridSpan w:val="4"/>
            <w:tcBorders>
              <w:top w:val="single" w:color="auto" w:sz="4" w:space="0"/>
              <w:left w:val="nil"/>
              <w:bottom w:val="single" w:color="auto" w:sz="4" w:space="0"/>
              <w:right w:val="single" w:color="000000" w:sz="4" w:space="0"/>
            </w:tcBorders>
            <w:vAlign w:val="center"/>
          </w:tcPr>
          <w:p>
            <w:pPr>
              <w:spacing w:line="300" w:lineRule="exact"/>
              <w:ind w:firstLine="480" w:firstLineChars="200"/>
              <w:jc w:val="center"/>
              <w:rPr>
                <w:rFonts w:hint="default" w:ascii="Times New Roman" w:hAnsi="Times New Roman" w:eastAsia="方正仿宋_GBK"/>
                <w:color w:val="000000"/>
              </w:rPr>
            </w:pPr>
            <w:r>
              <w:rPr>
                <w:rFonts w:hint="default" w:ascii="Times New Roman" w:hAnsi="Times New Roman" w:eastAsia="方正仿宋_GBK"/>
                <w:color w:val="000000"/>
              </w:rPr>
              <w:t>无</w:t>
            </w:r>
          </w:p>
        </w:tc>
        <w:tc>
          <w:tcPr>
            <w:tcW w:w="3732" w:type="dxa"/>
            <w:gridSpan w:val="4"/>
            <w:tcBorders>
              <w:top w:val="single" w:color="auto" w:sz="4" w:space="0"/>
              <w:left w:val="nil"/>
              <w:bottom w:val="single" w:color="auto" w:sz="4" w:space="0"/>
              <w:right w:val="single" w:color="000000" w:sz="4" w:space="0"/>
            </w:tcBorders>
            <w:vAlign w:val="center"/>
          </w:tcPr>
          <w:p>
            <w:pPr>
              <w:spacing w:line="300" w:lineRule="exact"/>
              <w:ind w:firstLine="480" w:firstLineChars="200"/>
              <w:rPr>
                <w:rFonts w:hint="default" w:ascii="Times New Roman" w:hAnsi="Times New Roman" w:eastAsia="方正仿宋_GBK"/>
                <w:color w:val="000000"/>
              </w:rPr>
            </w:pPr>
            <w:r>
              <w:rPr>
                <w:rFonts w:hint="default" w:ascii="Times New Roman" w:hAnsi="Times New Roman" w:eastAsia="方正仿宋_GBK"/>
                <w:color w:val="000000"/>
              </w:rPr>
              <w:t>全面推动政法部门建立健全执法监督制度，针对突出违法问题组织开展专项检查、专项治理、案件评查工作。</w:t>
            </w:r>
          </w:p>
        </w:tc>
      </w:tr>
      <w:tr>
        <w:tblPrEx>
          <w:tblCellMar>
            <w:top w:w="0" w:type="dxa"/>
            <w:left w:w="108" w:type="dxa"/>
            <w:bottom w:w="0" w:type="dxa"/>
            <w:right w:w="108" w:type="dxa"/>
          </w:tblCellMar>
        </w:tblPrEx>
        <w:trPr>
          <w:trHeight w:val="479" w:hRule="atLeast"/>
          <w:jc w:val="center"/>
        </w:trPr>
        <w:tc>
          <w:tcPr>
            <w:tcW w:w="692" w:type="dxa"/>
            <w:vMerge w:val="restart"/>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绩效指标</w:t>
            </w:r>
          </w:p>
        </w:tc>
        <w:tc>
          <w:tcPr>
            <w:tcW w:w="751" w:type="dxa"/>
            <w:tcBorders>
              <w:top w:val="nil"/>
              <w:left w:val="nil"/>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名称</w:t>
            </w:r>
          </w:p>
        </w:tc>
        <w:tc>
          <w:tcPr>
            <w:tcW w:w="703" w:type="dxa"/>
            <w:gridSpan w:val="2"/>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计量</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单位</w:t>
            </w:r>
          </w:p>
        </w:tc>
        <w:tc>
          <w:tcPr>
            <w:tcW w:w="704"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性质</w:t>
            </w:r>
          </w:p>
        </w:tc>
        <w:tc>
          <w:tcPr>
            <w:tcW w:w="703" w:type="dxa"/>
            <w:gridSpan w:val="3"/>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年初</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值</w:t>
            </w:r>
          </w:p>
        </w:tc>
        <w:tc>
          <w:tcPr>
            <w:tcW w:w="699"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调整</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值</w:t>
            </w:r>
          </w:p>
        </w:tc>
        <w:tc>
          <w:tcPr>
            <w:tcW w:w="1004"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完成值</w:t>
            </w:r>
          </w:p>
        </w:tc>
        <w:tc>
          <w:tcPr>
            <w:tcW w:w="1091"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得分</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系数</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w:t>
            </w:r>
          </w:p>
        </w:tc>
        <w:tc>
          <w:tcPr>
            <w:tcW w:w="93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权重</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（分）</w:t>
            </w:r>
          </w:p>
        </w:tc>
        <w:tc>
          <w:tcPr>
            <w:tcW w:w="140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指标得分</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（分）</w:t>
            </w: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是否核心</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tc>
      </w:tr>
      <w:tr>
        <w:tblPrEx>
          <w:tblCellMar>
            <w:top w:w="0" w:type="dxa"/>
            <w:left w:w="108" w:type="dxa"/>
            <w:bottom w:w="0" w:type="dxa"/>
            <w:right w:w="108" w:type="dxa"/>
          </w:tblCellMar>
        </w:tblPrEx>
        <w:trPr>
          <w:trHeight w:val="417"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751" w:type="dxa"/>
            <w:tcBorders>
              <w:top w:val="nil"/>
              <w:left w:val="nil"/>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法治与执法监督工作</w:t>
            </w:r>
          </w:p>
        </w:tc>
        <w:tc>
          <w:tcPr>
            <w:tcW w:w="703" w:type="dxa"/>
            <w:gridSpan w:val="2"/>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个</w:t>
            </w:r>
          </w:p>
        </w:tc>
        <w:tc>
          <w:tcPr>
            <w:tcW w:w="704" w:type="dxa"/>
            <w:gridSpan w:val="2"/>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项目经费</w:t>
            </w:r>
          </w:p>
        </w:tc>
        <w:tc>
          <w:tcPr>
            <w:tcW w:w="703" w:type="dxa"/>
            <w:gridSpan w:val="3"/>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w:t>
            </w:r>
          </w:p>
        </w:tc>
        <w:tc>
          <w:tcPr>
            <w:tcW w:w="699"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0</w:t>
            </w:r>
          </w:p>
        </w:tc>
        <w:tc>
          <w:tcPr>
            <w:tcW w:w="1004"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w:t>
            </w:r>
          </w:p>
        </w:tc>
        <w:tc>
          <w:tcPr>
            <w:tcW w:w="1091"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936"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1400" w:type="dxa"/>
            <w:gridSpan w:val="2"/>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1396"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是</w:t>
            </w:r>
          </w:p>
        </w:tc>
      </w:tr>
      <w:tr>
        <w:tblPrEx>
          <w:tblCellMar>
            <w:top w:w="0" w:type="dxa"/>
            <w:left w:w="108" w:type="dxa"/>
            <w:bottom w:w="0" w:type="dxa"/>
            <w:right w:w="108" w:type="dxa"/>
          </w:tblCellMar>
        </w:tblPrEx>
        <w:trPr>
          <w:trHeight w:val="2269" w:hRule="atLeast"/>
          <w:jc w:val="center"/>
        </w:trPr>
        <w:tc>
          <w:tcPr>
            <w:tcW w:w="692" w:type="dxa"/>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说明</w:t>
            </w:r>
          </w:p>
        </w:tc>
        <w:tc>
          <w:tcPr>
            <w:tcW w:w="9387" w:type="dxa"/>
            <w:gridSpan w:val="15"/>
            <w:tcBorders>
              <w:top w:val="single" w:color="auto" w:sz="4" w:space="0"/>
              <w:left w:val="nil"/>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p>
        </w:tc>
      </w:tr>
    </w:tbl>
    <w:p>
      <w:pPr>
        <w:pStyle w:val="6"/>
        <w:autoSpaceDE w:val="0"/>
        <w:spacing w:before="0" w:beforeAutospacing="0" w:after="0" w:afterAutospacing="0" w:line="600" w:lineRule="exact"/>
        <w:ind w:firstLine="640" w:firstLineChars="200"/>
        <w:jc w:val="both"/>
        <w:rPr>
          <w:rFonts w:hint="default" w:ascii="Times New Roman" w:hAnsi="Times New Roman" w:eastAsia="方正黑体_GBK"/>
          <w:kern w:val="2"/>
          <w:sz w:val="32"/>
          <w:szCs w:val="32"/>
        </w:rPr>
      </w:pPr>
      <w:r>
        <w:rPr>
          <w:rFonts w:hint="default" w:ascii="Times New Roman" w:hAnsi="Times New Roman" w:eastAsia="方正黑体_GBK"/>
          <w:kern w:val="2"/>
          <w:sz w:val="32"/>
          <w:szCs w:val="32"/>
        </w:rPr>
        <w:t xml:space="preserve"> </w:t>
      </w:r>
    </w:p>
    <w:p>
      <w:pPr>
        <w:spacing w:line="600" w:lineRule="exact"/>
        <w:rPr>
          <w:rFonts w:hint="default" w:eastAsia="方正小标宋_GBK"/>
          <w:color w:val="000000"/>
          <w:sz w:val="36"/>
          <w:szCs w:val="36"/>
        </w:rPr>
      </w:pPr>
    </w:p>
    <w:p>
      <w:pPr>
        <w:pStyle w:val="19"/>
        <w:spacing w:line="600" w:lineRule="exact"/>
        <w:ind w:firstLine="2880" w:firstLineChars="800"/>
        <w:rPr>
          <w:rFonts w:eastAsia="方正小标宋_GBK"/>
          <w:color w:val="000000"/>
          <w:kern w:val="0"/>
          <w:sz w:val="36"/>
          <w:szCs w:val="36"/>
        </w:rPr>
      </w:pPr>
      <w:r>
        <w:rPr>
          <w:rFonts w:hint="eastAsia" w:eastAsia="方正小标宋_GBK"/>
          <w:color w:val="000000"/>
          <w:kern w:val="0"/>
          <w:sz w:val="36"/>
          <w:szCs w:val="36"/>
        </w:rPr>
        <w:t>二</w:t>
      </w:r>
      <w:r>
        <w:rPr>
          <w:rFonts w:eastAsia="方正小标宋_GBK"/>
          <w:color w:val="000000"/>
          <w:kern w:val="0"/>
          <w:sz w:val="36"/>
          <w:szCs w:val="36"/>
        </w:rPr>
        <w:t>级项目绩效自评表</w:t>
      </w:r>
    </w:p>
    <w:tbl>
      <w:tblPr>
        <w:tblStyle w:val="7"/>
        <w:tblW w:w="10079" w:type="dxa"/>
        <w:jc w:val="center"/>
        <w:tblLayout w:type="fixed"/>
        <w:tblCellMar>
          <w:top w:w="0" w:type="dxa"/>
          <w:left w:w="108" w:type="dxa"/>
          <w:bottom w:w="0" w:type="dxa"/>
          <w:right w:w="108" w:type="dxa"/>
        </w:tblCellMar>
      </w:tblPr>
      <w:tblGrid>
        <w:gridCol w:w="692"/>
        <w:gridCol w:w="751"/>
        <w:gridCol w:w="537"/>
        <w:gridCol w:w="166"/>
        <w:gridCol w:w="249"/>
        <w:gridCol w:w="455"/>
        <w:gridCol w:w="141"/>
        <w:gridCol w:w="222"/>
        <w:gridCol w:w="340"/>
        <w:gridCol w:w="699"/>
        <w:gridCol w:w="1004"/>
        <w:gridCol w:w="1091"/>
        <w:gridCol w:w="936"/>
        <w:gridCol w:w="414"/>
        <w:gridCol w:w="986"/>
        <w:gridCol w:w="1396"/>
      </w:tblGrid>
      <w:tr>
        <w:tblPrEx>
          <w:tblCellMar>
            <w:top w:w="0" w:type="dxa"/>
            <w:left w:w="108" w:type="dxa"/>
            <w:bottom w:w="0" w:type="dxa"/>
            <w:right w:w="108" w:type="dxa"/>
          </w:tblCellMar>
        </w:tblPrEx>
        <w:trPr>
          <w:trHeight w:val="479"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项目</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名称</w:t>
            </w:r>
          </w:p>
        </w:tc>
        <w:tc>
          <w:tcPr>
            <w:tcW w:w="1703"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基层治理工作经费</w:t>
            </w:r>
          </w:p>
        </w:tc>
        <w:tc>
          <w:tcPr>
            <w:tcW w:w="818"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项目</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编码</w:t>
            </w:r>
          </w:p>
        </w:tc>
        <w:tc>
          <w:tcPr>
            <w:tcW w:w="1039" w:type="dxa"/>
            <w:gridSpan w:val="2"/>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000</w:t>
            </w:r>
            <w:r>
              <w:rPr>
                <w:rFonts w:ascii="Times New Roman" w:hAnsi="Times New Roman" w:eastAsia="方正仿宋_GBK"/>
                <w:color w:val="000000"/>
              </w:rPr>
              <w:t>5</w:t>
            </w:r>
          </w:p>
        </w:tc>
        <w:tc>
          <w:tcPr>
            <w:tcW w:w="1004"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自评</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总分</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（分）</w:t>
            </w:r>
          </w:p>
        </w:tc>
        <w:tc>
          <w:tcPr>
            <w:tcW w:w="4823" w:type="dxa"/>
            <w:gridSpan w:val="5"/>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10分</w:t>
            </w:r>
          </w:p>
        </w:tc>
      </w:tr>
      <w:tr>
        <w:tblPrEx>
          <w:tblCellMar>
            <w:top w:w="0" w:type="dxa"/>
            <w:left w:w="108" w:type="dxa"/>
            <w:bottom w:w="0" w:type="dxa"/>
            <w:right w:w="108" w:type="dxa"/>
          </w:tblCellMar>
        </w:tblPrEx>
        <w:trPr>
          <w:trHeight w:val="479" w:hRule="atLeast"/>
          <w:jc w:val="center"/>
        </w:trPr>
        <w:tc>
          <w:tcPr>
            <w:tcW w:w="692"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主管</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部门</w:t>
            </w:r>
          </w:p>
        </w:tc>
        <w:tc>
          <w:tcPr>
            <w:tcW w:w="1703"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中共城口县委政法委员会</w:t>
            </w:r>
          </w:p>
        </w:tc>
        <w:tc>
          <w:tcPr>
            <w:tcW w:w="818" w:type="dxa"/>
            <w:gridSpan w:val="3"/>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财政</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处室</w:t>
            </w:r>
          </w:p>
        </w:tc>
        <w:tc>
          <w:tcPr>
            <w:tcW w:w="1039" w:type="dxa"/>
            <w:gridSpan w:val="2"/>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行政财务管理科</w:t>
            </w:r>
          </w:p>
        </w:tc>
        <w:tc>
          <w:tcPr>
            <w:tcW w:w="1004"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项目</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联系人</w:t>
            </w:r>
          </w:p>
        </w:tc>
        <w:tc>
          <w:tcPr>
            <w:tcW w:w="1091"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谢素娟</w:t>
            </w: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联系电话</w:t>
            </w:r>
          </w:p>
        </w:tc>
        <w:tc>
          <w:tcPr>
            <w:tcW w:w="2382" w:type="dxa"/>
            <w:gridSpan w:val="2"/>
            <w:tcBorders>
              <w:top w:val="single" w:color="auto" w:sz="4" w:space="0"/>
              <w:left w:val="nil"/>
              <w:bottom w:val="single" w:color="auto" w:sz="4" w:space="0"/>
              <w:right w:val="single" w:color="000000" w:sz="4" w:space="0"/>
            </w:tcBorders>
            <w:vAlign w:val="center"/>
          </w:tcPr>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59221566</w:t>
            </w:r>
          </w:p>
        </w:tc>
      </w:tr>
      <w:tr>
        <w:tblPrEx>
          <w:tblCellMar>
            <w:top w:w="0" w:type="dxa"/>
            <w:left w:w="108" w:type="dxa"/>
            <w:bottom w:w="0" w:type="dxa"/>
            <w:right w:w="108" w:type="dxa"/>
          </w:tblCellMar>
        </w:tblPrEx>
        <w:trPr>
          <w:trHeight w:val="479" w:hRule="atLeast"/>
          <w:jc w:val="center"/>
        </w:trPr>
        <w:tc>
          <w:tcPr>
            <w:tcW w:w="692" w:type="dxa"/>
            <w:vMerge w:val="restart"/>
            <w:tcBorders>
              <w:top w:val="nil"/>
              <w:left w:val="single" w:color="auto" w:sz="4" w:space="0"/>
              <w:bottom w:val="single" w:color="auto" w:sz="4" w:space="0"/>
              <w:right w:val="single" w:color="auto" w:sz="4" w:space="0"/>
            </w:tcBorders>
            <w:vAlign w:val="center"/>
          </w:tcPr>
          <w:p>
            <w:pPr>
              <w:spacing w:line="300" w:lineRule="exact"/>
              <w:ind w:left="113" w:right="113"/>
              <w:jc w:val="center"/>
              <w:rPr>
                <w:rFonts w:hint="default" w:ascii="Times New Roman" w:hAnsi="Times New Roman" w:eastAsia="方正仿宋_GBK"/>
                <w:color w:val="000000"/>
              </w:rPr>
            </w:pPr>
            <w:r>
              <w:rPr>
                <w:rFonts w:hint="default" w:ascii="Times New Roman" w:hAnsi="Times New Roman" w:eastAsia="方正仿宋_GBK"/>
                <w:color w:val="000000"/>
              </w:rPr>
              <w:t>项目资金（万元）</w:t>
            </w:r>
          </w:p>
        </w:tc>
        <w:tc>
          <w:tcPr>
            <w:tcW w:w="1288" w:type="dxa"/>
            <w:gridSpan w:val="2"/>
            <w:vMerge w:val="restart"/>
            <w:tcBorders>
              <w:top w:val="nil"/>
              <w:left w:val="nil"/>
              <w:bottom w:val="nil"/>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年度</w:t>
            </w:r>
          </w:p>
          <w:p>
            <w:pPr>
              <w:widowControl w:val="0"/>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总金额</w:t>
            </w:r>
          </w:p>
        </w:tc>
        <w:tc>
          <w:tcPr>
            <w:tcW w:w="1011"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年初</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预算数</w:t>
            </w:r>
          </w:p>
        </w:tc>
        <w:tc>
          <w:tcPr>
            <w:tcW w:w="1261"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（调整）预算数</w:t>
            </w:r>
          </w:p>
        </w:tc>
        <w:tc>
          <w:tcPr>
            <w:tcW w:w="209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全年执行数</w:t>
            </w: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执行率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w:t>
            </w:r>
          </w:p>
        </w:tc>
        <w:tc>
          <w:tcPr>
            <w:tcW w:w="98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执行率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权重</w:t>
            </w: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执行率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得分</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（分）</w:t>
            </w:r>
          </w:p>
        </w:tc>
      </w:tr>
      <w:tr>
        <w:tblPrEx>
          <w:tblCellMar>
            <w:top w:w="0" w:type="dxa"/>
            <w:left w:w="108" w:type="dxa"/>
            <w:bottom w:w="0" w:type="dxa"/>
            <w:right w:w="108" w:type="dxa"/>
          </w:tblCellMar>
        </w:tblPrEx>
        <w:trPr>
          <w:trHeight w:val="479" w:hRule="atLeast"/>
          <w:jc w:val="center"/>
        </w:trPr>
        <w:tc>
          <w:tcPr>
            <w:tcW w:w="692"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1288" w:type="dxa"/>
            <w:gridSpan w:val="2"/>
            <w:vMerge w:val="continue"/>
            <w:tcBorders>
              <w:top w:val="nil"/>
              <w:left w:val="nil"/>
              <w:bottom w:val="nil"/>
              <w:right w:val="nil"/>
            </w:tcBorders>
            <w:vAlign w:val="center"/>
          </w:tcPr>
          <w:p>
            <w:pPr>
              <w:rPr>
                <w:rFonts w:hint="default" w:ascii="Times New Roman" w:hAnsi="Times New Roman" w:eastAsia="方正仿宋_GBK"/>
                <w:color w:val="000000"/>
              </w:rPr>
            </w:pPr>
          </w:p>
        </w:tc>
        <w:tc>
          <w:tcPr>
            <w:tcW w:w="1011"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20</w:t>
            </w:r>
          </w:p>
        </w:tc>
        <w:tc>
          <w:tcPr>
            <w:tcW w:w="1261"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0</w:t>
            </w:r>
          </w:p>
        </w:tc>
        <w:tc>
          <w:tcPr>
            <w:tcW w:w="209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20</w:t>
            </w: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98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rPr>
            </w:pPr>
            <w:r>
              <w:rPr>
                <w:rFonts w:hint="default" w:ascii="Times New Roman" w:hAnsi="Times New Roman" w:eastAsia="方正仿宋_GBK"/>
              </w:rPr>
              <w:t>100</w:t>
            </w: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r>
      <w:tr>
        <w:tblPrEx>
          <w:tblCellMar>
            <w:top w:w="0" w:type="dxa"/>
            <w:left w:w="108" w:type="dxa"/>
            <w:bottom w:w="0" w:type="dxa"/>
            <w:right w:w="108" w:type="dxa"/>
          </w:tblCellMar>
        </w:tblPrEx>
        <w:trPr>
          <w:trHeight w:val="479" w:hRule="atLeast"/>
          <w:jc w:val="center"/>
        </w:trPr>
        <w:tc>
          <w:tcPr>
            <w:tcW w:w="692"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1288" w:type="dxa"/>
            <w:gridSpan w:val="2"/>
            <w:tcBorders>
              <w:top w:val="nil"/>
              <w:left w:val="nil"/>
              <w:bottom w:val="single" w:color="auto" w:sz="4" w:space="0"/>
              <w:right w:val="nil"/>
            </w:tcBorders>
            <w:vAlign w:val="center"/>
          </w:tcPr>
          <w:p>
            <w:pPr>
              <w:spacing w:line="300" w:lineRule="exact"/>
              <w:rPr>
                <w:rFonts w:hint="default" w:ascii="Times New Roman" w:hAnsi="Times New Roman" w:eastAsia="方正仿宋_GBK"/>
                <w:color w:val="000000"/>
              </w:rPr>
            </w:pPr>
            <w:r>
              <w:rPr>
                <w:rFonts w:hint="default" w:ascii="Times New Roman" w:hAnsi="Times New Roman" w:eastAsia="方正仿宋_GBK"/>
                <w:color w:val="000000"/>
              </w:rPr>
              <w:t>其中：</w:t>
            </w:r>
          </w:p>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县级支出</w:t>
            </w:r>
          </w:p>
        </w:tc>
        <w:tc>
          <w:tcPr>
            <w:tcW w:w="1011"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20</w:t>
            </w:r>
          </w:p>
        </w:tc>
        <w:tc>
          <w:tcPr>
            <w:tcW w:w="1261"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0</w:t>
            </w:r>
          </w:p>
        </w:tc>
        <w:tc>
          <w:tcPr>
            <w:tcW w:w="209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20</w:t>
            </w: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98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r>
      <w:tr>
        <w:tblPrEx>
          <w:tblCellMar>
            <w:top w:w="0" w:type="dxa"/>
            <w:left w:w="108" w:type="dxa"/>
            <w:bottom w:w="0" w:type="dxa"/>
            <w:right w:w="108" w:type="dxa"/>
          </w:tblCellMar>
        </w:tblPrEx>
        <w:trPr>
          <w:trHeight w:val="479" w:hRule="atLeast"/>
          <w:jc w:val="center"/>
        </w:trPr>
        <w:tc>
          <w:tcPr>
            <w:tcW w:w="692"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1288" w:type="dxa"/>
            <w:gridSpan w:val="2"/>
            <w:tcBorders>
              <w:top w:val="nil"/>
              <w:left w:val="nil"/>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补助区县</w:t>
            </w:r>
          </w:p>
        </w:tc>
        <w:tc>
          <w:tcPr>
            <w:tcW w:w="1011"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p>
        </w:tc>
        <w:tc>
          <w:tcPr>
            <w:tcW w:w="1261"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209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98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r>
      <w:tr>
        <w:tblPrEx>
          <w:tblCellMar>
            <w:top w:w="0" w:type="dxa"/>
            <w:left w:w="108" w:type="dxa"/>
            <w:bottom w:w="0" w:type="dxa"/>
            <w:right w:w="108" w:type="dxa"/>
          </w:tblCellMar>
        </w:tblPrEx>
        <w:trPr>
          <w:trHeight w:val="479" w:hRule="atLeast"/>
          <w:jc w:val="center"/>
        </w:trPr>
        <w:tc>
          <w:tcPr>
            <w:tcW w:w="692" w:type="dxa"/>
            <w:vMerge w:val="restart"/>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当年绩效目标</w:t>
            </w:r>
          </w:p>
        </w:tc>
        <w:tc>
          <w:tcPr>
            <w:tcW w:w="2521" w:type="dxa"/>
            <w:gridSpan w:val="7"/>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年初绩效目标</w:t>
            </w:r>
          </w:p>
        </w:tc>
        <w:tc>
          <w:tcPr>
            <w:tcW w:w="3134"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全年（调整）绩效目标</w:t>
            </w:r>
          </w:p>
        </w:tc>
        <w:tc>
          <w:tcPr>
            <w:tcW w:w="3732"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全年目标实际完成情况</w:t>
            </w:r>
          </w:p>
        </w:tc>
      </w:tr>
      <w:tr>
        <w:tblPrEx>
          <w:tblCellMar>
            <w:top w:w="0" w:type="dxa"/>
            <w:left w:w="108" w:type="dxa"/>
            <w:bottom w:w="0" w:type="dxa"/>
            <w:right w:w="108" w:type="dxa"/>
          </w:tblCellMar>
        </w:tblPrEx>
        <w:trPr>
          <w:trHeight w:val="1078" w:hRule="atLeast"/>
          <w:jc w:val="center"/>
        </w:trPr>
        <w:tc>
          <w:tcPr>
            <w:tcW w:w="692"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2521" w:type="dxa"/>
            <w:gridSpan w:val="7"/>
            <w:tcBorders>
              <w:top w:val="single" w:color="auto" w:sz="4" w:space="0"/>
              <w:left w:val="nil"/>
              <w:bottom w:val="single" w:color="auto" w:sz="4" w:space="0"/>
              <w:right w:val="single" w:color="000000" w:sz="4" w:space="0"/>
            </w:tcBorders>
            <w:vAlign w:val="center"/>
          </w:tcPr>
          <w:p>
            <w:pPr>
              <w:spacing w:line="300" w:lineRule="exact"/>
              <w:ind w:firstLine="480" w:firstLineChars="200"/>
              <w:rPr>
                <w:rFonts w:hint="default" w:ascii="Times New Roman" w:hAnsi="Times New Roman" w:eastAsia="方正仿宋_GBK"/>
                <w:color w:val="000000"/>
              </w:rPr>
            </w:pPr>
            <w:r>
              <w:rPr>
                <w:rFonts w:ascii="Times New Roman" w:hAnsi="Times New Roman" w:eastAsia="方正仿宋_GBK"/>
                <w:color w:val="000000"/>
              </w:rPr>
              <w:t>牵头指导市域社会治理现代化试点工作，有序推进综治中心规范化建设，、深化拓展网格化服务管理，推动开展基层平安创建活动。</w:t>
            </w:r>
          </w:p>
        </w:tc>
        <w:tc>
          <w:tcPr>
            <w:tcW w:w="3134"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组织开展政法队伍满意度测评。</w:t>
            </w:r>
          </w:p>
        </w:tc>
        <w:tc>
          <w:tcPr>
            <w:tcW w:w="3732" w:type="dxa"/>
            <w:gridSpan w:val="4"/>
            <w:tcBorders>
              <w:top w:val="single" w:color="auto" w:sz="4" w:space="0"/>
              <w:left w:val="nil"/>
              <w:bottom w:val="single" w:color="auto" w:sz="4" w:space="0"/>
              <w:right w:val="single" w:color="000000" w:sz="4" w:space="0"/>
            </w:tcBorders>
            <w:vAlign w:val="center"/>
          </w:tcPr>
          <w:p>
            <w:pPr>
              <w:spacing w:line="300" w:lineRule="exact"/>
              <w:ind w:firstLine="480" w:firstLineChars="200"/>
              <w:rPr>
                <w:rFonts w:hint="default" w:ascii="Times New Roman" w:hAnsi="Times New Roman" w:eastAsia="方正仿宋_GBK"/>
                <w:color w:val="000000"/>
              </w:rPr>
            </w:pPr>
            <w:r>
              <w:rPr>
                <w:rFonts w:ascii="Times New Roman" w:hAnsi="Times New Roman" w:eastAsia="方正仿宋_GBK"/>
                <w:color w:val="000000"/>
              </w:rPr>
              <w:t>全面提升“群众说事处”等治理品牌效能。组织指导“雪亮工程”等政法综治信息化、智能化建设。研究完善群众利益协调机制，组织协调矛盾纠纷多元化解工作。</w:t>
            </w:r>
          </w:p>
        </w:tc>
      </w:tr>
      <w:tr>
        <w:tblPrEx>
          <w:tblCellMar>
            <w:top w:w="0" w:type="dxa"/>
            <w:left w:w="108" w:type="dxa"/>
            <w:bottom w:w="0" w:type="dxa"/>
            <w:right w:w="108" w:type="dxa"/>
          </w:tblCellMar>
        </w:tblPrEx>
        <w:trPr>
          <w:trHeight w:val="479" w:hRule="atLeast"/>
          <w:jc w:val="center"/>
        </w:trPr>
        <w:tc>
          <w:tcPr>
            <w:tcW w:w="692" w:type="dxa"/>
            <w:vMerge w:val="restart"/>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绩效指标</w:t>
            </w:r>
          </w:p>
        </w:tc>
        <w:tc>
          <w:tcPr>
            <w:tcW w:w="751" w:type="dxa"/>
            <w:tcBorders>
              <w:top w:val="nil"/>
              <w:left w:val="nil"/>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名称</w:t>
            </w:r>
          </w:p>
        </w:tc>
        <w:tc>
          <w:tcPr>
            <w:tcW w:w="703" w:type="dxa"/>
            <w:gridSpan w:val="2"/>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计量</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单位</w:t>
            </w:r>
          </w:p>
        </w:tc>
        <w:tc>
          <w:tcPr>
            <w:tcW w:w="704"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性质</w:t>
            </w:r>
          </w:p>
        </w:tc>
        <w:tc>
          <w:tcPr>
            <w:tcW w:w="703" w:type="dxa"/>
            <w:gridSpan w:val="3"/>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年初</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值</w:t>
            </w:r>
          </w:p>
        </w:tc>
        <w:tc>
          <w:tcPr>
            <w:tcW w:w="699"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调整</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值</w:t>
            </w:r>
          </w:p>
        </w:tc>
        <w:tc>
          <w:tcPr>
            <w:tcW w:w="1004"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完成值</w:t>
            </w:r>
          </w:p>
        </w:tc>
        <w:tc>
          <w:tcPr>
            <w:tcW w:w="1091"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得分</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系数</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w:t>
            </w:r>
          </w:p>
        </w:tc>
        <w:tc>
          <w:tcPr>
            <w:tcW w:w="93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权重</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（分）</w:t>
            </w:r>
          </w:p>
        </w:tc>
        <w:tc>
          <w:tcPr>
            <w:tcW w:w="140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指标得分</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（分）</w:t>
            </w: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是否核心</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tc>
      </w:tr>
      <w:tr>
        <w:tblPrEx>
          <w:tblCellMar>
            <w:top w:w="0" w:type="dxa"/>
            <w:left w:w="108" w:type="dxa"/>
            <w:bottom w:w="0" w:type="dxa"/>
            <w:right w:w="108" w:type="dxa"/>
          </w:tblCellMar>
        </w:tblPrEx>
        <w:trPr>
          <w:trHeight w:val="417" w:hRule="atLeast"/>
          <w:jc w:val="center"/>
        </w:trPr>
        <w:tc>
          <w:tcPr>
            <w:tcW w:w="692"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751" w:type="dxa"/>
            <w:tcBorders>
              <w:top w:val="nil"/>
              <w:left w:val="nil"/>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基层治理工作经费</w:t>
            </w:r>
          </w:p>
        </w:tc>
        <w:tc>
          <w:tcPr>
            <w:tcW w:w="703" w:type="dxa"/>
            <w:gridSpan w:val="2"/>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个</w:t>
            </w:r>
          </w:p>
        </w:tc>
        <w:tc>
          <w:tcPr>
            <w:tcW w:w="704" w:type="dxa"/>
            <w:gridSpan w:val="2"/>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项目经费</w:t>
            </w:r>
          </w:p>
        </w:tc>
        <w:tc>
          <w:tcPr>
            <w:tcW w:w="703" w:type="dxa"/>
            <w:gridSpan w:val="3"/>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20</w:t>
            </w:r>
          </w:p>
        </w:tc>
        <w:tc>
          <w:tcPr>
            <w:tcW w:w="699"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0</w:t>
            </w:r>
          </w:p>
        </w:tc>
        <w:tc>
          <w:tcPr>
            <w:tcW w:w="1004"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20</w:t>
            </w:r>
          </w:p>
        </w:tc>
        <w:tc>
          <w:tcPr>
            <w:tcW w:w="1091"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936"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1400" w:type="dxa"/>
            <w:gridSpan w:val="2"/>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1396"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是</w:t>
            </w:r>
          </w:p>
        </w:tc>
      </w:tr>
      <w:tr>
        <w:tblPrEx>
          <w:tblCellMar>
            <w:top w:w="0" w:type="dxa"/>
            <w:left w:w="108" w:type="dxa"/>
            <w:bottom w:w="0" w:type="dxa"/>
            <w:right w:w="108" w:type="dxa"/>
          </w:tblCellMar>
        </w:tblPrEx>
        <w:trPr>
          <w:trHeight w:val="2219" w:hRule="atLeast"/>
          <w:jc w:val="center"/>
        </w:trPr>
        <w:tc>
          <w:tcPr>
            <w:tcW w:w="692" w:type="dxa"/>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说明</w:t>
            </w:r>
          </w:p>
        </w:tc>
        <w:tc>
          <w:tcPr>
            <w:tcW w:w="9387" w:type="dxa"/>
            <w:gridSpan w:val="15"/>
            <w:tcBorders>
              <w:top w:val="single" w:color="auto" w:sz="4" w:space="0"/>
              <w:left w:val="nil"/>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p>
        </w:tc>
      </w:tr>
    </w:tbl>
    <w:p>
      <w:pPr>
        <w:pStyle w:val="19"/>
        <w:spacing w:line="600" w:lineRule="exact"/>
        <w:ind w:firstLine="2880" w:firstLineChars="800"/>
        <w:rPr>
          <w:rFonts w:eastAsia="方正小标宋_GBK"/>
          <w:color w:val="000000"/>
          <w:kern w:val="0"/>
          <w:sz w:val="36"/>
          <w:szCs w:val="36"/>
        </w:rPr>
      </w:pPr>
    </w:p>
    <w:p>
      <w:pPr>
        <w:spacing w:line="600" w:lineRule="exact"/>
        <w:rPr>
          <w:rFonts w:hint="default" w:eastAsia="方正小标宋_GBK"/>
          <w:color w:val="000000"/>
          <w:sz w:val="36"/>
          <w:szCs w:val="36"/>
        </w:rPr>
      </w:pPr>
    </w:p>
    <w:p>
      <w:pPr>
        <w:pStyle w:val="19"/>
        <w:spacing w:line="600" w:lineRule="exact"/>
        <w:ind w:firstLine="2880" w:firstLineChars="800"/>
        <w:rPr>
          <w:rFonts w:eastAsia="方正小标宋_GBK"/>
          <w:color w:val="000000"/>
          <w:kern w:val="0"/>
          <w:sz w:val="36"/>
          <w:szCs w:val="36"/>
        </w:rPr>
      </w:pPr>
      <w:r>
        <w:rPr>
          <w:rFonts w:hint="eastAsia" w:eastAsia="方正小标宋_GBK"/>
          <w:color w:val="000000"/>
          <w:kern w:val="0"/>
          <w:sz w:val="36"/>
          <w:szCs w:val="36"/>
        </w:rPr>
        <w:t>二</w:t>
      </w:r>
      <w:r>
        <w:rPr>
          <w:rFonts w:eastAsia="方正小标宋_GBK"/>
          <w:color w:val="000000"/>
          <w:kern w:val="0"/>
          <w:sz w:val="36"/>
          <w:szCs w:val="36"/>
        </w:rPr>
        <w:t>级项目绩效自评表</w:t>
      </w:r>
    </w:p>
    <w:tbl>
      <w:tblPr>
        <w:tblStyle w:val="7"/>
        <w:tblW w:w="10079" w:type="dxa"/>
        <w:jc w:val="center"/>
        <w:tblLayout w:type="fixed"/>
        <w:tblCellMar>
          <w:top w:w="0" w:type="dxa"/>
          <w:left w:w="108" w:type="dxa"/>
          <w:bottom w:w="0" w:type="dxa"/>
          <w:right w:w="108" w:type="dxa"/>
        </w:tblCellMar>
      </w:tblPr>
      <w:tblGrid>
        <w:gridCol w:w="692"/>
        <w:gridCol w:w="751"/>
        <w:gridCol w:w="537"/>
        <w:gridCol w:w="166"/>
        <w:gridCol w:w="249"/>
        <w:gridCol w:w="455"/>
        <w:gridCol w:w="141"/>
        <w:gridCol w:w="222"/>
        <w:gridCol w:w="340"/>
        <w:gridCol w:w="699"/>
        <w:gridCol w:w="1004"/>
        <w:gridCol w:w="1091"/>
        <w:gridCol w:w="936"/>
        <w:gridCol w:w="414"/>
        <w:gridCol w:w="986"/>
        <w:gridCol w:w="1396"/>
      </w:tblGrid>
      <w:tr>
        <w:tblPrEx>
          <w:tblCellMar>
            <w:top w:w="0" w:type="dxa"/>
            <w:left w:w="108" w:type="dxa"/>
            <w:bottom w:w="0" w:type="dxa"/>
            <w:right w:w="108" w:type="dxa"/>
          </w:tblCellMar>
        </w:tblPrEx>
        <w:trPr>
          <w:trHeight w:val="479"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项目</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名称</w:t>
            </w:r>
          </w:p>
        </w:tc>
        <w:tc>
          <w:tcPr>
            <w:tcW w:w="1703"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扫黑除恶</w:t>
            </w:r>
          </w:p>
        </w:tc>
        <w:tc>
          <w:tcPr>
            <w:tcW w:w="818"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项目</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编码</w:t>
            </w:r>
          </w:p>
        </w:tc>
        <w:tc>
          <w:tcPr>
            <w:tcW w:w="1039" w:type="dxa"/>
            <w:gridSpan w:val="2"/>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000</w:t>
            </w:r>
            <w:r>
              <w:rPr>
                <w:rFonts w:ascii="Times New Roman" w:hAnsi="Times New Roman" w:eastAsia="方正仿宋_GBK"/>
                <w:color w:val="000000"/>
              </w:rPr>
              <w:t>6</w:t>
            </w:r>
          </w:p>
        </w:tc>
        <w:tc>
          <w:tcPr>
            <w:tcW w:w="1004"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自评</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总分</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（分）</w:t>
            </w:r>
          </w:p>
        </w:tc>
        <w:tc>
          <w:tcPr>
            <w:tcW w:w="4823" w:type="dxa"/>
            <w:gridSpan w:val="5"/>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10分</w:t>
            </w:r>
          </w:p>
        </w:tc>
      </w:tr>
      <w:tr>
        <w:tblPrEx>
          <w:tblCellMar>
            <w:top w:w="0" w:type="dxa"/>
            <w:left w:w="108" w:type="dxa"/>
            <w:bottom w:w="0" w:type="dxa"/>
            <w:right w:w="108" w:type="dxa"/>
          </w:tblCellMar>
        </w:tblPrEx>
        <w:trPr>
          <w:trHeight w:val="479" w:hRule="atLeast"/>
          <w:jc w:val="center"/>
        </w:trPr>
        <w:tc>
          <w:tcPr>
            <w:tcW w:w="692"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主管</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部门</w:t>
            </w:r>
          </w:p>
        </w:tc>
        <w:tc>
          <w:tcPr>
            <w:tcW w:w="1703"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中共城口县委政法委员会</w:t>
            </w:r>
          </w:p>
        </w:tc>
        <w:tc>
          <w:tcPr>
            <w:tcW w:w="818" w:type="dxa"/>
            <w:gridSpan w:val="3"/>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财政</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处室</w:t>
            </w:r>
          </w:p>
        </w:tc>
        <w:tc>
          <w:tcPr>
            <w:tcW w:w="1039" w:type="dxa"/>
            <w:gridSpan w:val="2"/>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行政财务管理科</w:t>
            </w:r>
          </w:p>
        </w:tc>
        <w:tc>
          <w:tcPr>
            <w:tcW w:w="1004"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项目</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联系人</w:t>
            </w:r>
          </w:p>
        </w:tc>
        <w:tc>
          <w:tcPr>
            <w:tcW w:w="1091"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谢素娟</w:t>
            </w: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联系电话</w:t>
            </w:r>
          </w:p>
        </w:tc>
        <w:tc>
          <w:tcPr>
            <w:tcW w:w="2382" w:type="dxa"/>
            <w:gridSpan w:val="2"/>
            <w:tcBorders>
              <w:top w:val="single" w:color="auto" w:sz="4" w:space="0"/>
              <w:left w:val="nil"/>
              <w:bottom w:val="single" w:color="auto" w:sz="4" w:space="0"/>
              <w:right w:val="single" w:color="000000" w:sz="4" w:space="0"/>
            </w:tcBorders>
            <w:vAlign w:val="center"/>
          </w:tcPr>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59221566</w:t>
            </w:r>
          </w:p>
        </w:tc>
      </w:tr>
      <w:tr>
        <w:tblPrEx>
          <w:tblCellMar>
            <w:top w:w="0" w:type="dxa"/>
            <w:left w:w="108" w:type="dxa"/>
            <w:bottom w:w="0" w:type="dxa"/>
            <w:right w:w="108" w:type="dxa"/>
          </w:tblCellMar>
        </w:tblPrEx>
        <w:trPr>
          <w:trHeight w:val="479" w:hRule="atLeast"/>
          <w:jc w:val="center"/>
        </w:trPr>
        <w:tc>
          <w:tcPr>
            <w:tcW w:w="692" w:type="dxa"/>
            <w:vMerge w:val="restart"/>
            <w:tcBorders>
              <w:top w:val="nil"/>
              <w:left w:val="single" w:color="auto" w:sz="4" w:space="0"/>
              <w:bottom w:val="single" w:color="auto" w:sz="4" w:space="0"/>
              <w:right w:val="single" w:color="auto" w:sz="4" w:space="0"/>
            </w:tcBorders>
            <w:vAlign w:val="center"/>
          </w:tcPr>
          <w:p>
            <w:pPr>
              <w:spacing w:line="300" w:lineRule="exact"/>
              <w:ind w:left="113" w:right="113"/>
              <w:jc w:val="center"/>
              <w:rPr>
                <w:rFonts w:hint="default" w:ascii="Times New Roman" w:hAnsi="Times New Roman" w:eastAsia="方正仿宋_GBK"/>
                <w:color w:val="000000"/>
              </w:rPr>
            </w:pPr>
            <w:r>
              <w:rPr>
                <w:rFonts w:hint="default" w:ascii="Times New Roman" w:hAnsi="Times New Roman" w:eastAsia="方正仿宋_GBK"/>
                <w:color w:val="000000"/>
              </w:rPr>
              <w:t>项目资金（万元）</w:t>
            </w:r>
          </w:p>
        </w:tc>
        <w:tc>
          <w:tcPr>
            <w:tcW w:w="1288" w:type="dxa"/>
            <w:gridSpan w:val="2"/>
            <w:vMerge w:val="restart"/>
            <w:tcBorders>
              <w:top w:val="nil"/>
              <w:left w:val="nil"/>
              <w:bottom w:val="nil"/>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年度</w:t>
            </w:r>
          </w:p>
          <w:p>
            <w:pPr>
              <w:widowControl w:val="0"/>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总金额</w:t>
            </w:r>
          </w:p>
        </w:tc>
        <w:tc>
          <w:tcPr>
            <w:tcW w:w="1011"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年初</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预算数</w:t>
            </w:r>
          </w:p>
        </w:tc>
        <w:tc>
          <w:tcPr>
            <w:tcW w:w="1261"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（调整）预算数</w:t>
            </w:r>
          </w:p>
        </w:tc>
        <w:tc>
          <w:tcPr>
            <w:tcW w:w="209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全年执行数</w:t>
            </w: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执行率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w:t>
            </w:r>
          </w:p>
        </w:tc>
        <w:tc>
          <w:tcPr>
            <w:tcW w:w="98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执行率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权重</w:t>
            </w: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执行率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得分</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（分）</w:t>
            </w:r>
          </w:p>
        </w:tc>
      </w:tr>
      <w:tr>
        <w:tblPrEx>
          <w:tblCellMar>
            <w:top w:w="0" w:type="dxa"/>
            <w:left w:w="108" w:type="dxa"/>
            <w:bottom w:w="0" w:type="dxa"/>
            <w:right w:w="108" w:type="dxa"/>
          </w:tblCellMar>
        </w:tblPrEx>
        <w:trPr>
          <w:trHeight w:val="479"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600" w:type="dxa"/>
            <w:gridSpan w:val="2"/>
            <w:vMerge w:val="continue"/>
            <w:tcBorders>
              <w:top w:val="nil"/>
              <w:left w:val="nil"/>
              <w:bottom w:val="nil"/>
              <w:right w:val="nil"/>
            </w:tcBorders>
            <w:vAlign w:val="center"/>
          </w:tcPr>
          <w:p>
            <w:pPr>
              <w:rPr>
                <w:rFonts w:hint="default" w:ascii="Times New Roman" w:hAnsi="Times New Roman" w:eastAsia="方正仿宋_GBK"/>
                <w:color w:val="000000"/>
              </w:rPr>
            </w:pPr>
          </w:p>
        </w:tc>
        <w:tc>
          <w:tcPr>
            <w:tcW w:w="1011"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20</w:t>
            </w:r>
          </w:p>
        </w:tc>
        <w:tc>
          <w:tcPr>
            <w:tcW w:w="1261"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0</w:t>
            </w:r>
          </w:p>
        </w:tc>
        <w:tc>
          <w:tcPr>
            <w:tcW w:w="209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20</w:t>
            </w: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98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rPr>
            </w:pPr>
            <w:r>
              <w:rPr>
                <w:rFonts w:hint="default" w:ascii="Times New Roman" w:hAnsi="Times New Roman" w:eastAsia="方正仿宋_GBK"/>
              </w:rPr>
              <w:t>100</w:t>
            </w: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r>
      <w:tr>
        <w:tblPrEx>
          <w:tblCellMar>
            <w:top w:w="0" w:type="dxa"/>
            <w:left w:w="108" w:type="dxa"/>
            <w:bottom w:w="0" w:type="dxa"/>
            <w:right w:w="108" w:type="dxa"/>
          </w:tblCellMar>
        </w:tblPrEx>
        <w:trPr>
          <w:trHeight w:val="479"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1288" w:type="dxa"/>
            <w:gridSpan w:val="2"/>
            <w:tcBorders>
              <w:top w:val="nil"/>
              <w:left w:val="nil"/>
              <w:bottom w:val="single" w:color="auto" w:sz="4" w:space="0"/>
              <w:right w:val="nil"/>
            </w:tcBorders>
            <w:vAlign w:val="center"/>
          </w:tcPr>
          <w:p>
            <w:pPr>
              <w:spacing w:line="300" w:lineRule="exact"/>
              <w:rPr>
                <w:rFonts w:hint="default" w:ascii="Times New Roman" w:hAnsi="Times New Roman" w:eastAsia="方正仿宋_GBK"/>
                <w:color w:val="000000"/>
              </w:rPr>
            </w:pPr>
            <w:r>
              <w:rPr>
                <w:rFonts w:hint="default" w:ascii="Times New Roman" w:hAnsi="Times New Roman" w:eastAsia="方正仿宋_GBK"/>
                <w:color w:val="000000"/>
              </w:rPr>
              <w:t>其中：</w:t>
            </w:r>
          </w:p>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县级支出</w:t>
            </w:r>
          </w:p>
        </w:tc>
        <w:tc>
          <w:tcPr>
            <w:tcW w:w="1011"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20</w:t>
            </w:r>
          </w:p>
        </w:tc>
        <w:tc>
          <w:tcPr>
            <w:tcW w:w="1261"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0</w:t>
            </w:r>
          </w:p>
        </w:tc>
        <w:tc>
          <w:tcPr>
            <w:tcW w:w="209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20</w:t>
            </w: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98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r>
      <w:tr>
        <w:tblPrEx>
          <w:tblCellMar>
            <w:top w:w="0" w:type="dxa"/>
            <w:left w:w="108" w:type="dxa"/>
            <w:bottom w:w="0" w:type="dxa"/>
            <w:right w:w="108" w:type="dxa"/>
          </w:tblCellMar>
        </w:tblPrEx>
        <w:trPr>
          <w:trHeight w:val="479"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1288" w:type="dxa"/>
            <w:gridSpan w:val="2"/>
            <w:tcBorders>
              <w:top w:val="nil"/>
              <w:left w:val="nil"/>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补助区县</w:t>
            </w:r>
          </w:p>
        </w:tc>
        <w:tc>
          <w:tcPr>
            <w:tcW w:w="1011"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p>
        </w:tc>
        <w:tc>
          <w:tcPr>
            <w:tcW w:w="1261"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209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98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r>
      <w:tr>
        <w:tblPrEx>
          <w:tblCellMar>
            <w:top w:w="0" w:type="dxa"/>
            <w:left w:w="108" w:type="dxa"/>
            <w:bottom w:w="0" w:type="dxa"/>
            <w:right w:w="108" w:type="dxa"/>
          </w:tblCellMar>
        </w:tblPrEx>
        <w:trPr>
          <w:trHeight w:val="479" w:hRule="atLeast"/>
          <w:jc w:val="center"/>
        </w:trPr>
        <w:tc>
          <w:tcPr>
            <w:tcW w:w="692" w:type="dxa"/>
            <w:vMerge w:val="restart"/>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当年绩效目标</w:t>
            </w:r>
          </w:p>
        </w:tc>
        <w:tc>
          <w:tcPr>
            <w:tcW w:w="2521" w:type="dxa"/>
            <w:gridSpan w:val="7"/>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年初绩效目标</w:t>
            </w:r>
          </w:p>
        </w:tc>
        <w:tc>
          <w:tcPr>
            <w:tcW w:w="3134"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全年（调整）绩效目标</w:t>
            </w:r>
          </w:p>
        </w:tc>
        <w:tc>
          <w:tcPr>
            <w:tcW w:w="3732"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全年目标实际完成情况</w:t>
            </w:r>
          </w:p>
        </w:tc>
      </w:tr>
      <w:tr>
        <w:tblPrEx>
          <w:tblCellMar>
            <w:top w:w="0" w:type="dxa"/>
            <w:left w:w="108" w:type="dxa"/>
            <w:bottom w:w="0" w:type="dxa"/>
            <w:right w:w="108" w:type="dxa"/>
          </w:tblCellMar>
        </w:tblPrEx>
        <w:trPr>
          <w:trHeight w:val="1078"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2521" w:type="dxa"/>
            <w:gridSpan w:val="7"/>
            <w:tcBorders>
              <w:top w:val="single" w:color="auto" w:sz="4" w:space="0"/>
              <w:left w:val="nil"/>
              <w:bottom w:val="single" w:color="auto" w:sz="4" w:space="0"/>
              <w:right w:val="single" w:color="000000" w:sz="4" w:space="0"/>
            </w:tcBorders>
            <w:vAlign w:val="center"/>
          </w:tcPr>
          <w:p>
            <w:pPr>
              <w:spacing w:line="300" w:lineRule="exact"/>
              <w:ind w:firstLine="480" w:firstLineChars="200"/>
              <w:rPr>
                <w:rFonts w:hint="default" w:ascii="Times New Roman" w:hAnsi="Times New Roman" w:eastAsia="方正仿宋_GBK"/>
                <w:color w:val="000000"/>
              </w:rPr>
            </w:pPr>
            <w:r>
              <w:rPr>
                <w:rFonts w:ascii="Times New Roman" w:hAnsi="Times New Roman" w:eastAsia="方正仿宋_GBK"/>
                <w:color w:val="000000"/>
              </w:rPr>
              <w:t>深入推进教育、金融放贷、市场流通等重点行业领域整治，集中打击一批涉黑涉恶违法犯罪，有效治理一批群众反映强烈的行业领域突出问题。</w:t>
            </w:r>
          </w:p>
        </w:tc>
        <w:tc>
          <w:tcPr>
            <w:tcW w:w="3134"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组织开展政法队伍满意度测评。</w:t>
            </w:r>
          </w:p>
        </w:tc>
        <w:tc>
          <w:tcPr>
            <w:tcW w:w="3732" w:type="dxa"/>
            <w:gridSpan w:val="4"/>
            <w:tcBorders>
              <w:top w:val="single" w:color="auto" w:sz="4" w:space="0"/>
              <w:left w:val="nil"/>
              <w:bottom w:val="single" w:color="auto" w:sz="4" w:space="0"/>
              <w:right w:val="single" w:color="000000" w:sz="4" w:space="0"/>
            </w:tcBorders>
            <w:vAlign w:val="center"/>
          </w:tcPr>
          <w:p>
            <w:pPr>
              <w:spacing w:line="300" w:lineRule="exact"/>
              <w:ind w:firstLine="360" w:firstLineChars="150"/>
              <w:rPr>
                <w:rFonts w:hint="default" w:ascii="Times New Roman" w:hAnsi="Times New Roman" w:eastAsia="方正仿宋_GBK"/>
                <w:color w:val="000000"/>
              </w:rPr>
            </w:pPr>
            <w:r>
              <w:rPr>
                <w:rFonts w:ascii="Times New Roman" w:hAnsi="Times New Roman" w:eastAsia="方正仿宋_GBK"/>
                <w:color w:val="000000"/>
              </w:rPr>
              <w:t>建立健全源头治理的制度体系，努力实现行业领域涉黑涉恶犯罪有效铲除、行业乱象得到有效治理、行业秩序明显好转、长效机制基本建立、人民群众满意度提升。</w:t>
            </w:r>
          </w:p>
        </w:tc>
      </w:tr>
      <w:tr>
        <w:tblPrEx>
          <w:tblCellMar>
            <w:top w:w="0" w:type="dxa"/>
            <w:left w:w="108" w:type="dxa"/>
            <w:bottom w:w="0" w:type="dxa"/>
            <w:right w:w="108" w:type="dxa"/>
          </w:tblCellMar>
        </w:tblPrEx>
        <w:trPr>
          <w:trHeight w:val="479" w:hRule="atLeast"/>
          <w:jc w:val="center"/>
        </w:trPr>
        <w:tc>
          <w:tcPr>
            <w:tcW w:w="692" w:type="dxa"/>
            <w:vMerge w:val="restart"/>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绩效指标</w:t>
            </w:r>
          </w:p>
        </w:tc>
        <w:tc>
          <w:tcPr>
            <w:tcW w:w="751" w:type="dxa"/>
            <w:tcBorders>
              <w:top w:val="nil"/>
              <w:left w:val="nil"/>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名称</w:t>
            </w:r>
          </w:p>
        </w:tc>
        <w:tc>
          <w:tcPr>
            <w:tcW w:w="703" w:type="dxa"/>
            <w:gridSpan w:val="2"/>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计量</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单位</w:t>
            </w:r>
          </w:p>
        </w:tc>
        <w:tc>
          <w:tcPr>
            <w:tcW w:w="704"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性质</w:t>
            </w:r>
          </w:p>
        </w:tc>
        <w:tc>
          <w:tcPr>
            <w:tcW w:w="703" w:type="dxa"/>
            <w:gridSpan w:val="3"/>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年初</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值</w:t>
            </w:r>
          </w:p>
        </w:tc>
        <w:tc>
          <w:tcPr>
            <w:tcW w:w="699"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调整</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值</w:t>
            </w:r>
          </w:p>
        </w:tc>
        <w:tc>
          <w:tcPr>
            <w:tcW w:w="1004"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完成值</w:t>
            </w:r>
          </w:p>
        </w:tc>
        <w:tc>
          <w:tcPr>
            <w:tcW w:w="1091"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得分</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系数</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w:t>
            </w:r>
          </w:p>
        </w:tc>
        <w:tc>
          <w:tcPr>
            <w:tcW w:w="93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权重</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（分）</w:t>
            </w:r>
          </w:p>
        </w:tc>
        <w:tc>
          <w:tcPr>
            <w:tcW w:w="140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指标得分</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（分）</w:t>
            </w: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是否核心</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tc>
      </w:tr>
      <w:tr>
        <w:tblPrEx>
          <w:tblCellMar>
            <w:top w:w="0" w:type="dxa"/>
            <w:left w:w="108" w:type="dxa"/>
            <w:bottom w:w="0" w:type="dxa"/>
            <w:right w:w="108" w:type="dxa"/>
          </w:tblCellMar>
        </w:tblPrEx>
        <w:trPr>
          <w:trHeight w:val="417"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751" w:type="dxa"/>
            <w:tcBorders>
              <w:top w:val="nil"/>
              <w:left w:val="nil"/>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扫黑除恶</w:t>
            </w:r>
          </w:p>
        </w:tc>
        <w:tc>
          <w:tcPr>
            <w:tcW w:w="703" w:type="dxa"/>
            <w:gridSpan w:val="2"/>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个</w:t>
            </w:r>
          </w:p>
        </w:tc>
        <w:tc>
          <w:tcPr>
            <w:tcW w:w="704" w:type="dxa"/>
            <w:gridSpan w:val="2"/>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项目经费</w:t>
            </w:r>
          </w:p>
        </w:tc>
        <w:tc>
          <w:tcPr>
            <w:tcW w:w="703" w:type="dxa"/>
            <w:gridSpan w:val="3"/>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20</w:t>
            </w:r>
          </w:p>
        </w:tc>
        <w:tc>
          <w:tcPr>
            <w:tcW w:w="699"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0</w:t>
            </w:r>
          </w:p>
        </w:tc>
        <w:tc>
          <w:tcPr>
            <w:tcW w:w="1004"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20</w:t>
            </w:r>
          </w:p>
        </w:tc>
        <w:tc>
          <w:tcPr>
            <w:tcW w:w="1091"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936"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1400" w:type="dxa"/>
            <w:gridSpan w:val="2"/>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1396"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是</w:t>
            </w:r>
          </w:p>
        </w:tc>
      </w:tr>
      <w:tr>
        <w:tblPrEx>
          <w:tblCellMar>
            <w:top w:w="0" w:type="dxa"/>
            <w:left w:w="108" w:type="dxa"/>
            <w:bottom w:w="0" w:type="dxa"/>
            <w:right w:w="108" w:type="dxa"/>
          </w:tblCellMar>
        </w:tblPrEx>
        <w:trPr>
          <w:trHeight w:val="2820" w:hRule="atLeast"/>
          <w:jc w:val="center"/>
        </w:trPr>
        <w:tc>
          <w:tcPr>
            <w:tcW w:w="692" w:type="dxa"/>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说明</w:t>
            </w:r>
          </w:p>
        </w:tc>
        <w:tc>
          <w:tcPr>
            <w:tcW w:w="9387" w:type="dxa"/>
            <w:gridSpan w:val="15"/>
            <w:tcBorders>
              <w:top w:val="single" w:color="auto" w:sz="4" w:space="0"/>
              <w:left w:val="nil"/>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p>
        </w:tc>
      </w:tr>
    </w:tbl>
    <w:p>
      <w:pPr>
        <w:pStyle w:val="19"/>
        <w:autoSpaceDE w:val="0"/>
        <w:spacing w:line="600" w:lineRule="exact"/>
        <w:ind w:firstLine="640"/>
        <w:rPr>
          <w:rFonts w:eastAsia="方正仿宋_GBK"/>
          <w:kern w:val="0"/>
          <w:sz w:val="32"/>
          <w:szCs w:val="32"/>
          <w:shd w:val="clear" w:color="auto" w:fill="FFFFFF"/>
        </w:rPr>
      </w:pPr>
    </w:p>
    <w:p>
      <w:pPr>
        <w:pStyle w:val="11"/>
        <w:autoSpaceDE w:val="0"/>
        <w:spacing w:line="580" w:lineRule="exact"/>
        <w:ind w:firstLine="480" w:firstLineChars="150"/>
        <w:jc w:val="both"/>
        <w:rPr>
          <w:rFonts w:ascii="Times New Roman" w:hAnsi="Times New Roman" w:eastAsia="楷体"/>
          <w:bCs/>
          <w:sz w:val="32"/>
          <w:szCs w:val="32"/>
          <w:shd w:val="clear" w:color="auto" w:fill="FFFFFF"/>
        </w:rPr>
      </w:pPr>
      <w:r>
        <w:rPr>
          <w:rFonts w:ascii="Times New Roman" w:hAnsi="Times New Roman" w:eastAsia="楷体"/>
          <w:bCs/>
          <w:sz w:val="32"/>
          <w:szCs w:val="32"/>
          <w:shd w:val="clear" w:color="auto" w:fill="FFFFFF"/>
        </w:rPr>
        <w:t>（三）财政绩效评价情况</w:t>
      </w:r>
    </w:p>
    <w:p>
      <w:pPr>
        <w:pStyle w:val="11"/>
        <w:autoSpaceDE w:val="0"/>
        <w:spacing w:line="580" w:lineRule="exact"/>
        <w:ind w:firstLine="64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市财政局未委托第三方对我单位开展绩效评价。</w:t>
      </w:r>
    </w:p>
    <w:p>
      <w:pPr>
        <w:pStyle w:val="6"/>
        <w:shd w:val="clear" w:color="auto" w:fill="FFFFFF"/>
        <w:spacing w:before="0" w:beforeAutospacing="0" w:after="0" w:afterAutospacing="0" w:line="580" w:lineRule="exact"/>
        <w:ind w:firstLine="640" w:firstLineChars="200"/>
        <w:jc w:val="both"/>
        <w:rPr>
          <w:rStyle w:val="10"/>
          <w:rFonts w:hint="default" w:ascii="Times New Roman" w:hAnsi="Times New Roman" w:eastAsia="方正仿宋_GBK"/>
          <w:b w:val="0"/>
          <w:sz w:val="32"/>
          <w:szCs w:val="32"/>
          <w:shd w:val="clear" w:color="auto" w:fill="FFFFFF"/>
        </w:rPr>
      </w:pPr>
      <w:r>
        <w:rPr>
          <w:rStyle w:val="10"/>
          <w:rFonts w:hint="default" w:ascii="Times New Roman" w:hAnsi="Times New Roman" w:eastAsia="方正仿宋_GBK"/>
          <w:b w:val="0"/>
          <w:sz w:val="32"/>
          <w:szCs w:val="32"/>
          <w:shd w:val="clear" w:color="auto" w:fill="FFFFFF"/>
        </w:rPr>
        <w:t xml:space="preserve">  </w:t>
      </w:r>
      <w:r>
        <w:rPr>
          <w:rStyle w:val="10"/>
          <w:rFonts w:hint="default" w:ascii="Times New Roman" w:hAnsi="Times New Roman" w:eastAsia="黑体"/>
          <w:b w:val="0"/>
          <w:sz w:val="32"/>
          <w:szCs w:val="32"/>
          <w:shd w:val="clear" w:color="auto" w:fill="FFFFFF"/>
        </w:rPr>
        <w:t>六、专业名词解释</w:t>
      </w:r>
    </w:p>
    <w:p>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bCs/>
          <w:sz w:val="32"/>
          <w:szCs w:val="32"/>
          <w:shd w:val="clear" w:color="auto" w:fill="FFFFFF"/>
        </w:rPr>
        <w:t> </w:t>
      </w:r>
      <w:r>
        <w:rPr>
          <w:rFonts w:hint="default" w:ascii="Times New Roman" w:hAnsi="Times New Roman" w:eastAsia="楷体"/>
          <w:bCs/>
          <w:sz w:val="32"/>
          <w:szCs w:val="32"/>
          <w:shd w:val="clear" w:color="auto" w:fill="FFFFFF"/>
        </w:rPr>
        <w:t>（一）财政拨款收入：</w:t>
      </w:r>
      <w:r>
        <w:rPr>
          <w:rFonts w:hint="default" w:ascii="Times New Roman" w:hAnsi="Times New Roman" w:eastAsia="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方正仿宋_GBK"/>
          <w:b w:val="0"/>
          <w:sz w:val="32"/>
          <w:szCs w:val="32"/>
          <w:shd w:val="clear" w:color="auto" w:fill="FFFFFF"/>
        </w:rPr>
        <w:t> </w:t>
      </w:r>
      <w:r>
        <w:rPr>
          <w:rStyle w:val="10"/>
          <w:rFonts w:hint="default" w:ascii="Times New Roman" w:hAnsi="Times New Roman" w:eastAsia="楷体"/>
          <w:b w:val="0"/>
          <w:sz w:val="32"/>
          <w:szCs w:val="32"/>
          <w:shd w:val="clear" w:color="auto" w:fill="FFFFFF"/>
        </w:rPr>
        <w:t>（二）事业收入</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方正仿宋_GBK"/>
          <w:b w:val="0"/>
          <w:sz w:val="32"/>
          <w:szCs w:val="32"/>
          <w:shd w:val="clear" w:color="auto" w:fill="FFFFFF"/>
        </w:rPr>
        <w:t> </w:t>
      </w:r>
      <w:r>
        <w:rPr>
          <w:rStyle w:val="10"/>
          <w:rFonts w:hint="default" w:ascii="Times New Roman" w:hAnsi="Times New Roman" w:eastAsia="楷体"/>
          <w:b w:val="0"/>
          <w:sz w:val="32"/>
          <w:szCs w:val="32"/>
          <w:shd w:val="clear" w:color="auto" w:fill="FFFFFF"/>
        </w:rPr>
        <w:t>（三）经营收入</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方正仿宋_GBK"/>
          <w:b w:val="0"/>
          <w:sz w:val="32"/>
          <w:szCs w:val="32"/>
          <w:shd w:val="clear" w:color="auto" w:fill="FFFFFF"/>
        </w:rPr>
        <w:t> </w:t>
      </w:r>
      <w:r>
        <w:rPr>
          <w:rStyle w:val="10"/>
          <w:rFonts w:hint="default" w:ascii="Times New Roman" w:hAnsi="Times New Roman" w:eastAsia="楷体"/>
          <w:b w:val="0"/>
          <w:sz w:val="32"/>
          <w:szCs w:val="32"/>
          <w:shd w:val="clear" w:color="auto" w:fill="FFFFFF"/>
        </w:rPr>
        <w:t>（四）其他收入</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楷体"/>
          <w:b w:val="0"/>
          <w:sz w:val="32"/>
          <w:szCs w:val="32"/>
          <w:shd w:val="clear" w:color="auto" w:fill="FFFFFF"/>
        </w:rPr>
        <w:t>（五）使用非财政拨款结余</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方正仿宋_GBK"/>
          <w:b w:val="0"/>
          <w:sz w:val="32"/>
          <w:szCs w:val="32"/>
          <w:shd w:val="clear" w:color="auto" w:fill="FFFFFF"/>
        </w:rPr>
        <w:t> </w:t>
      </w:r>
      <w:r>
        <w:rPr>
          <w:rStyle w:val="10"/>
          <w:rFonts w:hint="default" w:ascii="Times New Roman" w:hAnsi="Times New Roman" w:eastAsia="楷体"/>
          <w:b w:val="0"/>
          <w:sz w:val="32"/>
          <w:szCs w:val="32"/>
          <w:shd w:val="clear" w:color="auto" w:fill="FFFFFF"/>
        </w:rPr>
        <w:t>（六）年初结转和结余</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方正仿宋_GBK"/>
          <w:b w:val="0"/>
          <w:sz w:val="32"/>
          <w:szCs w:val="32"/>
          <w:shd w:val="clear" w:color="auto" w:fill="FFFFFF"/>
        </w:rPr>
        <w:t> </w:t>
      </w:r>
      <w:r>
        <w:rPr>
          <w:rStyle w:val="10"/>
          <w:rFonts w:hint="default" w:ascii="Times New Roman" w:hAnsi="Times New Roman" w:eastAsia="楷体"/>
          <w:b w:val="0"/>
          <w:sz w:val="32"/>
          <w:szCs w:val="32"/>
          <w:shd w:val="clear" w:color="auto" w:fill="FFFFFF"/>
        </w:rPr>
        <w:t>（七）结余分配</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方正仿宋_GBK"/>
          <w:b w:val="0"/>
          <w:sz w:val="32"/>
          <w:szCs w:val="32"/>
          <w:shd w:val="clear" w:color="auto" w:fill="FFFFFF"/>
        </w:rPr>
        <w:t> </w:t>
      </w:r>
      <w:r>
        <w:rPr>
          <w:rStyle w:val="10"/>
          <w:rFonts w:hint="default" w:ascii="Times New Roman" w:hAnsi="Times New Roman" w:eastAsia="楷体"/>
          <w:b w:val="0"/>
          <w:sz w:val="32"/>
          <w:szCs w:val="32"/>
          <w:shd w:val="clear" w:color="auto" w:fill="FFFFFF"/>
        </w:rPr>
        <w:t>（八）年末结转和结余</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方正仿宋_GBK"/>
          <w:b w:val="0"/>
          <w:sz w:val="32"/>
          <w:szCs w:val="32"/>
          <w:shd w:val="clear" w:color="auto" w:fill="FFFFFF"/>
        </w:rPr>
        <w:t> </w:t>
      </w:r>
      <w:r>
        <w:rPr>
          <w:rStyle w:val="10"/>
          <w:rFonts w:hint="default" w:ascii="Times New Roman" w:hAnsi="Times New Roman" w:eastAsia="楷体"/>
          <w:b w:val="0"/>
          <w:sz w:val="32"/>
          <w:szCs w:val="32"/>
          <w:shd w:val="clear" w:color="auto" w:fill="FFFFFF"/>
        </w:rPr>
        <w:t>（九）基本支出</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方正仿宋_GBK"/>
          <w:b w:val="0"/>
          <w:sz w:val="32"/>
          <w:szCs w:val="32"/>
          <w:shd w:val="clear" w:color="auto" w:fill="FFFFFF"/>
        </w:rPr>
        <w:t> </w:t>
      </w:r>
      <w:r>
        <w:rPr>
          <w:rStyle w:val="10"/>
          <w:rFonts w:hint="default" w:ascii="Times New Roman" w:hAnsi="Times New Roman" w:eastAsia="楷体"/>
          <w:b w:val="0"/>
          <w:sz w:val="32"/>
          <w:szCs w:val="32"/>
          <w:shd w:val="clear" w:color="auto" w:fill="FFFFFF"/>
        </w:rPr>
        <w:t>（十）项目支出</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方正仿宋_GBK"/>
          <w:b w:val="0"/>
          <w:sz w:val="32"/>
          <w:szCs w:val="32"/>
          <w:shd w:val="clear" w:color="auto" w:fill="FFFFFF"/>
        </w:rPr>
        <w:t> </w:t>
      </w:r>
      <w:r>
        <w:rPr>
          <w:rStyle w:val="10"/>
          <w:rFonts w:hint="default" w:ascii="Times New Roman" w:hAnsi="Times New Roman" w:eastAsia="楷体"/>
          <w:b w:val="0"/>
          <w:sz w:val="32"/>
          <w:szCs w:val="32"/>
          <w:shd w:val="clear" w:color="auto" w:fill="FFFFFF"/>
        </w:rPr>
        <w:t>（十一）经营支出</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方正仿宋_GBK"/>
          <w:b w:val="0"/>
          <w:sz w:val="32"/>
          <w:szCs w:val="32"/>
          <w:shd w:val="clear" w:color="auto" w:fill="FFFFFF"/>
        </w:rPr>
        <w:t> </w:t>
      </w:r>
      <w:r>
        <w:rPr>
          <w:rStyle w:val="10"/>
          <w:rFonts w:hint="default" w:ascii="Times New Roman" w:hAnsi="Times New Roman" w:eastAsia="楷体"/>
          <w:b w:val="0"/>
          <w:sz w:val="32"/>
          <w:szCs w:val="32"/>
          <w:shd w:val="clear" w:color="auto" w:fill="FFFFFF"/>
        </w:rPr>
        <w:t>（十二）“三公”经费</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方正仿宋_GBK"/>
          <w:b w:val="0"/>
          <w:sz w:val="32"/>
          <w:szCs w:val="32"/>
          <w:shd w:val="clear" w:color="auto" w:fill="FFFFFF"/>
        </w:rPr>
        <w:t> </w:t>
      </w:r>
      <w:r>
        <w:rPr>
          <w:rStyle w:val="10"/>
          <w:rFonts w:hint="default" w:ascii="Times New Roman" w:hAnsi="Times New Roman" w:eastAsia="楷体"/>
          <w:b w:val="0"/>
          <w:sz w:val="32"/>
          <w:szCs w:val="32"/>
          <w:shd w:val="clear" w:color="auto" w:fill="FFFFFF"/>
        </w:rPr>
        <w:t>（十三）机关运行经费</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方正仿宋_GBK"/>
          <w:b w:val="0"/>
          <w:sz w:val="32"/>
          <w:szCs w:val="32"/>
          <w:shd w:val="clear" w:color="auto" w:fill="FFFFFF"/>
        </w:rPr>
        <w:t> </w:t>
      </w:r>
      <w:r>
        <w:rPr>
          <w:rStyle w:val="10"/>
          <w:rFonts w:hint="default" w:ascii="Times New Roman" w:hAnsi="Times New Roman" w:eastAsia="楷体"/>
          <w:b w:val="0"/>
          <w:sz w:val="32"/>
          <w:szCs w:val="32"/>
          <w:shd w:val="clear" w:color="auto" w:fill="FFFFFF"/>
        </w:rPr>
        <w:t>（十四）工资福利支出（支出经济分类科目类级）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方正仿宋_GBK"/>
          <w:b w:val="0"/>
          <w:sz w:val="32"/>
          <w:szCs w:val="32"/>
          <w:shd w:val="clear" w:color="auto" w:fill="FFFFFF"/>
        </w:rPr>
        <w:t> </w:t>
      </w:r>
      <w:r>
        <w:rPr>
          <w:rStyle w:val="10"/>
          <w:rFonts w:hint="default" w:ascii="Times New Roman" w:hAnsi="Times New Roman" w:eastAsia="楷体"/>
          <w:b w:val="0"/>
          <w:sz w:val="32"/>
          <w:szCs w:val="32"/>
          <w:shd w:val="clear" w:color="auto" w:fill="FFFFFF"/>
        </w:rPr>
        <w:t>（十五）商品和服务支出（支出经济分类科目类级）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楷体"/>
          <w:b w:val="0"/>
          <w:sz w:val="32"/>
          <w:szCs w:val="32"/>
          <w:shd w:val="clear" w:color="auto" w:fill="FFFFFF"/>
        </w:rPr>
        <w:t> （十六）对个人和家庭的补助（支出经济分类科目类级）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反映用于对个人和家庭的补助支出。</w:t>
      </w:r>
    </w:p>
    <w:p>
      <w:pPr>
        <w:pStyle w:val="6"/>
        <w:snapToGrid w:val="0"/>
        <w:spacing w:before="0" w:beforeAutospacing="0" w:after="0" w:afterAutospacing="0" w:line="580" w:lineRule="exact"/>
        <w:ind w:firstLine="480" w:firstLineChars="150"/>
        <w:jc w:val="both"/>
        <w:rPr>
          <w:rFonts w:hint="default" w:ascii="Times New Roman" w:hAnsi="Times New Roman" w:eastAsia="方正仿宋_GBK"/>
          <w:sz w:val="32"/>
          <w:szCs w:val="32"/>
        </w:rPr>
      </w:pPr>
      <w:r>
        <w:rPr>
          <w:rStyle w:val="10"/>
          <w:rFonts w:hint="default" w:ascii="Times New Roman" w:hAnsi="Times New Roman" w:eastAsia="楷体"/>
          <w:b w:val="0"/>
          <w:sz w:val="32"/>
          <w:szCs w:val="32"/>
          <w:shd w:val="clear" w:color="auto" w:fill="FFFFFF"/>
        </w:rPr>
        <w:t>（十七）其他资本性支出（支出经济分类科目类级）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0" w:beforeAutospacing="0" w:after="0" w:afterAutospacing="0" w:line="580" w:lineRule="exact"/>
        <w:ind w:firstLine="200"/>
        <w:jc w:val="both"/>
        <w:rPr>
          <w:rStyle w:val="10"/>
          <w:rFonts w:hint="default" w:ascii="Times New Roman" w:hAnsi="Times New Roman" w:eastAsia="方正仿宋_GBK"/>
          <w:b w:val="0"/>
          <w:sz w:val="32"/>
          <w:szCs w:val="32"/>
          <w:shd w:val="clear" w:color="auto" w:fill="FFFFFF"/>
        </w:rPr>
      </w:pPr>
      <w:r>
        <w:rPr>
          <w:rStyle w:val="10"/>
          <w:rFonts w:hint="default" w:ascii="Times New Roman" w:hAnsi="Times New Roman" w:eastAsia="方正仿宋_GBK"/>
          <w:b w:val="0"/>
          <w:sz w:val="32"/>
          <w:szCs w:val="32"/>
          <w:shd w:val="clear" w:color="auto" w:fill="FFFFFF"/>
        </w:rPr>
        <w:t> </w:t>
      </w:r>
      <w:r>
        <w:rPr>
          <w:rStyle w:val="10"/>
          <w:rFonts w:ascii="Times New Roman" w:hAnsi="Times New Roman" w:eastAsia="方正仿宋_GBK"/>
          <w:b w:val="0"/>
          <w:sz w:val="32"/>
          <w:szCs w:val="32"/>
          <w:shd w:val="clear" w:color="auto" w:fill="FFFFFF"/>
        </w:rPr>
        <w:t xml:space="preserve">  </w:t>
      </w:r>
      <w:r>
        <w:rPr>
          <w:rStyle w:val="10"/>
          <w:rFonts w:hint="default" w:ascii="Times New Roman" w:hAnsi="Times New Roman" w:eastAsia="黑体"/>
          <w:b w:val="0"/>
          <w:sz w:val="32"/>
          <w:szCs w:val="32"/>
          <w:shd w:val="clear" w:color="auto" w:fill="FFFFFF"/>
        </w:rPr>
        <w:t>七、决算公开联系方式及信息反馈渠道</w:t>
      </w:r>
    </w:p>
    <w:p>
      <w:pPr>
        <w:pStyle w:val="6"/>
        <w:snapToGrid w:val="0"/>
        <w:spacing w:before="0" w:beforeAutospacing="0" w:after="0" w:afterAutospacing="0" w:line="580" w:lineRule="exact"/>
        <w:ind w:firstLine="640" w:firstLineChars="200"/>
        <w:jc w:val="both"/>
        <w:rPr>
          <w:rFonts w:hint="default" w:ascii="方正仿宋_GBK"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本单位决算公开信息反馈和联系方式：</w:t>
      </w:r>
    </w:p>
    <w:p>
      <w:pPr>
        <w:pStyle w:val="6"/>
        <w:autoSpaceDE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Times New Roman" w:eastAsia="方正仿宋_GBK"/>
          <w:sz w:val="32"/>
          <w:szCs w:val="32"/>
          <w:shd w:val="clear" w:color="auto" w:fill="FFFFFF"/>
        </w:rPr>
        <w:t>部门决算公开联系人：</w:t>
      </w:r>
      <w:r>
        <w:rPr>
          <w:rFonts w:ascii="Times New Roman" w:hAnsi="Times New Roman" w:eastAsia="方正仿宋_GBK"/>
          <w:sz w:val="32"/>
          <w:szCs w:val="32"/>
          <w:shd w:val="clear" w:color="auto" w:fill="FFFFFF"/>
        </w:rPr>
        <w:t xml:space="preserve"> </w:t>
      </w:r>
      <w:r>
        <w:rPr>
          <w:rFonts w:ascii="方正仿宋_GBK" w:hAnsi="Times New Roman" w:eastAsia="方正仿宋_GBK"/>
          <w:sz w:val="32"/>
          <w:szCs w:val="32"/>
          <w:shd w:val="clear" w:color="auto" w:fill="FFFFFF"/>
        </w:rPr>
        <w:t>谢素娟，电话：</w:t>
      </w:r>
      <w:r>
        <w:rPr>
          <w:rFonts w:ascii="Times New Roman" w:hAnsi="Times New Roman" w:eastAsia="方正仿宋_GBK"/>
          <w:sz w:val="32"/>
          <w:szCs w:val="32"/>
          <w:shd w:val="clear" w:color="auto" w:fill="FFFFFF"/>
        </w:rPr>
        <w:t>023-59221566</w:t>
      </w:r>
    </w:p>
    <w:p>
      <w:pPr>
        <w:pStyle w:val="11"/>
        <w:autoSpaceDE w:val="0"/>
        <w:spacing w:line="580" w:lineRule="exact"/>
        <w:ind w:firstLine="200" w:firstLineChars="0"/>
        <w:jc w:val="both"/>
        <w:rPr>
          <w:rStyle w:val="10"/>
          <w:rFonts w:ascii="Times New Roman" w:hAnsi="Times New Roman" w:eastAsia="方正仿宋_GBK"/>
          <w:b w:val="0"/>
          <w:sz w:val="32"/>
          <w:szCs w:val="32"/>
          <w:shd w:val="clear" w:color="auto" w:fill="FFFF00"/>
        </w:rPr>
        <w:sectPr>
          <w:footerReference r:id="rId3" w:type="default"/>
          <w:footerReference r:id="rId4" w:type="even"/>
          <w:pgSz w:w="11915" w:h="16840"/>
          <w:pgMar w:top="1440" w:right="1800" w:bottom="1440" w:left="1800" w:header="851" w:footer="992" w:gutter="0"/>
          <w:cols w:space="720" w:num="1"/>
          <w:docGrid w:type="lines" w:linePitch="326" w:charSpace="0"/>
        </w:sectPr>
      </w:pP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重庆市中共城口县委政法委员会（本级）</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571.01</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442.01</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83.87</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17.54</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27.59</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571.01</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571.01</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571.01</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571.01</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重庆市中共城口县委政法委员会（本级）</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571.01</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571.01</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442.01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442.01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442.01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442.01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275.15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275.15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50.27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50.27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83.87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83.87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63.66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63.66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11.89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11.89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20.21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20.21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20.21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20.21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27.59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27.59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27.59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27.59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27.59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27.59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3"/>
        <w:gridCol w:w="3355"/>
        <w:gridCol w:w="1701"/>
        <w:gridCol w:w="1701"/>
        <w:gridCol w:w="1701"/>
        <w:gridCol w:w="1685"/>
        <w:gridCol w:w="1685"/>
        <w:gridCol w:w="1747"/>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重庆市中共城口县委政法委员会（本级）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571.01</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456.01</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115.00</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442.01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327.01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442.01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327.01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275.15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275.15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50.27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50.27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83.87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83.87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63.66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63.66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11.89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11.89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20.21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20.21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20.21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20.21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27.59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27.59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27.59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27.59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27.59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27.59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重庆市中共城口县委政法委员会（本级）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571.01</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442.01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442.01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83.87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83.87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17.54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17.54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27.59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27.59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571.01</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571.01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571.01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571.01</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571.01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571.01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重庆市中共城口县委政法委员会（本级）</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571.01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456.01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115.00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442.01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327.01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115.00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442.01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327.01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115.00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275.15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275.15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115.00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115.00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50.27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50.27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83.87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83.87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63.66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63.66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33.50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33.50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11.89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11.89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8.95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8.95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20.21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20.21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20.21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20.21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17.54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17.54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17.54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17.54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14.84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14.84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27.59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27.59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27.59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27.59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27.59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27.59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重庆市中共城口县委政法委员会（本级）</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368.59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47.85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83.45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100.16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62.42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32.04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33.50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11.89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14.86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27.59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39.57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21.30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12.88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408.16</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47.85</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重庆市中共城口县委政法委员会（本级）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重庆市中共城口县委政法委员会（本级）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重庆市中共城口县委政法委员会（本级）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47.85</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8.00</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8.00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47.85</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6.00</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6.00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6.00</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6.00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2.00</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2.00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2.00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1.51</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1.51</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400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5" w:type="default"/>
      <w:footerReference r:id="rId6"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675080"/>
      <w:docPartObj>
        <w:docPartGallery w:val="AutoText"/>
      </w:docPartObj>
    </w:sdtPr>
    <w:sdtEndPr>
      <w:rPr>
        <w:rFonts w:ascii="仿宋_GB2312" w:eastAsia="仿宋_GB2312"/>
        <w:sz w:val="32"/>
        <w:szCs w:val="32"/>
      </w:rPr>
    </w:sdtEndPr>
    <w:sdtContent>
      <w:p>
        <w:pPr>
          <w:pStyle w:val="3"/>
          <w:jc w:val="right"/>
          <w:rPr>
            <w:rFonts w:hint="default" w:ascii="仿宋_GB2312" w:eastAsia="仿宋_GB2312"/>
            <w:sz w:val="32"/>
            <w:szCs w:val="32"/>
          </w:rPr>
        </w:pPr>
        <w:r>
          <w:rPr>
            <w:rFonts w:ascii="仿宋_GB2312" w:eastAsia="仿宋_GB2312"/>
            <w:sz w:val="28"/>
            <w:szCs w:val="28"/>
          </w:rPr>
          <w:t>—</w:t>
        </w:r>
        <w:r>
          <w:rPr>
            <w:rFonts w:ascii="仿宋_GB2312" w:eastAsia="仿宋_GB2312"/>
            <w:sz w:val="28"/>
            <w:szCs w:val="28"/>
          </w:rPr>
          <w:fldChar w:fldCharType="begin"/>
        </w:r>
        <w:r>
          <w:rPr>
            <w:rFonts w:ascii="仿宋_GB2312" w:eastAsia="仿宋_GB2312"/>
            <w:sz w:val="28"/>
            <w:szCs w:val="28"/>
          </w:rPr>
          <w:instrText xml:space="preserve"> PAGE   \* MERGEFORMAT </w:instrText>
        </w:r>
        <w:r>
          <w:rPr>
            <w:rFonts w:ascii="仿宋_GB2312" w:eastAsia="仿宋_GB2312"/>
            <w:sz w:val="28"/>
            <w:szCs w:val="28"/>
          </w:rPr>
          <w:fldChar w:fldCharType="separate"/>
        </w:r>
        <w:r>
          <w:rPr>
            <w:rFonts w:hint="default" w:ascii="仿宋_GB2312" w:eastAsia="仿宋_GB2312"/>
            <w:sz w:val="28"/>
            <w:szCs w:val="28"/>
            <w:lang w:val="zh-CN"/>
          </w:rPr>
          <w:t>17</w:t>
        </w:r>
        <w:r>
          <w:rPr>
            <w:rFonts w:ascii="仿宋_GB2312" w:eastAsia="仿宋_GB2312"/>
            <w:sz w:val="28"/>
            <w:szCs w:val="28"/>
          </w:rPr>
          <w:fldChar w:fldCharType="end"/>
        </w:r>
        <w:r>
          <w:rPr>
            <w:rFonts w:ascii="仿宋_GB2312" w:eastAsia="仿宋_GB2312"/>
            <w:sz w:val="28"/>
            <w:szCs w:val="28"/>
          </w:rPr>
          <w:t>—</w:t>
        </w:r>
      </w:p>
    </w:sdtContent>
  </w:sdt>
  <w:p>
    <w:pPr>
      <w:pStyle w:val="3"/>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ascii="仿宋_GB2312" w:eastAsia="仿宋_GB2312"/>
        <w:sz w:val="28"/>
        <w:szCs w:val="28"/>
      </w:rPr>
    </w:pPr>
    <w:r>
      <w:rPr>
        <w:rFonts w:ascii="仿宋_GB2312" w:eastAsia="仿宋_GB2312"/>
        <w:sz w:val="28"/>
        <w:szCs w:val="28"/>
      </w:rPr>
      <w:t>—</w:t>
    </w:r>
    <w:sdt>
      <w:sdtPr>
        <w:rPr>
          <w:rFonts w:ascii="仿宋_GB2312" w:eastAsia="仿宋_GB2312"/>
          <w:sz w:val="28"/>
          <w:szCs w:val="28"/>
        </w:rPr>
        <w:id w:val="104675093"/>
        <w:docPartObj>
          <w:docPartGallery w:val="AutoText"/>
        </w:docPartObj>
      </w:sdtPr>
      <w:sdtEndPr>
        <w:rPr>
          <w:rFonts w:ascii="仿宋_GB2312" w:eastAsia="仿宋_GB2312"/>
          <w:sz w:val="28"/>
          <w:szCs w:val="28"/>
        </w:rPr>
      </w:sdtEndPr>
      <w:sdtContent>
        <w:r>
          <w:rPr>
            <w:rFonts w:ascii="仿宋_GB2312" w:eastAsia="仿宋_GB2312"/>
            <w:sz w:val="28"/>
            <w:szCs w:val="28"/>
          </w:rPr>
          <w:fldChar w:fldCharType="begin"/>
        </w:r>
        <w:r>
          <w:rPr>
            <w:rFonts w:ascii="仿宋_GB2312" w:eastAsia="仿宋_GB2312"/>
            <w:sz w:val="28"/>
            <w:szCs w:val="28"/>
          </w:rPr>
          <w:instrText xml:space="preserve"> PAGE   \* MERGEFORMAT </w:instrText>
        </w:r>
        <w:r>
          <w:rPr>
            <w:rFonts w:ascii="仿宋_GB2312" w:eastAsia="仿宋_GB2312"/>
            <w:sz w:val="28"/>
            <w:szCs w:val="28"/>
          </w:rPr>
          <w:fldChar w:fldCharType="separate"/>
        </w:r>
        <w:r>
          <w:rPr>
            <w:rFonts w:hint="default" w:ascii="仿宋_GB2312" w:eastAsia="仿宋_GB2312"/>
            <w:sz w:val="28"/>
            <w:szCs w:val="28"/>
            <w:lang w:val="zh-CN"/>
          </w:rPr>
          <w:t>16</w:t>
        </w:r>
        <w:r>
          <w:rPr>
            <w:rFonts w:ascii="仿宋_GB2312" w:eastAsia="仿宋_GB2312"/>
            <w:sz w:val="28"/>
            <w:szCs w:val="28"/>
          </w:rPr>
          <w:fldChar w:fldCharType="end"/>
        </w:r>
      </w:sdtContent>
    </w:sdt>
    <w:r>
      <w:rPr>
        <w:rFonts w:ascii="仿宋_GB2312" w:eastAsia="仿宋_GB2312"/>
        <w:sz w:val="28"/>
        <w:szCs w:val="28"/>
      </w:rPr>
      <w:t>—</w:t>
    </w:r>
  </w:p>
  <w:p>
    <w:pPr>
      <w:pStyle w:val="3"/>
      <w:rPr>
        <w:rFonts w:hint="default" w:ascii="仿宋_GB2312" w:eastAsia="仿宋_GB2312"/>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37 -</w:t>
                          </w:r>
                          <w:r>
                            <w:rPr>
                              <w:rFonts w:hint="default"/>
                            </w:rPr>
                            <w:fldChar w:fldCharType="end"/>
                          </w:r>
                          <w:r>
                            <w:t xml:space="preserve"> </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Vt9jRAQAAogMAAA4AAABkcnMvZTJvRG9jLnhtbK1TzY7TMBC+I/EO&#10;lu80aYFVFd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V1R4rjFgV9+fL/8/H359Y28&#10;yvL0ARrMug+Yl4a3fsClme8BLzPrQUWbv8iHYBzFPV/FlUMiIj9ar9brGkMCY7OD+NXD8xAhvZPe&#10;kmwwGnF6RVR++gBpTJ1TcjXn77QxZYLGkZ7Rm5ev6/LgGkFw47BGJjE2m6007IeJ2d63ZyTW4wYw&#10;6nDhKTHvHQqcl2U24mzsZ+MYoj502OOy1IPw5piwm9JkrjDCToVxdIXmtGZ5N/72S9bDr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ClbfY0QEAAKIDAAAOAAAAAAAAAAEAIAAAAB8BAABk&#10;cnMvZTJvRG9jLnhtbFBLBQYAAAAABgAGAFkBAABiBQ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37 -</w:t>
                    </w:r>
                    <w:r>
                      <w:rPr>
                        <w:rFonts w:hint="default"/>
                      </w:rP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wps:spPr>
                    <wps:txbx>
                      <w:txbxContent>
                        <w:p>
                          <w:pPr>
                            <w:pStyle w:val="3"/>
                            <w:jc w:val="both"/>
                            <w:rPr>
                              <w:rFonts w:hint="default" w:cs="宋体"/>
                            </w:rPr>
                          </w:pPr>
                          <w:r>
                            <w:rPr>
                              <w:rFonts w:cs="宋体"/>
                            </w:rPr>
                            <w:t>— 27.1 —</w:t>
                          </w:r>
                        </w:p>
                      </w:txbxContent>
                    </wps:txbx>
                    <wps:bodyPr wrap="none" lIns="0" tIns="0" rIns="0" bIns="0" upright="1"/>
                  </wps:wsp>
                </a:graphicData>
              </a:graphic>
            </wp:anchor>
          </w:drawing>
        </mc:Choice>
        <mc:Fallback>
          <w:pict>
            <v:shape id="文本框 3"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4DVRU2AAAAAoBAAAPAAAAAAAAAAEAIAAAACIAAABkcnMv&#10;ZG93bnJldi54bWxQSwECFAAUAAAACACHTuJAOMMXXcoBAACHAwAADgAAAAAAAAABACAAAAAnAQAA&#10;ZHJzL2Uyb0RvYy54bWxQSwUGAAAAAAYABgBZAQAAYwU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1252F"/>
    <w:rsid w:val="000239C6"/>
    <w:rsid w:val="00025E4B"/>
    <w:rsid w:val="000300FD"/>
    <w:rsid w:val="0005084F"/>
    <w:rsid w:val="00053344"/>
    <w:rsid w:val="00066F4E"/>
    <w:rsid w:val="0008074D"/>
    <w:rsid w:val="00093DE1"/>
    <w:rsid w:val="000D4CE2"/>
    <w:rsid w:val="000F0CBE"/>
    <w:rsid w:val="0010528C"/>
    <w:rsid w:val="00112EC9"/>
    <w:rsid w:val="00120679"/>
    <w:rsid w:val="001346A7"/>
    <w:rsid w:val="001427AC"/>
    <w:rsid w:val="0015204E"/>
    <w:rsid w:val="001539D3"/>
    <w:rsid w:val="0015538D"/>
    <w:rsid w:val="00156516"/>
    <w:rsid w:val="00167630"/>
    <w:rsid w:val="00171092"/>
    <w:rsid w:val="00171861"/>
    <w:rsid w:val="00171D77"/>
    <w:rsid w:val="00173FC8"/>
    <w:rsid w:val="001B0659"/>
    <w:rsid w:val="001C5258"/>
    <w:rsid w:val="001D0FCC"/>
    <w:rsid w:val="001D3BB7"/>
    <w:rsid w:val="002006F9"/>
    <w:rsid w:val="00211E4A"/>
    <w:rsid w:val="00222B56"/>
    <w:rsid w:val="00224856"/>
    <w:rsid w:val="00234D7C"/>
    <w:rsid w:val="0024659D"/>
    <w:rsid w:val="00262954"/>
    <w:rsid w:val="00265459"/>
    <w:rsid w:val="002A4803"/>
    <w:rsid w:val="002B1A13"/>
    <w:rsid w:val="002B254B"/>
    <w:rsid w:val="002B7A73"/>
    <w:rsid w:val="002B7E4E"/>
    <w:rsid w:val="002C3192"/>
    <w:rsid w:val="002C4DCF"/>
    <w:rsid w:val="003071DC"/>
    <w:rsid w:val="00312905"/>
    <w:rsid w:val="003310F1"/>
    <w:rsid w:val="00337656"/>
    <w:rsid w:val="00343413"/>
    <w:rsid w:val="0035509B"/>
    <w:rsid w:val="003550EA"/>
    <w:rsid w:val="00363D61"/>
    <w:rsid w:val="00372B26"/>
    <w:rsid w:val="00376518"/>
    <w:rsid w:val="003957EE"/>
    <w:rsid w:val="003970B8"/>
    <w:rsid w:val="003C4815"/>
    <w:rsid w:val="003F0C33"/>
    <w:rsid w:val="00400FC8"/>
    <w:rsid w:val="0040226F"/>
    <w:rsid w:val="00413C4B"/>
    <w:rsid w:val="00430AD7"/>
    <w:rsid w:val="00466C9B"/>
    <w:rsid w:val="0049473E"/>
    <w:rsid w:val="00494E0F"/>
    <w:rsid w:val="0049620C"/>
    <w:rsid w:val="004B3283"/>
    <w:rsid w:val="004B5F61"/>
    <w:rsid w:val="004C2436"/>
    <w:rsid w:val="004D5812"/>
    <w:rsid w:val="004E5B76"/>
    <w:rsid w:val="00511AE3"/>
    <w:rsid w:val="00512340"/>
    <w:rsid w:val="005276A6"/>
    <w:rsid w:val="00536F3C"/>
    <w:rsid w:val="00550ABE"/>
    <w:rsid w:val="0055774D"/>
    <w:rsid w:val="00574F4A"/>
    <w:rsid w:val="005A126E"/>
    <w:rsid w:val="005A37DC"/>
    <w:rsid w:val="005F0376"/>
    <w:rsid w:val="005F23D4"/>
    <w:rsid w:val="00600ACD"/>
    <w:rsid w:val="006056CC"/>
    <w:rsid w:val="00607BEF"/>
    <w:rsid w:val="006117A4"/>
    <w:rsid w:val="00614866"/>
    <w:rsid w:val="0062115B"/>
    <w:rsid w:val="00642790"/>
    <w:rsid w:val="006602D2"/>
    <w:rsid w:val="00697C13"/>
    <w:rsid w:val="006A2A91"/>
    <w:rsid w:val="006D235E"/>
    <w:rsid w:val="006D6739"/>
    <w:rsid w:val="006E2A27"/>
    <w:rsid w:val="006E7717"/>
    <w:rsid w:val="00717590"/>
    <w:rsid w:val="00720890"/>
    <w:rsid w:val="00723371"/>
    <w:rsid w:val="00735390"/>
    <w:rsid w:val="00736884"/>
    <w:rsid w:val="00747401"/>
    <w:rsid w:val="00770383"/>
    <w:rsid w:val="007819D4"/>
    <w:rsid w:val="007B1607"/>
    <w:rsid w:val="007B419D"/>
    <w:rsid w:val="007B7C4B"/>
    <w:rsid w:val="007C1142"/>
    <w:rsid w:val="007C1C1E"/>
    <w:rsid w:val="007C3FF2"/>
    <w:rsid w:val="007D3D39"/>
    <w:rsid w:val="007E5159"/>
    <w:rsid w:val="007F0BA4"/>
    <w:rsid w:val="007F2E5A"/>
    <w:rsid w:val="00815CC0"/>
    <w:rsid w:val="008164FA"/>
    <w:rsid w:val="0082052D"/>
    <w:rsid w:val="00855316"/>
    <w:rsid w:val="008727B9"/>
    <w:rsid w:val="00881540"/>
    <w:rsid w:val="0089450A"/>
    <w:rsid w:val="008A5F60"/>
    <w:rsid w:val="008C0191"/>
    <w:rsid w:val="008F0B67"/>
    <w:rsid w:val="008F2BAD"/>
    <w:rsid w:val="00951D24"/>
    <w:rsid w:val="00957513"/>
    <w:rsid w:val="00964CA2"/>
    <w:rsid w:val="00966341"/>
    <w:rsid w:val="00976407"/>
    <w:rsid w:val="009856EE"/>
    <w:rsid w:val="00994AF7"/>
    <w:rsid w:val="009A0E94"/>
    <w:rsid w:val="009B67B8"/>
    <w:rsid w:val="009C221E"/>
    <w:rsid w:val="009C7281"/>
    <w:rsid w:val="009D2B67"/>
    <w:rsid w:val="009E6A8A"/>
    <w:rsid w:val="009F741B"/>
    <w:rsid w:val="00A0691E"/>
    <w:rsid w:val="00A36AC4"/>
    <w:rsid w:val="00A566F9"/>
    <w:rsid w:val="00A5699D"/>
    <w:rsid w:val="00A7356C"/>
    <w:rsid w:val="00A8273B"/>
    <w:rsid w:val="00A83C47"/>
    <w:rsid w:val="00A83E05"/>
    <w:rsid w:val="00A960BA"/>
    <w:rsid w:val="00AB7417"/>
    <w:rsid w:val="00AE22D1"/>
    <w:rsid w:val="00AF2751"/>
    <w:rsid w:val="00B03CCD"/>
    <w:rsid w:val="00B21F8B"/>
    <w:rsid w:val="00B24CB8"/>
    <w:rsid w:val="00B269A9"/>
    <w:rsid w:val="00B35E2E"/>
    <w:rsid w:val="00B54A5F"/>
    <w:rsid w:val="00B70ACB"/>
    <w:rsid w:val="00B765EE"/>
    <w:rsid w:val="00B811A3"/>
    <w:rsid w:val="00B90AFC"/>
    <w:rsid w:val="00BB2E5E"/>
    <w:rsid w:val="00BB316E"/>
    <w:rsid w:val="00BB3E9C"/>
    <w:rsid w:val="00BD39B0"/>
    <w:rsid w:val="00BE2B89"/>
    <w:rsid w:val="00C0195C"/>
    <w:rsid w:val="00C0267D"/>
    <w:rsid w:val="00C04102"/>
    <w:rsid w:val="00C07248"/>
    <w:rsid w:val="00C10E9E"/>
    <w:rsid w:val="00C20C3E"/>
    <w:rsid w:val="00C300B2"/>
    <w:rsid w:val="00C60EC8"/>
    <w:rsid w:val="00C9770B"/>
    <w:rsid w:val="00CA69ED"/>
    <w:rsid w:val="00CB0C6D"/>
    <w:rsid w:val="00CE7C1E"/>
    <w:rsid w:val="00CF2ACF"/>
    <w:rsid w:val="00CF483D"/>
    <w:rsid w:val="00D55422"/>
    <w:rsid w:val="00D71D44"/>
    <w:rsid w:val="00D87B11"/>
    <w:rsid w:val="00D927F5"/>
    <w:rsid w:val="00DB39B7"/>
    <w:rsid w:val="00DB600B"/>
    <w:rsid w:val="00DF1458"/>
    <w:rsid w:val="00E117FF"/>
    <w:rsid w:val="00E11B42"/>
    <w:rsid w:val="00E173A8"/>
    <w:rsid w:val="00E268B6"/>
    <w:rsid w:val="00E4014A"/>
    <w:rsid w:val="00E43C5D"/>
    <w:rsid w:val="00E47FB2"/>
    <w:rsid w:val="00E72CF3"/>
    <w:rsid w:val="00E8058D"/>
    <w:rsid w:val="00E87EDA"/>
    <w:rsid w:val="00EA1F23"/>
    <w:rsid w:val="00EB6B5C"/>
    <w:rsid w:val="00ED1781"/>
    <w:rsid w:val="00F25CB4"/>
    <w:rsid w:val="00F277CD"/>
    <w:rsid w:val="00F704B1"/>
    <w:rsid w:val="00F73F90"/>
    <w:rsid w:val="00F849C2"/>
    <w:rsid w:val="00F84BF4"/>
    <w:rsid w:val="00F96A0D"/>
    <w:rsid w:val="00FA77CE"/>
    <w:rsid w:val="00FA798A"/>
    <w:rsid w:val="00FB4B3B"/>
    <w:rsid w:val="00FB4D9B"/>
    <w:rsid w:val="00FD2D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8D1614"/>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link w:val="17"/>
    <w:qFormat/>
    <w:uiPriority w:val="99"/>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character" w:customStyle="1" w:styleId="16">
    <w:name w:val="15"/>
    <w:basedOn w:val="9"/>
    <w:uiPriority w:val="0"/>
    <w:rPr>
      <w:rFonts w:hint="default" w:ascii="Times New Roman" w:hAnsi="Times New Roman" w:cs="Times New Roman"/>
      <w:b/>
      <w:bCs/>
    </w:rPr>
  </w:style>
  <w:style w:type="character" w:customStyle="1" w:styleId="17">
    <w:name w:val="页脚 Char"/>
    <w:basedOn w:val="9"/>
    <w:link w:val="3"/>
    <w:uiPriority w:val="99"/>
    <w:rPr>
      <w:rFonts w:ascii="宋体" w:hAnsi="宋体"/>
      <w:sz w:val="18"/>
      <w:szCs w:val="18"/>
    </w:rPr>
  </w:style>
  <w:style w:type="paragraph" w:customStyle="1" w:styleId="18">
    <w:name w:val="正文1"/>
    <w:uiPriority w:val="0"/>
    <w:pPr>
      <w:jc w:val="both"/>
    </w:pPr>
    <w:rPr>
      <w:rFonts w:ascii="Times New Roman" w:hAnsi="Times New Roman" w:eastAsia="宋体" w:cs="Times New Roman"/>
      <w:kern w:val="2"/>
      <w:sz w:val="21"/>
      <w:szCs w:val="21"/>
      <w:lang w:val="en-US" w:eastAsia="zh-CN" w:bidi="ar-SA"/>
    </w:rPr>
  </w:style>
  <w:style w:type="paragraph" w:styleId="19">
    <w:name w:val="List Paragraph"/>
    <w:basedOn w:val="1"/>
    <w:qFormat/>
    <w:uiPriority w:val="99"/>
    <w:pPr>
      <w:widowControl w:val="0"/>
      <w:ind w:firstLine="420" w:firstLineChars="200"/>
      <w:jc w:val="both"/>
    </w:pPr>
    <w:rPr>
      <w:rFonts w:hint="default" w:ascii="Times New Roman" w:hAnsi="Times New Roman"/>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6650D2-A0C1-47ED-837B-BE987DE8E51C}">
  <ds:schemaRefs/>
</ds:datastoreItem>
</file>

<file path=docProps/app.xml><?xml version="1.0" encoding="utf-8"?>
<Properties xmlns="http://schemas.openxmlformats.org/officeDocument/2006/extended-properties" xmlns:vt="http://schemas.openxmlformats.org/officeDocument/2006/docPropsVTypes">
  <Template>Normal.dotm</Template>
  <Pages>38</Pages>
  <Words>3255</Words>
  <Characters>18556</Characters>
  <Lines>154</Lines>
  <Paragraphs>43</Paragraphs>
  <TotalTime>1420</TotalTime>
  <ScaleCrop>false</ScaleCrop>
  <LinksUpToDate>false</LinksUpToDate>
  <CharactersWithSpaces>21768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2025-01-02T09:37:35Z</dcterms:modified>
  <cp:revision>207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94B0BE6570AE42D3B71FD9E625082450</vt:lpwstr>
  </property>
</Properties>
</file>