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Times New Roman"/>
          <w:bCs w:val="0"/>
          <w:sz w:val="44"/>
          <w:szCs w:val="32"/>
        </w:rPr>
      </w:pPr>
      <w:r>
        <w:rPr>
          <w:rFonts w:hint="eastAsia" w:ascii="Times New Roman" w:hAnsi="Times New Roman" w:eastAsia="方正小标宋_GBK" w:cs="Times New Roman"/>
          <w:bCs w:val="0"/>
          <w:sz w:val="44"/>
          <w:szCs w:val="32"/>
        </w:rPr>
        <w:t>重庆市城口县工商业联合会</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Times New Roman"/>
          <w:bCs w:val="0"/>
          <w:sz w:val="44"/>
          <w:szCs w:val="32"/>
        </w:rPr>
      </w:pPr>
      <w:r>
        <w:rPr>
          <w:rFonts w:hint="eastAsia" w:ascii="Times New Roman" w:hAnsi="Times New Roman" w:eastAsia="方正小标宋_GBK" w:cs="Times New Roman"/>
          <w:bCs w:val="0"/>
          <w:sz w:val="44"/>
          <w:szCs w:val="32"/>
        </w:rPr>
        <w:t>2022年度部门决算情况说明</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黑体_GBK" w:cs="Times New Roman"/>
          <w:bCs w:val="0"/>
          <w:sz w:val="32"/>
          <w:szCs w:val="32"/>
        </w:rPr>
      </w:pP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黑体_GBK" w:cs="Times New Roman"/>
          <w:bCs w:val="0"/>
          <w:sz w:val="32"/>
          <w:szCs w:val="32"/>
        </w:rPr>
      </w:pPr>
      <w:r>
        <w:rPr>
          <w:rFonts w:hint="eastAsia" w:ascii="Times New Roman" w:hAnsi="Times New Roman" w:eastAsia="方正黑体_GBK" w:cs="Times New Roman"/>
          <w:bCs w:val="0"/>
          <w:sz w:val="32"/>
          <w:szCs w:val="32"/>
        </w:rPr>
        <w:t>一、部门基本情况</w:t>
      </w:r>
    </w:p>
    <w:p>
      <w:pPr>
        <w:pStyle w:val="29"/>
        <w:keepNext w:val="0"/>
        <w:keepLines w:val="0"/>
        <w:pageBreakBefore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_GBK" w:cs="Times New Roman"/>
          <w:bCs w:val="0"/>
          <w:sz w:val="32"/>
          <w:szCs w:val="32"/>
          <w:shd w:val="clear" w:color="auto" w:fill="FFFFFF"/>
        </w:rPr>
      </w:pPr>
      <w:r>
        <w:rPr>
          <w:rStyle w:val="30"/>
          <w:rFonts w:hint="eastAsia" w:ascii="Times New Roman" w:hAnsi="Times New Roman" w:eastAsia="方正楷体_GBK" w:cs="Times New Roman"/>
          <w:b/>
          <w:bCs w:val="0"/>
          <w:sz w:val="32"/>
          <w:szCs w:val="32"/>
          <w:shd w:val="clear" w:color="auto" w:fill="FFFFFF"/>
        </w:rPr>
        <w:t>（一）职能职责。</w:t>
      </w:r>
      <w:r>
        <w:rPr>
          <w:rFonts w:hint="eastAsia" w:ascii="Times New Roman" w:hAnsi="Times New Roman" w:eastAsia="方正仿宋_GBK" w:cs="Times New Roman"/>
          <w:bCs w:val="0"/>
          <w:sz w:val="32"/>
          <w:szCs w:val="32"/>
          <w:shd w:val="clear" w:color="auto" w:fill="FFFFFF"/>
        </w:rPr>
        <w:t>一是参与政府事务的管理，参与社会经济重大决策协商，发挥民主监督的作用；做好工商界代表性人士政治安排的推荐工作；对有关政策的制定提出意见和建议并协助贯彻执行；二是发扬自我教育的优良传统，宣传国家的方针政策，加强和改进思想政治工作，提倡爱国、敬业、守法，提高会员素质，培养积极分子队伍，三是代表并维护会员的合法权益；四是引导会员弘扬中华民族的传统美德，投身先富帮后富，走进共同富裕道路的光彩事业，热心社会公益事业；五是为会员提供信息和科技、管理、法律、会计、融资、咨询等服务，六是开展工商专业培训，帮助会员改善经营管理，提高生产和产品质量，改进财务、纳税等工作；七是组织会员举办和参加各种对内对外展销会、交易会、组织会员出国、出境考察访问，帮助会员开拓国内外市场；八是增进与</w:t>
      </w:r>
      <w:bookmarkStart w:id="0" w:name="_GoBack"/>
      <w:bookmarkEnd w:id="0"/>
      <w:r>
        <w:rPr>
          <w:rFonts w:hint="eastAsia" w:ascii="Times New Roman" w:hAnsi="Times New Roman" w:eastAsia="方正仿宋_GBK" w:cs="Times New Roman"/>
          <w:bCs w:val="0"/>
          <w:sz w:val="32"/>
          <w:szCs w:val="32"/>
          <w:shd w:val="clear" w:color="auto" w:fill="FFFFFF"/>
        </w:rPr>
        <w:t>香港特别</w:t>
      </w:r>
      <w:r>
        <w:rPr>
          <w:rFonts w:hint="eastAsia" w:cs="Times New Roman"/>
          <w:bCs w:val="0"/>
          <w:sz w:val="32"/>
          <w:szCs w:val="32"/>
          <w:shd w:val="clear" w:color="auto" w:fill="FFFFFF"/>
          <w:lang w:eastAsia="zh-CN"/>
        </w:rPr>
        <w:t>行政</w:t>
      </w:r>
      <w:r>
        <w:rPr>
          <w:rFonts w:hint="eastAsia" w:ascii="Times New Roman" w:hAnsi="Times New Roman" w:eastAsia="方正仿宋_GBK" w:cs="Times New Roman"/>
          <w:bCs w:val="0"/>
          <w:sz w:val="32"/>
          <w:szCs w:val="32"/>
          <w:shd w:val="clear" w:color="auto" w:fill="FFFFFF"/>
        </w:rPr>
        <w:t>区及台湾、澳门地区和世界各国工商社团及工商经济界人士的联系和友谊，促进经济、技术和贸易合作的发展，协助引进资金、技术、人才；九是为会员提供必要的证明、协调关系，为会员和民间企业调节经济纠纷；十是办好会办企业、事业，十一是承办县委、县政府委托事项。</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_GBK" w:cs="Times New Roman"/>
          <w:bCs w:val="0"/>
          <w:sz w:val="32"/>
          <w:szCs w:val="32"/>
          <w:shd w:val="clear" w:color="auto" w:fill="FFFFFF"/>
        </w:rPr>
      </w:pPr>
      <w:r>
        <w:rPr>
          <w:rStyle w:val="30"/>
          <w:rFonts w:hint="eastAsia" w:ascii="Times New Roman" w:hAnsi="Times New Roman" w:eastAsia="方正楷体_GBK" w:cs="Times New Roman"/>
          <w:b/>
          <w:bCs w:val="0"/>
          <w:sz w:val="32"/>
          <w:szCs w:val="32"/>
          <w:shd w:val="clear" w:color="auto" w:fill="FFFFFF"/>
        </w:rPr>
        <w:t>（二）机构设置。</w:t>
      </w:r>
      <w:r>
        <w:rPr>
          <w:rFonts w:hint="eastAsia" w:ascii="Times New Roman" w:hAnsi="Times New Roman" w:eastAsia="方正仿宋_GBK" w:cs="Times New Roman"/>
          <w:bCs w:val="0"/>
          <w:sz w:val="32"/>
          <w:szCs w:val="32"/>
          <w:shd w:val="clear" w:color="auto" w:fill="FFFFFF"/>
        </w:rPr>
        <w:t>城口县工商业联合会（简称县工商联）有两个内设机构及一个事业单位，行政核定编制</w:t>
      </w:r>
      <w:r>
        <w:rPr>
          <w:rFonts w:ascii="Times New Roman" w:hAnsi="Times New Roman" w:eastAsia="方正仿宋_GBK" w:cs="Times New Roman"/>
          <w:bCs w:val="0"/>
          <w:sz w:val="32"/>
          <w:szCs w:val="32"/>
          <w:shd w:val="clear" w:color="auto" w:fill="FFFFFF"/>
        </w:rPr>
        <w:t>4</w:t>
      </w:r>
      <w:r>
        <w:rPr>
          <w:rFonts w:hint="eastAsia" w:ascii="Times New Roman" w:hAnsi="Times New Roman" w:eastAsia="方正仿宋_GBK" w:cs="Times New Roman"/>
          <w:bCs w:val="0"/>
          <w:sz w:val="32"/>
          <w:szCs w:val="32"/>
          <w:shd w:val="clear" w:color="auto" w:fill="FFFFFF"/>
        </w:rPr>
        <w:t>个</w:t>
      </w:r>
      <w:r>
        <w:rPr>
          <w:rFonts w:ascii="Times New Roman" w:hAnsi="Times New Roman" w:eastAsia="方正仿宋_GBK" w:cs="Times New Roman"/>
          <w:bCs w:val="0"/>
          <w:sz w:val="32"/>
          <w:szCs w:val="32"/>
          <w:shd w:val="clear" w:color="auto" w:fill="FFFFFF"/>
        </w:rPr>
        <w:t>,</w:t>
      </w:r>
      <w:r>
        <w:rPr>
          <w:rFonts w:hint="eastAsia" w:ascii="Times New Roman" w:hAnsi="Times New Roman" w:eastAsia="方正仿宋_GBK" w:cs="Times New Roman"/>
          <w:bCs w:val="0"/>
          <w:sz w:val="32"/>
          <w:szCs w:val="32"/>
          <w:shd w:val="clear" w:color="auto" w:fill="FFFFFF"/>
        </w:rPr>
        <w:t>其中行政编制</w:t>
      </w:r>
      <w:r>
        <w:rPr>
          <w:rFonts w:ascii="Times New Roman" w:hAnsi="Times New Roman" w:eastAsia="方正仿宋_GBK" w:cs="Times New Roman"/>
          <w:bCs w:val="0"/>
          <w:sz w:val="32"/>
          <w:szCs w:val="32"/>
          <w:shd w:val="clear" w:color="auto" w:fill="FFFFFF"/>
        </w:rPr>
        <w:t>3</w:t>
      </w:r>
      <w:r>
        <w:rPr>
          <w:rFonts w:hint="eastAsia" w:ascii="Times New Roman" w:hAnsi="Times New Roman" w:eastAsia="方正仿宋_GBK" w:cs="Times New Roman"/>
          <w:bCs w:val="0"/>
          <w:sz w:val="32"/>
          <w:szCs w:val="32"/>
          <w:shd w:val="clear" w:color="auto" w:fill="FFFFFF"/>
        </w:rPr>
        <w:t>个，行政工勤编制</w:t>
      </w:r>
      <w:r>
        <w:rPr>
          <w:rFonts w:ascii="Times New Roman" w:hAnsi="Times New Roman" w:eastAsia="方正仿宋_GBK" w:cs="Times New Roman"/>
          <w:bCs w:val="0"/>
          <w:sz w:val="32"/>
          <w:szCs w:val="32"/>
          <w:shd w:val="clear" w:color="auto" w:fill="FFFFFF"/>
        </w:rPr>
        <w:t>1</w:t>
      </w:r>
      <w:r>
        <w:rPr>
          <w:rFonts w:hint="eastAsia" w:ascii="Times New Roman" w:hAnsi="Times New Roman" w:eastAsia="方正仿宋_GBK" w:cs="Times New Roman"/>
          <w:bCs w:val="0"/>
          <w:sz w:val="32"/>
          <w:szCs w:val="32"/>
          <w:shd w:val="clear" w:color="auto" w:fill="FFFFFF"/>
        </w:rPr>
        <w:t>个</w:t>
      </w:r>
      <w:r>
        <w:rPr>
          <w:rFonts w:hint="eastAsia" w:ascii="Times New Roman" w:hAnsi="Times New Roman" w:cs="Times New Roman"/>
          <w:bCs w:val="0"/>
          <w:sz w:val="32"/>
          <w:szCs w:val="32"/>
          <w:shd w:val="clear" w:color="auto" w:fill="FFFFFF"/>
          <w:lang w:eastAsia="zh-CN"/>
        </w:rPr>
        <w:t>；</w:t>
      </w:r>
      <w:r>
        <w:rPr>
          <w:rFonts w:hint="eastAsia" w:ascii="Times New Roman" w:hAnsi="Times New Roman" w:eastAsia="方正仿宋_GBK" w:cs="Times New Roman"/>
          <w:bCs w:val="0"/>
          <w:sz w:val="32"/>
          <w:szCs w:val="32"/>
          <w:shd w:val="clear" w:color="auto" w:fill="FFFFFF"/>
        </w:rPr>
        <w:t>设党组书记</w:t>
      </w:r>
      <w:r>
        <w:rPr>
          <w:rFonts w:ascii="Times New Roman" w:hAnsi="Times New Roman" w:eastAsia="方正仿宋_GBK" w:cs="Times New Roman"/>
          <w:bCs w:val="0"/>
          <w:sz w:val="32"/>
          <w:szCs w:val="32"/>
          <w:shd w:val="clear" w:color="auto" w:fill="FFFFFF"/>
        </w:rPr>
        <w:t>1</w:t>
      </w:r>
      <w:r>
        <w:rPr>
          <w:rFonts w:hint="eastAsia" w:ascii="Times New Roman" w:hAnsi="Times New Roman" w:eastAsia="方正仿宋_GBK" w:cs="Times New Roman"/>
          <w:bCs w:val="0"/>
          <w:sz w:val="32"/>
          <w:szCs w:val="32"/>
          <w:shd w:val="clear" w:color="auto" w:fill="FFFFFF"/>
        </w:rPr>
        <w:t>人、副主席</w:t>
      </w:r>
      <w:r>
        <w:rPr>
          <w:rFonts w:ascii="Times New Roman" w:hAnsi="Times New Roman" w:eastAsia="方正仿宋_GBK" w:cs="Times New Roman"/>
          <w:bCs w:val="0"/>
          <w:sz w:val="32"/>
          <w:szCs w:val="32"/>
          <w:shd w:val="clear" w:color="auto" w:fill="FFFFFF"/>
        </w:rPr>
        <w:t>1</w:t>
      </w:r>
      <w:r>
        <w:rPr>
          <w:rFonts w:hint="eastAsia" w:ascii="Times New Roman" w:hAnsi="Times New Roman" w:eastAsia="方正仿宋_GBK" w:cs="Times New Roman"/>
          <w:bCs w:val="0"/>
          <w:sz w:val="32"/>
          <w:szCs w:val="32"/>
          <w:shd w:val="clear" w:color="auto" w:fill="FFFFFF"/>
        </w:rPr>
        <w:t>人、秘书长</w:t>
      </w:r>
      <w:r>
        <w:rPr>
          <w:rFonts w:ascii="Times New Roman" w:hAnsi="Times New Roman" w:eastAsia="方正仿宋_GBK" w:cs="Times New Roman"/>
          <w:bCs w:val="0"/>
          <w:sz w:val="32"/>
          <w:szCs w:val="32"/>
          <w:shd w:val="clear" w:color="auto" w:fill="FFFFFF"/>
        </w:rPr>
        <w:t>1</w:t>
      </w:r>
      <w:r>
        <w:rPr>
          <w:rFonts w:hint="eastAsia" w:ascii="Times New Roman" w:hAnsi="Times New Roman" w:eastAsia="方正仿宋_GBK" w:cs="Times New Roman"/>
          <w:bCs w:val="0"/>
          <w:sz w:val="32"/>
          <w:szCs w:val="32"/>
          <w:shd w:val="clear" w:color="auto" w:fill="FFFFFF"/>
        </w:rPr>
        <w:t>人，现有在职人员6人，退休职工</w:t>
      </w:r>
      <w:r>
        <w:rPr>
          <w:rFonts w:ascii="Times New Roman" w:hAnsi="Times New Roman" w:eastAsia="方正仿宋_GBK" w:cs="Times New Roman"/>
          <w:bCs w:val="0"/>
          <w:sz w:val="32"/>
          <w:szCs w:val="32"/>
          <w:shd w:val="clear" w:color="auto" w:fill="FFFFFF"/>
        </w:rPr>
        <w:t>7</w:t>
      </w:r>
      <w:r>
        <w:rPr>
          <w:rFonts w:hint="eastAsia" w:ascii="Times New Roman" w:hAnsi="Times New Roman" w:eastAsia="方正仿宋_GBK" w:cs="Times New Roman"/>
          <w:bCs w:val="0"/>
          <w:sz w:val="32"/>
          <w:szCs w:val="32"/>
          <w:shd w:val="clear" w:color="auto" w:fill="FFFFFF"/>
        </w:rPr>
        <w:t>人；事业编制3人，8级编制一个，9级编制2个，现有在职人员</w:t>
      </w:r>
      <w:r>
        <w:rPr>
          <w:rFonts w:hint="eastAsia" w:ascii="Times New Roman" w:hAnsi="Times New Roman" w:cs="Times New Roman"/>
          <w:bCs w:val="0"/>
          <w:sz w:val="32"/>
          <w:szCs w:val="32"/>
          <w:shd w:val="clear" w:color="auto" w:fill="FFFFFF"/>
          <w:lang w:val="en-US" w:eastAsia="zh-CN"/>
        </w:rPr>
        <w:t>3</w:t>
      </w:r>
      <w:r>
        <w:rPr>
          <w:rFonts w:hint="eastAsia" w:ascii="Times New Roman" w:hAnsi="Times New Roman" w:eastAsia="方正仿宋_GBK" w:cs="Times New Roman"/>
          <w:bCs w:val="0"/>
          <w:sz w:val="32"/>
          <w:szCs w:val="32"/>
          <w:shd w:val="clear" w:color="auto" w:fill="FFFFFF"/>
        </w:rPr>
        <w:t>人。</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450" w:firstLineChars="140"/>
        <w:textAlignment w:val="auto"/>
        <w:rPr>
          <w:rFonts w:hint="eastAsia" w:ascii="Times New Roman" w:hAnsi="Times New Roman" w:eastAsia="方正仿宋_GBK" w:cs="Times New Roman"/>
          <w:bCs w:val="0"/>
          <w:sz w:val="32"/>
          <w:szCs w:val="32"/>
          <w:shd w:val="clear" w:color="auto" w:fill="FFFFFF"/>
        </w:rPr>
      </w:pPr>
      <w:r>
        <w:rPr>
          <w:rStyle w:val="30"/>
          <w:rFonts w:hint="eastAsia" w:ascii="Times New Roman" w:hAnsi="Times New Roman" w:eastAsia="方正楷体_GBK" w:cs="Times New Roman"/>
          <w:bCs w:val="0"/>
          <w:kern w:val="2"/>
          <w:sz w:val="32"/>
          <w:szCs w:val="32"/>
          <w:shd w:val="clear" w:color="auto" w:fill="FFFFFF"/>
          <w:lang w:val="en-US" w:eastAsia="zh-CN" w:bidi="ar-SA"/>
        </w:rPr>
        <w:t>（三）单位构成。</w:t>
      </w:r>
      <w:r>
        <w:rPr>
          <w:rFonts w:hint="eastAsia" w:ascii="Times New Roman" w:hAnsi="Times New Roman" w:eastAsia="方正仿宋_GBK" w:cs="Times New Roman"/>
          <w:bCs w:val="0"/>
          <w:sz w:val="32"/>
          <w:szCs w:val="32"/>
          <w:shd w:val="clear" w:color="auto" w:fill="FFFFFF"/>
        </w:rPr>
        <w:t>从预算单位构成看，未有纳入本部门</w:t>
      </w:r>
      <w:r>
        <w:rPr>
          <w:rFonts w:ascii="Times New Roman" w:hAnsi="Times New Roman" w:eastAsia="方正仿宋_GBK" w:cs="Times New Roman"/>
          <w:bCs w:val="0"/>
          <w:sz w:val="32"/>
          <w:szCs w:val="32"/>
          <w:shd w:val="clear" w:color="auto" w:fill="FFFFFF"/>
        </w:rPr>
        <w:t>20</w:t>
      </w:r>
      <w:r>
        <w:rPr>
          <w:rFonts w:hint="eastAsia" w:ascii="Times New Roman" w:hAnsi="Times New Roman" w:eastAsia="方正仿宋_GBK" w:cs="Times New Roman"/>
          <w:bCs w:val="0"/>
          <w:sz w:val="32"/>
          <w:szCs w:val="32"/>
          <w:shd w:val="clear" w:color="auto" w:fill="FFFFFF"/>
        </w:rPr>
        <w:t>2</w:t>
      </w:r>
      <w:r>
        <w:rPr>
          <w:rFonts w:hint="eastAsia" w:ascii="Times New Roman" w:hAnsi="Times New Roman" w:cs="Times New Roman"/>
          <w:bCs w:val="0"/>
          <w:sz w:val="32"/>
          <w:szCs w:val="32"/>
          <w:shd w:val="clear" w:color="auto" w:fill="FFFFFF"/>
          <w:lang w:val="en-US" w:eastAsia="zh-CN"/>
        </w:rPr>
        <w:t>2</w:t>
      </w:r>
      <w:r>
        <w:rPr>
          <w:rFonts w:hint="eastAsia" w:ascii="Times New Roman" w:hAnsi="Times New Roman" w:eastAsia="方正仿宋_GBK" w:cs="Times New Roman"/>
          <w:bCs w:val="0"/>
          <w:sz w:val="32"/>
          <w:szCs w:val="32"/>
          <w:shd w:val="clear" w:color="auto" w:fill="FFFFFF"/>
        </w:rPr>
        <w:t>年度决算编制的二级预算单位。</w:t>
      </w:r>
    </w:p>
    <w:p>
      <w:pPr>
        <w:keepNext w:val="0"/>
        <w:keepLines w:val="0"/>
        <w:pageBreakBefore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黑体_GBK" w:cs="Times New Roman"/>
          <w:bCs w:val="0"/>
          <w:sz w:val="32"/>
          <w:szCs w:val="32"/>
          <w:lang w:eastAsia="zh-CN"/>
        </w:rPr>
      </w:pPr>
      <w:r>
        <w:rPr>
          <w:rFonts w:hint="eastAsia" w:ascii="Times New Roman" w:hAnsi="Times New Roman" w:eastAsia="方正黑体_GBK" w:cs="Times New Roman"/>
          <w:bCs w:val="0"/>
          <w:sz w:val="32"/>
          <w:szCs w:val="32"/>
        </w:rPr>
        <w:t>二、部门决算情况说明</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（一）收入支出决算总体情况说明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5"/>
          <w:rFonts w:hint="eastAsia" w:ascii="Times New Roman" w:hAnsi="Times New Roman" w:eastAsia="方正仿宋_GBK" w:cs="Times New Roman"/>
          <w:bCs w:val="0"/>
          <w:kern w:val="0"/>
          <w:sz w:val="32"/>
          <w:szCs w:val="32"/>
          <w:shd w:val="clear" w:color="auto" w:fill="FFFFFF"/>
          <w:lang w:val="en-US" w:eastAsia="zh-CN" w:bidi="ar-SA"/>
        </w:rPr>
        <w:t>1.总体情况。</w:t>
      </w:r>
      <w:r>
        <w:rPr>
          <w:rFonts w:hint="eastAsia" w:ascii="Times New Roman" w:hAnsi="Times New Roman" w:cs="Times New Roman"/>
          <w:bCs w:val="0"/>
          <w:szCs w:val="32"/>
        </w:rPr>
        <w:t>2022年度收入总计236.70万元，支出总计236.70万元。收支较上年决算数</w:t>
      </w:r>
      <w:r>
        <w:rPr>
          <w:rFonts w:hint="eastAsia" w:ascii="Times New Roman" w:hAnsi="Times New Roman" w:cs="Times New Roman"/>
          <w:bCs w:val="0"/>
          <w:szCs w:val="32"/>
          <w:lang w:eastAsia="zh-CN"/>
        </w:rPr>
        <w:t>减少</w:t>
      </w:r>
      <w:r>
        <w:rPr>
          <w:rFonts w:hint="eastAsia" w:ascii="Times New Roman" w:hAnsi="Times New Roman" w:cs="Times New Roman"/>
          <w:bCs w:val="0"/>
          <w:szCs w:val="32"/>
        </w:rPr>
        <w:t>19.65万元,增长7.7%，主要原因</w:t>
      </w:r>
      <w:r>
        <w:rPr>
          <w:rFonts w:hint="eastAsia" w:ascii="Times New Roman" w:hAnsi="Times New Roman" w:cs="Times New Roman"/>
          <w:bCs w:val="0"/>
          <w:szCs w:val="32"/>
          <w:lang w:val="en-US" w:eastAsia="zh-CN"/>
        </w:rPr>
        <w:t>是减少了预算外收入及一般财政拨款项目收入。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5"/>
          <w:rFonts w:hint="eastAsia" w:ascii="Times New Roman" w:hAnsi="Times New Roman" w:eastAsia="方正仿宋_GBK" w:cs="Times New Roman"/>
          <w:bCs w:val="0"/>
          <w:kern w:val="0"/>
          <w:sz w:val="32"/>
          <w:szCs w:val="32"/>
          <w:shd w:val="clear" w:color="auto" w:fill="FFFFFF"/>
          <w:lang w:val="en-US" w:eastAsia="zh-CN" w:bidi="ar-SA"/>
        </w:rPr>
        <w:t>2.收入情况。</w:t>
      </w:r>
      <w:r>
        <w:rPr>
          <w:rFonts w:hint="eastAsia" w:ascii="Times New Roman" w:hAnsi="Times New Roman" w:cs="Times New Roman"/>
          <w:bCs w:val="0"/>
          <w:szCs w:val="32"/>
        </w:rPr>
        <w:t>2022年度收入合计211.35万元，较上年决算数增加1.33万元，增长0.6%，主要原因是</w:t>
      </w:r>
      <w:r>
        <w:rPr>
          <w:rFonts w:hint="eastAsia" w:ascii="Times New Roman" w:hAnsi="Times New Roman" w:cs="Times New Roman"/>
          <w:bCs w:val="0"/>
          <w:szCs w:val="32"/>
          <w:lang w:eastAsia="zh-CN"/>
        </w:rPr>
        <w:t>人员经费略有增加</w:t>
      </w:r>
      <w:r>
        <w:rPr>
          <w:rFonts w:hint="eastAsia" w:ascii="Times New Roman" w:hAnsi="Times New Roman" w:cs="Times New Roman"/>
          <w:bCs w:val="0"/>
          <w:szCs w:val="32"/>
        </w:rPr>
        <w:t>。其中：财政拨款收入211.35万元，占100%；事业收入0.00万元，占0%；经营收入0.00万元，占0%；其他收入0.00万元，占0%。此外，使用非财政拨款结余0.00万元，年初结转和结余25.36万元。</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5"/>
          <w:rFonts w:hint="eastAsia" w:ascii="Times New Roman" w:hAnsi="Times New Roman" w:eastAsia="方正仿宋_GBK" w:cs="Times New Roman"/>
          <w:bCs w:val="0"/>
          <w:kern w:val="0"/>
          <w:sz w:val="32"/>
          <w:szCs w:val="32"/>
          <w:shd w:val="clear" w:color="auto" w:fill="FFFFFF"/>
          <w:lang w:val="en-US" w:eastAsia="zh-CN" w:bidi="ar-SA"/>
        </w:rPr>
        <w:t>3.支出情况。2</w:t>
      </w:r>
      <w:r>
        <w:rPr>
          <w:rFonts w:hint="eastAsia" w:ascii="Times New Roman" w:hAnsi="Times New Roman" w:cs="Times New Roman"/>
          <w:bCs w:val="0"/>
          <w:szCs w:val="32"/>
        </w:rPr>
        <w:t>022年度支出合计211.35万元，较上年决算</w:t>
      </w:r>
      <w:r>
        <w:rPr>
          <w:rFonts w:hint="eastAsia" w:ascii="Times New Roman" w:hAnsi="Times New Roman" w:cs="Times New Roman"/>
          <w:bCs w:val="0"/>
          <w:szCs w:val="32"/>
          <w:lang w:eastAsia="zh-CN"/>
        </w:rPr>
        <w:t>减少</w:t>
      </w:r>
      <w:r>
        <w:rPr>
          <w:rFonts w:hint="eastAsia" w:ascii="Times New Roman" w:hAnsi="Times New Roman" w:cs="Times New Roman"/>
          <w:bCs w:val="0"/>
          <w:szCs w:val="32"/>
        </w:rPr>
        <w:t>19.64万元，增长8.5%，主要原因</w:t>
      </w:r>
      <w:r>
        <w:rPr>
          <w:rFonts w:hint="eastAsia" w:ascii="Times New Roman" w:hAnsi="Times New Roman" w:cs="Times New Roman"/>
          <w:bCs w:val="0"/>
          <w:szCs w:val="32"/>
          <w:lang w:val="en-US" w:eastAsia="zh-CN"/>
        </w:rPr>
        <w:t>是减少了预算外收入及一般财政拨款项目收入。</w:t>
      </w:r>
      <w:r>
        <w:rPr>
          <w:rFonts w:hint="eastAsia" w:ascii="Times New Roman" w:hAnsi="Times New Roman" w:cs="Times New Roman"/>
          <w:bCs w:val="0"/>
          <w:szCs w:val="32"/>
        </w:rPr>
        <w:t>其中：基本支出175.75万元，占83.2%；项目支出35.59万元，占16.8%；经营支出0.00万元，占0%。此外，结余分配0.00万元。</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5"/>
          <w:rFonts w:hint="eastAsia" w:ascii="Times New Roman" w:hAnsi="Times New Roman" w:eastAsia="方正仿宋_GBK" w:cs="Times New Roman"/>
          <w:bCs w:val="0"/>
          <w:kern w:val="0"/>
          <w:sz w:val="32"/>
          <w:szCs w:val="32"/>
          <w:shd w:val="clear" w:color="auto" w:fill="FFFFFF"/>
          <w:lang w:val="en-US" w:eastAsia="zh-CN" w:bidi="ar-SA"/>
        </w:rPr>
        <w:t>4.结转结余情况。</w:t>
      </w:r>
      <w:r>
        <w:rPr>
          <w:rFonts w:hint="eastAsia" w:ascii="Times New Roman" w:hAnsi="Times New Roman" w:cs="Times New Roman"/>
          <w:bCs w:val="0"/>
          <w:szCs w:val="32"/>
        </w:rPr>
        <w:t>2022年度年末结转和结余25.36万元，较上年决算数增加0.00万元，增长0%。</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（二）财政拨款收入支出决算总体情况说明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2022年度财政拨款收、支总计211.35万元。与2021年相比，财政拨款收、支总计各增加19.34万元，增长10.1%。主要原因是</w:t>
      </w:r>
      <w:r>
        <w:rPr>
          <w:rFonts w:hint="eastAsia" w:ascii="Times New Roman" w:hAnsi="Times New Roman" w:eastAsia="方正仿宋_GBK" w:cs="Times New Roman"/>
          <w:bCs w:val="0"/>
          <w:kern w:val="0"/>
          <w:sz w:val="32"/>
          <w:szCs w:val="32"/>
          <w:shd w:val="clear" w:color="auto" w:fill="FFFFFF"/>
          <w:lang w:val="en-US" w:eastAsia="zh-CN" w:bidi="ar-SA"/>
        </w:rPr>
        <w:t>人员正常工资调标等原因</w:t>
      </w:r>
      <w:r>
        <w:rPr>
          <w:rFonts w:hint="eastAsia" w:ascii="Times New Roman" w:hAnsi="Times New Roman" w:cs="Times New Roman"/>
          <w:bCs w:val="0"/>
          <w:szCs w:val="32"/>
        </w:rPr>
        <w:t>。</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（三）一般公共预算财政拨款收入支出决算情况说明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5"/>
          <w:rFonts w:hint="eastAsia" w:ascii="Times New Roman" w:hAnsi="Times New Roman" w:eastAsia="方正仿宋_GBK" w:cs="Times New Roman"/>
          <w:bCs w:val="0"/>
          <w:kern w:val="0"/>
          <w:sz w:val="32"/>
          <w:szCs w:val="32"/>
          <w:shd w:val="clear" w:color="auto" w:fill="FFFFFF"/>
          <w:lang w:val="en-US" w:eastAsia="zh-CN" w:bidi="ar-SA"/>
        </w:rPr>
        <w:t>1.收入情况。</w:t>
      </w:r>
      <w:r>
        <w:rPr>
          <w:rFonts w:hint="eastAsia" w:ascii="Times New Roman" w:hAnsi="Times New Roman" w:cs="Times New Roman"/>
          <w:bCs w:val="0"/>
          <w:szCs w:val="32"/>
        </w:rPr>
        <w:t>2022年度一般公共预算财政拨款收入211.35万元，较上年决算数增加26.84万元，增长14.5%。主要原因是</w:t>
      </w:r>
      <w:r>
        <w:rPr>
          <w:rFonts w:hint="eastAsia" w:ascii="Times New Roman" w:hAnsi="Times New Roman" w:eastAsia="方正仿宋_GBK" w:cs="Times New Roman"/>
          <w:bCs w:val="0"/>
          <w:kern w:val="0"/>
          <w:sz w:val="32"/>
          <w:szCs w:val="32"/>
          <w:shd w:val="clear" w:color="auto" w:fill="FFFFFF"/>
          <w:lang w:val="en-US" w:eastAsia="zh-CN" w:bidi="ar-SA"/>
        </w:rPr>
        <w:t>人员正常工资调标等原因</w:t>
      </w:r>
      <w:r>
        <w:rPr>
          <w:rFonts w:hint="eastAsia" w:ascii="Times New Roman" w:hAnsi="Times New Roman" w:cs="Times New Roman"/>
          <w:bCs w:val="0"/>
          <w:szCs w:val="32"/>
        </w:rPr>
        <w:t>。较年初预算数增加4.94万元，增长2.4%。主要原因是</w:t>
      </w:r>
      <w:r>
        <w:rPr>
          <w:rFonts w:hint="eastAsia" w:ascii="Times New Roman" w:hAnsi="Times New Roman" w:eastAsia="方正仿宋_GBK" w:cs="Times New Roman"/>
          <w:bCs w:val="0"/>
          <w:kern w:val="0"/>
          <w:sz w:val="32"/>
          <w:szCs w:val="32"/>
          <w:shd w:val="clear" w:color="auto" w:fill="FFFFFF"/>
          <w:lang w:val="en-US" w:eastAsia="zh-CN" w:bidi="ar-SA"/>
        </w:rPr>
        <w:t>人员正常工资调标等原因</w:t>
      </w:r>
      <w:r>
        <w:rPr>
          <w:rFonts w:hint="eastAsia" w:ascii="Times New Roman" w:hAnsi="Times New Roman" w:cs="Times New Roman"/>
          <w:bCs w:val="0"/>
          <w:szCs w:val="32"/>
        </w:rPr>
        <w:t>。此外，年初财政拨款结转和结余0.00万元。</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5"/>
          <w:rFonts w:hint="eastAsia" w:ascii="Times New Roman" w:hAnsi="Times New Roman" w:eastAsia="方正仿宋_GBK" w:cs="Times New Roman"/>
          <w:bCs w:val="0"/>
          <w:kern w:val="0"/>
          <w:sz w:val="32"/>
          <w:szCs w:val="32"/>
          <w:shd w:val="clear" w:color="auto" w:fill="FFFFFF"/>
          <w:lang w:val="en-US" w:eastAsia="zh-CN" w:bidi="ar-SA"/>
        </w:rPr>
        <w:t>2.支出情况。</w:t>
      </w:r>
      <w:r>
        <w:rPr>
          <w:rFonts w:hint="eastAsia" w:ascii="Times New Roman" w:hAnsi="Times New Roman" w:cs="Times New Roman"/>
          <w:bCs w:val="0"/>
          <w:szCs w:val="32"/>
        </w:rPr>
        <w:t>2022年度一般公共预算财政拨款支出211.35万元，较上年决算数增加19.34万元，增长10.1%。主要原因是</w:t>
      </w:r>
      <w:r>
        <w:rPr>
          <w:rFonts w:hint="eastAsia" w:ascii="Times New Roman" w:hAnsi="Times New Roman" w:eastAsia="方正仿宋_GBK" w:cs="Times New Roman"/>
          <w:bCs w:val="0"/>
          <w:kern w:val="0"/>
          <w:sz w:val="32"/>
          <w:szCs w:val="32"/>
          <w:shd w:val="clear" w:color="auto" w:fill="FFFFFF"/>
          <w:lang w:val="en-US" w:eastAsia="zh-CN" w:bidi="ar-SA"/>
        </w:rPr>
        <w:t>人员正常工资调标等原因</w:t>
      </w:r>
      <w:r>
        <w:rPr>
          <w:rFonts w:hint="eastAsia" w:ascii="Times New Roman" w:hAnsi="Times New Roman" w:cs="Times New Roman"/>
          <w:bCs w:val="0"/>
          <w:szCs w:val="32"/>
        </w:rPr>
        <w:t>。较年初预算数增加4.94万元，增长2.4%。主要原因是</w:t>
      </w:r>
      <w:r>
        <w:rPr>
          <w:rFonts w:hint="eastAsia" w:ascii="Times New Roman" w:hAnsi="Times New Roman" w:eastAsia="方正仿宋_GBK" w:cs="Times New Roman"/>
          <w:bCs w:val="0"/>
          <w:kern w:val="0"/>
          <w:sz w:val="32"/>
          <w:szCs w:val="32"/>
          <w:shd w:val="clear" w:color="auto" w:fill="FFFFFF"/>
          <w:lang w:val="en-US" w:eastAsia="zh-CN" w:bidi="ar-SA"/>
        </w:rPr>
        <w:t>人员正常工资调标等原因</w:t>
      </w:r>
      <w:r>
        <w:rPr>
          <w:rFonts w:hint="eastAsia" w:ascii="Times New Roman" w:hAnsi="Times New Roman" w:cs="Times New Roman"/>
          <w:bCs w:val="0"/>
          <w:szCs w:val="32"/>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5"/>
          <w:rFonts w:hint="eastAsia" w:ascii="Times New Roman" w:hAnsi="Times New Roman" w:eastAsia="方正仿宋_GBK" w:cs="Times New Roman"/>
          <w:bCs w:val="0"/>
          <w:kern w:val="0"/>
          <w:sz w:val="32"/>
          <w:szCs w:val="32"/>
          <w:shd w:val="clear" w:color="auto" w:fill="FFFFFF"/>
          <w:lang w:val="en-US" w:eastAsia="zh-CN" w:bidi="ar-SA"/>
        </w:rPr>
        <w:t>3.结转结余情况。</w:t>
      </w:r>
      <w:r>
        <w:rPr>
          <w:rFonts w:hint="eastAsia" w:ascii="Times New Roman" w:hAnsi="Times New Roman" w:cs="Times New Roman"/>
          <w:bCs w:val="0"/>
          <w:szCs w:val="32"/>
        </w:rPr>
        <w:t>2022年度年末一般公共预算财政拨款结转和结余0.00万元，较上年决算数增加0.00万元，增长%。</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5"/>
          <w:rFonts w:hint="eastAsia" w:ascii="Times New Roman" w:hAnsi="Times New Roman" w:eastAsia="方正仿宋_GBK" w:cs="Times New Roman"/>
          <w:bCs w:val="0"/>
          <w:kern w:val="0"/>
          <w:sz w:val="32"/>
          <w:szCs w:val="32"/>
          <w:shd w:val="clear" w:color="auto" w:fill="FFFFFF"/>
          <w:lang w:val="en-US" w:eastAsia="zh-CN" w:bidi="ar-SA"/>
        </w:rPr>
        <w:t>4.比较情况。</w:t>
      </w:r>
      <w:r>
        <w:rPr>
          <w:rFonts w:hint="eastAsia" w:ascii="Times New Roman" w:hAnsi="Times New Roman" w:cs="Times New Roman"/>
          <w:bCs w:val="0"/>
          <w:szCs w:val="32"/>
        </w:rPr>
        <w:t>本部门2022年度一般公共预算财政拨款支出主要用于以下几个方面：</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（1）一般公共服务支出161.32万元，占76.3%，较年初预算数增加4.94万元，增长3.2%，主要原因是</w:t>
      </w:r>
      <w:r>
        <w:rPr>
          <w:rFonts w:hint="eastAsia" w:ascii="Times New Roman" w:hAnsi="Times New Roman" w:eastAsia="方正仿宋_GBK" w:cs="Times New Roman"/>
          <w:bCs w:val="0"/>
          <w:kern w:val="0"/>
          <w:sz w:val="32"/>
          <w:szCs w:val="32"/>
          <w:shd w:val="clear" w:color="auto" w:fill="FFFFFF"/>
          <w:lang w:val="en-US" w:eastAsia="zh-CN" w:bidi="ar-SA"/>
        </w:rPr>
        <w:t>人员正常工资调标等原因</w:t>
      </w:r>
      <w:r>
        <w:rPr>
          <w:rFonts w:hint="eastAsia" w:ascii="Times New Roman" w:hAnsi="Times New Roman" w:cs="Times New Roman"/>
          <w:bCs w:val="0"/>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（2）社会保障与就业支出33.69万元，占15.9%，较年初预算数增加0.00万元，增长0%。</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（3）卫生健康支出7.55万元，占3.6%，较年初预算数增加0.00万元，增长0%。</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（4）住房保障支出8.79万元，占4.2%，较年初预算数增加0.00万元，增长0%。</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（四）一般公共预算财政拨款基本支出决算情况说明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2022年度一般公共预算财政拨款基本支出175.75万元。其中：人员经费150.90万元，较上年决算数增加35.34万元，增长30.6%，主要原因是</w:t>
      </w:r>
      <w:r>
        <w:rPr>
          <w:rFonts w:hint="eastAsia" w:ascii="Times New Roman" w:hAnsi="Times New Roman" w:eastAsia="方正仿宋_GBK" w:cs="Times New Roman"/>
          <w:bCs w:val="0"/>
          <w:kern w:val="0"/>
          <w:sz w:val="32"/>
          <w:szCs w:val="32"/>
          <w:shd w:val="clear" w:color="auto" w:fill="FFFFFF"/>
          <w:lang w:val="en-US" w:eastAsia="zh-CN" w:bidi="ar-SA"/>
        </w:rPr>
        <w:t>人员正常工资调标等原因</w:t>
      </w:r>
      <w:r>
        <w:rPr>
          <w:rFonts w:hint="eastAsia" w:ascii="Times New Roman" w:hAnsi="Times New Roman" w:cs="Times New Roman"/>
          <w:bCs w:val="0"/>
          <w:szCs w:val="32"/>
        </w:rPr>
        <w:t>。人员经费用途主要包括</w:t>
      </w:r>
      <w:r>
        <w:rPr>
          <w:rFonts w:hint="eastAsia" w:ascii="Times New Roman" w:hAnsi="Times New Roman" w:eastAsia="方正仿宋_GBK" w:cs="Times New Roman"/>
          <w:bCs w:val="0"/>
          <w:kern w:val="0"/>
          <w:sz w:val="32"/>
          <w:szCs w:val="32"/>
          <w:shd w:val="clear" w:color="auto" w:fill="FFFFFF"/>
          <w:lang w:val="en-US" w:eastAsia="zh-CN" w:bidi="ar-SA"/>
        </w:rPr>
        <w:t>基本工资、津贴补贴、奖金、绩效工资、机关事业单位基本养老保险费、职业年金缴费、职工基本医疗保险缴费、其他社会保障缴费、住房公积金和其他工资福利支出</w:t>
      </w:r>
      <w:r>
        <w:rPr>
          <w:rFonts w:hint="eastAsia" w:ascii="Times New Roman" w:hAnsi="Times New Roman" w:cs="Times New Roman"/>
          <w:bCs w:val="0"/>
          <w:szCs w:val="32"/>
        </w:rPr>
        <w:t>。公用经费24.85万元，较上年决算数增加0.31万元，增长1.3%，主要原因是</w:t>
      </w:r>
      <w:r>
        <w:rPr>
          <w:rFonts w:hint="eastAsia" w:ascii="Times New Roman" w:hAnsi="Times New Roman" w:cs="Times New Roman"/>
          <w:bCs w:val="0"/>
          <w:szCs w:val="32"/>
          <w:lang w:eastAsia="zh-CN"/>
        </w:rPr>
        <w:t>增加了办公等费用</w:t>
      </w:r>
      <w:r>
        <w:rPr>
          <w:rFonts w:hint="eastAsia" w:ascii="Times New Roman" w:hAnsi="Times New Roman" w:cs="Times New Roman"/>
          <w:bCs w:val="0"/>
          <w:szCs w:val="32"/>
        </w:rPr>
        <w:t>。公用经费用途主要包括</w:t>
      </w:r>
      <w:r>
        <w:rPr>
          <w:rFonts w:hint="eastAsia" w:ascii="Times New Roman" w:hAnsi="Times New Roman" w:eastAsia="方正仿宋_GBK" w:cs="Times New Roman"/>
          <w:bCs w:val="0"/>
          <w:kern w:val="0"/>
          <w:sz w:val="32"/>
          <w:szCs w:val="32"/>
          <w:shd w:val="clear" w:color="auto" w:fill="FFFFFF"/>
          <w:lang w:val="en-US" w:eastAsia="zh-CN" w:bidi="ar-SA"/>
        </w:rPr>
        <w:t>办公费、手续费、电费、邮电费、差旅</w:t>
      </w:r>
      <w:r>
        <w:rPr>
          <w:rFonts w:hint="eastAsia" w:ascii="Times New Roman" w:hAnsi="Times New Roman" w:eastAsia="方正仿宋_GBK" w:cs="Times New Roman"/>
          <w:bCs w:val="0"/>
          <w:sz w:val="32"/>
          <w:szCs w:val="32"/>
          <w:shd w:val="clear" w:color="auto" w:fill="FFFFFF"/>
        </w:rPr>
        <w:t>费、会议费、公务接待费、工会经费、车辆运行维护费、其他交通费、其他商品和服务支出。</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rPr>
      </w:pPr>
      <w:r>
        <w:rPr>
          <w:rStyle w:val="30"/>
          <w:rFonts w:hint="eastAsia" w:ascii="Times New Roman" w:hAnsi="Times New Roman" w:eastAsia="方正楷体_GBK" w:cs="Times New Roman"/>
          <w:b/>
          <w:bCs w:val="0"/>
          <w:sz w:val="32"/>
          <w:szCs w:val="32"/>
          <w:shd w:val="clear" w:color="auto" w:fill="FFFFFF"/>
        </w:rPr>
        <w:t>（五）政府性基金预算收支决算情况说明。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本部门2022年度无政府性基金预算财政拨款收支。</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（六）国有资本经营预算财政拨款支出决算情况说明。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本部门2022年度无国有资本经营预算财政拨款支出。</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黑体_GBK" w:cs="Times New Roman"/>
          <w:bCs w:val="0"/>
          <w:sz w:val="32"/>
          <w:szCs w:val="32"/>
        </w:rPr>
      </w:pPr>
      <w:r>
        <w:rPr>
          <w:rFonts w:hint="eastAsia" w:ascii="Times New Roman" w:hAnsi="Times New Roman" w:eastAsia="方正黑体_GBK" w:cs="Times New Roman"/>
          <w:bCs w:val="0"/>
          <w:sz w:val="32"/>
          <w:szCs w:val="32"/>
        </w:rPr>
        <w:t>三、“三公”经费情况说明</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（一）“三公”经费支出总体情况说明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2022年度“三公”经费支出共计5.36万元，较年初预算数减少2.64万元，下降33%，主要原因是</w:t>
      </w:r>
      <w:r>
        <w:rPr>
          <w:rFonts w:hint="eastAsia" w:ascii="Times New Roman" w:hAnsi="Times New Roman" w:cs="Times New Roman"/>
          <w:bCs w:val="0"/>
          <w:szCs w:val="32"/>
          <w:lang w:eastAsia="zh-CN"/>
        </w:rPr>
        <w:t>减少了公务接待费用</w:t>
      </w:r>
      <w:r>
        <w:rPr>
          <w:rFonts w:hint="eastAsia" w:ascii="Times New Roman" w:hAnsi="Times New Roman" w:cs="Times New Roman"/>
          <w:bCs w:val="0"/>
          <w:szCs w:val="32"/>
        </w:rPr>
        <w:t>。较上年支出数增加3.20万元，增长148.1%，主要原因是</w:t>
      </w:r>
      <w:r>
        <w:rPr>
          <w:rFonts w:hint="eastAsia" w:ascii="Times New Roman" w:hAnsi="Times New Roman" w:cs="Times New Roman"/>
          <w:bCs w:val="0"/>
          <w:szCs w:val="32"/>
          <w:lang w:eastAsia="zh-CN"/>
        </w:rPr>
        <w:t>公务用车设备老化，运行维护费增加</w:t>
      </w:r>
      <w:r>
        <w:rPr>
          <w:rFonts w:hint="eastAsia" w:ascii="Times New Roman" w:hAnsi="Times New Roman" w:cs="Times New Roman"/>
          <w:bCs w:val="0"/>
          <w:szCs w:val="32"/>
        </w:rPr>
        <w:t>。</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（二）“三公”经费分项支出情况</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2022年度本部门因公出国（境）费用0.00万元，本单位2022年度未发生因公出国（境）费用支出。费用支出较年初预算数增加0.00万元，增长%，本单位2022年度未发生因公出国（境）费用支出。较上年支出数增加0.00万元，增长%，本单位2022年度未发生因公出国（境）费用支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公务车购置费0.00万元，本单位2022年度未发生公务车购置费支出。费用支出较年初预算数增加0.00万元，增长%，本单位2022年度未发生公务车购置费支出。较上年支出数增加0.00万元，增长%，本单位2022年度未发生公务车购置费支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公务车运行维护费3.04万元，主要用于</w:t>
      </w:r>
      <w:r>
        <w:rPr>
          <w:rFonts w:hint="eastAsia" w:ascii="Times New Roman" w:hAnsi="Times New Roman" w:cs="Times New Roman"/>
          <w:bCs w:val="0"/>
          <w:szCs w:val="32"/>
          <w:lang w:eastAsia="zh-CN"/>
        </w:rPr>
        <w:t>公务用车的加油、保险及维修等</w:t>
      </w:r>
      <w:r>
        <w:rPr>
          <w:rFonts w:hint="eastAsia" w:ascii="Times New Roman" w:hAnsi="Times New Roman" w:cs="Times New Roman"/>
          <w:bCs w:val="0"/>
          <w:szCs w:val="32"/>
        </w:rPr>
        <w:t>。费用支出较年初预算数增加0.54万元，增长21.6%，主要原因是</w:t>
      </w:r>
      <w:r>
        <w:rPr>
          <w:rFonts w:hint="eastAsia" w:ascii="Times New Roman" w:hAnsi="Times New Roman" w:cs="Times New Roman"/>
          <w:bCs w:val="0"/>
          <w:szCs w:val="32"/>
          <w:lang w:eastAsia="zh-CN"/>
        </w:rPr>
        <w:t>公务用车设备老化，运行维护费增加</w:t>
      </w:r>
      <w:r>
        <w:rPr>
          <w:rFonts w:hint="eastAsia" w:ascii="Times New Roman" w:hAnsi="Times New Roman" w:cs="Times New Roman"/>
          <w:bCs w:val="0"/>
          <w:szCs w:val="32"/>
        </w:rPr>
        <w:t>。较上年支出数增加1.58万元，增长108.2%，主要原因是</w:t>
      </w:r>
      <w:r>
        <w:rPr>
          <w:rFonts w:hint="eastAsia" w:ascii="Times New Roman" w:hAnsi="Times New Roman" w:cs="Times New Roman"/>
          <w:bCs w:val="0"/>
          <w:szCs w:val="32"/>
          <w:lang w:eastAsia="zh-CN"/>
        </w:rPr>
        <w:t>公务用车设备老化，运行维护费增加</w:t>
      </w:r>
      <w:r>
        <w:rPr>
          <w:rFonts w:hint="eastAsia" w:ascii="Times New Roman" w:hAnsi="Times New Roman" w:cs="Times New Roman"/>
          <w:bCs w:val="0"/>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公务接待费2.32万元，主要用于接待</w:t>
      </w:r>
      <w:r>
        <w:rPr>
          <w:rFonts w:hint="eastAsia" w:ascii="Times New Roman" w:hAnsi="Times New Roman" w:cs="Times New Roman"/>
          <w:bCs w:val="0"/>
          <w:szCs w:val="32"/>
          <w:lang w:eastAsia="zh-CN"/>
        </w:rPr>
        <w:t>市联、九龙坡以及万企兴万村行动结对市级商协会支出</w:t>
      </w:r>
      <w:r>
        <w:rPr>
          <w:rFonts w:hint="eastAsia" w:ascii="Times New Roman" w:hAnsi="Times New Roman" w:cs="Times New Roman"/>
          <w:bCs w:val="0"/>
          <w:szCs w:val="32"/>
        </w:rPr>
        <w:t>。费用支出较年初预算数减少3.18万元，下降57.8%，主要因</w:t>
      </w:r>
      <w:r>
        <w:rPr>
          <w:rFonts w:hint="eastAsia" w:ascii="Times New Roman" w:hAnsi="Times New Roman" w:cs="Times New Roman"/>
          <w:bCs w:val="0"/>
          <w:szCs w:val="32"/>
          <w:lang w:eastAsia="zh-CN"/>
        </w:rPr>
        <w:t>下半年疫情原因，接待未成行</w:t>
      </w:r>
      <w:r>
        <w:rPr>
          <w:rFonts w:hint="eastAsia" w:ascii="Times New Roman" w:hAnsi="Times New Roman" w:cs="Times New Roman"/>
          <w:bCs w:val="0"/>
          <w:szCs w:val="32"/>
        </w:rPr>
        <w:t>。较上年支出数增加1.63万元，增长236.2%，主要原因是</w:t>
      </w:r>
      <w:r>
        <w:rPr>
          <w:rFonts w:hint="eastAsia" w:ascii="Times New Roman" w:hAnsi="Times New Roman" w:cs="Times New Roman"/>
          <w:bCs w:val="0"/>
          <w:szCs w:val="32"/>
          <w:lang w:eastAsia="zh-CN"/>
        </w:rPr>
        <w:t>增加了接待次数</w:t>
      </w:r>
      <w:r>
        <w:rPr>
          <w:rFonts w:hint="eastAsia" w:ascii="Times New Roman" w:hAnsi="Times New Roman" w:cs="Times New Roman"/>
          <w:bCs w:val="0"/>
          <w:szCs w:val="32"/>
        </w:rPr>
        <w:t>用于接待</w:t>
      </w:r>
      <w:r>
        <w:rPr>
          <w:rFonts w:hint="eastAsia" w:ascii="Times New Roman" w:hAnsi="Times New Roman" w:cs="Times New Roman"/>
          <w:bCs w:val="0"/>
          <w:szCs w:val="32"/>
          <w:lang w:eastAsia="zh-CN"/>
        </w:rPr>
        <w:t>市联、九龙坡以及万企兴万村行动结对市级商协会</w:t>
      </w:r>
      <w:r>
        <w:rPr>
          <w:rFonts w:hint="eastAsia" w:ascii="Times New Roman" w:hAnsi="Times New Roman" w:cs="Times New Roman"/>
          <w:bCs w:val="0"/>
          <w:szCs w:val="32"/>
        </w:rPr>
        <w:t>。</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（三）“三公”经费实物量情况</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2022年度本部门因公出国（境）共计0个团组，0人；公务用车购置0辆，公务车保有量为1辆；国内公务接待15批次210人，其中：国内外事接待0批次，0人；国（境）外公务接待0批次，0人。2022年本部门人均接待费110.32元，车均购置费0.00万元，车均维护费3.04万元。</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黑体_GBK" w:cs="Times New Roman"/>
          <w:bCs w:val="0"/>
          <w:sz w:val="32"/>
          <w:szCs w:val="32"/>
        </w:rPr>
      </w:pPr>
      <w:r>
        <w:rPr>
          <w:rFonts w:hint="eastAsia" w:ascii="Times New Roman" w:hAnsi="Times New Roman" w:eastAsia="方正黑体_GBK" w:cs="Times New Roman"/>
          <w:bCs w:val="0"/>
          <w:sz w:val="32"/>
          <w:szCs w:val="32"/>
        </w:rPr>
        <w:t>四、其他需要说明的事项</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（一）财政拨款会议费和培训费情况说明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本年度会议费支出3.42万元，较上年决算数</w:t>
      </w:r>
      <w:r>
        <w:rPr>
          <w:rFonts w:hint="eastAsia" w:ascii="Times New Roman" w:hAnsi="Times New Roman" w:cs="Times New Roman"/>
          <w:bCs w:val="0"/>
          <w:szCs w:val="32"/>
          <w:lang w:eastAsia="zh-CN"/>
        </w:rPr>
        <w:t>减少</w:t>
      </w:r>
      <w:r>
        <w:rPr>
          <w:rFonts w:hint="eastAsia" w:ascii="Times New Roman" w:hAnsi="Times New Roman" w:cs="Times New Roman"/>
          <w:bCs w:val="0"/>
          <w:szCs w:val="32"/>
        </w:rPr>
        <w:t>16.57万元，</w:t>
      </w:r>
      <w:r>
        <w:rPr>
          <w:rFonts w:hint="eastAsia" w:ascii="Times New Roman" w:hAnsi="Times New Roman" w:cs="Times New Roman"/>
          <w:bCs w:val="0"/>
          <w:szCs w:val="32"/>
          <w:lang w:eastAsia="zh-CN"/>
        </w:rPr>
        <w:t>下降</w:t>
      </w:r>
      <w:r>
        <w:rPr>
          <w:rFonts w:hint="eastAsia" w:ascii="Times New Roman" w:hAnsi="Times New Roman" w:cs="Times New Roman"/>
          <w:bCs w:val="0"/>
          <w:szCs w:val="32"/>
        </w:rPr>
        <w:t>82.9%，主要原因是</w:t>
      </w:r>
      <w:r>
        <w:rPr>
          <w:rFonts w:hint="eastAsia" w:ascii="Times New Roman" w:hAnsi="Times New Roman" w:cs="Times New Roman"/>
          <w:bCs w:val="0"/>
          <w:szCs w:val="32"/>
          <w:lang w:eastAsia="zh-CN"/>
        </w:rPr>
        <w:t>减少会议次数</w:t>
      </w:r>
      <w:r>
        <w:rPr>
          <w:rFonts w:hint="eastAsia" w:ascii="Times New Roman" w:hAnsi="Times New Roman" w:cs="Times New Roman"/>
          <w:bCs w:val="0"/>
          <w:szCs w:val="32"/>
        </w:rPr>
        <w:t>。本年度培训费支出7.60万元，较上年决算数</w:t>
      </w:r>
      <w:r>
        <w:rPr>
          <w:rFonts w:hint="eastAsia" w:ascii="Times New Roman" w:hAnsi="Times New Roman" w:cs="Times New Roman"/>
          <w:bCs w:val="0"/>
          <w:szCs w:val="32"/>
          <w:lang w:eastAsia="zh-CN"/>
        </w:rPr>
        <w:t>减少</w:t>
      </w:r>
      <w:r>
        <w:rPr>
          <w:rFonts w:hint="eastAsia" w:ascii="Times New Roman" w:hAnsi="Times New Roman" w:cs="Times New Roman"/>
          <w:bCs w:val="0"/>
          <w:szCs w:val="32"/>
        </w:rPr>
        <w:t>17.40万元，</w:t>
      </w:r>
      <w:r>
        <w:rPr>
          <w:rFonts w:hint="eastAsia" w:ascii="Times New Roman" w:hAnsi="Times New Roman" w:cs="Times New Roman"/>
          <w:bCs w:val="0"/>
          <w:szCs w:val="32"/>
          <w:lang w:eastAsia="zh-CN"/>
        </w:rPr>
        <w:t>下降</w:t>
      </w:r>
      <w:r>
        <w:rPr>
          <w:rFonts w:hint="eastAsia" w:ascii="Times New Roman" w:hAnsi="Times New Roman" w:cs="Times New Roman"/>
          <w:bCs w:val="0"/>
          <w:szCs w:val="32"/>
        </w:rPr>
        <w:t>69.6%，主要原因是</w:t>
      </w:r>
      <w:r>
        <w:rPr>
          <w:rFonts w:hint="eastAsia" w:ascii="Times New Roman" w:hAnsi="Times New Roman" w:cs="Times New Roman"/>
          <w:bCs w:val="0"/>
          <w:szCs w:val="32"/>
          <w:lang w:eastAsia="zh-CN"/>
        </w:rPr>
        <w:t>因下半年疫情原因，计划培训任务未实施</w:t>
      </w:r>
      <w:r>
        <w:rPr>
          <w:rFonts w:hint="eastAsia" w:ascii="Times New Roman" w:hAnsi="Times New Roman" w:cs="Times New Roman"/>
          <w:bCs w:val="0"/>
          <w:szCs w:val="32"/>
        </w:rPr>
        <w:t>。</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（二）机关运行经费支出情况说明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bCs w:val="0"/>
          <w:szCs w:val="32"/>
          <w:lang w:eastAsia="zh-CN"/>
        </w:rPr>
      </w:pPr>
      <w:r>
        <w:rPr>
          <w:rFonts w:hint="eastAsia" w:ascii="Times New Roman" w:hAnsi="Times New Roman" w:cs="Times New Roman"/>
          <w:bCs w:val="0"/>
          <w:szCs w:val="32"/>
        </w:rPr>
        <w:t>2022年度本部门机关运行经费支出24.85万元，</w:t>
      </w:r>
      <w:r>
        <w:rPr>
          <w:rFonts w:hint="eastAsia" w:ascii="Times New Roman" w:hAnsi="Times New Roman" w:eastAsia="方正仿宋_GBK" w:cs="Times New Roman"/>
          <w:bCs w:val="0"/>
          <w:sz w:val="32"/>
          <w:szCs w:val="32"/>
          <w:shd w:val="clear" w:color="auto" w:fill="FFFFFF"/>
        </w:rPr>
        <w:t>主要用于开支办公经费、车辆运行维护费</w:t>
      </w:r>
      <w:r>
        <w:rPr>
          <w:rFonts w:hint="eastAsia" w:ascii="Times New Roman" w:hAnsi="Times New Roman" w:cs="Times New Roman"/>
          <w:bCs w:val="0"/>
          <w:sz w:val="32"/>
          <w:szCs w:val="32"/>
          <w:shd w:val="clear" w:color="auto" w:fill="FFFFFF"/>
          <w:lang w:eastAsia="zh-CN"/>
        </w:rPr>
        <w:t>等</w:t>
      </w:r>
      <w:r>
        <w:rPr>
          <w:rFonts w:hint="eastAsia" w:ascii="Times New Roman" w:hAnsi="Times New Roman" w:cs="Times New Roman"/>
          <w:bCs w:val="0"/>
          <w:szCs w:val="32"/>
        </w:rPr>
        <w:t>。机关运行经费较上年决算数增加0.31万元，增长1.3%，主要原因是</w:t>
      </w:r>
      <w:r>
        <w:rPr>
          <w:rFonts w:hint="eastAsia" w:ascii="Times New Roman" w:hAnsi="Times New Roman" w:eastAsia="方正仿宋_GBK" w:cs="Times New Roman"/>
          <w:bCs w:val="0"/>
          <w:sz w:val="32"/>
          <w:szCs w:val="32"/>
          <w:shd w:val="clear" w:color="auto" w:fill="FFFFFF"/>
        </w:rPr>
        <w:t>车辆运行维护费</w:t>
      </w:r>
      <w:r>
        <w:rPr>
          <w:rFonts w:hint="eastAsia" w:ascii="Times New Roman" w:hAnsi="Times New Roman" w:cs="Times New Roman"/>
          <w:bCs w:val="0"/>
          <w:szCs w:val="32"/>
          <w:lang w:eastAsia="zh-CN"/>
        </w:rPr>
        <w:t>增加了</w:t>
      </w:r>
      <w:r>
        <w:rPr>
          <w:rFonts w:hint="eastAsia" w:ascii="Times New Roman" w:hAnsi="Times New Roman" w:cs="Times New Roman"/>
          <w:bCs w:val="0"/>
          <w:szCs w:val="32"/>
        </w:rPr>
        <w:t>。</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（三）国有资产占用情况说明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（四）政府采购支出说明</w:t>
      </w:r>
      <w:r>
        <w:rPr>
          <w:rStyle w:val="30"/>
          <w:rFonts w:hint="eastAsia" w:ascii="Times New Roman" w:hAnsi="Times New Roman" w:eastAsia="方正楷体_GBK" w:cs="Times New Roman"/>
          <w:b/>
          <w:bCs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r>
        <w:rPr>
          <w:rFonts w:hint="eastAsia" w:ascii="Times New Roman" w:hAnsi="Times New Roman" w:cs="Times New Roman"/>
          <w:bCs w:val="0"/>
          <w:szCs w:val="32"/>
        </w:rPr>
        <w:t>2022年度本部门政府采购支出总额15.69万元，其中：政府采购货物支出15.69万元、政府采购工程支出0.00万元、政府采购服务支出0.00万元。授予中小企业合同金额15.10万元，占政府采购支出总额的96.2%，其中：授予小微企业合同金额15.10万元，占政府采购支出总额的96.2%。主要用于采购</w:t>
      </w:r>
      <w:r>
        <w:rPr>
          <w:rFonts w:hint="eastAsia" w:ascii="Times New Roman" w:hAnsi="Times New Roman" w:cs="Times New Roman"/>
          <w:bCs w:val="0"/>
          <w:szCs w:val="32"/>
          <w:lang w:eastAsia="zh-CN"/>
        </w:rPr>
        <w:t>单位办公地址搬迁后的新办公设备</w:t>
      </w:r>
      <w:r>
        <w:rPr>
          <w:rFonts w:hint="eastAsia" w:ascii="Times New Roman" w:hAnsi="Times New Roman" w:cs="Times New Roman"/>
          <w:bCs w:val="0"/>
          <w:szCs w:val="32"/>
        </w:rPr>
        <w:t>。</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黑体_GBK" w:cs="Times New Roman"/>
          <w:bCs w:val="0"/>
          <w:sz w:val="32"/>
          <w:szCs w:val="32"/>
        </w:rPr>
      </w:pPr>
      <w:r>
        <w:rPr>
          <w:rFonts w:hint="eastAsia" w:ascii="Times New Roman" w:hAnsi="Times New Roman" w:eastAsia="方正黑体_GBK" w:cs="Times New Roman"/>
          <w:bCs w:val="0"/>
          <w:sz w:val="32"/>
          <w:szCs w:val="32"/>
        </w:rPr>
        <w:t>五、预算绩效管理情况说明</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lang w:eastAsia="zh-CN"/>
        </w:rPr>
      </w:pPr>
      <w:r>
        <w:rPr>
          <w:rStyle w:val="30"/>
          <w:rFonts w:hint="eastAsia" w:ascii="Times New Roman" w:hAnsi="Times New Roman" w:eastAsia="方正楷体_GBK" w:cs="Times New Roman"/>
          <w:b/>
          <w:bCs w:val="0"/>
          <w:sz w:val="32"/>
          <w:szCs w:val="32"/>
          <w:shd w:val="clear" w:color="auto" w:fill="FFFFFF"/>
        </w:rPr>
        <w:t>（一）预算绩效管理工作开展情况</w:t>
      </w:r>
      <w:r>
        <w:rPr>
          <w:rStyle w:val="30"/>
          <w:rFonts w:hint="eastAsia" w:ascii="Times New Roman" w:hAnsi="Times New Roman" w:eastAsia="方正楷体_GBK" w:cs="Times New Roman"/>
          <w:b/>
          <w:bCs w:val="0"/>
          <w:sz w:val="32"/>
          <w:szCs w:val="32"/>
          <w:shd w:val="clear" w:color="auto" w:fill="FFFFFF"/>
          <w:lang w:eastAsia="zh-CN"/>
        </w:rPr>
        <w:t>。</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ascii="Times New Roman" w:hAnsi="Times New Roman" w:eastAsia="方正仿宋_GBK" w:cs="Times New Roman"/>
          <w:bCs w:val="0"/>
          <w:kern w:val="0"/>
          <w:sz w:val="32"/>
          <w:szCs w:val="32"/>
        </w:rPr>
      </w:pPr>
      <w:r>
        <w:rPr>
          <w:rFonts w:hint="eastAsia" w:ascii="Times New Roman" w:hAnsi="Times New Roman" w:eastAsia="方正仿宋_GBK" w:cs="Times New Roman"/>
          <w:bCs w:val="0"/>
          <w:kern w:val="0"/>
          <w:sz w:val="32"/>
          <w:szCs w:val="32"/>
        </w:rPr>
        <w:t>根据预算绩效管理要求，我单位对部门</w:t>
      </w:r>
      <w:r>
        <w:rPr>
          <w:rFonts w:ascii="Times New Roman" w:hAnsi="Times New Roman" w:eastAsia="方正仿宋_GBK" w:cs="Times New Roman"/>
          <w:bCs w:val="0"/>
          <w:kern w:val="0"/>
          <w:sz w:val="32"/>
          <w:szCs w:val="32"/>
        </w:rPr>
        <w:t>整体</w:t>
      </w:r>
      <w:r>
        <w:rPr>
          <w:rFonts w:hint="eastAsia" w:ascii="Times New Roman" w:hAnsi="Times New Roman" w:eastAsia="方正仿宋_GBK" w:cs="Times New Roman"/>
          <w:bCs w:val="0"/>
          <w:kern w:val="0"/>
          <w:sz w:val="32"/>
          <w:szCs w:val="32"/>
        </w:rPr>
        <w:t>和</w:t>
      </w:r>
      <w:r>
        <w:rPr>
          <w:rFonts w:hint="eastAsia" w:ascii="Times New Roman" w:hAnsi="Times New Roman" w:cs="Times New Roman"/>
          <w:bCs w:val="0"/>
          <w:kern w:val="0"/>
          <w:sz w:val="32"/>
          <w:szCs w:val="32"/>
          <w:lang w:val="en-US" w:eastAsia="zh-CN"/>
        </w:rPr>
        <w:t>3</w:t>
      </w:r>
      <w:r>
        <w:rPr>
          <w:rFonts w:hint="eastAsia" w:ascii="Times New Roman" w:hAnsi="Times New Roman" w:eastAsia="方正仿宋_GBK" w:cs="Times New Roman"/>
          <w:bCs w:val="0"/>
          <w:kern w:val="0"/>
          <w:sz w:val="32"/>
          <w:szCs w:val="32"/>
        </w:rPr>
        <w:t>个项目开展了绩效自评，其中，以填报目标自评表形式开展自评1项，涉及资金35</w:t>
      </w:r>
      <w:r>
        <w:rPr>
          <w:rFonts w:hint="eastAsia" w:ascii="Times New Roman" w:hAnsi="Times New Roman" w:cs="Times New Roman"/>
          <w:bCs w:val="0"/>
          <w:kern w:val="0"/>
          <w:sz w:val="32"/>
          <w:szCs w:val="32"/>
          <w:lang w:val="en-US" w:eastAsia="zh-CN"/>
        </w:rPr>
        <w:t>.6</w:t>
      </w:r>
      <w:r>
        <w:rPr>
          <w:rFonts w:hint="eastAsia" w:ascii="Times New Roman" w:hAnsi="Times New Roman" w:eastAsia="方正仿宋_GBK" w:cs="Times New Roman"/>
          <w:bCs w:val="0"/>
          <w:kern w:val="0"/>
          <w:sz w:val="32"/>
          <w:szCs w:val="32"/>
        </w:rPr>
        <w:t>万元；以委托第三方形式开展绩效自评0项，涉及资金0万元。</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rPr>
      </w:pPr>
      <w:r>
        <w:rPr>
          <w:rStyle w:val="30"/>
          <w:rFonts w:hint="eastAsia" w:ascii="Times New Roman" w:hAnsi="Times New Roman" w:eastAsia="方正楷体_GBK" w:cs="Times New Roman"/>
          <w:b/>
          <w:bCs w:val="0"/>
          <w:sz w:val="32"/>
          <w:szCs w:val="32"/>
          <w:shd w:val="clear" w:color="auto" w:fill="FFFFFF"/>
        </w:rPr>
        <w:t>（二）绩效自评结果。</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5"/>
          <w:rFonts w:hint="eastAsia" w:ascii="Times New Roman" w:hAnsi="Times New Roman" w:eastAsia="方正仿宋_GBK" w:cs="Times New Roman"/>
          <w:bCs w:val="0"/>
          <w:kern w:val="0"/>
          <w:sz w:val="32"/>
          <w:szCs w:val="32"/>
          <w:shd w:val="clear" w:color="auto" w:fill="FFFFFF"/>
          <w:lang w:val="en-US" w:eastAsia="zh-CN" w:bidi="ar-SA"/>
        </w:rPr>
      </w:pPr>
      <w:r>
        <w:rPr>
          <w:rStyle w:val="5"/>
          <w:rFonts w:hint="eastAsia" w:ascii="Times New Roman" w:hAnsi="Times New Roman" w:eastAsia="方正仿宋_GBK" w:cs="Times New Roman"/>
          <w:bCs w:val="0"/>
          <w:kern w:val="0"/>
          <w:sz w:val="32"/>
          <w:szCs w:val="32"/>
          <w:shd w:val="clear" w:color="auto" w:fill="FFFFFF"/>
          <w:lang w:val="en-US" w:eastAsia="zh-CN" w:bidi="ar-SA"/>
        </w:rPr>
        <w:t>1.绩效目标自评表。</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0" w:firstLineChars="0"/>
        <w:jc w:val="center"/>
        <w:textAlignment w:val="auto"/>
        <w:rPr>
          <w:rFonts w:ascii="Times New Roman" w:hAnsi="Times New Roman" w:eastAsia="方正仿宋_GBK" w:cs="Times New Roman"/>
          <w:bCs w:val="0"/>
          <w:kern w:val="0"/>
          <w:sz w:val="32"/>
          <w:szCs w:val="32"/>
        </w:rPr>
      </w:pPr>
      <w:r>
        <w:rPr>
          <w:rFonts w:hint="eastAsia" w:ascii="Times New Roman" w:hAnsi="Times New Roman" w:eastAsia="方正小标宋_GBK" w:cs="Times New Roman"/>
          <w:bCs w:val="0"/>
          <w:color w:val="000000"/>
          <w:kern w:val="0"/>
          <w:sz w:val="32"/>
          <w:szCs w:val="32"/>
        </w:rPr>
        <w:t>部门整体绩效自评表</w:t>
      </w:r>
    </w:p>
    <w:tbl>
      <w:tblPr>
        <w:tblStyle w:val="3"/>
        <w:tblW w:w="9993" w:type="dxa"/>
        <w:tblInd w:w="-318" w:type="dxa"/>
        <w:tblLayout w:type="fixed"/>
        <w:tblCellMar>
          <w:top w:w="0" w:type="dxa"/>
          <w:left w:w="108" w:type="dxa"/>
          <w:bottom w:w="0" w:type="dxa"/>
          <w:right w:w="108" w:type="dxa"/>
        </w:tblCellMar>
      </w:tblPr>
      <w:tblGrid>
        <w:gridCol w:w="953"/>
        <w:gridCol w:w="1079"/>
        <w:gridCol w:w="118"/>
        <w:gridCol w:w="138"/>
        <w:gridCol w:w="486"/>
        <w:gridCol w:w="651"/>
        <w:gridCol w:w="743"/>
        <w:gridCol w:w="903"/>
        <w:gridCol w:w="238"/>
        <w:gridCol w:w="636"/>
        <w:gridCol w:w="806"/>
        <w:gridCol w:w="980"/>
        <w:gridCol w:w="374"/>
        <w:gridCol w:w="1046"/>
        <w:gridCol w:w="842"/>
      </w:tblGrid>
      <w:tr>
        <w:tblPrEx>
          <w:tblCellMar>
            <w:top w:w="0" w:type="dxa"/>
            <w:left w:w="108" w:type="dxa"/>
            <w:bottom w:w="0" w:type="dxa"/>
            <w:right w:w="108" w:type="dxa"/>
          </w:tblCellMar>
        </w:tblPrEx>
        <w:trPr>
          <w:trHeight w:val="575" w:hRule="atLeast"/>
        </w:trPr>
        <w:tc>
          <w:tcPr>
            <w:tcW w:w="953"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主管</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部门</w:t>
            </w:r>
          </w:p>
        </w:tc>
        <w:tc>
          <w:tcPr>
            <w:tcW w:w="1335"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城口县工商联</w:t>
            </w:r>
          </w:p>
        </w:tc>
        <w:tc>
          <w:tcPr>
            <w:tcW w:w="1137"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财政处室</w:t>
            </w:r>
          </w:p>
        </w:tc>
        <w:tc>
          <w:tcPr>
            <w:tcW w:w="743"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行财科</w:t>
            </w:r>
          </w:p>
        </w:tc>
        <w:tc>
          <w:tcPr>
            <w:tcW w:w="11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自评总分（分）</w:t>
            </w:r>
          </w:p>
        </w:tc>
        <w:tc>
          <w:tcPr>
            <w:tcW w:w="4684"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98</w:t>
            </w:r>
          </w:p>
        </w:tc>
      </w:tr>
      <w:tr>
        <w:tblPrEx>
          <w:tblCellMar>
            <w:top w:w="0" w:type="dxa"/>
            <w:left w:w="108" w:type="dxa"/>
            <w:bottom w:w="0" w:type="dxa"/>
            <w:right w:w="108" w:type="dxa"/>
          </w:tblCellMar>
        </w:tblPrEx>
        <w:trPr>
          <w:trHeight w:val="575" w:hRule="atLeast"/>
        </w:trPr>
        <w:tc>
          <w:tcPr>
            <w:tcW w:w="953"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p>
        </w:tc>
        <w:tc>
          <w:tcPr>
            <w:tcW w:w="1335"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p>
        </w:tc>
        <w:tc>
          <w:tcPr>
            <w:tcW w:w="1137"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p>
        </w:tc>
        <w:tc>
          <w:tcPr>
            <w:tcW w:w="743"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p>
        </w:tc>
        <w:tc>
          <w:tcPr>
            <w:tcW w:w="114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部门</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联系人</w:t>
            </w:r>
          </w:p>
        </w:tc>
        <w:tc>
          <w:tcPr>
            <w:tcW w:w="144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杜小竹</w:t>
            </w:r>
          </w:p>
        </w:tc>
        <w:tc>
          <w:tcPr>
            <w:tcW w:w="9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联系电话</w:t>
            </w:r>
          </w:p>
        </w:tc>
        <w:tc>
          <w:tcPr>
            <w:tcW w:w="22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59225083</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部门预算执行情况</w:t>
            </w:r>
          </w:p>
        </w:tc>
        <w:tc>
          <w:tcPr>
            <w:tcW w:w="1079" w:type="dxa"/>
            <w:vMerge w:val="restart"/>
            <w:tcBorders>
              <w:top w:val="nil"/>
              <w:left w:val="nil"/>
              <w:right w:val="nil"/>
            </w:tcBorders>
            <w:noWrap w:val="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预算</w:t>
            </w:r>
          </w:p>
          <w:p>
            <w:pPr>
              <w:keepNext w:val="0"/>
              <w:keepLines w:val="0"/>
              <w:pageBreakBefore w:val="0"/>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资金</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（万元）</w:t>
            </w:r>
          </w:p>
        </w:tc>
        <w:tc>
          <w:tcPr>
            <w:tcW w:w="1393"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预算数</w:t>
            </w:r>
          </w:p>
        </w:tc>
        <w:tc>
          <w:tcPr>
            <w:tcW w:w="16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全年（调整）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预算数</w:t>
            </w: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全年执行数</w:t>
            </w:r>
          </w:p>
        </w:tc>
        <w:tc>
          <w:tcPr>
            <w:tcW w:w="9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权重</w:t>
            </w:r>
          </w:p>
        </w:tc>
        <w:tc>
          <w:tcPr>
            <w:tcW w:w="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r>
      <w:tr>
        <w:tblPrEx>
          <w:tblCellMar>
            <w:top w:w="0" w:type="dxa"/>
            <w:left w:w="108" w:type="dxa"/>
            <w:bottom w:w="0" w:type="dxa"/>
            <w:right w:w="108" w:type="dxa"/>
          </w:tblCellMar>
        </w:tblPrEx>
        <w:trPr>
          <w:trHeight w:val="575"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079" w:type="dxa"/>
            <w:vMerge w:val="continue"/>
            <w:tcBorders>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393"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45</w:t>
            </w:r>
          </w:p>
        </w:tc>
        <w:tc>
          <w:tcPr>
            <w:tcW w:w="164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lang w:eastAsia="zh-CN"/>
              </w:rPr>
            </w:pPr>
            <w:r>
              <w:rPr>
                <w:rFonts w:hint="eastAsia" w:ascii="Times New Roman" w:hAnsi="Times New Roman" w:cs="Times New Roman"/>
                <w:bCs w:val="0"/>
                <w:color w:val="000000"/>
                <w:kern w:val="0"/>
                <w:sz w:val="24"/>
                <w:szCs w:val="32"/>
                <w:lang w:val="en-US" w:eastAsia="zh-CN"/>
              </w:rPr>
              <w:t>0</w:t>
            </w:r>
          </w:p>
        </w:tc>
        <w:tc>
          <w:tcPr>
            <w:tcW w:w="16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bCs w:val="0"/>
                <w:color w:val="000000"/>
                <w:kern w:val="0"/>
                <w:sz w:val="24"/>
                <w:szCs w:val="32"/>
                <w:lang w:val="en-US" w:eastAsia="zh-CN"/>
              </w:rPr>
            </w:pPr>
            <w:r>
              <w:rPr>
                <w:rFonts w:hint="eastAsia" w:ascii="Times New Roman" w:hAnsi="Times New Roman" w:cs="Times New Roman"/>
                <w:bCs w:val="0"/>
                <w:color w:val="000000"/>
                <w:kern w:val="0"/>
                <w:sz w:val="24"/>
                <w:szCs w:val="32"/>
                <w:lang w:val="en-US" w:eastAsia="zh-CN"/>
              </w:rPr>
              <w:t>35.6</w:t>
            </w:r>
          </w:p>
        </w:tc>
        <w:tc>
          <w:tcPr>
            <w:tcW w:w="9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bCs w:val="0"/>
                <w:color w:val="000000"/>
                <w:kern w:val="0"/>
                <w:sz w:val="24"/>
                <w:szCs w:val="32"/>
                <w:lang w:val="en-US" w:eastAsia="zh-CN"/>
              </w:rPr>
            </w:pPr>
            <w:r>
              <w:rPr>
                <w:rFonts w:hint="eastAsia" w:ascii="Times New Roman" w:hAnsi="Times New Roman" w:cs="Times New Roman"/>
                <w:bCs w:val="0"/>
                <w:color w:val="000000"/>
                <w:kern w:val="0"/>
                <w:sz w:val="24"/>
                <w:szCs w:val="32"/>
                <w:lang w:val="en-US" w:eastAsia="zh-CN"/>
              </w:rPr>
              <w:t>79.1</w:t>
            </w:r>
          </w:p>
        </w:tc>
        <w:tc>
          <w:tcPr>
            <w:tcW w:w="14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bCs w:val="0"/>
                <w:color w:val="000000"/>
                <w:kern w:val="0"/>
                <w:sz w:val="24"/>
                <w:szCs w:val="32"/>
                <w:lang w:val="en-US" w:eastAsia="zh-CN"/>
              </w:rPr>
            </w:pPr>
            <w:r>
              <w:rPr>
                <w:rFonts w:hint="eastAsia" w:ascii="Times New Roman" w:hAnsi="Times New Roman" w:cs="Times New Roman"/>
                <w:bCs w:val="0"/>
                <w:color w:val="000000"/>
                <w:kern w:val="0"/>
                <w:sz w:val="24"/>
                <w:szCs w:val="32"/>
                <w:lang w:val="en-US" w:eastAsia="zh-CN"/>
              </w:rPr>
              <w:t>7.9</w:t>
            </w:r>
          </w:p>
        </w:tc>
        <w:tc>
          <w:tcPr>
            <w:tcW w:w="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bCs w:val="0"/>
                <w:color w:val="000000"/>
                <w:kern w:val="0"/>
                <w:sz w:val="24"/>
                <w:szCs w:val="32"/>
                <w:lang w:val="en-US" w:eastAsia="zh-CN"/>
              </w:rPr>
            </w:pPr>
            <w:r>
              <w:rPr>
                <w:rFonts w:hint="eastAsia" w:ascii="Times New Roman" w:hAnsi="Times New Roman" w:cs="Times New Roman"/>
                <w:bCs w:val="0"/>
                <w:color w:val="000000"/>
                <w:kern w:val="0"/>
                <w:sz w:val="24"/>
                <w:szCs w:val="32"/>
                <w:lang w:val="en-US" w:eastAsia="zh-CN"/>
              </w:rPr>
              <w:t>97.9</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当年绩效目标</w:t>
            </w:r>
          </w:p>
        </w:tc>
        <w:tc>
          <w:tcPr>
            <w:tcW w:w="2472"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年初绩效目标</w:t>
            </w:r>
          </w:p>
        </w:tc>
        <w:tc>
          <w:tcPr>
            <w:tcW w:w="332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全年（调整）绩效目标</w:t>
            </w:r>
          </w:p>
        </w:tc>
        <w:tc>
          <w:tcPr>
            <w:tcW w:w="324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全年目标实际完成情况</w:t>
            </w:r>
          </w:p>
        </w:tc>
      </w:tr>
      <w:tr>
        <w:tblPrEx>
          <w:tblCellMar>
            <w:top w:w="0" w:type="dxa"/>
            <w:left w:w="108" w:type="dxa"/>
            <w:bottom w:w="0" w:type="dxa"/>
            <w:right w:w="108" w:type="dxa"/>
          </w:tblCellMar>
        </w:tblPrEx>
        <w:trPr>
          <w:trHeight w:val="712"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2472"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确保全单位人员的工资福利以及社会保险支出，维持单位日常工作运转；引领非公经济企业及非公经济人士爱国、敬业，强化非公经济企业及非公经济人士的政治引领和思想引领。</w:t>
            </w:r>
          </w:p>
        </w:tc>
        <w:tc>
          <w:tcPr>
            <w:tcW w:w="332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确保全单位人员的工资福利以及社会保险支出，维持单位日常工作运转；引领非公经济企业及非公经济人士爱国、敬业，强化非公经济企业及非公经济人士的政治引领和思想引领。</w:t>
            </w:r>
          </w:p>
        </w:tc>
        <w:tc>
          <w:tcPr>
            <w:tcW w:w="3242"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确保全单位人员的工资福利以及社会保险支出，维持单位日常工作运转；引领非公经济企业及非公经济人士爱国、敬业，强化非公经济企业及非公经济人士的政治引领和思想引领。</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绩效指标</w:t>
            </w:r>
          </w:p>
        </w:tc>
        <w:tc>
          <w:tcPr>
            <w:tcW w:w="1197"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名称</w:t>
            </w:r>
          </w:p>
        </w:tc>
        <w:tc>
          <w:tcPr>
            <w:tcW w:w="624"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计量</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单位</w:t>
            </w:r>
          </w:p>
        </w:tc>
        <w:tc>
          <w:tcPr>
            <w:tcW w:w="6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性质</w:t>
            </w:r>
          </w:p>
        </w:tc>
        <w:tc>
          <w:tcPr>
            <w:tcW w:w="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值</w:t>
            </w:r>
          </w:p>
        </w:tc>
        <w:tc>
          <w:tcPr>
            <w:tcW w:w="9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调整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值</w:t>
            </w:r>
          </w:p>
        </w:tc>
        <w:tc>
          <w:tcPr>
            <w:tcW w:w="87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完成</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值</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系数</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135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指标权重</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c>
          <w:tcPr>
            <w:tcW w:w="10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c>
          <w:tcPr>
            <w:tcW w:w="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是否核心</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tc>
      </w:tr>
      <w:tr>
        <w:tblPrEx>
          <w:tblCellMar>
            <w:top w:w="0" w:type="dxa"/>
            <w:left w:w="108" w:type="dxa"/>
            <w:bottom w:w="0" w:type="dxa"/>
            <w:right w:w="108" w:type="dxa"/>
          </w:tblCellMar>
        </w:tblPrEx>
        <w:trPr>
          <w:trHeight w:val="771"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197"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预算执行率</w:t>
            </w:r>
          </w:p>
        </w:tc>
        <w:tc>
          <w:tcPr>
            <w:tcW w:w="62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65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4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0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98</w:t>
            </w:r>
          </w:p>
        </w:tc>
        <w:tc>
          <w:tcPr>
            <w:tcW w:w="87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98</w:t>
            </w:r>
          </w:p>
        </w:tc>
        <w:tc>
          <w:tcPr>
            <w:tcW w:w="80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98</w:t>
            </w:r>
          </w:p>
        </w:tc>
        <w:tc>
          <w:tcPr>
            <w:tcW w:w="135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04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19</w:t>
            </w:r>
          </w:p>
        </w:tc>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197"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基本支出预算执行率</w:t>
            </w:r>
          </w:p>
        </w:tc>
        <w:tc>
          <w:tcPr>
            <w:tcW w:w="62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65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4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0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87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80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135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04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否</w:t>
            </w:r>
          </w:p>
        </w:tc>
      </w:tr>
      <w:tr>
        <w:tblPrEx>
          <w:tblCellMar>
            <w:top w:w="0" w:type="dxa"/>
            <w:left w:w="108" w:type="dxa"/>
            <w:bottom w:w="0" w:type="dxa"/>
            <w:right w:w="108" w:type="dxa"/>
          </w:tblCellMar>
        </w:tblPrEx>
        <w:trPr>
          <w:trHeight w:val="1371"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197"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预决算及三公经费信息公开率</w:t>
            </w:r>
          </w:p>
        </w:tc>
        <w:tc>
          <w:tcPr>
            <w:tcW w:w="62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65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4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0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87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80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135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04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否</w:t>
            </w:r>
          </w:p>
        </w:tc>
      </w:tr>
      <w:tr>
        <w:tblPrEx>
          <w:tblCellMar>
            <w:top w:w="0" w:type="dxa"/>
            <w:left w:w="108" w:type="dxa"/>
            <w:bottom w:w="0" w:type="dxa"/>
            <w:right w:w="108" w:type="dxa"/>
          </w:tblCellMar>
        </w:tblPrEx>
        <w:trPr>
          <w:trHeight w:val="455"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197"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监督引导会员企业责任</w:t>
            </w:r>
          </w:p>
        </w:tc>
        <w:tc>
          <w:tcPr>
            <w:tcW w:w="62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65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长期</w:t>
            </w:r>
          </w:p>
        </w:tc>
        <w:tc>
          <w:tcPr>
            <w:tcW w:w="74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合格</w:t>
            </w:r>
          </w:p>
        </w:tc>
        <w:tc>
          <w:tcPr>
            <w:tcW w:w="90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合格</w:t>
            </w:r>
          </w:p>
        </w:tc>
        <w:tc>
          <w:tcPr>
            <w:tcW w:w="87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完成</w:t>
            </w:r>
          </w:p>
        </w:tc>
        <w:tc>
          <w:tcPr>
            <w:tcW w:w="80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135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04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197"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服务对象满意度</w:t>
            </w:r>
          </w:p>
        </w:tc>
        <w:tc>
          <w:tcPr>
            <w:tcW w:w="62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65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ascii="Times New Roman" w:hAnsi="Times New Roman" w:eastAsia="方正仿宋_GBK" w:cs="Times New Roman"/>
                <w:bCs w:val="0"/>
                <w:color w:val="000000"/>
                <w:kern w:val="0"/>
                <w:sz w:val="24"/>
                <w:szCs w:val="32"/>
              </w:rPr>
              <w:t>≥</w:t>
            </w:r>
          </w:p>
        </w:tc>
        <w:tc>
          <w:tcPr>
            <w:tcW w:w="74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90</w:t>
            </w:r>
          </w:p>
        </w:tc>
        <w:tc>
          <w:tcPr>
            <w:tcW w:w="90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90</w:t>
            </w:r>
          </w:p>
        </w:tc>
        <w:tc>
          <w:tcPr>
            <w:tcW w:w="87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95</w:t>
            </w:r>
          </w:p>
        </w:tc>
        <w:tc>
          <w:tcPr>
            <w:tcW w:w="80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135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04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197"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62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65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74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903"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87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80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135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104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r>
      <w:tr>
        <w:tblPrEx>
          <w:tblCellMar>
            <w:top w:w="0" w:type="dxa"/>
            <w:left w:w="108" w:type="dxa"/>
            <w:bottom w:w="0" w:type="dxa"/>
            <w:right w:w="108" w:type="dxa"/>
          </w:tblCellMar>
        </w:tblPrEx>
        <w:trPr>
          <w:trHeight w:val="415" w:hRule="atLeast"/>
        </w:trPr>
        <w:tc>
          <w:tcPr>
            <w:tcW w:w="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说明</w:t>
            </w:r>
          </w:p>
        </w:tc>
        <w:tc>
          <w:tcPr>
            <w:tcW w:w="9040"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r>
    </w:tbl>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0" w:firstLineChars="0"/>
        <w:textAlignment w:val="auto"/>
        <w:rPr>
          <w:rFonts w:hint="eastAsia" w:ascii="Times New Roman" w:hAnsi="Times New Roman" w:eastAsia="方正小标宋_GBK" w:cs="Times New Roman"/>
          <w:bCs w:val="0"/>
          <w:color w:val="000000"/>
          <w:kern w:val="0"/>
          <w:sz w:val="32"/>
          <w:szCs w:val="32"/>
        </w:rPr>
      </w:pP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_GBK" w:cs="Times New Roman"/>
          <w:bCs w:val="0"/>
          <w:color w:val="000000"/>
          <w:kern w:val="0"/>
          <w:sz w:val="32"/>
          <w:szCs w:val="32"/>
        </w:rPr>
      </w:pP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_GBK" w:cs="Times New Roman"/>
          <w:bCs w:val="0"/>
          <w:color w:val="000000"/>
          <w:kern w:val="0"/>
          <w:sz w:val="32"/>
          <w:szCs w:val="32"/>
        </w:rPr>
      </w:pPr>
      <w:r>
        <w:rPr>
          <w:rFonts w:hint="eastAsia" w:ascii="Times New Roman" w:hAnsi="Times New Roman" w:eastAsia="方正小标宋_GBK" w:cs="Times New Roman"/>
          <w:bCs w:val="0"/>
          <w:color w:val="000000"/>
          <w:kern w:val="0"/>
          <w:sz w:val="32"/>
          <w:szCs w:val="32"/>
        </w:rPr>
        <w:t>一级项目绩效自评表</w:t>
      </w:r>
    </w:p>
    <w:tbl>
      <w:tblPr>
        <w:tblStyle w:val="3"/>
        <w:tblW w:w="10061" w:type="dxa"/>
        <w:jc w:val="center"/>
        <w:tblLayout w:type="autofit"/>
        <w:tblCellMar>
          <w:top w:w="0" w:type="dxa"/>
          <w:left w:w="108" w:type="dxa"/>
          <w:bottom w:w="0" w:type="dxa"/>
          <w:right w:w="108" w:type="dxa"/>
        </w:tblCellMar>
      </w:tblPr>
      <w:tblGrid>
        <w:gridCol w:w="841"/>
        <w:gridCol w:w="751"/>
        <w:gridCol w:w="537"/>
        <w:gridCol w:w="166"/>
        <w:gridCol w:w="249"/>
        <w:gridCol w:w="455"/>
        <w:gridCol w:w="141"/>
        <w:gridCol w:w="222"/>
        <w:gridCol w:w="340"/>
        <w:gridCol w:w="699"/>
        <w:gridCol w:w="1004"/>
        <w:gridCol w:w="1091"/>
        <w:gridCol w:w="936"/>
        <w:gridCol w:w="414"/>
        <w:gridCol w:w="986"/>
        <w:gridCol w:w="1229"/>
      </w:tblGrid>
      <w:tr>
        <w:tblPrEx>
          <w:tblCellMar>
            <w:top w:w="0" w:type="dxa"/>
            <w:left w:w="108" w:type="dxa"/>
            <w:bottom w:w="0" w:type="dxa"/>
            <w:right w:w="108" w:type="dxa"/>
          </w:tblCellMar>
        </w:tblPrEx>
        <w:trPr>
          <w:trHeight w:val="47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项目</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名称</w:t>
            </w:r>
          </w:p>
        </w:tc>
        <w:tc>
          <w:tcPr>
            <w:tcW w:w="170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非公经济联席会</w:t>
            </w:r>
          </w:p>
        </w:tc>
        <w:tc>
          <w:tcPr>
            <w:tcW w:w="81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项目</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编码</w:t>
            </w:r>
          </w:p>
        </w:tc>
        <w:tc>
          <w:tcPr>
            <w:tcW w:w="103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0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自评</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总分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c>
          <w:tcPr>
            <w:tcW w:w="465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w:t>
            </w:r>
          </w:p>
        </w:tc>
      </w:tr>
      <w:tr>
        <w:tblPrEx>
          <w:tblCellMar>
            <w:top w:w="0" w:type="dxa"/>
            <w:left w:w="108" w:type="dxa"/>
            <w:bottom w:w="0" w:type="dxa"/>
            <w:right w:w="108" w:type="dxa"/>
          </w:tblCellMar>
        </w:tblPrEx>
        <w:trPr>
          <w:trHeight w:val="479" w:hRule="atLeast"/>
          <w:jc w:val="center"/>
        </w:trPr>
        <w:tc>
          <w:tcPr>
            <w:tcW w:w="8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主管</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部门</w:t>
            </w:r>
          </w:p>
        </w:tc>
        <w:tc>
          <w:tcPr>
            <w:tcW w:w="170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城口县工商联</w:t>
            </w:r>
          </w:p>
        </w:tc>
        <w:tc>
          <w:tcPr>
            <w:tcW w:w="81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财政</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处室</w:t>
            </w:r>
          </w:p>
        </w:tc>
        <w:tc>
          <w:tcPr>
            <w:tcW w:w="103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行财科</w:t>
            </w:r>
          </w:p>
        </w:tc>
        <w:tc>
          <w:tcPr>
            <w:tcW w:w="10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项目</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联系人</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吴丹</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联系电话</w:t>
            </w:r>
          </w:p>
        </w:tc>
        <w:tc>
          <w:tcPr>
            <w:tcW w:w="221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59225083</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78" w:lineRule="exact"/>
              <w:ind w:left="113" w:right="113"/>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项目资金（万元）</w:t>
            </w:r>
          </w:p>
        </w:tc>
        <w:tc>
          <w:tcPr>
            <w:tcW w:w="1288" w:type="dxa"/>
            <w:gridSpan w:val="2"/>
            <w:vMerge w:val="restart"/>
            <w:tcBorders>
              <w:top w:val="nil"/>
              <w:left w:val="nil"/>
              <w:right w:val="nil"/>
            </w:tcBorders>
            <w:noWrap w:val="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年度</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总金额</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预算数</w:t>
            </w:r>
          </w:p>
        </w:tc>
        <w:tc>
          <w:tcPr>
            <w:tcW w:w="126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（调整）预算数</w:t>
            </w:r>
          </w:p>
        </w:tc>
        <w:tc>
          <w:tcPr>
            <w:tcW w:w="20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全年执行数</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权重</w:t>
            </w: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88" w:type="dxa"/>
            <w:gridSpan w:val="2"/>
            <w:vMerge w:val="continue"/>
            <w:tcBorders>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w:t>
            </w:r>
          </w:p>
        </w:tc>
        <w:tc>
          <w:tcPr>
            <w:tcW w:w="126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0.0094</w:t>
            </w:r>
          </w:p>
        </w:tc>
        <w:tc>
          <w:tcPr>
            <w:tcW w:w="20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9.99</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99.9</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kern w:val="0"/>
                <w:sz w:val="24"/>
                <w:szCs w:val="32"/>
              </w:rPr>
            </w:pPr>
            <w:r>
              <w:rPr>
                <w:rFonts w:hint="eastAsia" w:ascii="Times New Roman" w:hAnsi="Times New Roman" w:eastAsia="方正仿宋_GBK" w:cs="Times New Roman"/>
                <w:bCs w:val="0"/>
                <w:kern w:val="0"/>
                <w:sz w:val="24"/>
                <w:szCs w:val="32"/>
              </w:rPr>
              <w:t>9.9</w:t>
            </w: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88"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其中：</w:t>
            </w: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县级支出</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w:t>
            </w:r>
          </w:p>
        </w:tc>
        <w:tc>
          <w:tcPr>
            <w:tcW w:w="126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0.0094</w:t>
            </w:r>
          </w:p>
        </w:tc>
        <w:tc>
          <w:tcPr>
            <w:tcW w:w="20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9.99</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99.9</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kern w:val="0"/>
                <w:sz w:val="24"/>
                <w:szCs w:val="32"/>
              </w:rPr>
            </w:pPr>
            <w:r>
              <w:rPr>
                <w:rFonts w:hint="eastAsia" w:ascii="Times New Roman" w:hAnsi="Times New Roman" w:eastAsia="方正仿宋_GBK" w:cs="Times New Roman"/>
                <w:bCs w:val="0"/>
                <w:kern w:val="0"/>
                <w:sz w:val="24"/>
                <w:szCs w:val="32"/>
              </w:rPr>
              <w:t>9.9</w:t>
            </w: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88"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补助区县</w:t>
            </w:r>
          </w:p>
        </w:tc>
        <w:tc>
          <w:tcPr>
            <w:tcW w:w="1011"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26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20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当年绩效目标</w:t>
            </w:r>
          </w:p>
        </w:tc>
        <w:tc>
          <w:tcPr>
            <w:tcW w:w="2521"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年初绩效目标</w:t>
            </w:r>
          </w:p>
        </w:tc>
        <w:tc>
          <w:tcPr>
            <w:tcW w:w="313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全年（调整）绩效目标</w:t>
            </w:r>
          </w:p>
        </w:tc>
        <w:tc>
          <w:tcPr>
            <w:tcW w:w="356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全年目标实际完成情况</w:t>
            </w:r>
          </w:p>
        </w:tc>
      </w:tr>
      <w:tr>
        <w:tblPrEx>
          <w:tblCellMar>
            <w:top w:w="0" w:type="dxa"/>
            <w:left w:w="108" w:type="dxa"/>
            <w:bottom w:w="0" w:type="dxa"/>
            <w:right w:w="108" w:type="dxa"/>
          </w:tblCellMar>
        </w:tblPrEx>
        <w:trPr>
          <w:trHeight w:val="107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2521"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在破解融资难题、招商引资、园区建设、产业提升、旅游开发等方面搞创新、求突破，全面促进我县非公经济体质增量，实现集中突破目标，为民营企业解决存在的难点为题。</w:t>
            </w:r>
          </w:p>
        </w:tc>
        <w:tc>
          <w:tcPr>
            <w:tcW w:w="313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在破解融资难题、招商引资、园区建设、产业提升、旅游开发等方面搞创新、求突破，全面促进我县非公经济体质增量，实现集中突破目标，为民营企业解决存在的难点为题。</w:t>
            </w:r>
          </w:p>
        </w:tc>
        <w:tc>
          <w:tcPr>
            <w:tcW w:w="356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在破解融资难题、招商引资、园区建设、产业提升、旅游开发等方面搞创新、求突破，全面促进我县非公经济体质增量，实现集中突破目标，为民营企业解决存在的难点为题。</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绩效指标</w:t>
            </w:r>
          </w:p>
        </w:tc>
        <w:tc>
          <w:tcPr>
            <w:tcW w:w="751"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名称</w:t>
            </w:r>
          </w:p>
        </w:tc>
        <w:tc>
          <w:tcPr>
            <w:tcW w:w="703"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计量</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单位</w:t>
            </w:r>
          </w:p>
        </w:tc>
        <w:tc>
          <w:tcPr>
            <w:tcW w:w="70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性质</w:t>
            </w:r>
          </w:p>
        </w:tc>
        <w:tc>
          <w:tcPr>
            <w:tcW w:w="703"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值</w:t>
            </w:r>
          </w:p>
        </w:tc>
        <w:tc>
          <w:tcPr>
            <w:tcW w:w="6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调整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值</w:t>
            </w:r>
          </w:p>
        </w:tc>
        <w:tc>
          <w:tcPr>
            <w:tcW w:w="10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完成值</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系数</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权重</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c>
          <w:tcPr>
            <w:tcW w:w="14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是否核心</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tc>
      </w:tr>
      <w:tr>
        <w:tblPrEx>
          <w:tblCellMar>
            <w:top w:w="0" w:type="dxa"/>
            <w:left w:w="108" w:type="dxa"/>
            <w:bottom w:w="0" w:type="dxa"/>
            <w:right w:w="108" w:type="dxa"/>
          </w:tblCellMar>
        </w:tblPrEx>
        <w:trPr>
          <w:trHeight w:val="106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751"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预算执行率</w:t>
            </w:r>
          </w:p>
        </w:tc>
        <w:tc>
          <w:tcPr>
            <w:tcW w:w="703"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0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03"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69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10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19</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否</w:t>
            </w:r>
          </w:p>
        </w:tc>
      </w:tr>
      <w:tr>
        <w:tblPrEx>
          <w:tblCellMar>
            <w:top w:w="0" w:type="dxa"/>
            <w:left w:w="108" w:type="dxa"/>
            <w:bottom w:w="0" w:type="dxa"/>
            <w:right w:w="108" w:type="dxa"/>
          </w:tblCellMar>
        </w:tblPrEx>
        <w:trPr>
          <w:trHeight w:val="82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751"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解决融资难问题</w:t>
            </w:r>
          </w:p>
        </w:tc>
        <w:tc>
          <w:tcPr>
            <w:tcW w:w="703"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次</w:t>
            </w:r>
          </w:p>
        </w:tc>
        <w:tc>
          <w:tcPr>
            <w:tcW w:w="70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ascii="Times New Roman" w:hAnsi="Times New Roman" w:eastAsia="方正仿宋_GBK" w:cs="Times New Roman"/>
                <w:bCs w:val="0"/>
                <w:color w:val="000000"/>
                <w:kern w:val="0"/>
                <w:sz w:val="24"/>
                <w:szCs w:val="32"/>
              </w:rPr>
              <w:t>≥</w:t>
            </w:r>
          </w:p>
        </w:tc>
        <w:tc>
          <w:tcPr>
            <w:tcW w:w="703"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69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10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417"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751"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改善营商环境，宣传政策</w:t>
            </w:r>
          </w:p>
        </w:tc>
        <w:tc>
          <w:tcPr>
            <w:tcW w:w="703"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次</w:t>
            </w:r>
          </w:p>
        </w:tc>
        <w:tc>
          <w:tcPr>
            <w:tcW w:w="70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ascii="Times New Roman" w:hAnsi="Times New Roman" w:eastAsia="方正仿宋_GBK" w:cs="Times New Roman"/>
                <w:bCs w:val="0"/>
                <w:color w:val="000000"/>
                <w:kern w:val="0"/>
                <w:sz w:val="24"/>
                <w:szCs w:val="32"/>
              </w:rPr>
              <w:t>≥</w:t>
            </w:r>
          </w:p>
        </w:tc>
        <w:tc>
          <w:tcPr>
            <w:tcW w:w="703"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w:t>
            </w:r>
          </w:p>
        </w:tc>
        <w:tc>
          <w:tcPr>
            <w:tcW w:w="69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w:t>
            </w:r>
          </w:p>
        </w:tc>
        <w:tc>
          <w:tcPr>
            <w:tcW w:w="10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417"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751"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收集非公经济企业困难、问题</w:t>
            </w:r>
          </w:p>
        </w:tc>
        <w:tc>
          <w:tcPr>
            <w:tcW w:w="703"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w:t>
            </w:r>
          </w:p>
        </w:tc>
        <w:tc>
          <w:tcPr>
            <w:tcW w:w="70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03"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69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10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417"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751"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服务对象满意度</w:t>
            </w:r>
          </w:p>
        </w:tc>
        <w:tc>
          <w:tcPr>
            <w:tcW w:w="703"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0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ascii="Times New Roman" w:hAnsi="Times New Roman" w:eastAsia="方正仿宋_GBK" w:cs="Times New Roman"/>
                <w:bCs w:val="0"/>
                <w:color w:val="000000"/>
                <w:kern w:val="0"/>
                <w:sz w:val="24"/>
                <w:szCs w:val="32"/>
              </w:rPr>
              <w:t>≥</w:t>
            </w:r>
          </w:p>
        </w:tc>
        <w:tc>
          <w:tcPr>
            <w:tcW w:w="703"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90</w:t>
            </w:r>
          </w:p>
        </w:tc>
        <w:tc>
          <w:tcPr>
            <w:tcW w:w="69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90</w:t>
            </w:r>
          </w:p>
        </w:tc>
        <w:tc>
          <w:tcPr>
            <w:tcW w:w="100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95</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602" w:hRule="atLeast"/>
          <w:jc w:val="center"/>
        </w:trPr>
        <w:tc>
          <w:tcPr>
            <w:tcW w:w="8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说明</w:t>
            </w:r>
          </w:p>
        </w:tc>
        <w:tc>
          <w:tcPr>
            <w:tcW w:w="9220" w:type="dxa"/>
            <w:gridSpan w:val="1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r>
    </w:tbl>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_GBK" w:cs="Times New Roman"/>
          <w:bCs w:val="0"/>
          <w:color w:val="000000"/>
          <w:kern w:val="0"/>
          <w:sz w:val="36"/>
          <w:szCs w:val="32"/>
        </w:rPr>
      </w:pP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_GBK" w:cs="Times New Roman"/>
          <w:bCs w:val="0"/>
          <w:color w:val="000000"/>
          <w:kern w:val="0"/>
          <w:sz w:val="36"/>
          <w:szCs w:val="32"/>
        </w:rPr>
      </w:pPr>
      <w:r>
        <w:rPr>
          <w:rFonts w:hint="eastAsia" w:ascii="Times New Roman" w:hAnsi="Times New Roman" w:eastAsia="方正小标宋_GBK" w:cs="Times New Roman"/>
          <w:bCs w:val="0"/>
          <w:color w:val="000000"/>
          <w:kern w:val="0"/>
          <w:sz w:val="36"/>
          <w:szCs w:val="32"/>
        </w:rPr>
        <w:t>二级项目绩效自评表</w:t>
      </w:r>
    </w:p>
    <w:tbl>
      <w:tblPr>
        <w:tblStyle w:val="3"/>
        <w:tblW w:w="10061" w:type="dxa"/>
        <w:jc w:val="center"/>
        <w:tblLayout w:type="fixed"/>
        <w:tblCellMar>
          <w:top w:w="0" w:type="dxa"/>
          <w:left w:w="108" w:type="dxa"/>
          <w:bottom w:w="0" w:type="dxa"/>
          <w:right w:w="108" w:type="dxa"/>
        </w:tblCellMar>
      </w:tblPr>
      <w:tblGrid>
        <w:gridCol w:w="841"/>
        <w:gridCol w:w="1214"/>
        <w:gridCol w:w="74"/>
        <w:gridCol w:w="415"/>
        <w:gridCol w:w="61"/>
        <w:gridCol w:w="535"/>
        <w:gridCol w:w="222"/>
        <w:gridCol w:w="512"/>
        <w:gridCol w:w="720"/>
        <w:gridCol w:w="811"/>
        <w:gridCol w:w="1091"/>
        <w:gridCol w:w="936"/>
        <w:gridCol w:w="414"/>
        <w:gridCol w:w="986"/>
        <w:gridCol w:w="1229"/>
      </w:tblGrid>
      <w:tr>
        <w:tblPrEx>
          <w:tblCellMar>
            <w:top w:w="0" w:type="dxa"/>
            <w:left w:w="108" w:type="dxa"/>
            <w:bottom w:w="0" w:type="dxa"/>
            <w:right w:w="108" w:type="dxa"/>
          </w:tblCellMar>
        </w:tblPrEx>
        <w:trPr>
          <w:trHeight w:val="479"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项目</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名称</w:t>
            </w:r>
          </w:p>
        </w:tc>
        <w:tc>
          <w:tcPr>
            <w:tcW w:w="1703"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非公经济人士培训</w:t>
            </w:r>
          </w:p>
        </w:tc>
        <w:tc>
          <w:tcPr>
            <w:tcW w:w="81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项目</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编码</w:t>
            </w:r>
          </w:p>
        </w:tc>
        <w:tc>
          <w:tcPr>
            <w:tcW w:w="12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自评</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总分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c>
          <w:tcPr>
            <w:tcW w:w="465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r>
      <w:tr>
        <w:tblPrEx>
          <w:tblCellMar>
            <w:top w:w="0" w:type="dxa"/>
            <w:left w:w="108" w:type="dxa"/>
            <w:bottom w:w="0" w:type="dxa"/>
            <w:right w:w="108" w:type="dxa"/>
          </w:tblCellMar>
        </w:tblPrEx>
        <w:trPr>
          <w:trHeight w:val="479" w:hRule="atLeast"/>
          <w:jc w:val="center"/>
        </w:trPr>
        <w:tc>
          <w:tcPr>
            <w:tcW w:w="8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主管</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部门</w:t>
            </w:r>
          </w:p>
        </w:tc>
        <w:tc>
          <w:tcPr>
            <w:tcW w:w="1703"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城口县工商联</w:t>
            </w:r>
          </w:p>
        </w:tc>
        <w:tc>
          <w:tcPr>
            <w:tcW w:w="818"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财政</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处室</w:t>
            </w:r>
          </w:p>
        </w:tc>
        <w:tc>
          <w:tcPr>
            <w:tcW w:w="12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行财科</w:t>
            </w:r>
          </w:p>
        </w:tc>
        <w:tc>
          <w:tcPr>
            <w:tcW w:w="8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项目</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联系人</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吴丹</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联系电话</w:t>
            </w:r>
          </w:p>
        </w:tc>
        <w:tc>
          <w:tcPr>
            <w:tcW w:w="221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59225083</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78" w:lineRule="exact"/>
              <w:ind w:left="113" w:right="113"/>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项目资金（万元）</w:t>
            </w:r>
          </w:p>
        </w:tc>
        <w:tc>
          <w:tcPr>
            <w:tcW w:w="1288" w:type="dxa"/>
            <w:gridSpan w:val="2"/>
            <w:vMerge w:val="restart"/>
            <w:tcBorders>
              <w:top w:val="nil"/>
              <w:left w:val="nil"/>
              <w:right w:val="nil"/>
            </w:tcBorders>
            <w:noWrap w:val="0"/>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年度</w:t>
            </w: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总金额</w:t>
            </w:r>
          </w:p>
        </w:tc>
        <w:tc>
          <w:tcPr>
            <w:tcW w:w="1011"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预算数</w:t>
            </w:r>
          </w:p>
        </w:tc>
        <w:tc>
          <w:tcPr>
            <w:tcW w:w="14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（调整）预算数</w:t>
            </w:r>
          </w:p>
        </w:tc>
        <w:tc>
          <w:tcPr>
            <w:tcW w:w="19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全年执行数</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权重</w:t>
            </w: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执行率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88" w:type="dxa"/>
            <w:gridSpan w:val="2"/>
            <w:vMerge w:val="continue"/>
            <w:tcBorders>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011"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25</w:t>
            </w:r>
          </w:p>
        </w:tc>
        <w:tc>
          <w:tcPr>
            <w:tcW w:w="14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0</w:t>
            </w:r>
          </w:p>
        </w:tc>
        <w:tc>
          <w:tcPr>
            <w:tcW w:w="19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25</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kern w:val="0"/>
                <w:sz w:val="24"/>
                <w:szCs w:val="32"/>
              </w:rPr>
            </w:pPr>
            <w:r>
              <w:rPr>
                <w:rFonts w:hint="eastAsia" w:ascii="Times New Roman" w:hAnsi="Times New Roman" w:eastAsia="方正仿宋_GBK" w:cs="Times New Roman"/>
                <w:bCs w:val="0"/>
                <w:kern w:val="0"/>
                <w:sz w:val="24"/>
                <w:szCs w:val="32"/>
              </w:rPr>
              <w:t>10</w:t>
            </w: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88"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其中：</w:t>
            </w:r>
          </w:p>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县级支出</w:t>
            </w:r>
          </w:p>
        </w:tc>
        <w:tc>
          <w:tcPr>
            <w:tcW w:w="1011"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25</w:t>
            </w:r>
          </w:p>
        </w:tc>
        <w:tc>
          <w:tcPr>
            <w:tcW w:w="14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0</w:t>
            </w:r>
          </w:p>
        </w:tc>
        <w:tc>
          <w:tcPr>
            <w:tcW w:w="19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25</w:t>
            </w: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kern w:val="0"/>
                <w:sz w:val="24"/>
                <w:szCs w:val="32"/>
              </w:rPr>
            </w:pPr>
            <w:r>
              <w:rPr>
                <w:rFonts w:hint="eastAsia" w:ascii="Times New Roman" w:hAnsi="Times New Roman" w:eastAsia="方正仿宋_GBK" w:cs="Times New Roman"/>
                <w:bCs w:val="0"/>
                <w:kern w:val="0"/>
                <w:sz w:val="24"/>
                <w:szCs w:val="32"/>
              </w:rPr>
              <w:t>10</w:t>
            </w: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r>
      <w:tr>
        <w:tblPrEx>
          <w:tblCellMar>
            <w:top w:w="0" w:type="dxa"/>
            <w:left w:w="108" w:type="dxa"/>
            <w:bottom w:w="0" w:type="dxa"/>
            <w:right w:w="108" w:type="dxa"/>
          </w:tblCellMar>
        </w:tblPrEx>
        <w:trPr>
          <w:trHeight w:val="479"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88"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补助区县</w:t>
            </w:r>
          </w:p>
        </w:tc>
        <w:tc>
          <w:tcPr>
            <w:tcW w:w="1011"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45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90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3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当年绩效目标</w:t>
            </w:r>
          </w:p>
        </w:tc>
        <w:tc>
          <w:tcPr>
            <w:tcW w:w="252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年初绩效目标</w:t>
            </w:r>
          </w:p>
        </w:tc>
        <w:tc>
          <w:tcPr>
            <w:tcW w:w="313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全年（调整）绩效目标</w:t>
            </w:r>
          </w:p>
        </w:tc>
        <w:tc>
          <w:tcPr>
            <w:tcW w:w="356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全年目标实际完成情况</w:t>
            </w:r>
          </w:p>
        </w:tc>
      </w:tr>
      <w:tr>
        <w:tblPrEx>
          <w:tblCellMar>
            <w:top w:w="0" w:type="dxa"/>
            <w:left w:w="108" w:type="dxa"/>
            <w:bottom w:w="0" w:type="dxa"/>
            <w:right w:w="108" w:type="dxa"/>
          </w:tblCellMar>
        </w:tblPrEx>
        <w:trPr>
          <w:trHeight w:val="107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252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引导广大非公有制经济人士自觉以“亲”、“清”为标尺构建新型政商关系，在理想信念教育实践活动、“万企帮万村”等行动工作中充分发挥作用，不断提高服务当地经济社会和非公有制企业发展能力，为促进“两个健康”做出实绩。</w:t>
            </w:r>
          </w:p>
        </w:tc>
        <w:tc>
          <w:tcPr>
            <w:tcW w:w="313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引导广大非公有制经济人士自觉以“亲”、“清”为标尺构建新型政商关系，在理想信念教育实践活动、“万企帮万村”等行动工作中充分发挥作用，不断提高服务当地经济社会和非公有制企业发展能力，为促进“两个健康”做出实绩。</w:t>
            </w:r>
          </w:p>
        </w:tc>
        <w:tc>
          <w:tcPr>
            <w:tcW w:w="356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引导广大非公有制经济人士自觉以“亲”、“清”为标尺构建新型政商关系，在理想信念教育实践活动、“万企帮万村”等行动工作中充分发挥作用，不断提高服务当地经济社会和非公有制企业发展能力，为促进“两个健康”做出实绩。</w:t>
            </w:r>
          </w:p>
        </w:tc>
      </w:tr>
      <w:tr>
        <w:tblPrEx>
          <w:tblCellMar>
            <w:top w:w="0" w:type="dxa"/>
            <w:left w:w="108" w:type="dxa"/>
            <w:bottom w:w="0" w:type="dxa"/>
            <w:right w:w="108" w:type="dxa"/>
          </w:tblCellMar>
        </w:tblPrEx>
        <w:trPr>
          <w:trHeight w:val="479" w:hRule="atLeast"/>
          <w:jc w:val="center"/>
        </w:trPr>
        <w:tc>
          <w:tcPr>
            <w:tcW w:w="841"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绩效指标</w:t>
            </w:r>
          </w:p>
        </w:tc>
        <w:tc>
          <w:tcPr>
            <w:tcW w:w="1214"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名称</w:t>
            </w:r>
          </w:p>
        </w:tc>
        <w:tc>
          <w:tcPr>
            <w:tcW w:w="550"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计量</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单位</w:t>
            </w:r>
          </w:p>
        </w:tc>
        <w:tc>
          <w:tcPr>
            <w:tcW w:w="5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性质</w:t>
            </w:r>
          </w:p>
        </w:tc>
        <w:tc>
          <w:tcPr>
            <w:tcW w:w="73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年初</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值</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调整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值</w:t>
            </w:r>
          </w:p>
        </w:tc>
        <w:tc>
          <w:tcPr>
            <w:tcW w:w="8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全年</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完成值</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系数</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权重</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c>
          <w:tcPr>
            <w:tcW w:w="140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指标得分</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（分）</w:t>
            </w:r>
          </w:p>
        </w:tc>
        <w:tc>
          <w:tcPr>
            <w:tcW w:w="12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是否核心</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指标</w:t>
            </w:r>
          </w:p>
        </w:tc>
      </w:tr>
      <w:tr>
        <w:tblPrEx>
          <w:tblCellMar>
            <w:top w:w="0" w:type="dxa"/>
            <w:left w:w="108" w:type="dxa"/>
            <w:bottom w:w="0" w:type="dxa"/>
            <w:right w:w="108" w:type="dxa"/>
          </w:tblCellMar>
        </w:tblPrEx>
        <w:trPr>
          <w:trHeight w:val="106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14"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预算执行率</w:t>
            </w:r>
          </w:p>
        </w:tc>
        <w:tc>
          <w:tcPr>
            <w:tcW w:w="550"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53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3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72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w:t>
            </w:r>
          </w:p>
        </w:tc>
        <w:tc>
          <w:tcPr>
            <w:tcW w:w="81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99</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828"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14"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完成时限</w:t>
            </w:r>
          </w:p>
        </w:tc>
        <w:tc>
          <w:tcPr>
            <w:tcW w:w="550"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年</w:t>
            </w:r>
          </w:p>
        </w:tc>
        <w:tc>
          <w:tcPr>
            <w:tcW w:w="53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3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72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81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否</w:t>
            </w:r>
          </w:p>
        </w:tc>
      </w:tr>
      <w:tr>
        <w:tblPrEx>
          <w:tblCellMar>
            <w:top w:w="0" w:type="dxa"/>
            <w:left w:w="108" w:type="dxa"/>
            <w:bottom w:w="0" w:type="dxa"/>
            <w:right w:w="108" w:type="dxa"/>
          </w:tblCellMar>
        </w:tblPrEx>
        <w:trPr>
          <w:trHeight w:val="417"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14"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培训内容的受用性</w:t>
            </w:r>
          </w:p>
        </w:tc>
        <w:tc>
          <w:tcPr>
            <w:tcW w:w="550"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53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73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80</w:t>
            </w:r>
          </w:p>
        </w:tc>
        <w:tc>
          <w:tcPr>
            <w:tcW w:w="72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80</w:t>
            </w:r>
          </w:p>
        </w:tc>
        <w:tc>
          <w:tcPr>
            <w:tcW w:w="81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80</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417"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14"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面向非公经济企业和非公经济人士进行培训</w:t>
            </w:r>
          </w:p>
        </w:tc>
        <w:tc>
          <w:tcPr>
            <w:tcW w:w="550"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次</w:t>
            </w:r>
          </w:p>
        </w:tc>
        <w:tc>
          <w:tcPr>
            <w:tcW w:w="53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ascii="Times New Roman" w:hAnsi="Times New Roman" w:eastAsia="方正仿宋_GBK" w:cs="Times New Roman"/>
                <w:bCs w:val="0"/>
                <w:color w:val="000000"/>
                <w:kern w:val="0"/>
                <w:sz w:val="24"/>
                <w:szCs w:val="32"/>
              </w:rPr>
              <w:t>≥</w:t>
            </w:r>
          </w:p>
        </w:tc>
        <w:tc>
          <w:tcPr>
            <w:tcW w:w="73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72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81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417"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ascii="Times New Roman" w:hAnsi="Times New Roman" w:eastAsia="方正仿宋_GBK" w:cs="Times New Roman"/>
                <w:bCs w:val="0"/>
                <w:color w:val="000000"/>
                <w:kern w:val="0"/>
                <w:sz w:val="24"/>
                <w:szCs w:val="32"/>
              </w:rPr>
            </w:pPr>
          </w:p>
        </w:tc>
        <w:tc>
          <w:tcPr>
            <w:tcW w:w="1214"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服务对象满意度</w:t>
            </w:r>
          </w:p>
        </w:tc>
        <w:tc>
          <w:tcPr>
            <w:tcW w:w="550" w:type="dxa"/>
            <w:gridSpan w:val="3"/>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w:t>
            </w:r>
          </w:p>
        </w:tc>
        <w:tc>
          <w:tcPr>
            <w:tcW w:w="535"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ascii="Times New Roman" w:hAnsi="Times New Roman" w:eastAsia="方正仿宋_GBK" w:cs="Times New Roman"/>
                <w:bCs w:val="0"/>
                <w:color w:val="000000"/>
                <w:kern w:val="0"/>
                <w:sz w:val="24"/>
                <w:szCs w:val="32"/>
              </w:rPr>
              <w:t>≥</w:t>
            </w:r>
          </w:p>
        </w:tc>
        <w:tc>
          <w:tcPr>
            <w:tcW w:w="734"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90</w:t>
            </w:r>
          </w:p>
        </w:tc>
        <w:tc>
          <w:tcPr>
            <w:tcW w:w="72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90</w:t>
            </w:r>
          </w:p>
        </w:tc>
        <w:tc>
          <w:tcPr>
            <w:tcW w:w="81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95</w:t>
            </w:r>
          </w:p>
        </w:tc>
        <w:tc>
          <w:tcPr>
            <w:tcW w:w="109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100</w:t>
            </w:r>
          </w:p>
        </w:tc>
        <w:tc>
          <w:tcPr>
            <w:tcW w:w="936"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400"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20</w:t>
            </w:r>
          </w:p>
        </w:tc>
        <w:tc>
          <w:tcPr>
            <w:tcW w:w="12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是</w:t>
            </w:r>
          </w:p>
        </w:tc>
      </w:tr>
      <w:tr>
        <w:tblPrEx>
          <w:tblCellMar>
            <w:top w:w="0" w:type="dxa"/>
            <w:left w:w="108" w:type="dxa"/>
            <w:bottom w:w="0" w:type="dxa"/>
            <w:right w:w="108" w:type="dxa"/>
          </w:tblCellMar>
        </w:tblPrEx>
        <w:trPr>
          <w:trHeight w:val="602" w:hRule="atLeast"/>
          <w:jc w:val="center"/>
        </w:trPr>
        <w:tc>
          <w:tcPr>
            <w:tcW w:w="8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r>
              <w:rPr>
                <w:rFonts w:hint="eastAsia" w:ascii="Times New Roman" w:hAnsi="Times New Roman" w:eastAsia="方正仿宋_GBK" w:cs="Times New Roman"/>
                <w:bCs w:val="0"/>
                <w:color w:val="000000"/>
                <w:kern w:val="0"/>
                <w:sz w:val="24"/>
                <w:szCs w:val="32"/>
              </w:rPr>
              <w:t>说明</w:t>
            </w:r>
          </w:p>
        </w:tc>
        <w:tc>
          <w:tcPr>
            <w:tcW w:w="9220" w:type="dxa"/>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bCs w:val="0"/>
                <w:color w:val="000000"/>
                <w:kern w:val="0"/>
                <w:sz w:val="24"/>
                <w:szCs w:val="32"/>
              </w:rPr>
            </w:pPr>
          </w:p>
        </w:tc>
      </w:tr>
    </w:tbl>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Style w:val="5"/>
          <w:rFonts w:hint="eastAsia" w:ascii="Times New Roman" w:hAnsi="Times New Roman" w:eastAsia="方正仿宋_GBK" w:cs="Times New Roman"/>
          <w:bCs w:val="0"/>
          <w:kern w:val="0"/>
          <w:sz w:val="32"/>
          <w:szCs w:val="32"/>
          <w:shd w:val="clear" w:color="auto" w:fill="FFFFFF"/>
          <w:lang w:val="en-US" w:eastAsia="zh-CN" w:bidi="ar-SA"/>
        </w:rPr>
      </w:pPr>
      <w:r>
        <w:rPr>
          <w:rStyle w:val="5"/>
          <w:rFonts w:hint="eastAsia" w:ascii="Times New Roman" w:hAnsi="Times New Roman" w:eastAsia="方正仿宋_GBK" w:cs="Times New Roman"/>
          <w:bCs w:val="0"/>
          <w:kern w:val="0"/>
          <w:sz w:val="32"/>
          <w:szCs w:val="32"/>
          <w:shd w:val="clear" w:color="auto" w:fill="FFFFFF"/>
          <w:lang w:val="en-US" w:eastAsia="zh-CN" w:bidi="ar-SA"/>
        </w:rPr>
        <w:t>2.绩效自评报告或案例</w:t>
      </w:r>
      <w:r>
        <w:rPr>
          <w:rStyle w:val="5"/>
          <w:rFonts w:hint="eastAsia" w:ascii="Times New Roman" w:hAnsi="Times New Roman" w:cs="Times New Roman"/>
          <w:bCs w:val="0"/>
          <w:kern w:val="0"/>
          <w:sz w:val="32"/>
          <w:szCs w:val="32"/>
          <w:shd w:val="clear" w:color="auto" w:fill="FFFFFF"/>
          <w:lang w:val="en-US" w:eastAsia="zh-CN" w:bidi="ar-SA"/>
        </w:rPr>
        <w:t>。</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_GBK" w:cs="Times New Roman"/>
          <w:bCs w:val="0"/>
          <w:kern w:val="0"/>
          <w:sz w:val="32"/>
          <w:szCs w:val="32"/>
        </w:rPr>
      </w:pPr>
      <w:r>
        <w:rPr>
          <w:rFonts w:hint="eastAsia" w:ascii="Times New Roman" w:hAnsi="Times New Roman" w:eastAsia="方正仿宋_GBK" w:cs="Times New Roman"/>
          <w:bCs w:val="0"/>
          <w:kern w:val="0"/>
          <w:sz w:val="32"/>
          <w:szCs w:val="32"/>
        </w:rPr>
        <w:t>无。</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Style w:val="5"/>
          <w:rFonts w:hint="eastAsia" w:ascii="Times New Roman" w:hAnsi="Times New Roman" w:eastAsia="方正仿宋_GBK" w:cs="Times New Roman"/>
          <w:bCs w:val="0"/>
          <w:kern w:val="0"/>
          <w:sz w:val="32"/>
          <w:szCs w:val="32"/>
          <w:shd w:val="clear" w:color="auto" w:fill="FFFFFF"/>
          <w:lang w:val="en-US" w:eastAsia="zh-CN" w:bidi="ar-SA"/>
        </w:rPr>
      </w:pPr>
      <w:r>
        <w:rPr>
          <w:rStyle w:val="5"/>
          <w:rFonts w:hint="eastAsia" w:ascii="Times New Roman" w:hAnsi="Times New Roman" w:eastAsia="方正仿宋_GBK" w:cs="Times New Roman"/>
          <w:bCs w:val="0"/>
          <w:kern w:val="0"/>
          <w:sz w:val="32"/>
          <w:szCs w:val="32"/>
          <w:shd w:val="clear" w:color="auto" w:fill="FFFFFF"/>
          <w:lang w:val="en-US" w:eastAsia="zh-CN" w:bidi="ar-SA"/>
        </w:rPr>
        <w:t>3.关于绩效自评结果的说明。</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_GBK" w:cs="Times New Roman"/>
          <w:bCs w:val="0"/>
          <w:kern w:val="0"/>
          <w:sz w:val="32"/>
          <w:szCs w:val="32"/>
        </w:rPr>
      </w:pPr>
      <w:r>
        <w:rPr>
          <w:rFonts w:hint="eastAsia" w:ascii="Times New Roman" w:hAnsi="Times New Roman" w:eastAsia="方正仿宋_GBK" w:cs="Times New Roman"/>
          <w:bCs w:val="0"/>
          <w:kern w:val="0"/>
          <w:sz w:val="32"/>
          <w:szCs w:val="32"/>
        </w:rPr>
        <w:t>无</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3" w:firstLineChars="200"/>
        <w:textAlignment w:val="auto"/>
        <w:rPr>
          <w:rStyle w:val="30"/>
          <w:rFonts w:hint="eastAsia" w:ascii="Times New Roman" w:hAnsi="Times New Roman" w:eastAsia="方正楷体_GBK" w:cs="Times New Roman"/>
          <w:b/>
          <w:bCs w:val="0"/>
          <w:sz w:val="32"/>
          <w:szCs w:val="32"/>
          <w:shd w:val="clear" w:color="auto" w:fill="FFFFFF"/>
        </w:rPr>
      </w:pPr>
      <w:r>
        <w:rPr>
          <w:rStyle w:val="30"/>
          <w:rFonts w:hint="eastAsia" w:ascii="Times New Roman" w:hAnsi="Times New Roman" w:eastAsia="方正楷体_GBK" w:cs="Times New Roman"/>
          <w:b/>
          <w:bCs w:val="0"/>
          <w:sz w:val="32"/>
          <w:szCs w:val="32"/>
          <w:shd w:val="clear" w:color="auto" w:fill="FFFFFF"/>
        </w:rPr>
        <w:t>（三）重点绩效评价结果。</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_GBK" w:cs="Times New Roman"/>
          <w:bCs w:val="0"/>
          <w:sz w:val="32"/>
          <w:szCs w:val="32"/>
        </w:rPr>
      </w:pPr>
      <w:r>
        <w:rPr>
          <w:rFonts w:hint="eastAsia" w:ascii="Times New Roman" w:hAnsi="Times New Roman" w:eastAsia="方正仿宋_GBK" w:cs="Times New Roman"/>
          <w:bCs w:val="0"/>
          <w:kern w:val="0"/>
          <w:sz w:val="32"/>
          <w:szCs w:val="32"/>
        </w:rPr>
        <w:t>无。</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黑体_GBK" w:cs="Times New Roman"/>
          <w:bCs w:val="0"/>
          <w:sz w:val="32"/>
          <w:szCs w:val="32"/>
        </w:rPr>
      </w:pPr>
      <w:r>
        <w:rPr>
          <w:rFonts w:hint="eastAsia" w:ascii="Times New Roman" w:hAnsi="Times New Roman" w:eastAsia="方正黑体_GBK" w:cs="Times New Roman"/>
          <w:bCs w:val="0"/>
          <w:sz w:val="32"/>
          <w:szCs w:val="32"/>
        </w:rPr>
        <w:t>六、专业名词解释</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（一）财政拨款收入：</w:t>
      </w:r>
      <w:r>
        <w:rPr>
          <w:rFonts w:hint="eastAsia" w:ascii="Times New Roman" w:hAnsi="Times New Roman" w:cs="Times New Roman"/>
          <w:bCs w:val="0"/>
          <w:szCs w:val="32"/>
        </w:rPr>
        <w:t>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（二）事业收入：</w:t>
      </w:r>
      <w:r>
        <w:rPr>
          <w:rFonts w:hint="eastAsia" w:ascii="Times New Roman" w:hAnsi="Times New Roman" w:cs="Times New Roman"/>
          <w:bCs w:val="0"/>
          <w:szCs w:val="32"/>
        </w:rPr>
        <w:t>指事业单位开展专业业务活动及其辅助活动取得的现金流入；事业单位收到的财政专户实际核拨的教育收费等资金在此反映。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（三）经营收入：</w:t>
      </w:r>
      <w:r>
        <w:rPr>
          <w:rFonts w:hint="eastAsia" w:ascii="Times New Roman" w:hAnsi="Times New Roman" w:cs="Times New Roman"/>
          <w:bCs w:val="0"/>
          <w:szCs w:val="32"/>
        </w:rPr>
        <w:t>指事业单位在专业业务活动及其辅助活动之外开展非独立核算经营活动取得的现金流入。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（四）其他收入：</w:t>
      </w:r>
      <w:r>
        <w:rPr>
          <w:rFonts w:hint="eastAsia" w:ascii="Times New Roman" w:hAnsi="Times New Roman" w:cs="Times New Roman"/>
          <w:bCs w:val="0"/>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（五）使用非财政拨款结余：</w:t>
      </w:r>
      <w:r>
        <w:rPr>
          <w:rFonts w:hint="eastAsia" w:ascii="Times New Roman" w:hAnsi="Times New Roman" w:cs="Times New Roman"/>
          <w:bCs w:val="0"/>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（六）年初结转和结余：</w:t>
      </w:r>
      <w:r>
        <w:rPr>
          <w:rFonts w:hint="eastAsia" w:ascii="Times New Roman" w:hAnsi="Times New Roman" w:cs="Times New Roman"/>
          <w:bCs w:val="0"/>
          <w:szCs w:val="32"/>
        </w:rPr>
        <w:t>指单位上年结转本年使用的基本支出结转、项目支出结转和结余、经营结余。</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（七）结余分配：</w:t>
      </w:r>
      <w:r>
        <w:rPr>
          <w:rFonts w:hint="eastAsia" w:ascii="Times New Roman" w:hAnsi="Times New Roman" w:cs="Times New Roman"/>
          <w:bCs w:val="0"/>
          <w:szCs w:val="32"/>
        </w:rPr>
        <w:t>指单位按照国家有关规定，缴纳所得税、提取专用基金、转入非财政拨款结余等当年结余的分配情况。</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（八）年末结转和结余：</w:t>
      </w:r>
      <w:r>
        <w:rPr>
          <w:rFonts w:hint="eastAsia" w:ascii="Times New Roman" w:hAnsi="Times New Roman" w:cs="Times New Roman"/>
          <w:bCs w:val="0"/>
          <w:szCs w:val="32"/>
        </w:rPr>
        <w:t>指单位结转下年的基本支出结转、项目支出结转和结余、经营结余。</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（九）基本支出：</w:t>
      </w:r>
      <w:r>
        <w:rPr>
          <w:rFonts w:hint="eastAsia" w:ascii="Times New Roman" w:hAnsi="Times New Roman" w:cs="Times New Roman"/>
          <w:bCs w:val="0"/>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（十）项目支出：</w:t>
      </w:r>
      <w:r>
        <w:rPr>
          <w:rFonts w:hint="eastAsia" w:ascii="Times New Roman" w:hAnsi="Times New Roman" w:cs="Times New Roman"/>
          <w:bCs w:val="0"/>
          <w:szCs w:val="32"/>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（十一）经营支出：</w:t>
      </w:r>
      <w:r>
        <w:rPr>
          <w:rFonts w:hint="eastAsia" w:ascii="Times New Roman" w:hAnsi="Times New Roman" w:cs="Times New Roman"/>
          <w:bCs w:val="0"/>
          <w:szCs w:val="32"/>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（十二）“三公”经费：</w:t>
      </w:r>
      <w:r>
        <w:rPr>
          <w:rFonts w:hint="eastAsia" w:ascii="Times New Roman" w:hAnsi="Times New Roman" w:cs="Times New Roman"/>
          <w:bCs w:val="0"/>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（十三）机关运行经费：</w:t>
      </w:r>
      <w:r>
        <w:rPr>
          <w:rFonts w:hint="eastAsia" w:ascii="Times New Roman" w:hAnsi="Times New Roman" w:cs="Times New Roman"/>
          <w:bCs w:val="0"/>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（十四）工资福利支出（支出经济分类科目类级）：</w:t>
      </w:r>
      <w:r>
        <w:rPr>
          <w:rFonts w:hint="eastAsia" w:ascii="Times New Roman" w:hAnsi="Times New Roman" w:cs="Times New Roman"/>
          <w:bCs w:val="0"/>
          <w:szCs w:val="32"/>
        </w:rPr>
        <w:t>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（十五）商品和服务支出（支出经济分类科目类级）：</w:t>
      </w:r>
      <w:r>
        <w:rPr>
          <w:rFonts w:hint="eastAsia" w:ascii="Times New Roman" w:hAnsi="Times New Roman" w:cs="Times New Roman"/>
          <w:bCs w:val="0"/>
          <w:szCs w:val="32"/>
        </w:rPr>
        <w:t>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（十六）对个人和家庭的补助（支出经济分类科目类级）：</w:t>
      </w:r>
      <w:r>
        <w:rPr>
          <w:rFonts w:hint="eastAsia" w:ascii="Times New Roman" w:hAnsi="Times New Roman" w:cs="Times New Roman"/>
          <w:bCs w:val="0"/>
          <w:szCs w:val="32"/>
        </w:rPr>
        <w:t>反映用于对个人和家庭的补助支出。</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cs="Times New Roman"/>
          <w:bCs w:val="0"/>
          <w:szCs w:val="32"/>
        </w:rPr>
      </w:pPr>
      <w:r>
        <w:rPr>
          <w:rStyle w:val="30"/>
          <w:rFonts w:hint="eastAsia" w:ascii="Times New Roman" w:hAnsi="Times New Roman" w:eastAsia="方正楷体_GBK" w:cs="Times New Roman"/>
          <w:bCs w:val="0"/>
          <w:kern w:val="0"/>
          <w:sz w:val="32"/>
          <w:szCs w:val="32"/>
          <w:shd w:val="clear" w:color="auto" w:fill="FFFFFF"/>
          <w:lang w:val="en-US" w:eastAsia="zh-CN" w:bidi="ar-SA"/>
        </w:rPr>
        <w:t>（十七）其他资本性支出（支出经济分类科目类级）：</w:t>
      </w:r>
      <w:r>
        <w:rPr>
          <w:rFonts w:hint="eastAsia" w:ascii="Times New Roman" w:hAnsi="Times New Roman" w:cs="Times New Roman"/>
          <w:bCs w:val="0"/>
          <w:szCs w:val="32"/>
        </w:rPr>
        <w:t>反映非各级发展与改革部门集中安排的用于购置固定资产、战略性和应急性储备、土地和无形资产，以及构建基础设施、大型修缮和财政支持企业更新改造所发生的支出。</w:t>
      </w:r>
    </w:p>
    <w:p>
      <w:pPr>
        <w:pStyle w:val="29"/>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黑体_GBK" w:cs="Times New Roman"/>
          <w:bCs w:val="0"/>
          <w:sz w:val="32"/>
          <w:szCs w:val="32"/>
        </w:rPr>
      </w:pPr>
      <w:r>
        <w:rPr>
          <w:rFonts w:hint="eastAsia" w:ascii="Times New Roman" w:hAnsi="Times New Roman" w:eastAsia="方正黑体_GBK" w:cs="Times New Roman"/>
          <w:bCs w:val="0"/>
          <w:sz w:val="32"/>
          <w:szCs w:val="32"/>
        </w:rPr>
        <w:t>七、决算公开联系方式及信息反馈渠道</w:t>
      </w:r>
    </w:p>
    <w:p>
      <w:pPr>
        <w:pStyle w:val="31"/>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Times New Roman" w:hAnsi="Times New Roman" w:eastAsia="方正仿宋_GBK" w:cs="Times New Roman"/>
          <w:bCs w:val="0"/>
          <w:sz w:val="32"/>
          <w:szCs w:val="32"/>
          <w:shd w:val="clear" w:color="auto" w:fill="FFFFFF"/>
        </w:rPr>
      </w:pPr>
      <w:r>
        <w:rPr>
          <w:rFonts w:hint="eastAsia" w:ascii="Times New Roman" w:hAnsi="Times New Roman" w:eastAsia="方正仿宋_GBK" w:cs="Times New Roman"/>
          <w:bCs w:val="0"/>
          <w:sz w:val="32"/>
          <w:szCs w:val="32"/>
          <w:shd w:val="clear" w:color="auto" w:fill="FFFFFF"/>
        </w:rPr>
        <w:t>本单位决算公开信息反馈和联系方式：023-59225083。</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cs="Times New Roman"/>
          <w:bCs w:val="0"/>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cs="Times New Roman"/>
          <w:bCs w:val="0"/>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ODJhYjJiNDBhOWFiMDUzNWUxNjAxYTQ4OTc2ZjYifQ=="/>
  </w:docVars>
  <w:rsids>
    <w:rsidRoot w:val="00000000"/>
    <w:rsid w:val="329F2C9B"/>
    <w:rsid w:val="403F1BDA"/>
    <w:rsid w:val="41F10397"/>
    <w:rsid w:val="4DA2791B"/>
    <w:rsid w:val="73AC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Definition"/>
    <w:basedOn w:val="4"/>
    <w:qFormat/>
    <w:uiPriority w:val="0"/>
  </w:style>
  <w:style w:type="character" w:styleId="7">
    <w:name w:val="HTML Variable"/>
    <w:basedOn w:val="4"/>
    <w:uiPriority w:val="0"/>
  </w:style>
  <w:style w:type="character" w:styleId="8">
    <w:name w:val="Hyperlink"/>
    <w:basedOn w:val="4"/>
    <w:uiPriority w:val="0"/>
    <w:rPr>
      <w:color w:val="0000FF"/>
      <w:u w:val="none"/>
    </w:rPr>
  </w:style>
  <w:style w:type="character" w:styleId="9">
    <w:name w:val="HTML Code"/>
    <w:basedOn w:val="4"/>
    <w:uiPriority w:val="0"/>
    <w:rPr>
      <w:rFonts w:ascii="Courier New" w:hAnsi="Courier New"/>
      <w:sz w:val="20"/>
    </w:rPr>
  </w:style>
  <w:style w:type="character" w:styleId="10">
    <w:name w:val="HTML Cite"/>
    <w:basedOn w:val="4"/>
    <w:qFormat/>
    <w:uiPriority w:val="0"/>
  </w:style>
  <w:style w:type="character" w:customStyle="1" w:styleId="11">
    <w:name w:val="ui-state-active"/>
    <w:basedOn w:val="4"/>
    <w:uiPriority w:val="0"/>
  </w:style>
  <w:style w:type="character" w:customStyle="1" w:styleId="12">
    <w:name w:val="image8"/>
    <w:basedOn w:val="4"/>
    <w:uiPriority w:val="0"/>
  </w:style>
  <w:style w:type="character" w:customStyle="1" w:styleId="13">
    <w:name w:val="image9"/>
    <w:basedOn w:val="4"/>
    <w:uiPriority w:val="0"/>
  </w:style>
  <w:style w:type="character" w:customStyle="1" w:styleId="14">
    <w:name w:val="image10"/>
    <w:basedOn w:val="4"/>
    <w:uiPriority w:val="0"/>
  </w:style>
  <w:style w:type="character" w:customStyle="1" w:styleId="15">
    <w:name w:val="clicked"/>
    <w:basedOn w:val="4"/>
    <w:uiPriority w:val="0"/>
    <w:rPr>
      <w:color w:val="000000"/>
      <w:bdr w:val="single" w:color="D8F0FA" w:sz="4" w:space="0"/>
      <w:shd w:val="clear" w:fill="E7F4F9"/>
    </w:rPr>
  </w:style>
  <w:style w:type="character" w:customStyle="1" w:styleId="16">
    <w:name w:val="clicked1"/>
    <w:basedOn w:val="4"/>
    <w:uiPriority w:val="0"/>
    <w:rPr>
      <w:bdr w:val="single" w:color="D8F0FA" w:sz="4" w:space="0"/>
      <w:shd w:val="clear" w:fill="E7F4F9"/>
    </w:rPr>
  </w:style>
  <w:style w:type="character" w:customStyle="1" w:styleId="17">
    <w:name w:val="clicked2"/>
    <w:basedOn w:val="4"/>
    <w:qFormat/>
    <w:uiPriority w:val="0"/>
  </w:style>
  <w:style w:type="character" w:customStyle="1" w:styleId="18">
    <w:name w:val="button-hover"/>
    <w:basedOn w:val="4"/>
    <w:uiPriority w:val="0"/>
  </w:style>
  <w:style w:type="character" w:customStyle="1" w:styleId="19">
    <w:name w:val="button-hover1"/>
    <w:basedOn w:val="4"/>
    <w:uiPriority w:val="0"/>
  </w:style>
  <w:style w:type="character" w:customStyle="1" w:styleId="20">
    <w:name w:val="ui-state-default12"/>
    <w:basedOn w:val="4"/>
    <w:uiPriority w:val="0"/>
  </w:style>
  <w:style w:type="character" w:customStyle="1" w:styleId="21">
    <w:name w:val="ui-state-default13"/>
    <w:basedOn w:val="4"/>
    <w:uiPriority w:val="0"/>
  </w:style>
  <w:style w:type="character" w:customStyle="1" w:styleId="22">
    <w:name w:val="ui-state-hover21"/>
    <w:basedOn w:val="4"/>
    <w:uiPriority w:val="0"/>
  </w:style>
  <w:style w:type="character" w:customStyle="1" w:styleId="23">
    <w:name w:val="group"/>
    <w:basedOn w:val="4"/>
    <w:uiPriority w:val="0"/>
  </w:style>
  <w:style w:type="character" w:customStyle="1" w:styleId="24">
    <w:name w:val="directchildrenspan"/>
    <w:basedOn w:val="4"/>
    <w:uiPriority w:val="0"/>
  </w:style>
  <w:style w:type="character" w:customStyle="1" w:styleId="25">
    <w:name w:val="item-middle"/>
    <w:basedOn w:val="4"/>
    <w:uiPriority w:val="0"/>
  </w:style>
  <w:style w:type="character" w:customStyle="1" w:styleId="26">
    <w:name w:val="imgspan"/>
    <w:basedOn w:val="4"/>
    <w:uiPriority w:val="0"/>
  </w:style>
  <w:style w:type="character" w:customStyle="1" w:styleId="27">
    <w:name w:val="newstitle"/>
    <w:basedOn w:val="4"/>
    <w:uiPriority w:val="0"/>
    <w:rPr>
      <w:b/>
      <w:color w:val="000000"/>
      <w:sz w:val="19"/>
      <w:szCs w:val="19"/>
    </w:rPr>
  </w:style>
  <w:style w:type="character" w:customStyle="1" w:styleId="28">
    <w:name w:val="ui-icon34"/>
    <w:basedOn w:val="4"/>
    <w:uiPriority w:val="0"/>
  </w:style>
  <w:style w:type="paragraph" w:styleId="29">
    <w:name w:val="List Paragraph"/>
    <w:basedOn w:val="1"/>
    <w:qFormat/>
    <w:uiPriority w:val="34"/>
    <w:pPr>
      <w:ind w:firstLine="420" w:firstLineChars="200"/>
    </w:pPr>
  </w:style>
  <w:style w:type="character" w:customStyle="1" w:styleId="30">
    <w:name w:val="15"/>
    <w:qFormat/>
    <w:uiPriority w:val="0"/>
    <w:rPr>
      <w:rFonts w:hint="default" w:ascii="Wingdings" w:hAnsi="Wingdings"/>
      <w:b/>
      <w:bCs/>
    </w:rPr>
  </w:style>
  <w:style w:type="paragraph" w:customStyle="1" w:styleId="31">
    <w:name w:val="普通(网站) Cha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2021-08-06T02:50:00Z</dcterms:created>
  <dc:creator>Administrator</dc:creator>
  <cp:lastModifiedBy>刘永春</cp:lastModifiedBy>
  <dcterms:modified xsi:type="dcterms:W3CDTF">2024-01-23T04:22:36Z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6ED2230AC70E43ED8860B8AAEA6E0AD7_12</vt:lpwstr>
  </property>
</Properties>
</file>