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napToGrid w:val="0"/>
        <w:spacing w:line="480" w:lineRule="exact"/>
        <w:jc w:val="both"/>
        <w:rPr>
          <w:rFonts w:ascii="方正小标宋_GBK" w:eastAsia="方正小标宋_GBK"/>
          <w:b/>
          <w:sz w:val="44"/>
          <w:szCs w:val="44"/>
        </w:rPr>
      </w:pPr>
    </w:p>
    <w:p>
      <w:pPr>
        <w:pStyle w:val="4"/>
        <w:shd w:val="clear" w:color="auto" w:fill="FFFFFF"/>
        <w:snapToGrid w:val="0"/>
        <w:spacing w:line="480" w:lineRule="exact"/>
        <w:jc w:val="center"/>
        <w:rPr>
          <w:rFonts w:hint="eastAsia" w:ascii="方正小标宋_GBK" w:eastAsia="方正小标宋_GBK"/>
          <w:sz w:val="44"/>
          <w:szCs w:val="44"/>
          <w:lang w:eastAsia="zh-CN"/>
        </w:rPr>
      </w:pPr>
      <w:r>
        <w:rPr>
          <w:rFonts w:hint="eastAsia" w:ascii="方正小标宋_GBK" w:eastAsia="方正小标宋_GBK"/>
          <w:sz w:val="44"/>
          <w:szCs w:val="44"/>
        </w:rPr>
        <w:t>重庆市</w:t>
      </w:r>
      <w:bookmarkStart w:id="0" w:name="_GoBack"/>
      <w:r>
        <w:rPr>
          <w:rFonts w:hint="eastAsia" w:ascii="方正小标宋_GBK" w:eastAsia="方正小标宋_GBK"/>
          <w:sz w:val="44"/>
          <w:szCs w:val="44"/>
        </w:rPr>
        <w:t>城口县档案</w:t>
      </w:r>
      <w:r>
        <w:rPr>
          <w:rFonts w:hint="eastAsia" w:ascii="方正小标宋_GBK" w:eastAsia="方正小标宋_GBK"/>
          <w:sz w:val="44"/>
          <w:szCs w:val="44"/>
          <w:lang w:eastAsia="zh-CN"/>
        </w:rPr>
        <w:t>馆</w:t>
      </w:r>
    </w:p>
    <w:p>
      <w:pPr>
        <w:pStyle w:val="4"/>
        <w:shd w:val="clear" w:color="auto" w:fill="FFFFFF"/>
        <w:snapToGrid w:val="0"/>
        <w:spacing w:line="480" w:lineRule="exact"/>
        <w:jc w:val="center"/>
        <w:rPr>
          <w:rFonts w:ascii="方正小标宋_GBK" w:eastAsia="方正小标宋_GBK"/>
          <w:sz w:val="44"/>
          <w:szCs w:val="44"/>
        </w:rPr>
      </w:pPr>
      <w:r>
        <w:rPr>
          <w:rFonts w:hint="eastAsia" w:ascii="方正小标宋_GBK" w:eastAsia="方正小标宋_GBK"/>
          <w:sz w:val="44"/>
          <w:szCs w:val="44"/>
        </w:rPr>
        <w:t>2021年度县级部门决算公开说明</w:t>
      </w:r>
    </w:p>
    <w:bookmarkEnd w:id="0"/>
    <w:p>
      <w:pPr>
        <w:spacing w:line="600" w:lineRule="exact"/>
        <w:rPr>
          <w:rFonts w:eastAsia="方正仿宋简体"/>
          <w:b/>
          <w:sz w:val="44"/>
          <w:szCs w:val="44"/>
        </w:rPr>
      </w:pPr>
    </w:p>
    <w:p>
      <w:pPr>
        <w:pStyle w:val="4"/>
        <w:shd w:val="clear" w:color="auto" w:fill="FFFFFF"/>
        <w:snapToGrid w:val="0"/>
        <w:spacing w:line="480" w:lineRule="exact"/>
        <w:ind w:firstLine="640" w:firstLineChars="200"/>
        <w:rPr>
          <w:rStyle w:val="7"/>
          <w:rFonts w:ascii="方正黑体_GBK" w:eastAsia="方正黑体_GBK" w:hAnsiTheme="minorEastAsia"/>
          <w:b w:val="0"/>
          <w:sz w:val="32"/>
          <w:szCs w:val="32"/>
        </w:rPr>
      </w:pPr>
      <w:r>
        <w:rPr>
          <w:rStyle w:val="7"/>
          <w:rFonts w:hint="eastAsia" w:ascii="方正黑体_GBK" w:eastAsia="方正黑体_GBK" w:hAnsiTheme="minorEastAsia"/>
          <w:b w:val="0"/>
          <w:sz w:val="32"/>
          <w:szCs w:val="32"/>
        </w:rPr>
        <w:t>一、部门基本情况</w:t>
      </w:r>
    </w:p>
    <w:p>
      <w:pPr>
        <w:pStyle w:val="4"/>
        <w:shd w:val="clear" w:color="auto" w:fill="FFFFFF"/>
        <w:snapToGrid w:val="0"/>
        <w:spacing w:line="480" w:lineRule="exact"/>
        <w:rPr>
          <w:rStyle w:val="7"/>
          <w:rFonts w:ascii="方正楷体_GBK" w:eastAsia="方正楷体_GBK" w:hAnsiTheme="minorEastAsia"/>
          <w:b w:val="0"/>
          <w:bCs w:val="0"/>
          <w:sz w:val="32"/>
          <w:szCs w:val="32"/>
        </w:rPr>
      </w:pPr>
      <w:r>
        <w:rPr>
          <w:rStyle w:val="7"/>
          <w:rFonts w:hint="eastAsia" w:asciiTheme="minorEastAsia" w:hAnsiTheme="minorEastAsia" w:eastAsiaTheme="minorEastAsia"/>
          <w:sz w:val="32"/>
          <w:szCs w:val="32"/>
        </w:rPr>
        <w:t xml:space="preserve">   </w:t>
      </w:r>
      <w:r>
        <w:rPr>
          <w:rStyle w:val="7"/>
          <w:rFonts w:hint="eastAsia" w:ascii="方正楷体_GBK" w:eastAsia="方正楷体_GBK" w:hAnsiTheme="minorEastAsia"/>
          <w:b w:val="0"/>
          <w:sz w:val="32"/>
          <w:szCs w:val="32"/>
        </w:rPr>
        <w:t>（一）职能职责。</w:t>
      </w:r>
    </w:p>
    <w:p>
      <w:pPr>
        <w:spacing w:line="480" w:lineRule="exact"/>
        <w:ind w:firstLine="640" w:firstLineChars="200"/>
        <w:rPr>
          <w:rFonts w:hint="eastAsia" w:ascii="方正仿宋_GBK" w:hAnsiTheme="minorEastAsia"/>
          <w:szCs w:val="32"/>
        </w:rPr>
      </w:pPr>
      <w:r>
        <w:rPr>
          <w:rFonts w:hint="eastAsia" w:ascii="方正仿宋_GBK" w:hAnsiTheme="minorEastAsia"/>
          <w:szCs w:val="32"/>
        </w:rPr>
        <w:t>接收、征集和集中科学管理县级党政机关、群众团体、县直属单位及部分企事业单位的重要档案资料和有关城口县历史的档案资料，承担县档案馆馆藏档案安全的责任；负责馆藏档案及资料的复制、修复工作。按照档案工作规范与要求搞好馆藏档案、资料的分类、排列和编号工作；按照“八防”要求积极开展库内档案保管保护工作；负责地方党史﹑组织史资料的征集工作，系统整理有关党建﹑政治﹑军事﹑经济、文化等方面的史料；负责党史和县志的编纂工作。完成各个时期党史大事记、政府大事记、地方组织史、专题资料、重大人物传记以及重要文件汇编等编撰工作；负责开展档案、党史、地方志的研究工作以及资源开发、信息开放，加强对党史的宣传工作；负责开展对重点档案、党史的抢救和保护工作；协助依法开展档案的安全鉴定工作；负责开发档案资源和档案编研工作；依法向社会开放档案信息资源，为社会利用档案资源提供服务。负责发布档案、资料信息，依法为公民、法人或其他组织提供政府公开信息服务；组织开展好现行文件中心阅览利用和爱国主义基地建设工作；承</w:t>
      </w:r>
    </w:p>
    <w:p>
      <w:pPr>
        <w:spacing w:line="480" w:lineRule="exact"/>
        <w:rPr>
          <w:rFonts w:hint="eastAsia" w:ascii="方正仿宋_GBK" w:cs="宋体" w:hAnsiTheme="minorEastAsia"/>
          <w:szCs w:val="32"/>
        </w:rPr>
      </w:pPr>
      <w:r>
        <w:rPr>
          <w:rFonts w:hint="eastAsia" w:ascii="方正仿宋_GBK" w:hAnsiTheme="minorEastAsia"/>
          <w:szCs w:val="32"/>
        </w:rPr>
        <w:t>担县委办公室交办的其他事项。</w:t>
      </w:r>
    </w:p>
    <w:p>
      <w:pPr>
        <w:spacing w:line="480" w:lineRule="exact"/>
        <w:ind w:firstLine="321" w:firstLineChars="100"/>
        <w:rPr>
          <w:rStyle w:val="7"/>
          <w:rFonts w:ascii="方正楷体_GBK" w:eastAsia="方正楷体_GBK" w:hAnsiTheme="minorEastAsia"/>
          <w:b w:val="0"/>
          <w:szCs w:val="32"/>
        </w:rPr>
      </w:pPr>
      <w:r>
        <w:rPr>
          <w:rStyle w:val="7"/>
          <w:rFonts w:hint="eastAsia" w:asciiTheme="minorEastAsia" w:hAnsiTheme="minorEastAsia" w:eastAsiaTheme="minorEastAsia"/>
          <w:szCs w:val="32"/>
        </w:rPr>
        <w:t xml:space="preserve">   </w:t>
      </w:r>
      <w:r>
        <w:rPr>
          <w:rStyle w:val="7"/>
          <w:rFonts w:hint="eastAsia" w:ascii="方正楷体_GBK" w:eastAsia="方正楷体_GBK" w:hAnsiTheme="minorEastAsia"/>
          <w:b w:val="0"/>
          <w:szCs w:val="32"/>
        </w:rPr>
        <w:t>（二）机构设置。</w:t>
      </w:r>
    </w:p>
    <w:p>
      <w:pPr>
        <w:spacing w:line="480" w:lineRule="exact"/>
        <w:ind w:firstLine="321" w:firstLineChars="100"/>
        <w:rPr>
          <w:rFonts w:ascii="方正仿宋_GBK" w:hAnsi="宋体"/>
          <w:szCs w:val="32"/>
        </w:rPr>
      </w:pPr>
      <w:r>
        <w:rPr>
          <w:rStyle w:val="7"/>
          <w:rFonts w:hint="eastAsia" w:asciiTheme="minorEastAsia" w:hAnsiTheme="minorEastAsia" w:eastAsiaTheme="minorEastAsia"/>
          <w:szCs w:val="32"/>
        </w:rPr>
        <w:t xml:space="preserve"> </w:t>
      </w:r>
      <w:r>
        <w:rPr>
          <w:rStyle w:val="7"/>
          <w:rFonts w:hint="eastAsia" w:asciiTheme="minorEastAsia" w:hAnsiTheme="minorEastAsia" w:eastAsiaTheme="minorEastAsia"/>
          <w:b w:val="0"/>
          <w:szCs w:val="32"/>
        </w:rPr>
        <w:t xml:space="preserve">  </w:t>
      </w:r>
      <w:r>
        <w:rPr>
          <w:rStyle w:val="7"/>
          <w:rFonts w:hint="eastAsia" w:ascii="方正仿宋_GBK" w:hAnsiTheme="minorEastAsia"/>
          <w:b w:val="0"/>
          <w:szCs w:val="32"/>
        </w:rPr>
        <w:t xml:space="preserve"> </w:t>
      </w:r>
      <w:r>
        <w:rPr>
          <w:rFonts w:hint="eastAsia" w:ascii="方正仿宋_GBK" w:hAnsi="宋体"/>
          <w:szCs w:val="32"/>
        </w:rPr>
        <w:t>根据上述职责，城口县</w:t>
      </w:r>
      <w:r>
        <w:rPr>
          <w:rFonts w:hint="eastAsia" w:ascii="方正仿宋_GBK" w:hAnsi="宋体" w:cs="宋体"/>
          <w:szCs w:val="32"/>
        </w:rPr>
        <w:t>档案</w:t>
      </w:r>
      <w:r>
        <w:rPr>
          <w:rFonts w:hint="eastAsia" w:ascii="方正仿宋_GBK" w:hAnsi="宋体"/>
          <w:szCs w:val="32"/>
          <w:lang w:eastAsia="zh-CN"/>
        </w:rPr>
        <w:t>馆</w:t>
      </w:r>
      <w:r>
        <w:rPr>
          <w:rFonts w:hint="eastAsia" w:ascii="方正仿宋_GBK" w:hAnsi="宋体"/>
          <w:szCs w:val="32"/>
        </w:rPr>
        <w:t>设</w:t>
      </w:r>
      <w:r>
        <w:rPr>
          <w:rFonts w:hint="eastAsia" w:ascii="方正仿宋_GBK" w:hAnsi="宋体"/>
          <w:szCs w:val="32"/>
          <w:lang w:val="en-US" w:eastAsia="zh-CN"/>
        </w:rPr>
        <w:t>5</w:t>
      </w:r>
      <w:r>
        <w:rPr>
          <w:rFonts w:hint="eastAsia" w:ascii="方正仿宋_GBK" w:hAnsi="宋体"/>
          <w:szCs w:val="32"/>
        </w:rPr>
        <w:t>个内设机构：</w:t>
      </w:r>
    </w:p>
    <w:p>
      <w:pPr>
        <w:spacing w:line="480" w:lineRule="exact"/>
        <w:ind w:firstLine="640" w:firstLineChars="200"/>
        <w:rPr>
          <w:rFonts w:hint="eastAsia" w:ascii="方正仿宋_GBK" w:eastAsia="方正仿宋_GBK" w:hAnsiTheme="minorEastAsia"/>
          <w:sz w:val="32"/>
          <w:szCs w:val="32"/>
        </w:rPr>
      </w:pPr>
      <w:r>
        <w:rPr>
          <w:rFonts w:hint="eastAsia" w:ascii="方正仿宋_GBK" w:eastAsia="方正仿宋_GBK" w:hAnsiTheme="minorEastAsia"/>
          <w:sz w:val="32"/>
          <w:szCs w:val="32"/>
        </w:rPr>
        <w:t>1. 综合科。协调组织实施机关政务工作和县委、县政府中心工作；负责机关文电、档案、机要、保密、信访、会务接待、督办等事项；负责机构编制、干部人事、劳动工资、党建、廉政建设、法制和目标绩效管理工作。负责机关退休干部工作；负责相关财务、车辆、资产管理等后勤保障工作。负责消防、安全、保卫、社会治安综合治理、环保、宣传思想、精神文明等工作。</w:t>
      </w:r>
    </w:p>
    <w:p>
      <w:pPr>
        <w:spacing w:line="480" w:lineRule="exact"/>
        <w:ind w:firstLine="640" w:firstLineChars="200"/>
        <w:rPr>
          <w:rFonts w:hint="eastAsia" w:ascii="方正仿宋_GBK" w:eastAsia="方正仿宋_GBK" w:hAnsiTheme="minorEastAsia"/>
          <w:sz w:val="32"/>
          <w:szCs w:val="32"/>
        </w:rPr>
      </w:pPr>
      <w:r>
        <w:rPr>
          <w:rFonts w:hint="eastAsia" w:ascii="方正仿宋_GBK" w:eastAsia="方正仿宋_GBK" w:hAnsiTheme="minorEastAsia"/>
          <w:sz w:val="32"/>
          <w:szCs w:val="32"/>
        </w:rPr>
        <w:t>2. 档案管理科。接收、征集和集中科学管理县级党政机关、群众团体、县直属单位及部分事企业单位的重要档案资料和有关城口县历史的档案资料；负责馆藏档案及资料的复制、修复工作，协助依法开展对重点档案的抢救和保护工作、档案的安全鉴定工作、向社会开放档案信息资源，为社会利用档案资源提供服务，做好档案库房安全管理工作。</w:t>
      </w:r>
    </w:p>
    <w:p>
      <w:pPr>
        <w:spacing w:line="480" w:lineRule="exact"/>
        <w:ind w:firstLine="640" w:firstLineChars="200"/>
        <w:rPr>
          <w:rFonts w:hint="eastAsia" w:ascii="方正仿宋_GBK" w:eastAsia="方正仿宋_GBK" w:hAnsiTheme="minorEastAsia"/>
          <w:sz w:val="32"/>
          <w:szCs w:val="32"/>
        </w:rPr>
      </w:pPr>
      <w:r>
        <w:rPr>
          <w:rFonts w:hint="eastAsia" w:ascii="方正仿宋_GBK" w:eastAsia="方正仿宋_GBK" w:hAnsiTheme="minorEastAsia"/>
          <w:sz w:val="32"/>
          <w:szCs w:val="32"/>
        </w:rPr>
        <w:t>3. 党史科。负责全县地方党史资料的征集、整理、研究、编撰、出版；开展党史宣传教育，运用党史资料及征编成果，对全县广大党员干部群众进行革命传统、爱国主义、集体主义、社会主义教育；负责重点党史的保护和抢救工作。</w:t>
      </w:r>
    </w:p>
    <w:p>
      <w:pPr>
        <w:spacing w:line="480" w:lineRule="exact"/>
        <w:ind w:firstLine="640" w:firstLineChars="200"/>
        <w:rPr>
          <w:rFonts w:hint="eastAsia" w:ascii="方正仿宋_GBK" w:eastAsia="方正仿宋_GBK" w:hAnsiTheme="minorEastAsia"/>
          <w:sz w:val="32"/>
          <w:szCs w:val="32"/>
        </w:rPr>
      </w:pPr>
      <w:r>
        <w:rPr>
          <w:rFonts w:hint="eastAsia" w:ascii="方正仿宋_GBK" w:eastAsia="方正仿宋_GBK" w:hAnsiTheme="minorEastAsia"/>
          <w:sz w:val="32"/>
          <w:szCs w:val="32"/>
        </w:rPr>
        <w:t>4. 方志科。组织开展地方志调查研究，负责地方志书、地方年鉴、地情资料的收集、编纂、出版；督促、检查、指导全县部门志、乡镇志的编修工作。开展地方志理论研究，利用方志成果为全县经济社会发展服务；负责对乡镇街道、部门志的修改评审工作。</w:t>
      </w:r>
    </w:p>
    <w:p>
      <w:pPr>
        <w:spacing w:line="480" w:lineRule="exact"/>
        <w:ind w:firstLine="640" w:firstLineChars="200"/>
        <w:rPr>
          <w:rFonts w:hint="eastAsia" w:ascii="方正仿宋_GBK" w:eastAsia="方正仿宋_GBK" w:hAnsiTheme="minorEastAsia"/>
          <w:sz w:val="32"/>
          <w:szCs w:val="32"/>
        </w:rPr>
      </w:pPr>
      <w:r>
        <w:rPr>
          <w:rFonts w:hint="eastAsia" w:ascii="方正仿宋_GBK" w:eastAsia="方正仿宋_GBK" w:hAnsiTheme="minorEastAsia"/>
          <w:sz w:val="32"/>
          <w:szCs w:val="32"/>
        </w:rPr>
        <w:t>5. 信息科。负责全县档案信息网络的规划、管理工作，做好与上级部门的联网衔接工作；积极开发档案信息，编研档案史料，定期公布馆藏档案内容；负责建立、完善和管理馆藏档案电子查阅系统，促进档案信息共享。</w:t>
      </w:r>
    </w:p>
    <w:p>
      <w:pPr>
        <w:spacing w:line="480" w:lineRule="exact"/>
        <w:ind w:firstLine="640" w:firstLineChars="200"/>
        <w:rPr>
          <w:rFonts w:ascii="方正仿宋_GBK" w:hAnsiTheme="minorEastAsia"/>
          <w:szCs w:val="32"/>
        </w:rPr>
      </w:pPr>
      <w:r>
        <w:rPr>
          <w:rStyle w:val="7"/>
          <w:rFonts w:hint="eastAsia" w:ascii="方正楷体_GBK" w:eastAsia="方正楷体_GBK" w:hAnsiTheme="minorEastAsia"/>
          <w:b w:val="0"/>
          <w:szCs w:val="32"/>
        </w:rPr>
        <w:t>（三）单位构成。</w:t>
      </w:r>
      <w:r>
        <w:rPr>
          <w:rStyle w:val="7"/>
          <w:rFonts w:hint="eastAsia" w:ascii="方正仿宋_GBK" w:eastAsia="方正仿宋_GBK" w:cs="Times New Roman" w:hAnsiTheme="minorEastAsia"/>
          <w:b w:val="0"/>
          <w:kern w:val="0"/>
          <w:sz w:val="32"/>
          <w:szCs w:val="32"/>
          <w:lang w:val="en-US" w:eastAsia="zh-CN" w:bidi="ar-SA"/>
        </w:rPr>
        <w:t>县档案馆机构性质为公益一类事业单位，机构规格为正科级，隶属县委办公室管理。其中：馆长1名、副馆长2名，内设机构领导职数原则按1名配备。</w:t>
      </w:r>
    </w:p>
    <w:p>
      <w:pPr>
        <w:pStyle w:val="4"/>
        <w:shd w:val="clear" w:color="auto" w:fill="FFFFFF"/>
        <w:snapToGrid w:val="0"/>
        <w:spacing w:line="480" w:lineRule="exact"/>
        <w:rPr>
          <w:rFonts w:ascii="方正黑体_GBK" w:eastAsia="方正黑体_GBK" w:hAnsiTheme="minorEastAsia"/>
          <w:sz w:val="32"/>
          <w:szCs w:val="32"/>
        </w:rPr>
      </w:pPr>
      <w:r>
        <w:rPr>
          <w:rStyle w:val="7"/>
          <w:rFonts w:hint="eastAsia" w:ascii="方正仿宋_GBK" w:eastAsia="方正仿宋_GBK" w:hAnsiTheme="minorEastAsia"/>
          <w:b w:val="0"/>
          <w:sz w:val="32"/>
          <w:szCs w:val="32"/>
        </w:rPr>
        <w:t xml:space="preserve">   </w:t>
      </w:r>
      <w:r>
        <w:rPr>
          <w:rStyle w:val="7"/>
          <w:rFonts w:hint="eastAsia" w:ascii="方正黑体_GBK" w:eastAsia="方正黑体_GBK" w:hAnsiTheme="minorEastAsia"/>
          <w:b w:val="0"/>
          <w:sz w:val="32"/>
          <w:szCs w:val="32"/>
        </w:rPr>
        <w:t xml:space="preserve"> 二、部门决算情况说明</w:t>
      </w:r>
    </w:p>
    <w:p>
      <w:pPr>
        <w:pStyle w:val="4"/>
        <w:shd w:val="clear" w:color="auto" w:fill="FFFFFF"/>
        <w:snapToGrid w:val="0"/>
        <w:spacing w:line="480" w:lineRule="exact"/>
        <w:rPr>
          <w:rFonts w:ascii="方正楷体_GBK" w:eastAsia="方正楷体_GBK" w:hAnsiTheme="minorEastAsia"/>
          <w:sz w:val="32"/>
          <w:szCs w:val="32"/>
        </w:rPr>
      </w:pPr>
      <w:r>
        <w:rPr>
          <w:rStyle w:val="7"/>
          <w:rFonts w:hint="eastAsia" w:ascii="方正仿宋_GBK" w:eastAsia="方正仿宋_GBK" w:hAnsiTheme="minorEastAsia"/>
          <w:b w:val="0"/>
          <w:sz w:val="32"/>
          <w:szCs w:val="32"/>
        </w:rPr>
        <w:t xml:space="preserve">   </w:t>
      </w:r>
      <w:r>
        <w:rPr>
          <w:rStyle w:val="7"/>
          <w:rFonts w:hint="eastAsia" w:ascii="方正楷体_GBK" w:eastAsia="方正楷体_GBK" w:hAnsiTheme="minorEastAsia"/>
          <w:b w:val="0"/>
          <w:sz w:val="32"/>
          <w:szCs w:val="32"/>
        </w:rPr>
        <w:t>（一）收入支出决算总体情况说明</w:t>
      </w:r>
    </w:p>
    <w:p>
      <w:pPr>
        <w:pStyle w:val="4"/>
        <w:shd w:val="clear" w:color="auto" w:fill="FFFFFF"/>
        <w:snapToGrid w:val="0"/>
        <w:spacing w:line="480" w:lineRule="exact"/>
        <w:rPr>
          <w:rFonts w:ascii="方正仿宋_GBK" w:eastAsia="方正仿宋_GBK" w:hAnsiTheme="minorEastAsia"/>
          <w:sz w:val="32"/>
          <w:szCs w:val="32"/>
        </w:rPr>
      </w:pPr>
      <w:r>
        <w:rPr>
          <w:rStyle w:val="7"/>
          <w:rFonts w:hint="eastAsia" w:ascii="方正仿宋_GBK" w:eastAsia="方正仿宋_GBK" w:hAnsiTheme="minorEastAsia"/>
          <w:b w:val="0"/>
          <w:sz w:val="32"/>
          <w:szCs w:val="32"/>
        </w:rPr>
        <w:t xml:space="preserve">     1.总体情况。</w:t>
      </w:r>
      <w:r>
        <w:rPr>
          <w:rFonts w:hint="eastAsia" w:ascii="方正仿宋_GBK" w:eastAsia="方正仿宋_GBK" w:hAnsiTheme="minorEastAsia"/>
          <w:sz w:val="32"/>
          <w:szCs w:val="32"/>
        </w:rPr>
        <w:t>2021年度收入总计311.85万元，支出总计311.85万元。收支较上年决算数增加38.51万元、增加14.09%，主要原因是本年新增</w:t>
      </w:r>
      <w:r>
        <w:rPr>
          <w:rFonts w:hint="eastAsia" w:ascii="方正仿宋_GBK" w:eastAsia="方正仿宋_GBK" w:hAnsiTheme="minorEastAsia"/>
          <w:sz w:val="32"/>
          <w:szCs w:val="32"/>
          <w:lang w:val="en-US" w:eastAsia="zh-CN"/>
        </w:rPr>
        <w:t>4</w:t>
      </w:r>
      <w:r>
        <w:rPr>
          <w:rFonts w:hint="eastAsia" w:ascii="方正仿宋_GBK" w:eastAsia="方正仿宋_GBK" w:hAnsiTheme="minorEastAsia"/>
          <w:sz w:val="32"/>
          <w:szCs w:val="32"/>
        </w:rPr>
        <w:t>名工作人员，以及职工工资尽职晋级、各项津补贴等因素增长。</w:t>
      </w:r>
    </w:p>
    <w:p>
      <w:pPr>
        <w:pStyle w:val="4"/>
        <w:shd w:val="clear" w:color="auto" w:fill="FFFFFF"/>
        <w:snapToGrid w:val="0"/>
        <w:spacing w:line="480" w:lineRule="exact"/>
        <w:rPr>
          <w:rFonts w:ascii="方正仿宋_GBK" w:eastAsia="方正仿宋_GBK" w:hAnsiTheme="minorEastAsia"/>
          <w:sz w:val="32"/>
          <w:szCs w:val="32"/>
        </w:rPr>
      </w:pPr>
      <w:r>
        <w:rPr>
          <w:rStyle w:val="7"/>
          <w:rFonts w:hint="eastAsia" w:ascii="方正仿宋_GBK" w:eastAsia="方正仿宋_GBK" w:hAnsiTheme="minorEastAsia"/>
          <w:b w:val="0"/>
          <w:sz w:val="32"/>
          <w:szCs w:val="32"/>
        </w:rPr>
        <w:t xml:space="preserve">     2.收入情况。</w:t>
      </w:r>
      <w:r>
        <w:rPr>
          <w:rFonts w:hint="eastAsia" w:ascii="方正仿宋_GBK" w:eastAsia="方正仿宋_GBK" w:hAnsiTheme="minorEastAsia"/>
          <w:sz w:val="32"/>
          <w:szCs w:val="32"/>
        </w:rPr>
        <w:t>2021年度收入合计311.85万元，较上年决算数增加38.51万元，增长14.09%，主要原因是本年新增4名工作人员，以及职工工资尽职晋级、各项津补贴等因素增长。其中：财政拨款收入311.85万元，占100%。</w:t>
      </w:r>
    </w:p>
    <w:p>
      <w:pPr>
        <w:pStyle w:val="4"/>
        <w:shd w:val="clear" w:color="auto" w:fill="FFFFFF"/>
        <w:snapToGrid w:val="0"/>
        <w:spacing w:line="480" w:lineRule="exact"/>
        <w:rPr>
          <w:rFonts w:ascii="方正仿宋_GBK" w:eastAsia="方正仿宋_GBK" w:hAnsiTheme="minorEastAsia"/>
          <w:sz w:val="32"/>
          <w:szCs w:val="32"/>
        </w:rPr>
      </w:pPr>
      <w:r>
        <w:rPr>
          <w:rStyle w:val="7"/>
          <w:rFonts w:hint="eastAsia" w:ascii="方正仿宋_GBK" w:eastAsia="方正仿宋_GBK" w:hAnsiTheme="minorEastAsia"/>
          <w:b w:val="0"/>
          <w:sz w:val="32"/>
          <w:szCs w:val="32"/>
        </w:rPr>
        <w:t xml:space="preserve">     3.支出情况。</w:t>
      </w:r>
      <w:r>
        <w:rPr>
          <w:rFonts w:hint="eastAsia" w:ascii="方正仿宋_GBK" w:eastAsia="方正仿宋_GBK" w:hAnsiTheme="minorEastAsia"/>
          <w:sz w:val="32"/>
          <w:szCs w:val="32"/>
        </w:rPr>
        <w:t>2021年度支出合计311.85万元，较上年决算数增加38.51万元，增长14.09%，主要原因是本年新增4名工作人员，以及职工工资尽职晋级、各项津补贴等因素增长。其中：基本支出196.01万元，占62.85%；项目支出115.84万元，占37.15%。</w:t>
      </w:r>
    </w:p>
    <w:p>
      <w:pPr>
        <w:pStyle w:val="4"/>
        <w:shd w:val="clear" w:color="auto" w:fill="FFFFFF"/>
        <w:snapToGrid w:val="0"/>
        <w:spacing w:line="480" w:lineRule="exact"/>
        <w:rPr>
          <w:rFonts w:ascii="方正仿宋_GBK" w:eastAsia="方正仿宋_GBK" w:hAnsiTheme="minorEastAsia"/>
          <w:sz w:val="32"/>
          <w:szCs w:val="32"/>
        </w:rPr>
      </w:pPr>
      <w:r>
        <w:rPr>
          <w:rStyle w:val="7"/>
          <w:rFonts w:hint="eastAsia" w:ascii="方正仿宋_GBK" w:eastAsia="方正仿宋_GBK" w:hAnsiTheme="minorEastAsia"/>
          <w:b w:val="0"/>
          <w:sz w:val="32"/>
          <w:szCs w:val="32"/>
        </w:rPr>
        <w:t xml:space="preserve">     4.结转结余情况。</w:t>
      </w:r>
      <w:r>
        <w:rPr>
          <w:rFonts w:hint="eastAsia" w:ascii="方正仿宋_GBK" w:eastAsia="方正仿宋_GBK" w:hAnsiTheme="minorEastAsia"/>
          <w:sz w:val="32"/>
          <w:szCs w:val="32"/>
        </w:rPr>
        <w:t>2021年度年末结转和结余2.49万元，属于历年结转结余。</w:t>
      </w:r>
    </w:p>
    <w:p>
      <w:pPr>
        <w:pStyle w:val="4"/>
        <w:shd w:val="clear" w:color="auto" w:fill="FFFFFF"/>
        <w:snapToGrid w:val="0"/>
        <w:spacing w:line="480" w:lineRule="exact"/>
        <w:rPr>
          <w:rFonts w:ascii="方正楷体_GBK" w:eastAsia="方正楷体_GBK" w:hAnsiTheme="minorEastAsia"/>
          <w:sz w:val="32"/>
          <w:szCs w:val="32"/>
        </w:rPr>
      </w:pPr>
      <w:r>
        <w:rPr>
          <w:rStyle w:val="7"/>
          <w:rFonts w:hint="eastAsia" w:ascii="方正仿宋_GBK" w:eastAsia="方正仿宋_GBK" w:hAnsiTheme="minorEastAsia"/>
          <w:b w:val="0"/>
          <w:sz w:val="32"/>
          <w:szCs w:val="32"/>
        </w:rPr>
        <w:t xml:space="preserve">    </w:t>
      </w:r>
      <w:r>
        <w:rPr>
          <w:rStyle w:val="7"/>
          <w:rFonts w:hint="eastAsia" w:ascii="方正楷体_GBK" w:eastAsia="方正楷体_GBK" w:hAnsiTheme="minorEastAsia"/>
          <w:b w:val="0"/>
          <w:sz w:val="32"/>
          <w:szCs w:val="32"/>
        </w:rPr>
        <w:t>（二）财政拨款收入支出决算总体情况说明</w:t>
      </w:r>
    </w:p>
    <w:p>
      <w:pPr>
        <w:pStyle w:val="4"/>
        <w:shd w:val="clear" w:color="auto" w:fill="FFFFFF"/>
        <w:snapToGrid w:val="0"/>
        <w:spacing w:line="480" w:lineRule="exact"/>
        <w:rPr>
          <w:rFonts w:ascii="方正仿宋_GBK" w:eastAsia="方正仿宋_GBK" w:hAnsiTheme="minorEastAsia"/>
          <w:sz w:val="32"/>
          <w:szCs w:val="32"/>
        </w:rPr>
      </w:pPr>
      <w:r>
        <w:rPr>
          <w:rFonts w:hint="eastAsia" w:ascii="方正仿宋_GBK" w:eastAsia="方正仿宋_GBK" w:hAnsiTheme="minorEastAsia"/>
          <w:sz w:val="32"/>
          <w:szCs w:val="32"/>
        </w:rPr>
        <w:t xml:space="preserve">    2021年度财政拨款收、支总计311.85万元。与2020年相比，财政拨款收、支总计各增加38.51万元，增长14.09%。主要原因是本年新增4名工作人员，以及职工工资尽职晋级、各项津补贴等因素增长。</w:t>
      </w:r>
    </w:p>
    <w:p>
      <w:pPr>
        <w:pStyle w:val="4"/>
        <w:shd w:val="clear" w:color="auto" w:fill="FFFFFF"/>
        <w:snapToGrid w:val="0"/>
        <w:spacing w:line="480" w:lineRule="exact"/>
        <w:rPr>
          <w:rFonts w:ascii="方正楷体_GBK" w:eastAsia="方正楷体_GBK" w:hAnsiTheme="minorEastAsia"/>
          <w:sz w:val="32"/>
          <w:szCs w:val="32"/>
        </w:rPr>
      </w:pPr>
      <w:r>
        <w:rPr>
          <w:rStyle w:val="7"/>
          <w:rFonts w:hint="eastAsia" w:ascii="方正仿宋_GBK" w:eastAsia="方正仿宋_GBK" w:hAnsiTheme="minorEastAsia"/>
          <w:b w:val="0"/>
          <w:sz w:val="32"/>
          <w:szCs w:val="32"/>
        </w:rPr>
        <w:t xml:space="preserve">    </w:t>
      </w:r>
      <w:r>
        <w:rPr>
          <w:rStyle w:val="7"/>
          <w:rFonts w:hint="eastAsia" w:ascii="方正楷体_GBK" w:eastAsia="方正楷体_GBK" w:hAnsiTheme="minorEastAsia"/>
          <w:b w:val="0"/>
          <w:sz w:val="32"/>
          <w:szCs w:val="32"/>
        </w:rPr>
        <w:t>（三）一般公共预算财政拨款支出决算情况说明</w:t>
      </w:r>
    </w:p>
    <w:p>
      <w:pPr>
        <w:pStyle w:val="4"/>
        <w:shd w:val="clear" w:color="auto" w:fill="FFFFFF"/>
        <w:snapToGrid w:val="0"/>
        <w:spacing w:line="480" w:lineRule="exact"/>
        <w:rPr>
          <w:rFonts w:ascii="方正仿宋_GBK" w:eastAsia="方正仿宋_GBK" w:hAnsiTheme="minorEastAsia"/>
          <w:sz w:val="32"/>
          <w:szCs w:val="32"/>
        </w:rPr>
      </w:pPr>
      <w:r>
        <w:rPr>
          <w:rStyle w:val="7"/>
          <w:rFonts w:hint="eastAsia" w:ascii="方正仿宋_GBK" w:eastAsia="方正仿宋_GBK" w:hAnsiTheme="minorEastAsia"/>
          <w:b w:val="0"/>
          <w:sz w:val="32"/>
          <w:szCs w:val="32"/>
        </w:rPr>
        <w:t xml:space="preserve">     1.收入情况。</w:t>
      </w:r>
      <w:r>
        <w:rPr>
          <w:rFonts w:hint="eastAsia" w:ascii="方正仿宋_GBK" w:eastAsia="方正仿宋_GBK" w:hAnsiTheme="minorEastAsia"/>
          <w:sz w:val="32"/>
          <w:szCs w:val="32"/>
        </w:rPr>
        <w:t>2021年度一般公共预算财政拨款收入311.85万元，较上年决算数增加38.51万元，增长14.09%。主要原因是本年新增4名工作人员，以及职工工资尽职晋级、各项津补贴等因素增长。较年初预算数增加26.04万元，增长9.11%。主要原因是本年新增4名工作人员，以及职工工资尽职晋级、各项津补贴等因素增长。</w:t>
      </w:r>
    </w:p>
    <w:p>
      <w:pPr>
        <w:pStyle w:val="4"/>
        <w:shd w:val="clear" w:color="auto" w:fill="FFFFFF"/>
        <w:snapToGrid w:val="0"/>
        <w:spacing w:line="480" w:lineRule="exact"/>
        <w:rPr>
          <w:rFonts w:ascii="方正仿宋_GBK" w:eastAsia="方正仿宋_GBK" w:hAnsiTheme="minorEastAsia"/>
          <w:sz w:val="32"/>
          <w:szCs w:val="32"/>
        </w:rPr>
      </w:pPr>
      <w:r>
        <w:rPr>
          <w:rStyle w:val="7"/>
          <w:rFonts w:hint="eastAsia" w:ascii="方正仿宋_GBK" w:eastAsia="方正仿宋_GBK" w:hAnsiTheme="minorEastAsia"/>
          <w:b w:val="0"/>
          <w:sz w:val="32"/>
          <w:szCs w:val="32"/>
        </w:rPr>
        <w:t xml:space="preserve">     2.支出情况。</w:t>
      </w:r>
      <w:r>
        <w:rPr>
          <w:rFonts w:hint="eastAsia" w:ascii="方正仿宋_GBK" w:eastAsia="方正仿宋_GBK" w:hAnsiTheme="minorEastAsia"/>
          <w:sz w:val="32"/>
          <w:szCs w:val="32"/>
        </w:rPr>
        <w:t>2021年度一般公共预算财政拨款支出311.85万元，较上年决算数增加38.51万元，增长14.09%。主要原因是本年新增4名工作人员，以及职工工资尽职晋级、各项津补贴等因素增长。较年初预算数增加26.04万元，增长9.11%。主要原因是本年新增4名工作人员，以及职工工资尽职晋级、各项津补贴等因素增长。</w:t>
      </w:r>
    </w:p>
    <w:p>
      <w:pPr>
        <w:pStyle w:val="4"/>
        <w:shd w:val="clear" w:color="auto" w:fill="FFFFFF"/>
        <w:snapToGrid w:val="0"/>
        <w:spacing w:line="480" w:lineRule="exact"/>
        <w:rPr>
          <w:rFonts w:ascii="方正仿宋_GBK" w:eastAsia="方正仿宋_GBK" w:hAnsiTheme="minorEastAsia"/>
          <w:sz w:val="32"/>
          <w:szCs w:val="32"/>
        </w:rPr>
      </w:pPr>
      <w:r>
        <w:rPr>
          <w:rStyle w:val="7"/>
          <w:rFonts w:hint="eastAsia" w:ascii="方正仿宋_GBK" w:eastAsia="方正仿宋_GBK" w:hAnsiTheme="minorEastAsia"/>
          <w:b w:val="0"/>
          <w:sz w:val="32"/>
          <w:szCs w:val="32"/>
        </w:rPr>
        <w:t xml:space="preserve">     3.结转结余情况。</w:t>
      </w:r>
      <w:r>
        <w:rPr>
          <w:rFonts w:hint="eastAsia" w:ascii="方正仿宋_GBK" w:eastAsia="方正仿宋_GBK" w:hAnsiTheme="minorEastAsia"/>
          <w:sz w:val="32"/>
          <w:szCs w:val="32"/>
        </w:rPr>
        <w:t>本年度没有结转结余。</w:t>
      </w:r>
    </w:p>
    <w:p>
      <w:pPr>
        <w:pStyle w:val="4"/>
        <w:shd w:val="clear" w:color="auto" w:fill="FFFFFF"/>
        <w:snapToGrid w:val="0"/>
        <w:spacing w:line="480" w:lineRule="exact"/>
        <w:rPr>
          <w:rFonts w:ascii="方正仿宋_GBK" w:eastAsia="方正仿宋_GBK" w:hAnsiTheme="minorEastAsia"/>
          <w:sz w:val="32"/>
          <w:szCs w:val="32"/>
        </w:rPr>
      </w:pPr>
      <w:r>
        <w:rPr>
          <w:rStyle w:val="7"/>
          <w:rFonts w:hint="eastAsia" w:ascii="方正仿宋_GBK" w:eastAsia="方正仿宋_GBK" w:hAnsiTheme="minorEastAsia"/>
          <w:b w:val="0"/>
          <w:sz w:val="32"/>
          <w:szCs w:val="32"/>
        </w:rPr>
        <w:t xml:space="preserve">     4.比较情况。</w:t>
      </w:r>
      <w:r>
        <w:rPr>
          <w:rFonts w:hint="eastAsia" w:ascii="方正仿宋_GBK" w:eastAsia="方正仿宋_GBK" w:hAnsiTheme="minorEastAsia"/>
          <w:sz w:val="32"/>
          <w:szCs w:val="32"/>
        </w:rPr>
        <w:t xml:space="preserve">本部门2021年度一般公共预算财政拨款支出主要用于以下几个方面：    </w:t>
      </w:r>
    </w:p>
    <w:p>
      <w:pPr>
        <w:pStyle w:val="4"/>
        <w:shd w:val="clear" w:color="auto" w:fill="FFFFFF"/>
        <w:snapToGrid w:val="0"/>
        <w:spacing w:line="480" w:lineRule="exact"/>
        <w:ind w:firstLine="660"/>
        <w:rPr>
          <w:rFonts w:ascii="方正仿宋_GBK" w:eastAsia="方正仿宋_GBK" w:hAnsiTheme="minorEastAsia"/>
          <w:sz w:val="32"/>
          <w:szCs w:val="32"/>
        </w:rPr>
      </w:pPr>
      <w:r>
        <w:rPr>
          <w:rFonts w:hint="eastAsia" w:ascii="方正仿宋_GBK" w:eastAsia="方正仿宋_GBK" w:hAnsiTheme="minorEastAsia"/>
          <w:sz w:val="32"/>
          <w:szCs w:val="32"/>
        </w:rPr>
        <w:t>（1）一般公共服务支出246.60万元，占79.08%，较年初预算数增加19.43万元，增长8.55%，主要原因是本年新增4名工作人员，以及职工工资尽职晋级、各项津补贴等因素增长。</w:t>
      </w:r>
    </w:p>
    <w:p>
      <w:pPr>
        <w:pStyle w:val="4"/>
        <w:shd w:val="clear" w:color="auto" w:fill="FFFFFF"/>
        <w:snapToGrid w:val="0"/>
        <w:spacing w:line="480" w:lineRule="exact"/>
        <w:ind w:firstLine="640" w:firstLineChars="200"/>
        <w:rPr>
          <w:rFonts w:ascii="方正仿宋_GBK" w:eastAsia="方正仿宋_GBK" w:hAnsiTheme="minorEastAsia"/>
          <w:sz w:val="32"/>
          <w:szCs w:val="32"/>
        </w:rPr>
      </w:pPr>
      <w:r>
        <w:rPr>
          <w:rFonts w:hint="eastAsia" w:ascii="方正仿宋_GBK" w:eastAsia="方正仿宋_GBK" w:hAnsiTheme="minorEastAsia"/>
          <w:sz w:val="32"/>
          <w:szCs w:val="32"/>
        </w:rPr>
        <w:t xml:space="preserve">（2）社会保障与就业支出45.90万元，占14.72%，较年初预算数增加4.77万元，增长11.60%，主要原因是职工工资增长，相应增加了社会保障缴费支出。    </w:t>
      </w:r>
    </w:p>
    <w:p>
      <w:pPr>
        <w:pStyle w:val="4"/>
        <w:shd w:val="clear" w:color="auto" w:fill="FFFFFF"/>
        <w:snapToGrid w:val="0"/>
        <w:spacing w:line="480" w:lineRule="exact"/>
        <w:ind w:firstLine="640" w:firstLineChars="200"/>
        <w:rPr>
          <w:rFonts w:ascii="方正仿宋_GBK" w:eastAsia="方正仿宋_GBK" w:hAnsiTheme="minorEastAsia"/>
          <w:sz w:val="32"/>
          <w:szCs w:val="32"/>
        </w:rPr>
      </w:pPr>
      <w:r>
        <w:rPr>
          <w:rFonts w:hint="eastAsia" w:ascii="方正仿宋_GBK" w:eastAsia="方正仿宋_GBK" w:hAnsiTheme="minorEastAsia"/>
          <w:sz w:val="32"/>
          <w:szCs w:val="32"/>
        </w:rPr>
        <w:t>（3）卫生健康支出8.95万元，占2.87%，较年初预算数持平。</w:t>
      </w:r>
    </w:p>
    <w:p>
      <w:pPr>
        <w:pStyle w:val="4"/>
        <w:shd w:val="clear" w:color="auto" w:fill="FFFFFF"/>
        <w:snapToGrid w:val="0"/>
        <w:spacing w:line="480" w:lineRule="exact"/>
        <w:ind w:firstLine="640" w:firstLineChars="200"/>
        <w:rPr>
          <w:rFonts w:ascii="方正仿宋_GBK" w:eastAsia="方正仿宋_GBK" w:hAnsiTheme="minorEastAsia"/>
          <w:sz w:val="32"/>
          <w:szCs w:val="32"/>
        </w:rPr>
      </w:pPr>
      <w:r>
        <w:rPr>
          <w:rFonts w:hint="eastAsia" w:ascii="方正仿宋_GBK" w:eastAsia="方正仿宋_GBK" w:hAnsiTheme="minorEastAsia"/>
          <w:sz w:val="32"/>
          <w:szCs w:val="32"/>
        </w:rPr>
        <w:t>（4）农林水支出1.84万元，占0.59%，较年初预算增加1.84万元。增加100%，主要原因是增加脱贫攻坚驻村工作队工作经费</w:t>
      </w:r>
    </w:p>
    <w:p>
      <w:pPr>
        <w:pStyle w:val="4"/>
        <w:shd w:val="clear" w:color="auto" w:fill="FFFFFF"/>
        <w:snapToGrid w:val="0"/>
        <w:spacing w:line="480" w:lineRule="exact"/>
        <w:ind w:firstLine="640" w:firstLineChars="200"/>
        <w:rPr>
          <w:rStyle w:val="7"/>
          <w:rFonts w:ascii="方正仿宋_GBK" w:eastAsia="方正仿宋_GBK" w:hAnsiTheme="minorEastAsia"/>
          <w:b w:val="0"/>
          <w:bCs w:val="0"/>
          <w:sz w:val="32"/>
          <w:szCs w:val="32"/>
        </w:rPr>
      </w:pPr>
      <w:r>
        <w:rPr>
          <w:rFonts w:hint="eastAsia" w:ascii="方正仿宋_GBK" w:eastAsia="方正仿宋_GBK" w:hAnsiTheme="minorEastAsia"/>
          <w:sz w:val="32"/>
          <w:szCs w:val="32"/>
        </w:rPr>
        <w:t>（5）住房保障支出8.56万元，占2.74%，</w:t>
      </w:r>
      <w:r>
        <w:rPr>
          <w:rStyle w:val="7"/>
          <w:rFonts w:hint="eastAsia" w:ascii="方正仿宋_GBK" w:eastAsia="方正仿宋_GBK" w:hAnsiTheme="minorEastAsia"/>
          <w:b w:val="0"/>
          <w:sz w:val="32"/>
          <w:szCs w:val="32"/>
        </w:rPr>
        <w:t xml:space="preserve"> </w:t>
      </w:r>
      <w:r>
        <w:rPr>
          <w:rFonts w:hint="eastAsia" w:ascii="方正仿宋_GBK" w:eastAsia="方正仿宋_GBK" w:hAnsiTheme="minorEastAsia"/>
          <w:sz w:val="32"/>
          <w:szCs w:val="32"/>
        </w:rPr>
        <w:t>较年初预算数持平。</w:t>
      </w:r>
      <w:r>
        <w:rPr>
          <w:rStyle w:val="7"/>
          <w:rFonts w:hint="eastAsia" w:ascii="方正仿宋_GBK" w:eastAsia="方正仿宋_GBK" w:hAnsiTheme="minorEastAsia"/>
          <w:b w:val="0"/>
          <w:sz w:val="32"/>
          <w:szCs w:val="32"/>
        </w:rPr>
        <w:t xml:space="preserve">   </w:t>
      </w:r>
    </w:p>
    <w:p>
      <w:pPr>
        <w:pStyle w:val="4"/>
        <w:shd w:val="clear" w:color="auto" w:fill="FFFFFF"/>
        <w:snapToGrid w:val="0"/>
        <w:spacing w:line="480" w:lineRule="exact"/>
        <w:ind w:firstLine="640" w:firstLineChars="200"/>
        <w:rPr>
          <w:rFonts w:ascii="方正楷体_GBK" w:eastAsia="方正楷体_GBK" w:hAnsiTheme="minorEastAsia"/>
          <w:sz w:val="32"/>
          <w:szCs w:val="32"/>
        </w:rPr>
      </w:pPr>
      <w:r>
        <w:rPr>
          <w:rStyle w:val="7"/>
          <w:rFonts w:hint="eastAsia" w:ascii="方正楷体_GBK" w:eastAsia="方正楷体_GBK" w:hAnsiTheme="minorEastAsia"/>
          <w:b w:val="0"/>
          <w:sz w:val="32"/>
          <w:szCs w:val="32"/>
        </w:rPr>
        <w:t>（四）一般公共预算财政拨款基本支出决算情况说明</w:t>
      </w:r>
    </w:p>
    <w:p>
      <w:pPr>
        <w:pStyle w:val="4"/>
        <w:shd w:val="clear" w:color="auto" w:fill="FFFFFF"/>
        <w:snapToGrid w:val="0"/>
        <w:spacing w:line="480" w:lineRule="exact"/>
        <w:ind w:firstLine="630"/>
        <w:rPr>
          <w:rFonts w:ascii="方正仿宋_GBK" w:eastAsia="方正仿宋_GBK" w:hAnsiTheme="minorEastAsia"/>
          <w:color w:val="000000" w:themeColor="text1"/>
          <w:sz w:val="32"/>
          <w:szCs w:val="32"/>
        </w:rPr>
      </w:pPr>
      <w:r>
        <w:rPr>
          <w:rFonts w:hint="eastAsia" w:ascii="方正仿宋_GBK" w:eastAsia="方正仿宋_GBK" w:hAnsiTheme="minorEastAsia"/>
          <w:sz w:val="32"/>
          <w:szCs w:val="32"/>
        </w:rPr>
        <w:t>2021年度一般公共财政拨款基本支出311.85万元。其中：人员经费186.98万元，较上年决算数减少9.04万元，减少4.61%，主要原因是减少了职工年度考核津贴。公用经费9.03万元，较上年决算数增加8.31万元，增加1147.61%，主要原因是公用经费用途主要包括</w:t>
      </w:r>
      <w:r>
        <w:rPr>
          <w:rFonts w:hint="eastAsia" w:ascii="方正仿宋_GBK" w:eastAsia="方正仿宋_GBK" w:hAnsiTheme="minorEastAsia"/>
          <w:color w:val="000000" w:themeColor="text1"/>
          <w:sz w:val="32"/>
          <w:szCs w:val="32"/>
        </w:rPr>
        <w:t>办公费、水电费、邮电费、差旅费、维修费、公务车辆运行费等支出略有增加。</w:t>
      </w:r>
    </w:p>
    <w:p>
      <w:pPr>
        <w:pStyle w:val="4"/>
        <w:shd w:val="clear" w:color="auto" w:fill="FFFFFF"/>
        <w:snapToGrid w:val="0"/>
        <w:spacing w:line="480" w:lineRule="exact"/>
        <w:ind w:firstLine="640" w:firstLineChars="200"/>
        <w:rPr>
          <w:rStyle w:val="7"/>
          <w:rFonts w:hint="eastAsia" w:ascii="方正楷体_GBK" w:eastAsia="方正楷体_GBK" w:hAnsiTheme="minorEastAsia"/>
          <w:b w:val="0"/>
          <w:sz w:val="32"/>
          <w:szCs w:val="32"/>
        </w:rPr>
      </w:pPr>
      <w:r>
        <w:rPr>
          <w:rStyle w:val="7"/>
          <w:rFonts w:hint="eastAsia" w:ascii="方正楷体_GBK" w:eastAsia="方正楷体_GBK" w:hAnsiTheme="minorEastAsia"/>
          <w:b w:val="0"/>
          <w:sz w:val="32"/>
          <w:szCs w:val="32"/>
        </w:rPr>
        <w:t>（五）政府性基金预算收支情况说明</w:t>
      </w:r>
    </w:p>
    <w:p>
      <w:pPr>
        <w:pStyle w:val="4"/>
        <w:shd w:val="clear" w:color="auto" w:fill="FFFFFF"/>
        <w:snapToGrid w:val="0"/>
        <w:spacing w:line="480" w:lineRule="exact"/>
        <w:ind w:firstLine="640" w:firstLineChars="200"/>
        <w:rPr>
          <w:rStyle w:val="7"/>
          <w:rFonts w:hint="eastAsia" w:ascii="方正仿宋_GBK" w:eastAsia="方正仿宋_GBK" w:hAnsiTheme="minorEastAsia"/>
          <w:b w:val="0"/>
          <w:bCs w:val="0"/>
          <w:sz w:val="32"/>
        </w:rPr>
      </w:pPr>
      <w:r>
        <w:rPr>
          <w:rStyle w:val="7"/>
          <w:rFonts w:hint="eastAsia" w:ascii="方正仿宋_GBK" w:eastAsia="方正仿宋_GBK" w:hAnsiTheme="minorEastAsia"/>
          <w:b w:val="0"/>
          <w:bCs w:val="0"/>
          <w:sz w:val="32"/>
        </w:rPr>
        <w:t>本单位2021年无政府性基金预算收支。</w:t>
      </w:r>
    </w:p>
    <w:p>
      <w:pPr>
        <w:pStyle w:val="4"/>
        <w:shd w:val="clear" w:color="auto" w:fill="FFFFFF"/>
        <w:snapToGrid w:val="0"/>
        <w:spacing w:line="480" w:lineRule="exact"/>
        <w:ind w:firstLine="640" w:firstLineChars="200"/>
        <w:rPr>
          <w:rStyle w:val="7"/>
          <w:rFonts w:hint="eastAsia" w:ascii="方正楷体_GBK" w:eastAsia="方正楷体_GBK" w:hAnsiTheme="minorEastAsia"/>
          <w:b w:val="0"/>
          <w:bCs w:val="0"/>
          <w:sz w:val="32"/>
        </w:rPr>
      </w:pPr>
      <w:r>
        <w:rPr>
          <w:rStyle w:val="7"/>
          <w:rFonts w:hint="eastAsia" w:ascii="方正楷体_GBK" w:eastAsia="方正楷体_GBK" w:hAnsiTheme="minorEastAsia"/>
          <w:b w:val="0"/>
          <w:bCs w:val="0"/>
          <w:sz w:val="32"/>
        </w:rPr>
        <w:t>（六）国有资本经营预算财政拨款支出决算情况说明</w:t>
      </w:r>
    </w:p>
    <w:p>
      <w:pPr>
        <w:pStyle w:val="4"/>
        <w:shd w:val="clear" w:color="auto" w:fill="FFFFFF"/>
        <w:snapToGrid w:val="0"/>
        <w:spacing w:line="480" w:lineRule="exact"/>
        <w:ind w:firstLine="640" w:firstLineChars="200"/>
        <w:rPr>
          <w:rStyle w:val="7"/>
          <w:rFonts w:hint="eastAsia" w:ascii="方正仿宋_GBK" w:eastAsia="方正仿宋_GBK" w:hAnsiTheme="minorEastAsia"/>
          <w:b w:val="0"/>
          <w:bCs w:val="0"/>
          <w:sz w:val="32"/>
        </w:rPr>
      </w:pPr>
      <w:r>
        <w:rPr>
          <w:rStyle w:val="7"/>
          <w:rFonts w:hint="eastAsia" w:ascii="方正仿宋_GBK" w:eastAsia="方正仿宋_GBK" w:hAnsiTheme="minorEastAsia"/>
          <w:b w:val="0"/>
          <w:bCs w:val="0"/>
          <w:sz w:val="32"/>
        </w:rPr>
        <w:t>本单位2021年无国有资本经营预算收支。</w:t>
      </w:r>
    </w:p>
    <w:p>
      <w:pPr>
        <w:pStyle w:val="4"/>
        <w:shd w:val="clear" w:color="auto" w:fill="FFFFFF"/>
        <w:snapToGrid w:val="0"/>
        <w:spacing w:line="480" w:lineRule="exact"/>
        <w:rPr>
          <w:rFonts w:ascii="方正黑体_GBK" w:eastAsia="方正黑体_GBK" w:hAnsiTheme="minorEastAsia"/>
          <w:sz w:val="32"/>
          <w:szCs w:val="32"/>
        </w:rPr>
      </w:pPr>
      <w:r>
        <w:rPr>
          <w:rStyle w:val="7"/>
          <w:rFonts w:hint="eastAsia" w:ascii="方正仿宋_GBK" w:eastAsia="方正仿宋_GBK" w:hAnsiTheme="minorEastAsia"/>
          <w:b w:val="0"/>
          <w:sz w:val="32"/>
          <w:szCs w:val="32"/>
        </w:rPr>
        <w:t xml:space="preserve">  </w:t>
      </w:r>
      <w:r>
        <w:rPr>
          <w:rStyle w:val="7"/>
          <w:rFonts w:hint="eastAsia" w:ascii="方正黑体_GBK" w:eastAsia="方正黑体_GBK" w:hAnsiTheme="minorEastAsia"/>
          <w:b w:val="0"/>
          <w:sz w:val="32"/>
          <w:szCs w:val="32"/>
        </w:rPr>
        <w:t xml:space="preserve">  三、“三公”经费情况说明</w:t>
      </w:r>
    </w:p>
    <w:p>
      <w:pPr>
        <w:pStyle w:val="4"/>
        <w:shd w:val="clear" w:color="auto" w:fill="FFFFFF"/>
        <w:snapToGrid w:val="0"/>
        <w:spacing w:line="480" w:lineRule="exact"/>
        <w:rPr>
          <w:rFonts w:ascii="方正楷体_GBK" w:eastAsia="方正楷体_GBK" w:hAnsiTheme="minorEastAsia"/>
          <w:sz w:val="32"/>
          <w:szCs w:val="32"/>
        </w:rPr>
      </w:pPr>
      <w:r>
        <w:rPr>
          <w:rStyle w:val="7"/>
          <w:rFonts w:hint="eastAsia" w:ascii="方正仿宋_GBK" w:eastAsia="方正仿宋_GBK" w:hAnsiTheme="minorEastAsia"/>
          <w:b w:val="0"/>
          <w:sz w:val="32"/>
          <w:szCs w:val="32"/>
        </w:rPr>
        <w:t xml:space="preserve">   </w:t>
      </w:r>
      <w:r>
        <w:rPr>
          <w:rStyle w:val="7"/>
          <w:rFonts w:hint="eastAsia" w:ascii="方正楷体_GBK" w:eastAsia="方正楷体_GBK" w:hAnsiTheme="minorEastAsia"/>
          <w:b w:val="0"/>
          <w:sz w:val="32"/>
          <w:szCs w:val="32"/>
        </w:rPr>
        <w:t>（一）“三公”经费支出总体情况说明</w:t>
      </w:r>
    </w:p>
    <w:p>
      <w:pPr>
        <w:pStyle w:val="4"/>
        <w:shd w:val="clear" w:color="auto" w:fill="FFFFFF"/>
        <w:snapToGrid w:val="0"/>
        <w:spacing w:line="480" w:lineRule="exact"/>
        <w:rPr>
          <w:rFonts w:ascii="方正仿宋_GBK" w:eastAsia="方正仿宋_GBK" w:hAnsiTheme="minorEastAsia"/>
          <w:color w:val="000000" w:themeColor="text1"/>
          <w:sz w:val="32"/>
          <w:szCs w:val="32"/>
        </w:rPr>
      </w:pPr>
      <w:r>
        <w:rPr>
          <w:rFonts w:hint="eastAsia" w:ascii="方正仿宋_GBK" w:eastAsia="方正仿宋_GBK" w:hAnsiTheme="minorEastAsia"/>
          <w:sz w:val="32"/>
          <w:szCs w:val="32"/>
        </w:rPr>
        <w:t xml:space="preserve">    2021年度“三公”经费支出共计7.54万元，较年初预算数减少0.46万元，下降5.75%，主要原因是根据中央八项规定精神，严格压缩公用经费支出。较上年支出数减少1.26万元，下降14.32%，主要原因：</w:t>
      </w:r>
      <w:r>
        <w:rPr>
          <w:rFonts w:hint="eastAsia" w:ascii="方正仿宋_GBK" w:eastAsia="方正仿宋_GBK" w:hAnsiTheme="minorEastAsia"/>
          <w:color w:val="000000" w:themeColor="text1"/>
          <w:sz w:val="32"/>
          <w:szCs w:val="32"/>
        </w:rPr>
        <w:t>一是认真贯彻落实中央八项规定精神，按照只减不增的要求从严控制“三公”经费，全年实际支出较预算和决算均有所下降。二是严格落实公车使用规定，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今年未安排人员出国出访)。</w:t>
      </w:r>
    </w:p>
    <w:p>
      <w:pPr>
        <w:pStyle w:val="4"/>
        <w:shd w:val="clear" w:color="auto" w:fill="FFFFFF"/>
        <w:snapToGrid w:val="0"/>
        <w:spacing w:line="480" w:lineRule="exact"/>
        <w:rPr>
          <w:rFonts w:ascii="方正楷体_GBK" w:eastAsia="方正楷体_GBK" w:hAnsiTheme="minorEastAsia"/>
          <w:sz w:val="32"/>
          <w:szCs w:val="32"/>
        </w:rPr>
      </w:pPr>
      <w:r>
        <w:rPr>
          <w:rStyle w:val="7"/>
          <w:rFonts w:hint="eastAsia" w:ascii="方正仿宋_GBK" w:eastAsia="方正仿宋_GBK" w:hAnsiTheme="minorEastAsia"/>
          <w:b w:val="0"/>
          <w:sz w:val="32"/>
          <w:szCs w:val="32"/>
        </w:rPr>
        <w:t xml:space="preserve">    </w:t>
      </w:r>
      <w:r>
        <w:rPr>
          <w:rStyle w:val="7"/>
          <w:rFonts w:hint="eastAsia" w:ascii="方正楷体_GBK" w:eastAsia="方正楷体_GBK" w:hAnsiTheme="minorEastAsia"/>
          <w:b w:val="0"/>
          <w:sz w:val="32"/>
          <w:szCs w:val="32"/>
        </w:rPr>
        <w:t>（二）“三公”经费分项支出情况</w:t>
      </w:r>
    </w:p>
    <w:p>
      <w:pPr>
        <w:pStyle w:val="4"/>
        <w:shd w:val="clear" w:color="auto" w:fill="FFFFFF"/>
        <w:snapToGrid w:val="0"/>
        <w:spacing w:line="480" w:lineRule="exact"/>
        <w:rPr>
          <w:rFonts w:ascii="方正仿宋_GBK" w:eastAsia="方正仿宋_GBK" w:hAnsiTheme="minorEastAsia"/>
          <w:sz w:val="32"/>
          <w:szCs w:val="32"/>
        </w:rPr>
      </w:pPr>
      <w:r>
        <w:rPr>
          <w:rFonts w:hint="eastAsia" w:ascii="方正仿宋_GBK" w:eastAsia="方正仿宋_GBK" w:hAnsiTheme="minorEastAsia"/>
          <w:sz w:val="32"/>
          <w:szCs w:val="32"/>
        </w:rPr>
        <w:t xml:space="preserve">    公务车运行维护费3.91万元，主要用于</w:t>
      </w:r>
      <w:r>
        <w:rPr>
          <w:rFonts w:hint="eastAsia" w:ascii="方正仿宋_GBK" w:eastAsia="方正仿宋_GBK" w:hAnsiTheme="minorEastAsia"/>
          <w:color w:val="000000" w:themeColor="text1"/>
          <w:sz w:val="32"/>
          <w:szCs w:val="32"/>
        </w:rPr>
        <w:t>市内因公出行、下乡扶贫所需车辆的燃料费、维修费、过桥过路费、保险费等。</w:t>
      </w:r>
      <w:r>
        <w:rPr>
          <w:rFonts w:hint="eastAsia" w:ascii="方正仿宋_GBK" w:eastAsia="方正仿宋_GBK" w:hAnsiTheme="minorEastAsia"/>
          <w:sz w:val="32"/>
          <w:szCs w:val="32"/>
        </w:rPr>
        <w:t>费用支出较年初预算数减少0.09万元，下降2.25%，主要原因是严格执行中央八项规定精神，严禁公车私用。较上年支出数减少0.39万元，下降9.07%，主要原因是下乡扶贫用车增加，其他公务用车减少，基本与上年持平。</w:t>
      </w:r>
    </w:p>
    <w:p>
      <w:pPr>
        <w:pStyle w:val="4"/>
        <w:shd w:val="clear" w:color="auto" w:fill="FFFFFF"/>
        <w:snapToGrid w:val="0"/>
        <w:spacing w:line="480" w:lineRule="exact"/>
        <w:rPr>
          <w:rFonts w:ascii="方正仿宋_GBK" w:eastAsia="方正仿宋_GBK" w:hAnsiTheme="minorEastAsia"/>
          <w:sz w:val="32"/>
          <w:szCs w:val="32"/>
        </w:rPr>
      </w:pPr>
      <w:r>
        <w:rPr>
          <w:rFonts w:hint="eastAsia" w:ascii="方正仿宋_GBK" w:eastAsia="方正仿宋_GBK" w:hAnsiTheme="minorEastAsia"/>
          <w:sz w:val="32"/>
          <w:szCs w:val="32"/>
        </w:rPr>
        <w:t xml:space="preserve">    公务接待费3.64万元，主要用于接待上级档案机关业务培训与工作督查，以及毗邻区县学习交流。费用支出较年初预算数减少0.36万元，下降9.00%，主要原因是严格压缩公务接待，减少陪餐人员。较上年支出数减少0.86万元，下降19.11%，基本与上年持平，略有降低。</w:t>
      </w:r>
    </w:p>
    <w:p>
      <w:pPr>
        <w:pStyle w:val="4"/>
        <w:shd w:val="clear" w:color="auto" w:fill="FFFFFF"/>
        <w:snapToGrid w:val="0"/>
        <w:spacing w:line="480" w:lineRule="exact"/>
        <w:rPr>
          <w:rFonts w:ascii="方正楷体_GBK" w:eastAsia="方正楷体_GBK" w:hAnsiTheme="minorEastAsia"/>
          <w:sz w:val="32"/>
          <w:szCs w:val="32"/>
        </w:rPr>
      </w:pPr>
      <w:r>
        <w:rPr>
          <w:rStyle w:val="7"/>
          <w:rFonts w:hint="eastAsia" w:ascii="方正仿宋_GBK" w:eastAsia="方正仿宋_GBK" w:hAnsiTheme="minorEastAsia"/>
          <w:b w:val="0"/>
          <w:sz w:val="32"/>
          <w:szCs w:val="32"/>
        </w:rPr>
        <w:t xml:space="preserve">    </w:t>
      </w:r>
      <w:r>
        <w:rPr>
          <w:rStyle w:val="7"/>
          <w:rFonts w:hint="eastAsia" w:ascii="方正楷体_GBK" w:eastAsia="方正楷体_GBK" w:hAnsiTheme="minorEastAsia"/>
          <w:b w:val="0"/>
          <w:sz w:val="32"/>
          <w:szCs w:val="32"/>
        </w:rPr>
        <w:t>（三）“三公”经费实物量情况</w:t>
      </w:r>
    </w:p>
    <w:p>
      <w:pPr>
        <w:pStyle w:val="4"/>
        <w:shd w:val="clear" w:color="auto" w:fill="FFFFFF"/>
        <w:snapToGrid w:val="0"/>
        <w:spacing w:line="480" w:lineRule="exact"/>
        <w:rPr>
          <w:rFonts w:ascii="方正仿宋_GBK" w:eastAsia="方正仿宋_GBK" w:hAnsiTheme="minorEastAsia"/>
          <w:sz w:val="32"/>
          <w:szCs w:val="32"/>
        </w:rPr>
      </w:pPr>
      <w:r>
        <w:rPr>
          <w:rFonts w:hint="eastAsia" w:ascii="方正仿宋_GBK" w:eastAsia="方正仿宋_GBK" w:hAnsiTheme="minorEastAsia"/>
          <w:sz w:val="32"/>
          <w:szCs w:val="32"/>
        </w:rPr>
        <w:t xml:space="preserve">    2021年度本部门因公出国（境）共计0个团组，0人；公务用车购置0辆，公务车保有量为1辆；国内公务接待29批次613人，其中：国内外事接待0批次，0人；国（境）外公务接待0批次，0人。2021年本部门人均接待费59.38元，车均购置费0.00万元，车均维护费3.91万元。</w:t>
      </w:r>
    </w:p>
    <w:p>
      <w:pPr>
        <w:pStyle w:val="4"/>
        <w:shd w:val="clear" w:color="auto" w:fill="FFFFFF"/>
        <w:snapToGrid w:val="0"/>
        <w:spacing w:line="480" w:lineRule="exact"/>
        <w:rPr>
          <w:rFonts w:ascii="方正黑体_GBK" w:eastAsia="方正黑体_GBK" w:hAnsiTheme="minorEastAsia"/>
          <w:sz w:val="32"/>
          <w:szCs w:val="32"/>
        </w:rPr>
      </w:pPr>
      <w:r>
        <w:rPr>
          <w:rStyle w:val="7"/>
          <w:rFonts w:hint="eastAsia" w:ascii="方正仿宋_GBK" w:eastAsia="方正仿宋_GBK" w:hAnsiTheme="minorEastAsia"/>
          <w:b w:val="0"/>
          <w:sz w:val="32"/>
          <w:szCs w:val="32"/>
        </w:rPr>
        <w:t xml:space="preserve">   </w:t>
      </w:r>
      <w:r>
        <w:rPr>
          <w:rStyle w:val="7"/>
          <w:rFonts w:hint="eastAsia" w:ascii="方正黑体_GBK" w:eastAsia="方正黑体_GBK" w:hAnsiTheme="minorEastAsia"/>
          <w:b w:val="0"/>
          <w:sz w:val="32"/>
          <w:szCs w:val="32"/>
        </w:rPr>
        <w:t xml:space="preserve"> 四、其他需要说明的事项</w:t>
      </w:r>
    </w:p>
    <w:p>
      <w:pPr>
        <w:pStyle w:val="4"/>
        <w:shd w:val="clear" w:color="auto" w:fill="FFFFFF"/>
        <w:snapToGrid w:val="0"/>
        <w:spacing w:line="480" w:lineRule="exact"/>
        <w:rPr>
          <w:rFonts w:ascii="方正仿宋_GBK" w:eastAsia="方正仿宋_GBK" w:hAnsiTheme="minorEastAsia"/>
          <w:sz w:val="32"/>
          <w:szCs w:val="32"/>
        </w:rPr>
      </w:pPr>
      <w:r>
        <w:rPr>
          <w:rStyle w:val="7"/>
          <w:rFonts w:hint="eastAsia" w:ascii="方正仿宋_GBK" w:eastAsia="方正仿宋_GBK" w:hAnsiTheme="minorEastAsia"/>
          <w:b w:val="0"/>
          <w:sz w:val="32"/>
          <w:szCs w:val="32"/>
        </w:rPr>
        <w:t xml:space="preserve">    （一）机关运行经费情况说明。</w:t>
      </w:r>
      <w:r>
        <w:rPr>
          <w:rFonts w:hint="eastAsia" w:ascii="方正仿宋_GBK" w:eastAsia="方正仿宋_GBK" w:hAnsiTheme="minorEastAsia"/>
          <w:sz w:val="32"/>
          <w:szCs w:val="32"/>
        </w:rPr>
        <w:t>2021年度本部门机关运行经费支出9.03万元，机关运行经费主要用于</w:t>
      </w:r>
      <w:r>
        <w:rPr>
          <w:rFonts w:hint="eastAsia" w:ascii="方正仿宋_GBK" w:eastAsia="方正仿宋_GBK" w:hAnsiTheme="minorEastAsia"/>
          <w:color w:val="000000" w:themeColor="text1"/>
          <w:sz w:val="32"/>
          <w:szCs w:val="32"/>
        </w:rPr>
        <w:t>办公费、水电费、邮电费、差旅费、维修费、劳务费、公务车运行维护费等支出。</w:t>
      </w:r>
      <w:r>
        <w:rPr>
          <w:rFonts w:hint="eastAsia" w:ascii="方正仿宋_GBK" w:eastAsia="方正仿宋_GBK" w:hAnsiTheme="minorEastAsia"/>
          <w:sz w:val="32"/>
          <w:szCs w:val="32"/>
        </w:rPr>
        <w:t>机关运行经费较上年决算数8.31万元，增加1147.61%，主要原因是公用经费支出略有增加。</w:t>
      </w:r>
    </w:p>
    <w:p>
      <w:pPr>
        <w:pStyle w:val="4"/>
        <w:shd w:val="clear" w:color="auto" w:fill="FFFFFF"/>
        <w:snapToGrid w:val="0"/>
        <w:spacing w:line="480" w:lineRule="exact"/>
        <w:rPr>
          <w:rFonts w:ascii="方正仿宋_GBK" w:eastAsia="方正仿宋_GBK" w:hAnsiTheme="minorEastAsia"/>
          <w:sz w:val="32"/>
          <w:szCs w:val="32"/>
        </w:rPr>
      </w:pPr>
      <w:r>
        <w:rPr>
          <w:rFonts w:hint="eastAsia" w:ascii="方正仿宋_GBK" w:eastAsia="方正仿宋_GBK" w:hAnsiTheme="minorEastAsia"/>
          <w:sz w:val="32"/>
          <w:szCs w:val="32"/>
        </w:rPr>
        <w:t xml:space="preserve">    此外，本年度一般公共预算财政拨款会议费支出0万元，较上年决算数增加0.00万元，增长0.00%，主要原因是用于信访事务各单位业务联席会和信访工作会议</w:t>
      </w:r>
      <w:r>
        <w:rPr>
          <w:rFonts w:hint="eastAsia" w:ascii="方正仿宋_GBK" w:eastAsia="方正仿宋_GBK" w:hAnsiTheme="minorEastAsia"/>
          <w:color w:val="000000" w:themeColor="text1"/>
          <w:sz w:val="32"/>
          <w:szCs w:val="32"/>
        </w:rPr>
        <w:t>。</w:t>
      </w:r>
      <w:r>
        <w:rPr>
          <w:rFonts w:hint="eastAsia" w:ascii="方正仿宋_GBK" w:eastAsia="方正仿宋_GBK" w:hAnsiTheme="minorEastAsia"/>
          <w:sz w:val="32"/>
          <w:szCs w:val="32"/>
        </w:rPr>
        <w:t>本年度一般公共预算财政拨款培训费支出0万元，较上年决算数增加0.00万元，增长0.00%，主要原因是没有开展信访人员业务培训学习。</w:t>
      </w:r>
    </w:p>
    <w:p>
      <w:pPr>
        <w:pStyle w:val="4"/>
        <w:shd w:val="clear" w:color="auto" w:fill="FFFFFF"/>
        <w:snapToGrid w:val="0"/>
        <w:spacing w:line="480" w:lineRule="exact"/>
        <w:rPr>
          <w:rFonts w:ascii="方正仿宋_GBK" w:eastAsia="方正仿宋_GBK" w:hAnsiTheme="minorEastAsia"/>
          <w:bCs/>
          <w:sz w:val="32"/>
          <w:szCs w:val="32"/>
        </w:rPr>
      </w:pPr>
      <w:r>
        <w:rPr>
          <w:rFonts w:hint="eastAsia" w:ascii="方正仿宋_GBK" w:eastAsia="方正仿宋_GBK" w:hAnsiTheme="minorEastAsia"/>
          <w:sz w:val="32"/>
          <w:szCs w:val="32"/>
        </w:rPr>
        <w:t xml:space="preserve">    </w:t>
      </w:r>
      <w:r>
        <w:rPr>
          <w:rStyle w:val="7"/>
          <w:rFonts w:hint="eastAsia" w:ascii="方正仿宋_GBK" w:eastAsia="方正仿宋_GBK" w:hAnsiTheme="minorEastAsia"/>
          <w:b w:val="0"/>
          <w:sz w:val="32"/>
          <w:szCs w:val="32"/>
        </w:rPr>
        <w:t>（二）国有资产占用情况说明。</w:t>
      </w:r>
      <w:r>
        <w:rPr>
          <w:rFonts w:hint="eastAsia" w:ascii="方正仿宋_GBK" w:eastAsia="方正仿宋_GBK" w:hAnsiTheme="minorEastAsia"/>
          <w:sz w:val="32"/>
          <w:szCs w:val="32"/>
        </w:rPr>
        <w:t>截至2021年12月31日，本部门共有车辆1辆，其中，副部（省）级及以上领导用车0辆、主要领导干部用车0辆、机要通信用车0辆、应急保障用车1辆、执法执勤用车0辆，特种专业技术用车0辆，离退休干部用车0辆，其他用车0辆</w:t>
      </w:r>
      <w:r>
        <w:rPr>
          <w:rFonts w:hint="eastAsia" w:ascii="方正仿宋_GBK" w:eastAsia="方正仿宋_GBK" w:hAnsiTheme="minorEastAsia"/>
          <w:color w:val="000000" w:themeColor="text1"/>
          <w:sz w:val="32"/>
          <w:szCs w:val="32"/>
        </w:rPr>
        <w:t>。</w:t>
      </w:r>
      <w:r>
        <w:rPr>
          <w:rFonts w:hint="eastAsia" w:ascii="方正仿宋_GBK" w:eastAsia="方正仿宋_GBK" w:hAnsiTheme="minorEastAsia"/>
          <w:sz w:val="32"/>
          <w:szCs w:val="32"/>
        </w:rPr>
        <w:t>单价50万元（含）以上通用设备0台（套），单价100万元（含）以上专用设备0台（套）。</w:t>
      </w:r>
    </w:p>
    <w:p>
      <w:pPr>
        <w:pStyle w:val="4"/>
        <w:shd w:val="clear" w:color="auto" w:fill="FFFFFF"/>
        <w:snapToGrid w:val="0"/>
        <w:spacing w:line="480" w:lineRule="exact"/>
        <w:ind w:firstLine="660"/>
        <w:rPr>
          <w:rFonts w:ascii="方正仿宋_GBK" w:eastAsia="方正仿宋_GBK" w:hAnsiTheme="minorEastAsia"/>
          <w:bCs/>
          <w:sz w:val="32"/>
          <w:szCs w:val="32"/>
        </w:rPr>
      </w:pPr>
      <w:r>
        <w:rPr>
          <w:rStyle w:val="7"/>
          <w:rFonts w:hint="eastAsia" w:ascii="方正仿宋_GBK" w:eastAsia="方正仿宋_GBK" w:hAnsiTheme="minorEastAsia"/>
          <w:b w:val="0"/>
          <w:sz w:val="32"/>
          <w:szCs w:val="32"/>
        </w:rPr>
        <w:t>（三）政府采购支出情况说明。</w:t>
      </w:r>
      <w:r>
        <w:rPr>
          <w:rFonts w:hint="eastAsia" w:ascii="方正仿宋_GBK" w:eastAsia="方正仿宋_GBK" w:hAnsiTheme="minorEastAsia"/>
          <w:sz w:val="32"/>
          <w:szCs w:val="32"/>
        </w:rPr>
        <w:t>2021年度本部门政府采购支出总额3.32万元，其中：政府采购货物支出3.32万元、政府采购工程支出0.00万元、政府采购服务支出0万元。授予中小企业合同金额3.32万元，占政府采购支出总额的100.00%，其中：授予小微企业合同金额3.32万元，占政府采购支出总额的100%。主要用于采购档案数字化设备，实行档案数字化管理。</w:t>
      </w:r>
    </w:p>
    <w:p>
      <w:pPr>
        <w:spacing w:line="520" w:lineRule="exact"/>
        <w:ind w:firstLine="640" w:firstLineChars="200"/>
        <w:rPr>
          <w:rFonts w:ascii="方正黑体_GBK" w:eastAsia="方正黑体_GBK"/>
          <w:kern w:val="0"/>
          <w:szCs w:val="32"/>
        </w:rPr>
      </w:pPr>
      <w:r>
        <w:rPr>
          <w:rFonts w:hint="eastAsia" w:ascii="方正黑体_GBK" w:eastAsia="方正黑体_GBK"/>
          <w:kern w:val="0"/>
          <w:szCs w:val="32"/>
        </w:rPr>
        <w:t>五、预算绩效管理情况说明</w:t>
      </w:r>
    </w:p>
    <w:p>
      <w:pPr>
        <w:pStyle w:val="8"/>
        <w:tabs>
          <w:tab w:val="center" w:pos="4153"/>
          <w:tab w:val="left" w:pos="7275"/>
        </w:tabs>
        <w:spacing w:line="520" w:lineRule="exact"/>
        <w:ind w:firstLine="640"/>
        <w:rPr>
          <w:rFonts w:ascii="方正楷体_GBK" w:hAnsi="Times New Roman" w:eastAsia="方正楷体_GBK"/>
          <w:kern w:val="0"/>
          <w:sz w:val="32"/>
          <w:szCs w:val="32"/>
        </w:rPr>
      </w:pPr>
      <w:r>
        <w:rPr>
          <w:rFonts w:hint="eastAsia" w:ascii="方正楷体_GBK" w:hAnsi="Times New Roman" w:eastAsia="方正楷体_GBK"/>
          <w:kern w:val="0"/>
          <w:sz w:val="32"/>
          <w:szCs w:val="32"/>
        </w:rPr>
        <w:t>（一）预算绩效管理工作开展情况</w:t>
      </w:r>
    </w:p>
    <w:p>
      <w:pPr>
        <w:pStyle w:val="8"/>
        <w:tabs>
          <w:tab w:val="center" w:pos="4153"/>
          <w:tab w:val="left" w:pos="7275"/>
        </w:tabs>
        <w:spacing w:line="520" w:lineRule="exact"/>
        <w:ind w:firstLine="640"/>
        <w:rPr>
          <w:rFonts w:ascii="方正仿宋_GBK" w:hAnsi="Times New Roman" w:eastAsia="方正仿宋_GBK"/>
          <w:kern w:val="0"/>
          <w:sz w:val="32"/>
          <w:szCs w:val="32"/>
        </w:rPr>
      </w:pPr>
      <w:r>
        <w:rPr>
          <w:rFonts w:hint="eastAsia" w:ascii="方正仿宋_GBK" w:hAnsi="Times New Roman" w:eastAsia="方正仿宋_GBK"/>
          <w:kern w:val="0"/>
          <w:sz w:val="32"/>
          <w:szCs w:val="32"/>
        </w:rPr>
        <w:t>根据预算绩效管理要求，本部门对2个项目开展了绩效自评，其中，以填报目标自评表形式开展自评2项，涉及资金57万元；以委托第三方形式开展绩效自评0项，涉及资金0万元，从评价情况来看，依法统计为城口县经济社会持续健康发展和民主法治建设提供扎实的数据保障。</w:t>
      </w:r>
    </w:p>
    <w:p>
      <w:pPr>
        <w:pStyle w:val="8"/>
        <w:tabs>
          <w:tab w:val="center" w:pos="4153"/>
          <w:tab w:val="left" w:pos="7275"/>
        </w:tabs>
        <w:spacing w:line="520" w:lineRule="exact"/>
        <w:ind w:firstLine="640"/>
        <w:rPr>
          <w:rFonts w:ascii="方正楷体_GBK" w:hAnsi="Times New Roman" w:eastAsia="方正楷体_GBK"/>
          <w:kern w:val="0"/>
          <w:sz w:val="32"/>
          <w:szCs w:val="32"/>
        </w:rPr>
      </w:pPr>
      <w:r>
        <w:rPr>
          <w:rFonts w:hint="eastAsia" w:ascii="方正楷体_GBK" w:hAnsi="Times New Roman" w:eastAsia="方正楷体_GBK"/>
          <w:kern w:val="0"/>
          <w:sz w:val="32"/>
          <w:szCs w:val="32"/>
        </w:rPr>
        <w:t>（二）绩效自评结果</w:t>
      </w:r>
    </w:p>
    <w:p>
      <w:pPr>
        <w:pStyle w:val="8"/>
        <w:tabs>
          <w:tab w:val="center" w:pos="4153"/>
          <w:tab w:val="left" w:pos="7275"/>
        </w:tabs>
        <w:spacing w:line="520" w:lineRule="exact"/>
        <w:ind w:firstLine="640"/>
        <w:rPr>
          <w:rFonts w:ascii="方正仿宋_GBK" w:hAnsi="Times New Roman" w:eastAsia="方正仿宋_GBK"/>
          <w:kern w:val="0"/>
          <w:sz w:val="32"/>
          <w:szCs w:val="32"/>
        </w:rPr>
      </w:pPr>
      <w:r>
        <w:rPr>
          <w:rFonts w:hint="eastAsia" w:ascii="方正仿宋_GBK" w:hAnsi="Times New Roman" w:eastAsia="方正仿宋_GBK"/>
          <w:kern w:val="0"/>
          <w:sz w:val="32"/>
          <w:szCs w:val="32"/>
        </w:rPr>
        <w:t>1.绩效目标自评表</w:t>
      </w:r>
    </w:p>
    <w:p>
      <w:pPr>
        <w:pStyle w:val="8"/>
        <w:tabs>
          <w:tab w:val="center" w:pos="4153"/>
          <w:tab w:val="left" w:pos="7275"/>
        </w:tabs>
        <w:spacing w:line="520" w:lineRule="exact"/>
        <w:ind w:firstLine="640"/>
        <w:rPr>
          <w:rFonts w:ascii="方正仿宋_GBK" w:hAnsi="Times New Roman" w:eastAsia="方正仿宋_GBK"/>
          <w:kern w:val="0"/>
          <w:sz w:val="32"/>
          <w:szCs w:val="32"/>
        </w:rPr>
      </w:pPr>
      <w:r>
        <w:rPr>
          <w:rFonts w:hint="eastAsia" w:ascii="方正仿宋_GBK" w:hAnsi="Times New Roman" w:eastAsia="方正仿宋_GBK"/>
          <w:kern w:val="0"/>
          <w:sz w:val="32"/>
          <w:szCs w:val="32"/>
        </w:rPr>
        <w:t>根据年初设定的绩效目标，项目总体完成情况达到预期目标。项目全年预算数为311.85万元，执行数为311.85万元，完成预算的100%。主要产出和效果：一是会议数量、质量、实效和成本都在年初的设定目标内，二是产生的经济、社会、生态和可持续影响效益显著。下一步，本部门将加大对项目的执行力度和监管力度，提高财政资金使用效率。</w:t>
      </w:r>
    </w:p>
    <w:p>
      <w:pPr>
        <w:pStyle w:val="8"/>
        <w:tabs>
          <w:tab w:val="center" w:pos="4153"/>
          <w:tab w:val="left" w:pos="7275"/>
        </w:tabs>
        <w:spacing w:line="520" w:lineRule="exact"/>
        <w:ind w:firstLine="0" w:firstLineChars="0"/>
        <w:jc w:val="center"/>
        <w:rPr>
          <w:rFonts w:ascii="Times New Roman" w:hAnsi="Times New Roman" w:eastAsia="方正仿宋_GBK"/>
          <w:kern w:val="0"/>
          <w:sz w:val="32"/>
          <w:szCs w:val="32"/>
        </w:rPr>
      </w:pPr>
      <w:r>
        <w:rPr>
          <w:rFonts w:ascii="Times New Roman" w:hAnsi="Times New Roman" w:eastAsia="方正小标宋_GBK"/>
          <w:color w:val="000000"/>
          <w:kern w:val="0"/>
          <w:sz w:val="36"/>
          <w:szCs w:val="36"/>
        </w:rPr>
        <w:t>部门整体绩效自评表</w:t>
      </w:r>
    </w:p>
    <w:tbl>
      <w:tblPr>
        <w:tblStyle w:val="5"/>
        <w:tblW w:w="9993" w:type="dxa"/>
        <w:tblInd w:w="-318" w:type="dxa"/>
        <w:tblLayout w:type="fixed"/>
        <w:tblCellMar>
          <w:top w:w="0" w:type="dxa"/>
          <w:left w:w="108" w:type="dxa"/>
          <w:bottom w:w="0" w:type="dxa"/>
          <w:right w:w="108" w:type="dxa"/>
        </w:tblCellMar>
      </w:tblPr>
      <w:tblGrid>
        <w:gridCol w:w="953"/>
        <w:gridCol w:w="732"/>
        <w:gridCol w:w="347"/>
        <w:gridCol w:w="256"/>
        <w:gridCol w:w="102"/>
        <w:gridCol w:w="749"/>
        <w:gridCol w:w="706"/>
        <w:gridCol w:w="323"/>
        <w:gridCol w:w="430"/>
        <w:gridCol w:w="253"/>
        <w:gridCol w:w="458"/>
        <w:gridCol w:w="88"/>
        <w:gridCol w:w="929"/>
        <w:gridCol w:w="1405"/>
        <w:gridCol w:w="91"/>
        <w:gridCol w:w="968"/>
        <w:gridCol w:w="1203"/>
      </w:tblGrid>
      <w:tr>
        <w:tblPrEx>
          <w:tblCellMar>
            <w:top w:w="0" w:type="dxa"/>
            <w:left w:w="108" w:type="dxa"/>
            <w:bottom w:w="0" w:type="dxa"/>
            <w:right w:w="108" w:type="dxa"/>
          </w:tblCellMar>
        </w:tblPrEx>
        <w:trPr>
          <w:trHeight w:val="575" w:hRule="atLeast"/>
        </w:trPr>
        <w:tc>
          <w:tcPr>
            <w:tcW w:w="953"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520" w:lineRule="exact"/>
              <w:jc w:val="center"/>
              <w:rPr>
                <w:color w:val="000000"/>
                <w:kern w:val="0"/>
                <w:sz w:val="24"/>
                <w:szCs w:val="24"/>
              </w:rPr>
            </w:pPr>
            <w:r>
              <w:rPr>
                <w:color w:val="000000"/>
                <w:kern w:val="0"/>
                <w:sz w:val="24"/>
                <w:szCs w:val="24"/>
              </w:rPr>
              <w:t>主管</w:t>
            </w:r>
          </w:p>
          <w:p>
            <w:pPr>
              <w:widowControl/>
              <w:spacing w:line="520" w:lineRule="exact"/>
              <w:jc w:val="center"/>
              <w:rPr>
                <w:color w:val="000000"/>
                <w:kern w:val="0"/>
                <w:sz w:val="24"/>
                <w:szCs w:val="24"/>
              </w:rPr>
            </w:pPr>
            <w:r>
              <w:rPr>
                <w:color w:val="000000"/>
                <w:kern w:val="0"/>
                <w:sz w:val="24"/>
                <w:szCs w:val="24"/>
              </w:rPr>
              <w:t>部门</w:t>
            </w:r>
          </w:p>
        </w:tc>
        <w:tc>
          <w:tcPr>
            <w:tcW w:w="1335"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spacing w:line="520" w:lineRule="exact"/>
              <w:jc w:val="center"/>
              <w:rPr>
                <w:color w:val="000000"/>
                <w:kern w:val="0"/>
                <w:sz w:val="24"/>
                <w:szCs w:val="24"/>
              </w:rPr>
            </w:pPr>
            <w:r>
              <w:rPr>
                <w:color w:val="000000"/>
                <w:kern w:val="0"/>
                <w:sz w:val="24"/>
                <w:szCs w:val="24"/>
              </w:rPr>
              <w:t>城口县</w:t>
            </w:r>
            <w:r>
              <w:rPr>
                <w:rFonts w:hint="eastAsia"/>
                <w:color w:val="000000"/>
                <w:kern w:val="0"/>
                <w:sz w:val="24"/>
                <w:szCs w:val="24"/>
              </w:rPr>
              <w:t>档案馆</w:t>
            </w:r>
          </w:p>
        </w:tc>
        <w:tc>
          <w:tcPr>
            <w:tcW w:w="851"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spacing w:line="520" w:lineRule="exact"/>
              <w:jc w:val="center"/>
              <w:rPr>
                <w:color w:val="000000"/>
                <w:kern w:val="0"/>
                <w:sz w:val="24"/>
                <w:szCs w:val="24"/>
              </w:rPr>
            </w:pPr>
            <w:r>
              <w:rPr>
                <w:color w:val="000000"/>
                <w:kern w:val="0"/>
                <w:sz w:val="24"/>
                <w:szCs w:val="24"/>
              </w:rPr>
              <w:t>财政处室</w:t>
            </w:r>
          </w:p>
        </w:tc>
        <w:tc>
          <w:tcPr>
            <w:tcW w:w="1029"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spacing w:line="520" w:lineRule="exact"/>
              <w:jc w:val="center"/>
              <w:rPr>
                <w:color w:val="000000"/>
                <w:kern w:val="0"/>
                <w:sz w:val="24"/>
                <w:szCs w:val="24"/>
              </w:rPr>
            </w:pPr>
            <w:r>
              <w:rPr>
                <w:color w:val="000000"/>
                <w:kern w:val="0"/>
                <w:sz w:val="24"/>
                <w:szCs w:val="24"/>
              </w:rPr>
              <w:t>行政和社会保障科</w:t>
            </w:r>
          </w:p>
        </w:tc>
        <w:tc>
          <w:tcPr>
            <w:tcW w:w="1141" w:type="dxa"/>
            <w:gridSpan w:val="3"/>
            <w:tcBorders>
              <w:top w:val="single" w:color="auto" w:sz="4" w:space="0"/>
              <w:left w:val="nil"/>
              <w:bottom w:val="single" w:color="auto" w:sz="4" w:space="0"/>
              <w:right w:val="single" w:color="auto" w:sz="4" w:space="0"/>
            </w:tcBorders>
            <w:vAlign w:val="center"/>
          </w:tcPr>
          <w:p>
            <w:pPr>
              <w:widowControl/>
              <w:spacing w:line="520" w:lineRule="exact"/>
              <w:jc w:val="center"/>
              <w:rPr>
                <w:color w:val="000000"/>
                <w:kern w:val="0"/>
                <w:sz w:val="24"/>
                <w:szCs w:val="24"/>
              </w:rPr>
            </w:pPr>
            <w:r>
              <w:rPr>
                <w:color w:val="000000"/>
                <w:kern w:val="0"/>
                <w:sz w:val="24"/>
                <w:szCs w:val="24"/>
              </w:rPr>
              <w:t>自评总分（分）</w:t>
            </w:r>
          </w:p>
        </w:tc>
        <w:tc>
          <w:tcPr>
            <w:tcW w:w="4684" w:type="dxa"/>
            <w:gridSpan w:val="6"/>
            <w:tcBorders>
              <w:top w:val="single" w:color="auto" w:sz="4" w:space="0"/>
              <w:left w:val="nil"/>
              <w:bottom w:val="single" w:color="auto" w:sz="4" w:space="0"/>
              <w:right w:val="single" w:color="000000" w:sz="4" w:space="0"/>
            </w:tcBorders>
            <w:vAlign w:val="center"/>
          </w:tcPr>
          <w:p>
            <w:pPr>
              <w:widowControl/>
              <w:spacing w:line="520" w:lineRule="exact"/>
              <w:jc w:val="center"/>
              <w:rPr>
                <w:color w:val="000000"/>
                <w:kern w:val="0"/>
                <w:sz w:val="24"/>
                <w:szCs w:val="24"/>
              </w:rPr>
            </w:pPr>
            <w:r>
              <w:rPr>
                <w:color w:val="000000"/>
                <w:kern w:val="0"/>
                <w:sz w:val="24"/>
                <w:szCs w:val="24"/>
              </w:rPr>
              <w:t>98.3</w:t>
            </w:r>
          </w:p>
        </w:tc>
      </w:tr>
      <w:tr>
        <w:tblPrEx>
          <w:tblCellMar>
            <w:top w:w="0" w:type="dxa"/>
            <w:left w:w="108" w:type="dxa"/>
            <w:bottom w:w="0" w:type="dxa"/>
            <w:right w:w="108" w:type="dxa"/>
          </w:tblCellMar>
        </w:tblPrEx>
        <w:trPr>
          <w:trHeight w:val="575" w:hRule="atLeast"/>
        </w:trPr>
        <w:tc>
          <w:tcPr>
            <w:tcW w:w="953"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520" w:lineRule="exact"/>
              <w:jc w:val="center"/>
              <w:rPr>
                <w:color w:val="000000"/>
                <w:kern w:val="0"/>
                <w:sz w:val="24"/>
                <w:szCs w:val="24"/>
              </w:rPr>
            </w:pPr>
          </w:p>
        </w:tc>
        <w:tc>
          <w:tcPr>
            <w:tcW w:w="1335"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spacing w:line="520" w:lineRule="exact"/>
              <w:jc w:val="center"/>
              <w:rPr>
                <w:color w:val="000000"/>
                <w:kern w:val="0"/>
                <w:sz w:val="24"/>
                <w:szCs w:val="24"/>
              </w:rPr>
            </w:pPr>
          </w:p>
        </w:tc>
        <w:tc>
          <w:tcPr>
            <w:tcW w:w="851"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spacing w:line="520" w:lineRule="exact"/>
              <w:jc w:val="center"/>
              <w:rPr>
                <w:color w:val="000000"/>
                <w:kern w:val="0"/>
                <w:sz w:val="24"/>
                <w:szCs w:val="24"/>
              </w:rPr>
            </w:pPr>
          </w:p>
        </w:tc>
        <w:tc>
          <w:tcPr>
            <w:tcW w:w="1029"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520" w:lineRule="exact"/>
              <w:jc w:val="center"/>
              <w:rPr>
                <w:color w:val="000000"/>
                <w:kern w:val="0"/>
                <w:sz w:val="24"/>
                <w:szCs w:val="24"/>
              </w:rPr>
            </w:pPr>
          </w:p>
        </w:tc>
        <w:tc>
          <w:tcPr>
            <w:tcW w:w="1141" w:type="dxa"/>
            <w:gridSpan w:val="3"/>
            <w:tcBorders>
              <w:top w:val="nil"/>
              <w:left w:val="nil"/>
              <w:bottom w:val="single" w:color="auto" w:sz="4" w:space="0"/>
              <w:right w:val="single" w:color="auto" w:sz="4" w:space="0"/>
            </w:tcBorders>
            <w:vAlign w:val="center"/>
          </w:tcPr>
          <w:p>
            <w:pPr>
              <w:widowControl/>
              <w:spacing w:line="520" w:lineRule="exact"/>
              <w:jc w:val="center"/>
              <w:rPr>
                <w:color w:val="000000"/>
                <w:kern w:val="0"/>
                <w:sz w:val="24"/>
                <w:szCs w:val="24"/>
              </w:rPr>
            </w:pPr>
            <w:r>
              <w:rPr>
                <w:color w:val="000000"/>
                <w:kern w:val="0"/>
                <w:sz w:val="24"/>
                <w:szCs w:val="24"/>
              </w:rPr>
              <w:t>部门</w:t>
            </w:r>
          </w:p>
          <w:p>
            <w:pPr>
              <w:widowControl/>
              <w:spacing w:line="520" w:lineRule="exact"/>
              <w:jc w:val="center"/>
              <w:rPr>
                <w:color w:val="000000"/>
                <w:kern w:val="0"/>
                <w:sz w:val="24"/>
                <w:szCs w:val="24"/>
              </w:rPr>
            </w:pPr>
            <w:r>
              <w:rPr>
                <w:color w:val="000000"/>
                <w:kern w:val="0"/>
                <w:sz w:val="24"/>
                <w:szCs w:val="24"/>
              </w:rPr>
              <w:t>联系人</w:t>
            </w:r>
          </w:p>
        </w:tc>
        <w:tc>
          <w:tcPr>
            <w:tcW w:w="1017" w:type="dxa"/>
            <w:gridSpan w:val="2"/>
            <w:tcBorders>
              <w:top w:val="nil"/>
              <w:left w:val="nil"/>
              <w:bottom w:val="single" w:color="auto" w:sz="4" w:space="0"/>
              <w:right w:val="single" w:color="auto" w:sz="4" w:space="0"/>
            </w:tcBorders>
            <w:vAlign w:val="center"/>
          </w:tcPr>
          <w:p>
            <w:pPr>
              <w:widowControl/>
              <w:spacing w:line="520" w:lineRule="exact"/>
              <w:rPr>
                <w:color w:val="000000"/>
                <w:kern w:val="0"/>
                <w:sz w:val="24"/>
                <w:szCs w:val="24"/>
              </w:rPr>
            </w:pPr>
            <w:r>
              <w:rPr>
                <w:rFonts w:hint="eastAsia"/>
                <w:color w:val="000000"/>
                <w:kern w:val="0"/>
                <w:sz w:val="24"/>
                <w:szCs w:val="24"/>
              </w:rPr>
              <w:t>陈鸿玲</w:t>
            </w:r>
          </w:p>
        </w:tc>
        <w:tc>
          <w:tcPr>
            <w:tcW w:w="1405" w:type="dxa"/>
            <w:tcBorders>
              <w:top w:val="nil"/>
              <w:left w:val="nil"/>
              <w:bottom w:val="single" w:color="auto" w:sz="4" w:space="0"/>
              <w:right w:val="single" w:color="auto" w:sz="4" w:space="0"/>
            </w:tcBorders>
            <w:vAlign w:val="center"/>
          </w:tcPr>
          <w:p>
            <w:pPr>
              <w:widowControl/>
              <w:spacing w:line="520" w:lineRule="exact"/>
              <w:rPr>
                <w:color w:val="000000"/>
                <w:kern w:val="0"/>
                <w:sz w:val="24"/>
                <w:szCs w:val="24"/>
              </w:rPr>
            </w:pPr>
            <w:r>
              <w:rPr>
                <w:color w:val="000000"/>
                <w:kern w:val="0"/>
                <w:sz w:val="24"/>
                <w:szCs w:val="24"/>
              </w:rPr>
              <w:t>联系电话</w:t>
            </w:r>
          </w:p>
        </w:tc>
        <w:tc>
          <w:tcPr>
            <w:tcW w:w="2262" w:type="dxa"/>
            <w:gridSpan w:val="3"/>
            <w:tcBorders>
              <w:top w:val="single" w:color="auto" w:sz="4" w:space="0"/>
              <w:left w:val="nil"/>
              <w:bottom w:val="single" w:color="auto" w:sz="4" w:space="0"/>
              <w:right w:val="single" w:color="000000" w:sz="4" w:space="0"/>
            </w:tcBorders>
            <w:vAlign w:val="center"/>
          </w:tcPr>
          <w:p>
            <w:pPr>
              <w:widowControl/>
              <w:spacing w:line="520" w:lineRule="exact"/>
              <w:rPr>
                <w:color w:val="000000"/>
                <w:kern w:val="0"/>
                <w:sz w:val="24"/>
                <w:szCs w:val="24"/>
              </w:rPr>
            </w:pPr>
            <w:r>
              <w:rPr>
                <w:color w:val="000000"/>
                <w:kern w:val="0"/>
                <w:sz w:val="24"/>
                <w:szCs w:val="24"/>
              </w:rPr>
              <w:t>023-59225446</w:t>
            </w:r>
          </w:p>
        </w:tc>
      </w:tr>
      <w:tr>
        <w:tblPrEx>
          <w:tblCellMar>
            <w:top w:w="0" w:type="dxa"/>
            <w:left w:w="108" w:type="dxa"/>
            <w:bottom w:w="0" w:type="dxa"/>
            <w:right w:w="108" w:type="dxa"/>
          </w:tblCellMar>
        </w:tblPrEx>
        <w:trPr>
          <w:trHeight w:val="575" w:hRule="atLeast"/>
        </w:trPr>
        <w:tc>
          <w:tcPr>
            <w:tcW w:w="953" w:type="dxa"/>
            <w:vMerge w:val="restart"/>
            <w:tcBorders>
              <w:top w:val="nil"/>
              <w:left w:val="single" w:color="auto" w:sz="4" w:space="0"/>
              <w:bottom w:val="single" w:color="auto" w:sz="4" w:space="0"/>
              <w:right w:val="single" w:color="auto" w:sz="4" w:space="0"/>
            </w:tcBorders>
            <w:vAlign w:val="center"/>
          </w:tcPr>
          <w:p>
            <w:pPr>
              <w:widowControl/>
              <w:spacing w:line="520" w:lineRule="exact"/>
              <w:rPr>
                <w:color w:val="000000"/>
                <w:kern w:val="0"/>
                <w:sz w:val="24"/>
                <w:szCs w:val="24"/>
              </w:rPr>
            </w:pPr>
            <w:r>
              <w:rPr>
                <w:color w:val="000000"/>
                <w:kern w:val="0"/>
                <w:sz w:val="24"/>
                <w:szCs w:val="24"/>
              </w:rPr>
              <w:t>部门预算执行情况</w:t>
            </w:r>
          </w:p>
        </w:tc>
        <w:tc>
          <w:tcPr>
            <w:tcW w:w="1079" w:type="dxa"/>
            <w:gridSpan w:val="2"/>
            <w:vMerge w:val="restart"/>
            <w:tcBorders>
              <w:top w:val="nil"/>
              <w:left w:val="nil"/>
              <w:right w:val="nil"/>
            </w:tcBorders>
            <w:vAlign w:val="center"/>
          </w:tcPr>
          <w:p>
            <w:pPr>
              <w:spacing w:line="520" w:lineRule="exact"/>
              <w:jc w:val="center"/>
              <w:rPr>
                <w:color w:val="000000"/>
                <w:kern w:val="0"/>
                <w:sz w:val="24"/>
                <w:szCs w:val="24"/>
              </w:rPr>
            </w:pPr>
            <w:r>
              <w:rPr>
                <w:color w:val="000000"/>
                <w:kern w:val="0"/>
                <w:sz w:val="24"/>
                <w:szCs w:val="24"/>
              </w:rPr>
              <w:t>预算</w:t>
            </w:r>
          </w:p>
          <w:p>
            <w:pPr>
              <w:spacing w:line="520" w:lineRule="exact"/>
              <w:jc w:val="center"/>
              <w:rPr>
                <w:color w:val="000000"/>
                <w:kern w:val="0"/>
                <w:sz w:val="24"/>
                <w:szCs w:val="24"/>
              </w:rPr>
            </w:pPr>
            <w:r>
              <w:rPr>
                <w:color w:val="000000"/>
                <w:kern w:val="0"/>
                <w:sz w:val="24"/>
                <w:szCs w:val="24"/>
              </w:rPr>
              <w:t>资金</w:t>
            </w:r>
          </w:p>
          <w:p>
            <w:pPr>
              <w:spacing w:line="520" w:lineRule="exact"/>
              <w:jc w:val="center"/>
              <w:rPr>
                <w:color w:val="000000"/>
                <w:kern w:val="0"/>
                <w:sz w:val="24"/>
                <w:szCs w:val="24"/>
              </w:rPr>
            </w:pPr>
            <w:r>
              <w:rPr>
                <w:color w:val="000000"/>
                <w:kern w:val="0"/>
                <w:sz w:val="24"/>
                <w:szCs w:val="24"/>
              </w:rPr>
              <w:t>（万元）</w:t>
            </w:r>
          </w:p>
        </w:tc>
        <w:tc>
          <w:tcPr>
            <w:tcW w:w="1107" w:type="dxa"/>
            <w:gridSpan w:val="3"/>
            <w:tcBorders>
              <w:top w:val="single" w:color="auto" w:sz="4" w:space="0"/>
              <w:left w:val="single" w:color="auto" w:sz="4" w:space="0"/>
              <w:bottom w:val="single" w:color="auto" w:sz="4" w:space="0"/>
              <w:right w:val="single" w:color="000000" w:sz="4" w:space="0"/>
            </w:tcBorders>
            <w:vAlign w:val="center"/>
          </w:tcPr>
          <w:p>
            <w:pPr>
              <w:widowControl/>
              <w:spacing w:line="520" w:lineRule="exact"/>
              <w:jc w:val="center"/>
              <w:rPr>
                <w:color w:val="000000"/>
                <w:kern w:val="0"/>
                <w:sz w:val="24"/>
                <w:szCs w:val="24"/>
              </w:rPr>
            </w:pPr>
            <w:r>
              <w:rPr>
                <w:color w:val="000000"/>
                <w:kern w:val="0"/>
                <w:sz w:val="24"/>
                <w:szCs w:val="24"/>
              </w:rPr>
              <w:t>年初</w:t>
            </w:r>
          </w:p>
          <w:p>
            <w:pPr>
              <w:widowControl/>
              <w:spacing w:line="520" w:lineRule="exact"/>
              <w:jc w:val="center"/>
              <w:rPr>
                <w:color w:val="000000"/>
                <w:kern w:val="0"/>
                <w:sz w:val="24"/>
                <w:szCs w:val="24"/>
              </w:rPr>
            </w:pPr>
            <w:r>
              <w:rPr>
                <w:color w:val="000000"/>
                <w:kern w:val="0"/>
                <w:sz w:val="24"/>
                <w:szCs w:val="24"/>
              </w:rPr>
              <w:t>预算数</w:t>
            </w:r>
          </w:p>
        </w:tc>
        <w:tc>
          <w:tcPr>
            <w:tcW w:w="1712" w:type="dxa"/>
            <w:gridSpan w:val="4"/>
            <w:tcBorders>
              <w:top w:val="single" w:color="auto" w:sz="4" w:space="0"/>
              <w:left w:val="nil"/>
              <w:bottom w:val="single" w:color="auto" w:sz="4" w:space="0"/>
              <w:right w:val="single" w:color="auto" w:sz="4" w:space="0"/>
            </w:tcBorders>
            <w:vAlign w:val="center"/>
          </w:tcPr>
          <w:p>
            <w:pPr>
              <w:widowControl/>
              <w:spacing w:line="520" w:lineRule="exact"/>
              <w:jc w:val="center"/>
              <w:rPr>
                <w:color w:val="000000"/>
                <w:kern w:val="0"/>
                <w:sz w:val="24"/>
                <w:szCs w:val="24"/>
              </w:rPr>
            </w:pPr>
            <w:r>
              <w:rPr>
                <w:color w:val="000000"/>
                <w:kern w:val="0"/>
                <w:sz w:val="24"/>
                <w:szCs w:val="24"/>
              </w:rPr>
              <w:t>全年（调整）</w:t>
            </w:r>
          </w:p>
          <w:p>
            <w:pPr>
              <w:widowControl/>
              <w:spacing w:line="520" w:lineRule="exact"/>
              <w:jc w:val="center"/>
              <w:rPr>
                <w:color w:val="000000"/>
                <w:kern w:val="0"/>
                <w:sz w:val="24"/>
                <w:szCs w:val="24"/>
              </w:rPr>
            </w:pPr>
            <w:r>
              <w:rPr>
                <w:color w:val="000000"/>
                <w:kern w:val="0"/>
                <w:sz w:val="24"/>
                <w:szCs w:val="24"/>
              </w:rPr>
              <w:t>预算数</w:t>
            </w:r>
          </w:p>
        </w:tc>
        <w:tc>
          <w:tcPr>
            <w:tcW w:w="1475" w:type="dxa"/>
            <w:gridSpan w:val="3"/>
            <w:tcBorders>
              <w:top w:val="single" w:color="auto" w:sz="4" w:space="0"/>
              <w:left w:val="nil"/>
              <w:bottom w:val="single" w:color="auto" w:sz="4" w:space="0"/>
              <w:right w:val="single" w:color="auto" w:sz="4" w:space="0"/>
            </w:tcBorders>
            <w:vAlign w:val="center"/>
          </w:tcPr>
          <w:p>
            <w:pPr>
              <w:widowControl/>
              <w:spacing w:line="520" w:lineRule="exact"/>
              <w:jc w:val="center"/>
              <w:rPr>
                <w:color w:val="000000"/>
                <w:kern w:val="0"/>
                <w:sz w:val="24"/>
                <w:szCs w:val="24"/>
              </w:rPr>
            </w:pPr>
            <w:r>
              <w:rPr>
                <w:color w:val="000000"/>
                <w:kern w:val="0"/>
                <w:sz w:val="24"/>
                <w:szCs w:val="24"/>
              </w:rPr>
              <w:t>全年执行数</w:t>
            </w:r>
          </w:p>
        </w:tc>
        <w:tc>
          <w:tcPr>
            <w:tcW w:w="1405" w:type="dxa"/>
            <w:tcBorders>
              <w:top w:val="nil"/>
              <w:left w:val="nil"/>
              <w:bottom w:val="single" w:color="auto" w:sz="4" w:space="0"/>
              <w:right w:val="single" w:color="auto" w:sz="4" w:space="0"/>
            </w:tcBorders>
            <w:vAlign w:val="center"/>
          </w:tcPr>
          <w:p>
            <w:pPr>
              <w:widowControl/>
              <w:spacing w:line="520" w:lineRule="exact"/>
              <w:jc w:val="center"/>
              <w:rPr>
                <w:color w:val="000000"/>
                <w:kern w:val="0"/>
                <w:sz w:val="24"/>
                <w:szCs w:val="24"/>
              </w:rPr>
            </w:pPr>
            <w:r>
              <w:rPr>
                <w:color w:val="000000"/>
                <w:kern w:val="0"/>
                <w:sz w:val="24"/>
                <w:szCs w:val="24"/>
              </w:rPr>
              <w:t>执行率</w:t>
            </w:r>
          </w:p>
          <w:p>
            <w:pPr>
              <w:widowControl/>
              <w:spacing w:line="520" w:lineRule="exact"/>
              <w:jc w:val="center"/>
              <w:rPr>
                <w:color w:val="000000"/>
                <w:kern w:val="0"/>
                <w:sz w:val="24"/>
                <w:szCs w:val="24"/>
              </w:rPr>
            </w:pPr>
            <w:r>
              <w:rPr>
                <w:color w:val="000000"/>
                <w:kern w:val="0"/>
                <w:sz w:val="24"/>
                <w:szCs w:val="24"/>
              </w:rPr>
              <w:t>（%）</w:t>
            </w:r>
          </w:p>
        </w:tc>
        <w:tc>
          <w:tcPr>
            <w:tcW w:w="1059" w:type="dxa"/>
            <w:gridSpan w:val="2"/>
            <w:tcBorders>
              <w:top w:val="nil"/>
              <w:left w:val="nil"/>
              <w:bottom w:val="single" w:color="auto" w:sz="4" w:space="0"/>
              <w:right w:val="single" w:color="auto" w:sz="4" w:space="0"/>
            </w:tcBorders>
            <w:vAlign w:val="center"/>
          </w:tcPr>
          <w:p>
            <w:pPr>
              <w:widowControl/>
              <w:spacing w:line="520" w:lineRule="exact"/>
              <w:jc w:val="center"/>
              <w:rPr>
                <w:color w:val="000000"/>
                <w:kern w:val="0"/>
                <w:sz w:val="24"/>
                <w:szCs w:val="24"/>
              </w:rPr>
            </w:pPr>
            <w:r>
              <w:rPr>
                <w:color w:val="000000"/>
                <w:kern w:val="0"/>
                <w:sz w:val="24"/>
                <w:szCs w:val="24"/>
              </w:rPr>
              <w:t>执行率</w:t>
            </w:r>
          </w:p>
          <w:p>
            <w:pPr>
              <w:widowControl/>
              <w:spacing w:line="520" w:lineRule="exact"/>
              <w:jc w:val="center"/>
              <w:rPr>
                <w:color w:val="000000"/>
                <w:kern w:val="0"/>
                <w:sz w:val="24"/>
                <w:szCs w:val="24"/>
              </w:rPr>
            </w:pPr>
            <w:r>
              <w:rPr>
                <w:color w:val="000000"/>
                <w:kern w:val="0"/>
                <w:sz w:val="24"/>
                <w:szCs w:val="24"/>
              </w:rPr>
              <w:t>权重</w:t>
            </w:r>
          </w:p>
        </w:tc>
        <w:tc>
          <w:tcPr>
            <w:tcW w:w="1203" w:type="dxa"/>
            <w:tcBorders>
              <w:top w:val="nil"/>
              <w:left w:val="nil"/>
              <w:bottom w:val="single" w:color="auto" w:sz="4" w:space="0"/>
              <w:right w:val="single" w:color="auto" w:sz="4" w:space="0"/>
            </w:tcBorders>
            <w:vAlign w:val="center"/>
          </w:tcPr>
          <w:p>
            <w:pPr>
              <w:widowControl/>
              <w:spacing w:line="520" w:lineRule="exact"/>
              <w:jc w:val="center"/>
              <w:rPr>
                <w:color w:val="000000"/>
                <w:kern w:val="0"/>
                <w:sz w:val="24"/>
                <w:szCs w:val="24"/>
              </w:rPr>
            </w:pPr>
            <w:r>
              <w:rPr>
                <w:color w:val="000000"/>
                <w:kern w:val="0"/>
                <w:sz w:val="24"/>
                <w:szCs w:val="24"/>
              </w:rPr>
              <w:t>执行率</w:t>
            </w:r>
          </w:p>
          <w:p>
            <w:pPr>
              <w:widowControl/>
              <w:spacing w:line="520" w:lineRule="exact"/>
              <w:jc w:val="center"/>
              <w:rPr>
                <w:color w:val="000000"/>
                <w:kern w:val="0"/>
                <w:sz w:val="24"/>
                <w:szCs w:val="24"/>
              </w:rPr>
            </w:pPr>
            <w:r>
              <w:rPr>
                <w:color w:val="000000"/>
                <w:kern w:val="0"/>
                <w:sz w:val="24"/>
                <w:szCs w:val="24"/>
              </w:rPr>
              <w:t>得分</w:t>
            </w:r>
          </w:p>
          <w:p>
            <w:pPr>
              <w:widowControl/>
              <w:spacing w:line="520" w:lineRule="exact"/>
              <w:jc w:val="center"/>
              <w:rPr>
                <w:color w:val="000000"/>
                <w:kern w:val="0"/>
                <w:sz w:val="24"/>
                <w:szCs w:val="24"/>
              </w:rPr>
            </w:pPr>
            <w:r>
              <w:rPr>
                <w:color w:val="000000"/>
                <w:kern w:val="0"/>
                <w:sz w:val="24"/>
                <w:szCs w:val="24"/>
              </w:rPr>
              <w:t>（分）</w:t>
            </w:r>
          </w:p>
        </w:tc>
      </w:tr>
      <w:tr>
        <w:tblPrEx>
          <w:tblCellMar>
            <w:top w:w="0" w:type="dxa"/>
            <w:left w:w="108" w:type="dxa"/>
            <w:bottom w:w="0" w:type="dxa"/>
            <w:right w:w="108" w:type="dxa"/>
          </w:tblCellMar>
        </w:tblPrEx>
        <w:trPr>
          <w:trHeight w:val="658" w:hRule="atLeast"/>
        </w:trPr>
        <w:tc>
          <w:tcPr>
            <w:tcW w:w="953" w:type="dxa"/>
            <w:vMerge w:val="continue"/>
            <w:tcBorders>
              <w:top w:val="nil"/>
              <w:left w:val="single" w:color="auto" w:sz="4" w:space="0"/>
              <w:bottom w:val="single" w:color="auto" w:sz="4" w:space="0"/>
              <w:right w:val="single" w:color="auto" w:sz="4" w:space="0"/>
            </w:tcBorders>
            <w:vAlign w:val="center"/>
          </w:tcPr>
          <w:p>
            <w:pPr>
              <w:widowControl/>
              <w:spacing w:line="520" w:lineRule="exact"/>
              <w:rPr>
                <w:color w:val="000000"/>
                <w:kern w:val="0"/>
                <w:sz w:val="24"/>
                <w:szCs w:val="24"/>
              </w:rPr>
            </w:pPr>
          </w:p>
        </w:tc>
        <w:tc>
          <w:tcPr>
            <w:tcW w:w="1079" w:type="dxa"/>
            <w:gridSpan w:val="2"/>
            <w:vMerge w:val="continue"/>
            <w:tcBorders>
              <w:left w:val="nil"/>
              <w:bottom w:val="single" w:color="auto" w:sz="4" w:space="0"/>
              <w:right w:val="nil"/>
            </w:tcBorders>
            <w:vAlign w:val="center"/>
          </w:tcPr>
          <w:p>
            <w:pPr>
              <w:widowControl/>
              <w:spacing w:line="520" w:lineRule="exact"/>
              <w:jc w:val="center"/>
              <w:rPr>
                <w:color w:val="000000"/>
                <w:kern w:val="0"/>
                <w:sz w:val="24"/>
                <w:szCs w:val="24"/>
              </w:rPr>
            </w:pPr>
          </w:p>
        </w:tc>
        <w:tc>
          <w:tcPr>
            <w:tcW w:w="1107" w:type="dxa"/>
            <w:gridSpan w:val="3"/>
            <w:tcBorders>
              <w:top w:val="single" w:color="auto" w:sz="4" w:space="0"/>
              <w:left w:val="single" w:color="auto" w:sz="4" w:space="0"/>
              <w:bottom w:val="single" w:color="auto" w:sz="4" w:space="0"/>
              <w:right w:val="single" w:color="000000" w:sz="4" w:space="0"/>
            </w:tcBorders>
            <w:vAlign w:val="center"/>
          </w:tcPr>
          <w:p>
            <w:pPr>
              <w:widowControl/>
              <w:spacing w:line="520" w:lineRule="exact"/>
              <w:jc w:val="center"/>
              <w:rPr>
                <w:color w:val="000000"/>
                <w:kern w:val="0"/>
                <w:sz w:val="21"/>
                <w:szCs w:val="21"/>
              </w:rPr>
            </w:pPr>
            <w:r>
              <w:rPr>
                <w:kern w:val="0"/>
                <w:sz w:val="24"/>
                <w:szCs w:val="24"/>
              </w:rPr>
              <w:t>285.81</w:t>
            </w:r>
          </w:p>
        </w:tc>
        <w:tc>
          <w:tcPr>
            <w:tcW w:w="1712" w:type="dxa"/>
            <w:gridSpan w:val="4"/>
            <w:tcBorders>
              <w:top w:val="single" w:color="auto" w:sz="4" w:space="0"/>
              <w:left w:val="nil"/>
              <w:bottom w:val="single" w:color="auto" w:sz="4" w:space="0"/>
              <w:right w:val="single" w:color="auto" w:sz="4" w:space="0"/>
            </w:tcBorders>
            <w:vAlign w:val="center"/>
          </w:tcPr>
          <w:p>
            <w:pPr>
              <w:widowControl/>
              <w:spacing w:line="520" w:lineRule="exact"/>
              <w:jc w:val="center"/>
              <w:rPr>
                <w:color w:val="000000"/>
                <w:kern w:val="0"/>
                <w:sz w:val="21"/>
                <w:szCs w:val="21"/>
              </w:rPr>
            </w:pPr>
            <w:r>
              <w:rPr>
                <w:kern w:val="0"/>
                <w:sz w:val="24"/>
                <w:szCs w:val="24"/>
              </w:rPr>
              <w:t>311.85</w:t>
            </w:r>
          </w:p>
        </w:tc>
        <w:tc>
          <w:tcPr>
            <w:tcW w:w="1475" w:type="dxa"/>
            <w:gridSpan w:val="3"/>
            <w:tcBorders>
              <w:top w:val="single" w:color="auto" w:sz="4" w:space="0"/>
              <w:left w:val="nil"/>
              <w:bottom w:val="single" w:color="auto" w:sz="4" w:space="0"/>
              <w:right w:val="single" w:color="auto" w:sz="4" w:space="0"/>
            </w:tcBorders>
            <w:vAlign w:val="center"/>
          </w:tcPr>
          <w:p>
            <w:pPr>
              <w:widowControl/>
              <w:spacing w:line="520" w:lineRule="exact"/>
              <w:jc w:val="center"/>
              <w:rPr>
                <w:color w:val="000000"/>
                <w:kern w:val="0"/>
                <w:sz w:val="21"/>
                <w:szCs w:val="21"/>
              </w:rPr>
            </w:pPr>
            <w:r>
              <w:rPr>
                <w:kern w:val="0"/>
                <w:sz w:val="24"/>
                <w:szCs w:val="24"/>
              </w:rPr>
              <w:t>311.85</w:t>
            </w:r>
          </w:p>
        </w:tc>
        <w:tc>
          <w:tcPr>
            <w:tcW w:w="1405" w:type="dxa"/>
            <w:tcBorders>
              <w:top w:val="nil"/>
              <w:left w:val="nil"/>
              <w:bottom w:val="single" w:color="auto" w:sz="4" w:space="0"/>
              <w:right w:val="single" w:color="auto" w:sz="4" w:space="0"/>
            </w:tcBorders>
            <w:vAlign w:val="center"/>
          </w:tcPr>
          <w:p>
            <w:pPr>
              <w:widowControl/>
              <w:spacing w:line="520" w:lineRule="exact"/>
              <w:jc w:val="center"/>
              <w:rPr>
                <w:color w:val="000000"/>
                <w:kern w:val="0"/>
                <w:sz w:val="21"/>
                <w:szCs w:val="21"/>
              </w:rPr>
            </w:pPr>
            <w:r>
              <w:rPr>
                <w:kern w:val="0"/>
                <w:sz w:val="24"/>
                <w:szCs w:val="24"/>
              </w:rPr>
              <w:t>100</w:t>
            </w:r>
          </w:p>
        </w:tc>
        <w:tc>
          <w:tcPr>
            <w:tcW w:w="1059" w:type="dxa"/>
            <w:gridSpan w:val="2"/>
            <w:tcBorders>
              <w:top w:val="nil"/>
              <w:left w:val="nil"/>
              <w:bottom w:val="single" w:color="auto" w:sz="4" w:space="0"/>
              <w:right w:val="single" w:color="auto" w:sz="4" w:space="0"/>
            </w:tcBorders>
            <w:vAlign w:val="center"/>
          </w:tcPr>
          <w:p>
            <w:pPr>
              <w:widowControl/>
              <w:spacing w:line="520" w:lineRule="exact"/>
              <w:jc w:val="center"/>
              <w:rPr>
                <w:kern w:val="0"/>
                <w:sz w:val="24"/>
                <w:szCs w:val="24"/>
              </w:rPr>
            </w:pPr>
            <w:r>
              <w:rPr>
                <w:kern w:val="0"/>
                <w:sz w:val="24"/>
                <w:szCs w:val="24"/>
              </w:rPr>
              <w:t>20</w:t>
            </w:r>
          </w:p>
        </w:tc>
        <w:tc>
          <w:tcPr>
            <w:tcW w:w="1203" w:type="dxa"/>
            <w:tcBorders>
              <w:top w:val="nil"/>
              <w:left w:val="nil"/>
              <w:bottom w:val="single" w:color="auto" w:sz="4" w:space="0"/>
              <w:right w:val="single" w:color="auto" w:sz="4" w:space="0"/>
            </w:tcBorders>
            <w:vAlign w:val="center"/>
          </w:tcPr>
          <w:p>
            <w:pPr>
              <w:widowControl/>
              <w:spacing w:line="520" w:lineRule="exact"/>
              <w:jc w:val="center"/>
              <w:rPr>
                <w:kern w:val="0"/>
                <w:sz w:val="24"/>
                <w:szCs w:val="24"/>
              </w:rPr>
            </w:pPr>
            <w:r>
              <w:rPr>
                <w:kern w:val="0"/>
                <w:sz w:val="24"/>
                <w:szCs w:val="24"/>
              </w:rPr>
              <w:t>20</w:t>
            </w:r>
          </w:p>
        </w:tc>
      </w:tr>
      <w:tr>
        <w:tblPrEx>
          <w:tblCellMar>
            <w:top w:w="0" w:type="dxa"/>
            <w:left w:w="108" w:type="dxa"/>
            <w:bottom w:w="0" w:type="dxa"/>
            <w:right w:w="108" w:type="dxa"/>
          </w:tblCellMar>
        </w:tblPrEx>
        <w:trPr>
          <w:trHeight w:val="575" w:hRule="atLeast"/>
        </w:trPr>
        <w:tc>
          <w:tcPr>
            <w:tcW w:w="953" w:type="dxa"/>
            <w:vMerge w:val="restart"/>
            <w:tcBorders>
              <w:top w:val="nil"/>
              <w:left w:val="single" w:color="auto" w:sz="4" w:space="0"/>
              <w:bottom w:val="single" w:color="auto" w:sz="4" w:space="0"/>
              <w:right w:val="single" w:color="auto" w:sz="4" w:space="0"/>
            </w:tcBorders>
            <w:vAlign w:val="center"/>
          </w:tcPr>
          <w:p>
            <w:pPr>
              <w:widowControl/>
              <w:spacing w:line="520" w:lineRule="exact"/>
              <w:rPr>
                <w:color w:val="000000"/>
                <w:kern w:val="0"/>
                <w:sz w:val="24"/>
                <w:szCs w:val="24"/>
              </w:rPr>
            </w:pPr>
            <w:r>
              <w:rPr>
                <w:color w:val="000000"/>
                <w:kern w:val="0"/>
                <w:sz w:val="24"/>
                <w:szCs w:val="24"/>
              </w:rPr>
              <w:t>当年绩效目标</w:t>
            </w:r>
          </w:p>
        </w:tc>
        <w:tc>
          <w:tcPr>
            <w:tcW w:w="2186" w:type="dxa"/>
            <w:gridSpan w:val="5"/>
            <w:tcBorders>
              <w:top w:val="single" w:color="auto" w:sz="4" w:space="0"/>
              <w:left w:val="nil"/>
              <w:bottom w:val="single" w:color="auto" w:sz="4" w:space="0"/>
              <w:right w:val="single" w:color="000000" w:sz="4" w:space="0"/>
            </w:tcBorders>
            <w:vAlign w:val="center"/>
          </w:tcPr>
          <w:p>
            <w:pPr>
              <w:widowControl/>
              <w:spacing w:line="520" w:lineRule="exact"/>
              <w:jc w:val="center"/>
              <w:rPr>
                <w:color w:val="000000"/>
                <w:kern w:val="0"/>
                <w:sz w:val="24"/>
                <w:szCs w:val="24"/>
              </w:rPr>
            </w:pPr>
            <w:r>
              <w:rPr>
                <w:color w:val="000000"/>
                <w:kern w:val="0"/>
                <w:sz w:val="24"/>
                <w:szCs w:val="24"/>
              </w:rPr>
              <w:t>年初绩效目标</w:t>
            </w:r>
          </w:p>
        </w:tc>
        <w:tc>
          <w:tcPr>
            <w:tcW w:w="3187" w:type="dxa"/>
            <w:gridSpan w:val="7"/>
            <w:tcBorders>
              <w:top w:val="single" w:color="auto" w:sz="4" w:space="0"/>
              <w:left w:val="nil"/>
              <w:bottom w:val="single" w:color="auto" w:sz="4" w:space="0"/>
              <w:right w:val="single" w:color="000000" w:sz="4" w:space="0"/>
            </w:tcBorders>
            <w:vAlign w:val="center"/>
          </w:tcPr>
          <w:p>
            <w:pPr>
              <w:widowControl/>
              <w:spacing w:line="520" w:lineRule="exact"/>
              <w:jc w:val="center"/>
              <w:rPr>
                <w:color w:val="000000"/>
                <w:kern w:val="0"/>
                <w:sz w:val="24"/>
                <w:szCs w:val="24"/>
              </w:rPr>
            </w:pPr>
            <w:r>
              <w:rPr>
                <w:color w:val="000000"/>
                <w:kern w:val="0"/>
                <w:sz w:val="24"/>
                <w:szCs w:val="24"/>
              </w:rPr>
              <w:t>全年（调整）绩效目标</w:t>
            </w:r>
          </w:p>
        </w:tc>
        <w:tc>
          <w:tcPr>
            <w:tcW w:w="3667" w:type="dxa"/>
            <w:gridSpan w:val="4"/>
            <w:tcBorders>
              <w:top w:val="single" w:color="auto" w:sz="4" w:space="0"/>
              <w:left w:val="nil"/>
              <w:bottom w:val="single" w:color="auto" w:sz="4" w:space="0"/>
              <w:right w:val="single" w:color="000000" w:sz="4" w:space="0"/>
            </w:tcBorders>
            <w:vAlign w:val="center"/>
          </w:tcPr>
          <w:p>
            <w:pPr>
              <w:widowControl/>
              <w:spacing w:line="520" w:lineRule="exact"/>
              <w:jc w:val="center"/>
              <w:rPr>
                <w:color w:val="000000"/>
                <w:kern w:val="0"/>
                <w:sz w:val="24"/>
                <w:szCs w:val="24"/>
              </w:rPr>
            </w:pPr>
            <w:r>
              <w:rPr>
                <w:color w:val="000000"/>
                <w:kern w:val="0"/>
                <w:sz w:val="24"/>
                <w:szCs w:val="24"/>
              </w:rPr>
              <w:t>全年目标实际完成情况</w:t>
            </w:r>
          </w:p>
        </w:tc>
      </w:tr>
      <w:tr>
        <w:tblPrEx>
          <w:tblCellMar>
            <w:top w:w="0" w:type="dxa"/>
            <w:left w:w="108" w:type="dxa"/>
            <w:bottom w:w="0" w:type="dxa"/>
            <w:right w:w="108" w:type="dxa"/>
          </w:tblCellMar>
        </w:tblPrEx>
        <w:trPr>
          <w:trHeight w:val="712" w:hRule="atLeast"/>
        </w:trPr>
        <w:tc>
          <w:tcPr>
            <w:tcW w:w="953" w:type="dxa"/>
            <w:vMerge w:val="continue"/>
            <w:tcBorders>
              <w:top w:val="nil"/>
              <w:left w:val="single" w:color="auto" w:sz="4" w:space="0"/>
              <w:bottom w:val="single" w:color="auto" w:sz="4" w:space="0"/>
              <w:right w:val="single" w:color="auto" w:sz="4" w:space="0"/>
            </w:tcBorders>
            <w:vAlign w:val="center"/>
          </w:tcPr>
          <w:p>
            <w:pPr>
              <w:widowControl/>
              <w:spacing w:line="520" w:lineRule="exact"/>
              <w:rPr>
                <w:color w:val="000000"/>
                <w:kern w:val="0"/>
                <w:sz w:val="24"/>
                <w:szCs w:val="24"/>
              </w:rPr>
            </w:pPr>
          </w:p>
        </w:tc>
        <w:tc>
          <w:tcPr>
            <w:tcW w:w="2186" w:type="dxa"/>
            <w:gridSpan w:val="5"/>
            <w:tcBorders>
              <w:top w:val="single" w:color="auto" w:sz="4" w:space="0"/>
              <w:left w:val="nil"/>
              <w:bottom w:val="single" w:color="auto" w:sz="4" w:space="0"/>
              <w:right w:val="single" w:color="000000" w:sz="4" w:space="0"/>
            </w:tcBorders>
            <w:vAlign w:val="center"/>
          </w:tcPr>
          <w:p>
            <w:pPr>
              <w:ind w:firstLine="420" w:firstLineChars="200"/>
              <w:rPr>
                <w:sz w:val="21"/>
                <w:szCs w:val="21"/>
              </w:rPr>
            </w:pPr>
            <w:r>
              <w:rPr>
                <w:rFonts w:ascii="方正仿宋_GBK" w:hAnsi="方正仿宋_GBK" w:cs="方正仿宋_GBK"/>
                <w:color w:val="000000"/>
                <w:sz w:val="21"/>
                <w:szCs w:val="21"/>
              </w:rPr>
              <w:t>县档案馆为公益一类事业单位，隶属县委办公室管理，实行档案、党史、地方志三合一，分别对接市档案馆、市委党史办和市政府地方志办公室。</w:t>
            </w:r>
            <w:r>
              <w:rPr>
                <w:rFonts w:hint="eastAsia" w:ascii="方正仿宋_GBK" w:hAnsi="方正仿宋_GBK" w:cs="方正仿宋_GBK"/>
                <w:color w:val="000000" w:themeColor="text1"/>
                <w:sz w:val="21"/>
                <w:szCs w:val="21"/>
              </w:rPr>
              <w:t>主要为接收、征集和管理县级党政机关、人民团体、县直属单位及部分企事业单位的重要档案资料和有关城口县历史的档案资料；负责党史和县志的编纂；开展档案、党史、地方志的研究以及资源开发、信息开放；依法向社会开放档案信息资源，为社会利用档案资源提供服务。</w:t>
            </w:r>
          </w:p>
        </w:tc>
        <w:tc>
          <w:tcPr>
            <w:tcW w:w="3187" w:type="dxa"/>
            <w:gridSpan w:val="7"/>
            <w:tcBorders>
              <w:top w:val="single" w:color="auto" w:sz="4" w:space="0"/>
              <w:left w:val="nil"/>
              <w:bottom w:val="single" w:color="auto" w:sz="4" w:space="0"/>
              <w:right w:val="single" w:color="000000" w:sz="4" w:space="0"/>
            </w:tcBorders>
            <w:vAlign w:val="center"/>
          </w:tcPr>
          <w:p>
            <w:pPr>
              <w:widowControl/>
              <w:spacing w:line="520" w:lineRule="exact"/>
              <w:ind w:firstLine="420" w:firstLineChars="200"/>
              <w:rPr>
                <w:color w:val="000000"/>
                <w:kern w:val="0"/>
                <w:sz w:val="24"/>
                <w:szCs w:val="24"/>
              </w:rPr>
            </w:pPr>
            <w:r>
              <w:rPr>
                <w:rFonts w:ascii="方正仿宋_GBK" w:hAnsi="方正仿宋_GBK" w:cs="方正仿宋_GBK"/>
                <w:color w:val="000000"/>
                <w:sz w:val="21"/>
                <w:szCs w:val="21"/>
              </w:rPr>
              <w:t>县档案馆为公益一类事业单位，隶属县委办公室管理，实行档案、党史、地方志三合一，分别对接市档案馆、市委党史办和市政府地方志办公室。</w:t>
            </w:r>
            <w:r>
              <w:rPr>
                <w:rFonts w:hint="eastAsia" w:ascii="方正仿宋_GBK" w:hAnsi="方正仿宋_GBK" w:cs="方正仿宋_GBK"/>
                <w:color w:val="000000" w:themeColor="text1"/>
                <w:sz w:val="21"/>
                <w:szCs w:val="21"/>
              </w:rPr>
              <w:t>主要为接收、征集和管理县级党政机关、人民团体、县直属单位及部分企事业单位的重要档案资料和有关城口县历史的档案资料；负责党史和县志的编纂；开展档案、党史、地方志的研究以及资源开发、信息开放；依法向社会开放档案信息资源，为社会利用档案资源提供服务。</w:t>
            </w:r>
          </w:p>
        </w:tc>
        <w:tc>
          <w:tcPr>
            <w:tcW w:w="3667" w:type="dxa"/>
            <w:gridSpan w:val="4"/>
            <w:tcBorders>
              <w:top w:val="single" w:color="auto" w:sz="4" w:space="0"/>
              <w:left w:val="nil"/>
              <w:bottom w:val="single" w:color="auto" w:sz="4" w:space="0"/>
              <w:right w:val="single" w:color="000000" w:sz="4" w:space="0"/>
            </w:tcBorders>
            <w:vAlign w:val="center"/>
          </w:tcPr>
          <w:p>
            <w:pPr>
              <w:ind w:firstLine="420" w:firstLineChars="200"/>
              <w:rPr>
                <w:sz w:val="21"/>
                <w:szCs w:val="21"/>
              </w:rPr>
            </w:pPr>
            <w:r>
              <w:rPr>
                <w:rFonts w:hint="eastAsia" w:ascii="方正仿宋_GBK"/>
                <w:color w:val="000000" w:themeColor="text1"/>
                <w:sz w:val="21"/>
                <w:szCs w:val="21"/>
              </w:rPr>
              <w:t>现馆藏档案共计17万卷，对接收进馆的档案均制定了馆藏档案《全宗名册》。稳妥推进档案利用，累计接待档案查阅利用者2.5万余人次，提供档案查阅6.5万卷，14万件，摘抄复制页25万余张，加快档案数字化建设，已完成</w:t>
            </w:r>
            <w:r>
              <w:rPr>
                <w:rFonts w:hint="eastAsia" w:ascii="方正仿宋_GBK"/>
                <w:color w:val="000000" w:themeColor="text1"/>
                <w:sz w:val="21"/>
                <w:szCs w:val="21"/>
                <w:lang w:eastAsia="zh-CN"/>
              </w:rPr>
              <w:t>新中国成立</w:t>
            </w:r>
            <w:r>
              <w:rPr>
                <w:rFonts w:hint="eastAsia" w:ascii="方正仿宋_GBK"/>
                <w:color w:val="000000" w:themeColor="text1"/>
                <w:sz w:val="21"/>
                <w:szCs w:val="21"/>
              </w:rPr>
              <w:t>后馆藏档案80%的数字化扫描工作，共计900余万页。</w:t>
            </w:r>
            <w:r>
              <w:rPr>
                <w:rFonts w:hint="eastAsia" w:ascii="方正仿宋_GBK" w:hAnsi="方正仿宋_GBK" w:cs="方正仿宋_GBK"/>
                <w:sz w:val="21"/>
                <w:szCs w:val="21"/>
              </w:rPr>
              <w:t>完成了年度党史大事记资料、图片的收集和整理，编辑出版《中国共产党城口县历史大事记（1928-2006）》；打造党史教育阵地，营造浓厚氛围，向部门、乡镇街道赠送书籍，引导全县学习了解城口红色文化，与城口融媒体中心一起在《掌上城口》栏目上发布“党史上的今天.城口”400余条，对城口党史进行宣传。积极配合县委宣传部、县教委、团县委、各中小学等单位进行地方党史宣传，为中小学讲述“红色故事”把脉把关。征集脱贫攻坚工作经验专题档案文献资料100页，完成《脱贫攻坚口述史》资料5篇，编辑出版《脱贫攻坚大事记》10万余字，总结脱贫工作和全面建成小康社会的历史和实践经验；深入挖掘历史，编辑出版《图说城口党史》《口述城口党史》,为建党100周年献礼。《城口年鉴》2016-2021年卷共6本年鉴的编辑发行工作全部完成，城口县第二轮县志（1991年-2005年）公开出版发行，</w:t>
            </w:r>
            <w:r>
              <w:rPr>
                <w:rFonts w:hint="eastAsia" w:ascii="方正仿宋_GBK"/>
                <w:color w:val="000000" w:themeColor="text1"/>
                <w:sz w:val="21"/>
                <w:szCs w:val="21"/>
              </w:rPr>
              <w:t>圆满完成国务院“两全目标”，并</w:t>
            </w:r>
            <w:r>
              <w:rPr>
                <w:rFonts w:hint="eastAsia" w:ascii="方正仿宋_GBK" w:hAnsi="方正仿宋_GBK" w:cs="方正仿宋_GBK"/>
                <w:color w:val="000000"/>
                <w:kern w:val="0"/>
                <w:sz w:val="21"/>
                <w:szCs w:val="21"/>
                <w:shd w:val="clear" w:color="auto" w:fill="FFFFFF"/>
              </w:rPr>
              <w:t>启动2022年卷大纲编纂工作；</w:t>
            </w:r>
            <w:r>
              <w:rPr>
                <w:rFonts w:hint="eastAsia" w:ascii="方正仿宋_GBK" w:hAnsi="方正仿宋_GBK" w:cs="方正仿宋_GBK"/>
                <w:sz w:val="21"/>
                <w:szCs w:val="21"/>
              </w:rPr>
              <w:t>参与城口县全国第二次地名普查工作，完成地名普查评审；2021年，</w:t>
            </w:r>
            <w:r>
              <w:rPr>
                <w:rFonts w:hint="eastAsia" w:ascii="方正仿宋_GBK" w:hAnsi="方正仿宋_GBK" w:cs="方正仿宋_GBK"/>
                <w:color w:val="000000"/>
                <w:kern w:val="0"/>
                <w:sz w:val="21"/>
                <w:szCs w:val="21"/>
                <w:shd w:val="clear" w:color="auto" w:fill="FFFFFF"/>
              </w:rPr>
              <w:t>市志办将《城口厅志》作为全市36部优秀方志之一，纳入点校出版计划，并要求在2023年3月前完成点校和审查验收，目前我们已经完成专家点校评审工作，下阶段我馆将按照市志办总体目标，在2023年3月前高质量完成《城口厅志》的点校、审查验收工作。</w:t>
            </w:r>
          </w:p>
        </w:tc>
      </w:tr>
      <w:tr>
        <w:tblPrEx>
          <w:tblCellMar>
            <w:top w:w="0" w:type="dxa"/>
            <w:left w:w="108" w:type="dxa"/>
            <w:bottom w:w="0" w:type="dxa"/>
            <w:right w:w="108" w:type="dxa"/>
          </w:tblCellMar>
        </w:tblPrEx>
        <w:trPr>
          <w:trHeight w:val="575" w:hRule="atLeast"/>
        </w:trPr>
        <w:tc>
          <w:tcPr>
            <w:tcW w:w="953" w:type="dxa"/>
            <w:vMerge w:val="restart"/>
            <w:tcBorders>
              <w:top w:val="nil"/>
              <w:left w:val="single" w:color="auto" w:sz="4" w:space="0"/>
              <w:bottom w:val="single" w:color="auto" w:sz="4" w:space="0"/>
              <w:right w:val="single" w:color="auto" w:sz="4" w:space="0"/>
            </w:tcBorders>
            <w:textDirection w:val="tbRlV"/>
            <w:vAlign w:val="center"/>
          </w:tcPr>
          <w:p>
            <w:pPr>
              <w:widowControl/>
              <w:spacing w:line="520" w:lineRule="exact"/>
              <w:jc w:val="center"/>
              <w:rPr>
                <w:color w:val="000000"/>
                <w:kern w:val="0"/>
                <w:sz w:val="24"/>
                <w:szCs w:val="24"/>
              </w:rPr>
            </w:pPr>
            <w:r>
              <w:rPr>
                <w:color w:val="000000"/>
                <w:kern w:val="0"/>
                <w:sz w:val="24"/>
                <w:szCs w:val="24"/>
              </w:rPr>
              <w:t>绩效指标</w:t>
            </w:r>
          </w:p>
        </w:tc>
        <w:tc>
          <w:tcPr>
            <w:tcW w:w="732" w:type="dxa"/>
            <w:tcBorders>
              <w:top w:val="nil"/>
              <w:left w:val="nil"/>
              <w:bottom w:val="single" w:color="auto" w:sz="4" w:space="0"/>
              <w:right w:val="nil"/>
            </w:tcBorders>
            <w:vAlign w:val="center"/>
          </w:tcPr>
          <w:p>
            <w:pPr>
              <w:widowControl/>
              <w:spacing w:line="520" w:lineRule="exact"/>
              <w:jc w:val="center"/>
              <w:rPr>
                <w:color w:val="000000"/>
                <w:kern w:val="0"/>
                <w:sz w:val="24"/>
                <w:szCs w:val="24"/>
              </w:rPr>
            </w:pPr>
            <w:r>
              <w:rPr>
                <w:color w:val="000000"/>
                <w:kern w:val="0"/>
                <w:sz w:val="24"/>
                <w:szCs w:val="24"/>
              </w:rPr>
              <w:t>指标</w:t>
            </w:r>
          </w:p>
          <w:p>
            <w:pPr>
              <w:widowControl/>
              <w:spacing w:line="520" w:lineRule="exact"/>
              <w:jc w:val="center"/>
              <w:rPr>
                <w:color w:val="000000"/>
                <w:kern w:val="0"/>
                <w:sz w:val="24"/>
                <w:szCs w:val="24"/>
              </w:rPr>
            </w:pPr>
            <w:r>
              <w:rPr>
                <w:color w:val="000000"/>
                <w:kern w:val="0"/>
                <w:sz w:val="24"/>
                <w:szCs w:val="24"/>
              </w:rPr>
              <w:t>名称</w:t>
            </w:r>
          </w:p>
        </w:tc>
        <w:tc>
          <w:tcPr>
            <w:tcW w:w="705" w:type="dxa"/>
            <w:gridSpan w:val="3"/>
            <w:tcBorders>
              <w:top w:val="nil"/>
              <w:left w:val="single" w:color="auto" w:sz="4" w:space="0"/>
              <w:bottom w:val="single" w:color="auto" w:sz="4" w:space="0"/>
              <w:right w:val="single" w:color="auto" w:sz="4" w:space="0"/>
            </w:tcBorders>
            <w:vAlign w:val="center"/>
          </w:tcPr>
          <w:p>
            <w:pPr>
              <w:widowControl/>
              <w:spacing w:line="520" w:lineRule="exact"/>
              <w:jc w:val="center"/>
              <w:rPr>
                <w:color w:val="000000"/>
                <w:kern w:val="0"/>
                <w:sz w:val="24"/>
                <w:szCs w:val="24"/>
              </w:rPr>
            </w:pPr>
            <w:r>
              <w:rPr>
                <w:color w:val="000000"/>
                <w:kern w:val="0"/>
                <w:sz w:val="24"/>
                <w:szCs w:val="24"/>
              </w:rPr>
              <w:t>计量</w:t>
            </w:r>
          </w:p>
          <w:p>
            <w:pPr>
              <w:widowControl/>
              <w:spacing w:line="520" w:lineRule="exact"/>
              <w:jc w:val="center"/>
              <w:rPr>
                <w:color w:val="000000"/>
                <w:kern w:val="0"/>
                <w:sz w:val="24"/>
                <w:szCs w:val="24"/>
              </w:rPr>
            </w:pPr>
            <w:r>
              <w:rPr>
                <w:color w:val="000000"/>
                <w:kern w:val="0"/>
                <w:sz w:val="24"/>
                <w:szCs w:val="24"/>
              </w:rPr>
              <w:t>单位</w:t>
            </w:r>
          </w:p>
        </w:tc>
        <w:tc>
          <w:tcPr>
            <w:tcW w:w="749" w:type="dxa"/>
            <w:tcBorders>
              <w:top w:val="nil"/>
              <w:left w:val="nil"/>
              <w:bottom w:val="single" w:color="auto" w:sz="4" w:space="0"/>
              <w:right w:val="single" w:color="auto" w:sz="4" w:space="0"/>
            </w:tcBorders>
            <w:vAlign w:val="center"/>
          </w:tcPr>
          <w:p>
            <w:pPr>
              <w:widowControl/>
              <w:spacing w:line="520" w:lineRule="exact"/>
              <w:jc w:val="center"/>
              <w:rPr>
                <w:color w:val="000000"/>
                <w:kern w:val="0"/>
                <w:sz w:val="24"/>
                <w:szCs w:val="24"/>
              </w:rPr>
            </w:pPr>
            <w:r>
              <w:rPr>
                <w:color w:val="000000"/>
                <w:kern w:val="0"/>
                <w:sz w:val="24"/>
                <w:szCs w:val="24"/>
              </w:rPr>
              <w:t>指标</w:t>
            </w:r>
          </w:p>
          <w:p>
            <w:pPr>
              <w:widowControl/>
              <w:spacing w:line="520" w:lineRule="exact"/>
              <w:jc w:val="center"/>
              <w:rPr>
                <w:color w:val="000000"/>
                <w:kern w:val="0"/>
                <w:sz w:val="24"/>
                <w:szCs w:val="24"/>
              </w:rPr>
            </w:pPr>
            <w:r>
              <w:rPr>
                <w:color w:val="000000"/>
                <w:kern w:val="0"/>
                <w:sz w:val="24"/>
                <w:szCs w:val="24"/>
              </w:rPr>
              <w:t>性质</w:t>
            </w:r>
          </w:p>
        </w:tc>
        <w:tc>
          <w:tcPr>
            <w:tcW w:w="706" w:type="dxa"/>
            <w:tcBorders>
              <w:top w:val="nil"/>
              <w:left w:val="nil"/>
              <w:bottom w:val="single" w:color="auto" w:sz="4" w:space="0"/>
              <w:right w:val="single" w:color="auto" w:sz="4" w:space="0"/>
            </w:tcBorders>
            <w:vAlign w:val="center"/>
          </w:tcPr>
          <w:p>
            <w:pPr>
              <w:widowControl/>
              <w:spacing w:line="520" w:lineRule="exact"/>
              <w:jc w:val="center"/>
              <w:rPr>
                <w:color w:val="000000"/>
                <w:kern w:val="0"/>
                <w:sz w:val="24"/>
                <w:szCs w:val="24"/>
              </w:rPr>
            </w:pPr>
            <w:r>
              <w:rPr>
                <w:color w:val="000000"/>
                <w:kern w:val="0"/>
                <w:sz w:val="24"/>
                <w:szCs w:val="24"/>
              </w:rPr>
              <w:t>年初</w:t>
            </w:r>
          </w:p>
          <w:p>
            <w:pPr>
              <w:widowControl/>
              <w:spacing w:line="520" w:lineRule="exact"/>
              <w:jc w:val="center"/>
              <w:rPr>
                <w:color w:val="000000"/>
                <w:kern w:val="0"/>
                <w:sz w:val="24"/>
                <w:szCs w:val="24"/>
              </w:rPr>
            </w:pPr>
            <w:r>
              <w:rPr>
                <w:color w:val="000000"/>
                <w:kern w:val="0"/>
                <w:sz w:val="24"/>
                <w:szCs w:val="24"/>
              </w:rPr>
              <w:t>指标</w:t>
            </w:r>
          </w:p>
          <w:p>
            <w:pPr>
              <w:widowControl/>
              <w:spacing w:line="520" w:lineRule="exact"/>
              <w:jc w:val="center"/>
              <w:rPr>
                <w:color w:val="000000"/>
                <w:kern w:val="0"/>
                <w:sz w:val="24"/>
                <w:szCs w:val="24"/>
              </w:rPr>
            </w:pPr>
            <w:r>
              <w:rPr>
                <w:color w:val="000000"/>
                <w:kern w:val="0"/>
                <w:sz w:val="24"/>
                <w:szCs w:val="24"/>
              </w:rPr>
              <w:t>值</w:t>
            </w:r>
          </w:p>
        </w:tc>
        <w:tc>
          <w:tcPr>
            <w:tcW w:w="753" w:type="dxa"/>
            <w:gridSpan w:val="2"/>
            <w:tcBorders>
              <w:top w:val="nil"/>
              <w:left w:val="nil"/>
              <w:bottom w:val="single" w:color="auto" w:sz="4" w:space="0"/>
              <w:right w:val="single" w:color="auto" w:sz="4" w:space="0"/>
            </w:tcBorders>
            <w:vAlign w:val="center"/>
          </w:tcPr>
          <w:p>
            <w:pPr>
              <w:widowControl/>
              <w:spacing w:line="520" w:lineRule="exact"/>
              <w:jc w:val="center"/>
              <w:rPr>
                <w:color w:val="000000"/>
                <w:kern w:val="0"/>
                <w:sz w:val="24"/>
                <w:szCs w:val="24"/>
              </w:rPr>
            </w:pPr>
            <w:r>
              <w:rPr>
                <w:color w:val="000000"/>
                <w:kern w:val="0"/>
                <w:sz w:val="24"/>
                <w:szCs w:val="24"/>
              </w:rPr>
              <w:t>调整</w:t>
            </w:r>
          </w:p>
          <w:p>
            <w:pPr>
              <w:widowControl/>
              <w:spacing w:line="520" w:lineRule="exact"/>
              <w:jc w:val="center"/>
              <w:rPr>
                <w:color w:val="000000"/>
                <w:kern w:val="0"/>
                <w:sz w:val="24"/>
                <w:szCs w:val="24"/>
              </w:rPr>
            </w:pPr>
            <w:r>
              <w:rPr>
                <w:color w:val="000000"/>
                <w:kern w:val="0"/>
                <w:sz w:val="24"/>
                <w:szCs w:val="24"/>
              </w:rPr>
              <w:t>指标</w:t>
            </w:r>
          </w:p>
          <w:p>
            <w:pPr>
              <w:widowControl/>
              <w:spacing w:line="520" w:lineRule="exact"/>
              <w:jc w:val="center"/>
              <w:rPr>
                <w:color w:val="000000"/>
                <w:kern w:val="0"/>
                <w:sz w:val="24"/>
                <w:szCs w:val="24"/>
              </w:rPr>
            </w:pPr>
            <w:r>
              <w:rPr>
                <w:color w:val="000000"/>
                <w:kern w:val="0"/>
                <w:sz w:val="24"/>
                <w:szCs w:val="24"/>
              </w:rPr>
              <w:t>值</w:t>
            </w:r>
          </w:p>
        </w:tc>
        <w:tc>
          <w:tcPr>
            <w:tcW w:w="799" w:type="dxa"/>
            <w:gridSpan w:val="3"/>
            <w:tcBorders>
              <w:top w:val="nil"/>
              <w:left w:val="nil"/>
              <w:bottom w:val="single" w:color="auto" w:sz="4" w:space="0"/>
              <w:right w:val="single" w:color="auto" w:sz="4" w:space="0"/>
            </w:tcBorders>
            <w:vAlign w:val="center"/>
          </w:tcPr>
          <w:p>
            <w:pPr>
              <w:widowControl/>
              <w:spacing w:line="520" w:lineRule="exact"/>
              <w:jc w:val="center"/>
              <w:rPr>
                <w:color w:val="000000"/>
                <w:kern w:val="0"/>
                <w:sz w:val="24"/>
                <w:szCs w:val="24"/>
              </w:rPr>
            </w:pPr>
            <w:r>
              <w:rPr>
                <w:color w:val="000000"/>
                <w:kern w:val="0"/>
                <w:sz w:val="24"/>
                <w:szCs w:val="24"/>
              </w:rPr>
              <w:t>全年</w:t>
            </w:r>
          </w:p>
          <w:p>
            <w:pPr>
              <w:widowControl/>
              <w:spacing w:line="520" w:lineRule="exact"/>
              <w:jc w:val="center"/>
              <w:rPr>
                <w:color w:val="000000"/>
                <w:kern w:val="0"/>
                <w:sz w:val="24"/>
                <w:szCs w:val="24"/>
              </w:rPr>
            </w:pPr>
            <w:r>
              <w:rPr>
                <w:color w:val="000000"/>
                <w:kern w:val="0"/>
                <w:sz w:val="24"/>
                <w:szCs w:val="24"/>
              </w:rPr>
              <w:t>完成</w:t>
            </w:r>
          </w:p>
          <w:p>
            <w:pPr>
              <w:widowControl/>
              <w:spacing w:line="520" w:lineRule="exact"/>
              <w:jc w:val="center"/>
              <w:rPr>
                <w:color w:val="000000"/>
                <w:kern w:val="0"/>
                <w:sz w:val="24"/>
                <w:szCs w:val="24"/>
              </w:rPr>
            </w:pPr>
            <w:r>
              <w:rPr>
                <w:color w:val="000000"/>
                <w:kern w:val="0"/>
                <w:sz w:val="24"/>
                <w:szCs w:val="24"/>
              </w:rPr>
              <w:t>值</w:t>
            </w:r>
          </w:p>
        </w:tc>
        <w:tc>
          <w:tcPr>
            <w:tcW w:w="929" w:type="dxa"/>
            <w:tcBorders>
              <w:top w:val="nil"/>
              <w:left w:val="nil"/>
              <w:bottom w:val="single" w:color="auto" w:sz="4" w:space="0"/>
              <w:right w:val="single" w:color="auto" w:sz="4" w:space="0"/>
            </w:tcBorders>
            <w:vAlign w:val="center"/>
          </w:tcPr>
          <w:p>
            <w:pPr>
              <w:widowControl/>
              <w:spacing w:line="520" w:lineRule="exact"/>
              <w:jc w:val="center"/>
              <w:rPr>
                <w:color w:val="000000"/>
                <w:kern w:val="0"/>
                <w:sz w:val="24"/>
                <w:szCs w:val="24"/>
              </w:rPr>
            </w:pPr>
            <w:r>
              <w:rPr>
                <w:color w:val="000000"/>
                <w:kern w:val="0"/>
                <w:sz w:val="24"/>
                <w:szCs w:val="24"/>
              </w:rPr>
              <w:t>得分</w:t>
            </w:r>
          </w:p>
          <w:p>
            <w:pPr>
              <w:widowControl/>
              <w:spacing w:line="520" w:lineRule="exact"/>
              <w:jc w:val="center"/>
              <w:rPr>
                <w:color w:val="000000"/>
                <w:kern w:val="0"/>
                <w:sz w:val="24"/>
                <w:szCs w:val="24"/>
              </w:rPr>
            </w:pPr>
            <w:r>
              <w:rPr>
                <w:color w:val="000000"/>
                <w:kern w:val="0"/>
                <w:sz w:val="24"/>
                <w:szCs w:val="24"/>
              </w:rPr>
              <w:t>系数</w:t>
            </w:r>
          </w:p>
          <w:p>
            <w:pPr>
              <w:widowControl/>
              <w:spacing w:line="520" w:lineRule="exact"/>
              <w:jc w:val="center"/>
              <w:rPr>
                <w:color w:val="000000"/>
                <w:kern w:val="0"/>
                <w:sz w:val="24"/>
                <w:szCs w:val="24"/>
              </w:rPr>
            </w:pPr>
            <w:r>
              <w:rPr>
                <w:color w:val="000000"/>
                <w:kern w:val="0"/>
                <w:sz w:val="24"/>
                <w:szCs w:val="24"/>
              </w:rPr>
              <w:t>（%）</w:t>
            </w:r>
          </w:p>
        </w:tc>
        <w:tc>
          <w:tcPr>
            <w:tcW w:w="1496" w:type="dxa"/>
            <w:gridSpan w:val="2"/>
            <w:tcBorders>
              <w:top w:val="nil"/>
              <w:left w:val="nil"/>
              <w:bottom w:val="single" w:color="auto" w:sz="4" w:space="0"/>
              <w:right w:val="single" w:color="auto" w:sz="4" w:space="0"/>
            </w:tcBorders>
            <w:vAlign w:val="center"/>
          </w:tcPr>
          <w:p>
            <w:pPr>
              <w:widowControl/>
              <w:spacing w:line="520" w:lineRule="exact"/>
              <w:jc w:val="center"/>
              <w:rPr>
                <w:color w:val="000000"/>
                <w:kern w:val="0"/>
                <w:sz w:val="24"/>
                <w:szCs w:val="24"/>
              </w:rPr>
            </w:pPr>
            <w:r>
              <w:rPr>
                <w:color w:val="000000"/>
                <w:kern w:val="0"/>
                <w:sz w:val="24"/>
                <w:szCs w:val="24"/>
              </w:rPr>
              <w:t>指标权重</w:t>
            </w:r>
          </w:p>
          <w:p>
            <w:pPr>
              <w:widowControl/>
              <w:spacing w:line="520" w:lineRule="exact"/>
              <w:jc w:val="center"/>
              <w:rPr>
                <w:color w:val="000000"/>
                <w:kern w:val="0"/>
                <w:sz w:val="24"/>
                <w:szCs w:val="24"/>
              </w:rPr>
            </w:pPr>
            <w:r>
              <w:rPr>
                <w:color w:val="000000"/>
                <w:kern w:val="0"/>
                <w:sz w:val="24"/>
                <w:szCs w:val="24"/>
              </w:rPr>
              <w:t>（分）</w:t>
            </w:r>
          </w:p>
        </w:tc>
        <w:tc>
          <w:tcPr>
            <w:tcW w:w="968" w:type="dxa"/>
            <w:tcBorders>
              <w:top w:val="nil"/>
              <w:left w:val="nil"/>
              <w:bottom w:val="single" w:color="auto" w:sz="4" w:space="0"/>
              <w:right w:val="single" w:color="auto" w:sz="4" w:space="0"/>
            </w:tcBorders>
            <w:vAlign w:val="center"/>
          </w:tcPr>
          <w:p>
            <w:pPr>
              <w:widowControl/>
              <w:spacing w:line="520" w:lineRule="exact"/>
              <w:jc w:val="center"/>
              <w:rPr>
                <w:color w:val="000000"/>
                <w:kern w:val="0"/>
                <w:sz w:val="24"/>
                <w:szCs w:val="24"/>
              </w:rPr>
            </w:pPr>
            <w:r>
              <w:rPr>
                <w:color w:val="000000"/>
                <w:kern w:val="0"/>
                <w:sz w:val="24"/>
                <w:szCs w:val="24"/>
              </w:rPr>
              <w:t>指标</w:t>
            </w:r>
          </w:p>
          <w:p>
            <w:pPr>
              <w:widowControl/>
              <w:spacing w:line="520" w:lineRule="exact"/>
              <w:jc w:val="center"/>
              <w:rPr>
                <w:color w:val="000000"/>
                <w:kern w:val="0"/>
                <w:sz w:val="24"/>
                <w:szCs w:val="24"/>
              </w:rPr>
            </w:pPr>
            <w:r>
              <w:rPr>
                <w:color w:val="000000"/>
                <w:kern w:val="0"/>
                <w:sz w:val="24"/>
                <w:szCs w:val="24"/>
              </w:rPr>
              <w:t>得分</w:t>
            </w:r>
          </w:p>
          <w:p>
            <w:pPr>
              <w:widowControl/>
              <w:spacing w:line="520" w:lineRule="exact"/>
              <w:jc w:val="center"/>
              <w:rPr>
                <w:color w:val="000000"/>
                <w:kern w:val="0"/>
                <w:sz w:val="24"/>
                <w:szCs w:val="24"/>
              </w:rPr>
            </w:pPr>
            <w:r>
              <w:rPr>
                <w:color w:val="000000"/>
                <w:kern w:val="0"/>
                <w:sz w:val="24"/>
                <w:szCs w:val="24"/>
              </w:rPr>
              <w:t>（分）</w:t>
            </w:r>
          </w:p>
        </w:tc>
        <w:tc>
          <w:tcPr>
            <w:tcW w:w="1203" w:type="dxa"/>
            <w:tcBorders>
              <w:top w:val="nil"/>
              <w:left w:val="nil"/>
              <w:bottom w:val="single" w:color="auto" w:sz="4" w:space="0"/>
              <w:right w:val="single" w:color="auto" w:sz="4" w:space="0"/>
            </w:tcBorders>
            <w:vAlign w:val="center"/>
          </w:tcPr>
          <w:p>
            <w:pPr>
              <w:widowControl/>
              <w:spacing w:line="520" w:lineRule="exact"/>
              <w:jc w:val="center"/>
              <w:rPr>
                <w:color w:val="000000"/>
                <w:kern w:val="0"/>
                <w:sz w:val="24"/>
                <w:szCs w:val="24"/>
              </w:rPr>
            </w:pPr>
            <w:r>
              <w:rPr>
                <w:color w:val="000000"/>
                <w:kern w:val="0"/>
                <w:sz w:val="24"/>
                <w:szCs w:val="24"/>
              </w:rPr>
              <w:t>是否核心</w:t>
            </w:r>
          </w:p>
          <w:p>
            <w:pPr>
              <w:widowControl/>
              <w:spacing w:line="520" w:lineRule="exact"/>
              <w:jc w:val="center"/>
              <w:rPr>
                <w:color w:val="000000"/>
                <w:kern w:val="0"/>
                <w:sz w:val="24"/>
                <w:szCs w:val="24"/>
              </w:rPr>
            </w:pPr>
            <w:r>
              <w:rPr>
                <w:color w:val="000000"/>
                <w:kern w:val="0"/>
                <w:sz w:val="24"/>
                <w:szCs w:val="24"/>
              </w:rPr>
              <w:t>指标</w:t>
            </w:r>
          </w:p>
        </w:tc>
      </w:tr>
      <w:tr>
        <w:tblPrEx>
          <w:tblCellMar>
            <w:top w:w="0" w:type="dxa"/>
            <w:left w:w="108" w:type="dxa"/>
            <w:bottom w:w="0" w:type="dxa"/>
            <w:right w:w="108" w:type="dxa"/>
          </w:tblCellMar>
        </w:tblPrEx>
        <w:trPr>
          <w:trHeight w:val="500" w:hRule="atLeast"/>
        </w:trPr>
        <w:tc>
          <w:tcPr>
            <w:tcW w:w="953" w:type="dxa"/>
            <w:vMerge w:val="continue"/>
            <w:tcBorders>
              <w:top w:val="nil"/>
              <w:left w:val="single" w:color="auto" w:sz="4" w:space="0"/>
              <w:bottom w:val="single" w:color="auto" w:sz="4" w:space="0"/>
              <w:right w:val="single" w:color="auto" w:sz="4" w:space="0"/>
            </w:tcBorders>
            <w:vAlign w:val="center"/>
          </w:tcPr>
          <w:p>
            <w:pPr>
              <w:widowControl/>
              <w:spacing w:line="520" w:lineRule="exact"/>
              <w:rPr>
                <w:color w:val="000000"/>
                <w:kern w:val="0"/>
                <w:sz w:val="24"/>
                <w:szCs w:val="24"/>
              </w:rPr>
            </w:pPr>
          </w:p>
        </w:tc>
        <w:tc>
          <w:tcPr>
            <w:tcW w:w="732" w:type="dxa"/>
            <w:tcBorders>
              <w:top w:val="nil"/>
              <w:left w:val="nil"/>
              <w:bottom w:val="single" w:color="auto" w:sz="4" w:space="0"/>
              <w:right w:val="nil"/>
            </w:tcBorders>
            <w:vAlign w:val="center"/>
          </w:tcPr>
          <w:p>
            <w:pPr>
              <w:widowControl/>
              <w:spacing w:line="520" w:lineRule="exact"/>
              <w:jc w:val="center"/>
              <w:rPr>
                <w:color w:val="000000"/>
                <w:kern w:val="0"/>
                <w:sz w:val="24"/>
                <w:szCs w:val="24"/>
              </w:rPr>
            </w:pPr>
            <w:r>
              <w:rPr>
                <w:color w:val="000000"/>
                <w:kern w:val="0"/>
                <w:sz w:val="16"/>
                <w:szCs w:val="16"/>
              </w:rPr>
              <w:t>预算执行序时进度</w:t>
            </w:r>
          </w:p>
        </w:tc>
        <w:tc>
          <w:tcPr>
            <w:tcW w:w="705" w:type="dxa"/>
            <w:gridSpan w:val="3"/>
            <w:tcBorders>
              <w:top w:val="nil"/>
              <w:left w:val="single" w:color="auto" w:sz="4" w:space="0"/>
              <w:bottom w:val="single" w:color="auto" w:sz="4" w:space="0"/>
              <w:right w:val="nil"/>
            </w:tcBorders>
            <w:vAlign w:val="center"/>
          </w:tcPr>
          <w:p>
            <w:pPr>
              <w:widowControl/>
              <w:spacing w:line="520" w:lineRule="exact"/>
              <w:jc w:val="center"/>
              <w:rPr>
                <w:color w:val="000000"/>
                <w:kern w:val="0"/>
                <w:sz w:val="24"/>
                <w:szCs w:val="24"/>
              </w:rPr>
            </w:pPr>
            <w:r>
              <w:rPr>
                <w:color w:val="000000"/>
                <w:kern w:val="0"/>
                <w:sz w:val="24"/>
                <w:szCs w:val="24"/>
              </w:rPr>
              <w:t>%</w:t>
            </w:r>
          </w:p>
        </w:tc>
        <w:tc>
          <w:tcPr>
            <w:tcW w:w="749" w:type="dxa"/>
            <w:tcBorders>
              <w:top w:val="nil"/>
              <w:left w:val="single" w:color="auto" w:sz="4" w:space="0"/>
              <w:bottom w:val="single" w:color="auto" w:sz="4" w:space="0"/>
              <w:right w:val="nil"/>
            </w:tcBorders>
            <w:vAlign w:val="center"/>
          </w:tcPr>
          <w:p>
            <w:pPr>
              <w:widowControl/>
              <w:spacing w:line="520" w:lineRule="exact"/>
              <w:jc w:val="center"/>
              <w:rPr>
                <w:color w:val="000000"/>
                <w:kern w:val="0"/>
                <w:sz w:val="24"/>
                <w:szCs w:val="24"/>
              </w:rPr>
            </w:pPr>
            <w:r>
              <w:rPr>
                <w:color w:val="000000"/>
                <w:kern w:val="0"/>
                <w:sz w:val="24"/>
                <w:szCs w:val="24"/>
              </w:rPr>
              <w:t>共性指标</w:t>
            </w:r>
          </w:p>
        </w:tc>
        <w:tc>
          <w:tcPr>
            <w:tcW w:w="706" w:type="dxa"/>
            <w:tcBorders>
              <w:top w:val="nil"/>
              <w:left w:val="single" w:color="auto" w:sz="4" w:space="0"/>
              <w:bottom w:val="single" w:color="auto" w:sz="4" w:space="0"/>
              <w:right w:val="nil"/>
            </w:tcBorders>
            <w:vAlign w:val="center"/>
          </w:tcPr>
          <w:p>
            <w:pPr>
              <w:widowControl/>
              <w:spacing w:line="520" w:lineRule="exact"/>
              <w:jc w:val="center"/>
              <w:rPr>
                <w:color w:val="000000"/>
                <w:kern w:val="0"/>
                <w:sz w:val="24"/>
                <w:szCs w:val="24"/>
              </w:rPr>
            </w:pPr>
            <w:r>
              <w:rPr>
                <w:color w:val="000000"/>
                <w:kern w:val="0"/>
                <w:sz w:val="24"/>
                <w:szCs w:val="24"/>
              </w:rPr>
              <w:t>0</w:t>
            </w:r>
          </w:p>
        </w:tc>
        <w:tc>
          <w:tcPr>
            <w:tcW w:w="753" w:type="dxa"/>
            <w:gridSpan w:val="2"/>
            <w:tcBorders>
              <w:top w:val="nil"/>
              <w:left w:val="single" w:color="auto" w:sz="4" w:space="0"/>
              <w:bottom w:val="single" w:color="auto" w:sz="4" w:space="0"/>
              <w:right w:val="nil"/>
            </w:tcBorders>
            <w:vAlign w:val="center"/>
          </w:tcPr>
          <w:p>
            <w:pPr>
              <w:widowControl/>
              <w:spacing w:line="520" w:lineRule="exact"/>
              <w:jc w:val="center"/>
              <w:rPr>
                <w:color w:val="000000"/>
                <w:kern w:val="0"/>
                <w:sz w:val="24"/>
                <w:szCs w:val="24"/>
              </w:rPr>
            </w:pPr>
            <w:r>
              <w:rPr>
                <w:color w:val="000000"/>
                <w:kern w:val="0"/>
                <w:sz w:val="24"/>
                <w:szCs w:val="24"/>
              </w:rPr>
              <w:t>100</w:t>
            </w:r>
          </w:p>
        </w:tc>
        <w:tc>
          <w:tcPr>
            <w:tcW w:w="799" w:type="dxa"/>
            <w:gridSpan w:val="3"/>
            <w:tcBorders>
              <w:top w:val="nil"/>
              <w:left w:val="single" w:color="auto" w:sz="4" w:space="0"/>
              <w:bottom w:val="single" w:color="auto" w:sz="4" w:space="0"/>
              <w:right w:val="nil"/>
            </w:tcBorders>
            <w:vAlign w:val="center"/>
          </w:tcPr>
          <w:p>
            <w:pPr>
              <w:widowControl/>
              <w:spacing w:line="520" w:lineRule="exact"/>
              <w:jc w:val="center"/>
              <w:rPr>
                <w:color w:val="000000"/>
                <w:kern w:val="0"/>
                <w:sz w:val="24"/>
                <w:szCs w:val="24"/>
              </w:rPr>
            </w:pPr>
            <w:r>
              <w:rPr>
                <w:color w:val="000000"/>
                <w:kern w:val="0"/>
                <w:sz w:val="24"/>
                <w:szCs w:val="24"/>
              </w:rPr>
              <w:t>100</w:t>
            </w:r>
          </w:p>
        </w:tc>
        <w:tc>
          <w:tcPr>
            <w:tcW w:w="929" w:type="dxa"/>
            <w:tcBorders>
              <w:top w:val="nil"/>
              <w:left w:val="single" w:color="auto" w:sz="4" w:space="0"/>
              <w:bottom w:val="single" w:color="auto" w:sz="4" w:space="0"/>
              <w:right w:val="nil"/>
            </w:tcBorders>
            <w:vAlign w:val="center"/>
          </w:tcPr>
          <w:p>
            <w:pPr>
              <w:widowControl/>
              <w:spacing w:line="520" w:lineRule="exact"/>
              <w:jc w:val="center"/>
              <w:rPr>
                <w:color w:val="000000"/>
                <w:kern w:val="0"/>
                <w:sz w:val="24"/>
                <w:szCs w:val="24"/>
              </w:rPr>
            </w:pPr>
            <w:r>
              <w:rPr>
                <w:color w:val="000000"/>
                <w:kern w:val="0"/>
                <w:sz w:val="24"/>
                <w:szCs w:val="24"/>
              </w:rPr>
              <w:t>100</w:t>
            </w:r>
          </w:p>
        </w:tc>
        <w:tc>
          <w:tcPr>
            <w:tcW w:w="1496" w:type="dxa"/>
            <w:gridSpan w:val="2"/>
            <w:tcBorders>
              <w:top w:val="nil"/>
              <w:left w:val="single" w:color="auto" w:sz="4" w:space="0"/>
              <w:bottom w:val="single" w:color="auto" w:sz="4" w:space="0"/>
              <w:right w:val="nil"/>
            </w:tcBorders>
            <w:vAlign w:val="center"/>
          </w:tcPr>
          <w:p>
            <w:pPr>
              <w:widowControl/>
              <w:spacing w:line="520" w:lineRule="exact"/>
              <w:jc w:val="center"/>
              <w:rPr>
                <w:color w:val="000000"/>
                <w:kern w:val="0"/>
                <w:sz w:val="24"/>
                <w:szCs w:val="24"/>
              </w:rPr>
            </w:pPr>
            <w:r>
              <w:rPr>
                <w:color w:val="000000"/>
                <w:kern w:val="0"/>
                <w:sz w:val="24"/>
                <w:szCs w:val="24"/>
              </w:rPr>
              <w:t>20</w:t>
            </w:r>
          </w:p>
        </w:tc>
        <w:tc>
          <w:tcPr>
            <w:tcW w:w="968" w:type="dxa"/>
            <w:tcBorders>
              <w:top w:val="nil"/>
              <w:left w:val="single" w:color="auto" w:sz="4" w:space="0"/>
              <w:bottom w:val="single" w:color="auto" w:sz="4" w:space="0"/>
              <w:right w:val="nil"/>
            </w:tcBorders>
            <w:vAlign w:val="center"/>
          </w:tcPr>
          <w:p>
            <w:pPr>
              <w:widowControl/>
              <w:spacing w:line="520" w:lineRule="exact"/>
              <w:jc w:val="center"/>
              <w:rPr>
                <w:color w:val="000000"/>
                <w:kern w:val="0"/>
                <w:sz w:val="24"/>
                <w:szCs w:val="24"/>
              </w:rPr>
            </w:pPr>
            <w:r>
              <w:rPr>
                <w:color w:val="000000"/>
                <w:kern w:val="0"/>
                <w:sz w:val="24"/>
                <w:szCs w:val="24"/>
              </w:rPr>
              <w:t>20</w:t>
            </w:r>
          </w:p>
        </w:tc>
        <w:tc>
          <w:tcPr>
            <w:tcW w:w="1203" w:type="dxa"/>
            <w:tcBorders>
              <w:top w:val="nil"/>
              <w:left w:val="single" w:color="auto" w:sz="4" w:space="0"/>
              <w:bottom w:val="single" w:color="auto" w:sz="4" w:space="0"/>
              <w:right w:val="single" w:color="auto" w:sz="4" w:space="0"/>
            </w:tcBorders>
            <w:vAlign w:val="center"/>
          </w:tcPr>
          <w:p>
            <w:pPr>
              <w:widowControl/>
              <w:spacing w:line="520" w:lineRule="exact"/>
              <w:jc w:val="center"/>
              <w:rPr>
                <w:color w:val="000000"/>
                <w:kern w:val="0"/>
                <w:sz w:val="24"/>
                <w:szCs w:val="24"/>
              </w:rPr>
            </w:pPr>
            <w:r>
              <w:rPr>
                <w:color w:val="000000"/>
                <w:kern w:val="0"/>
                <w:sz w:val="24"/>
                <w:szCs w:val="24"/>
              </w:rPr>
              <w:t>是</w:t>
            </w:r>
          </w:p>
        </w:tc>
      </w:tr>
      <w:tr>
        <w:tblPrEx>
          <w:tblCellMar>
            <w:top w:w="0" w:type="dxa"/>
            <w:left w:w="108" w:type="dxa"/>
            <w:bottom w:w="0" w:type="dxa"/>
            <w:right w:w="108" w:type="dxa"/>
          </w:tblCellMar>
        </w:tblPrEx>
        <w:trPr>
          <w:trHeight w:val="415" w:hRule="atLeast"/>
        </w:trPr>
        <w:tc>
          <w:tcPr>
            <w:tcW w:w="953" w:type="dxa"/>
            <w:tcBorders>
              <w:top w:val="nil"/>
              <w:left w:val="single" w:color="auto" w:sz="4" w:space="0"/>
              <w:bottom w:val="single" w:color="auto" w:sz="4" w:space="0"/>
              <w:right w:val="single" w:color="auto" w:sz="4" w:space="0"/>
            </w:tcBorders>
            <w:vAlign w:val="center"/>
          </w:tcPr>
          <w:p>
            <w:pPr>
              <w:widowControl/>
              <w:spacing w:line="520" w:lineRule="exact"/>
              <w:jc w:val="center"/>
              <w:rPr>
                <w:color w:val="000000"/>
                <w:kern w:val="0"/>
                <w:sz w:val="24"/>
                <w:szCs w:val="24"/>
              </w:rPr>
            </w:pPr>
            <w:r>
              <w:rPr>
                <w:color w:val="000000"/>
                <w:kern w:val="0"/>
                <w:sz w:val="24"/>
                <w:szCs w:val="24"/>
              </w:rPr>
              <w:t>说明</w:t>
            </w:r>
          </w:p>
        </w:tc>
        <w:tc>
          <w:tcPr>
            <w:tcW w:w="9040" w:type="dxa"/>
            <w:gridSpan w:val="16"/>
            <w:tcBorders>
              <w:top w:val="single" w:color="auto" w:sz="4" w:space="0"/>
              <w:left w:val="nil"/>
              <w:bottom w:val="single" w:color="auto" w:sz="4" w:space="0"/>
              <w:right w:val="single" w:color="000000" w:sz="4" w:space="0"/>
            </w:tcBorders>
            <w:vAlign w:val="center"/>
          </w:tcPr>
          <w:p>
            <w:pPr>
              <w:widowControl/>
              <w:spacing w:line="520" w:lineRule="exact"/>
              <w:rPr>
                <w:color w:val="000000"/>
                <w:kern w:val="0"/>
                <w:sz w:val="24"/>
                <w:szCs w:val="24"/>
              </w:rPr>
            </w:pPr>
          </w:p>
        </w:tc>
      </w:tr>
    </w:tbl>
    <w:p>
      <w:pPr>
        <w:pStyle w:val="8"/>
        <w:tabs>
          <w:tab w:val="center" w:pos="4153"/>
          <w:tab w:val="left" w:pos="7275"/>
        </w:tabs>
        <w:spacing w:line="520" w:lineRule="exact"/>
        <w:ind w:firstLine="0" w:firstLineChars="0"/>
        <w:rPr>
          <w:rFonts w:ascii="Times New Roman" w:hAnsi="Times New Roman" w:eastAsia="方正小标宋_GBK"/>
          <w:color w:val="000000"/>
          <w:kern w:val="0"/>
          <w:sz w:val="36"/>
          <w:szCs w:val="36"/>
        </w:rPr>
      </w:pPr>
    </w:p>
    <w:p>
      <w:pPr>
        <w:pStyle w:val="8"/>
        <w:tabs>
          <w:tab w:val="center" w:pos="4153"/>
          <w:tab w:val="left" w:pos="7275"/>
        </w:tabs>
        <w:spacing w:line="520" w:lineRule="exact"/>
        <w:ind w:firstLine="0" w:firstLineChars="0"/>
        <w:jc w:val="center"/>
        <w:rPr>
          <w:rFonts w:ascii="Times New Roman" w:hAnsi="Times New Roman" w:eastAsia="方正小标宋_GBK"/>
          <w:color w:val="000000"/>
          <w:kern w:val="0"/>
          <w:sz w:val="36"/>
          <w:szCs w:val="36"/>
        </w:rPr>
      </w:pPr>
      <w:r>
        <w:rPr>
          <w:rFonts w:ascii="Times New Roman" w:hAnsi="Times New Roman" w:eastAsia="方正小标宋_GBK"/>
          <w:color w:val="000000"/>
          <w:kern w:val="0"/>
          <w:sz w:val="36"/>
          <w:szCs w:val="36"/>
        </w:rPr>
        <w:t>一级／二级项目绩效自评表</w:t>
      </w:r>
    </w:p>
    <w:tbl>
      <w:tblPr>
        <w:tblStyle w:val="5"/>
        <w:tblW w:w="10132" w:type="dxa"/>
        <w:jc w:val="center"/>
        <w:tblLayout w:type="fixed"/>
        <w:tblCellMar>
          <w:top w:w="0" w:type="dxa"/>
          <w:left w:w="108" w:type="dxa"/>
          <w:bottom w:w="0" w:type="dxa"/>
          <w:right w:w="108" w:type="dxa"/>
        </w:tblCellMar>
      </w:tblPr>
      <w:tblGrid>
        <w:gridCol w:w="847"/>
        <w:gridCol w:w="756"/>
        <w:gridCol w:w="541"/>
        <w:gridCol w:w="167"/>
        <w:gridCol w:w="251"/>
        <w:gridCol w:w="458"/>
        <w:gridCol w:w="366"/>
        <w:gridCol w:w="342"/>
        <w:gridCol w:w="704"/>
        <w:gridCol w:w="1272"/>
        <w:gridCol w:w="990"/>
        <w:gridCol w:w="47"/>
        <w:gridCol w:w="1284"/>
        <w:gridCol w:w="34"/>
        <w:gridCol w:w="835"/>
        <w:gridCol w:w="1238"/>
      </w:tblGrid>
      <w:tr>
        <w:tblPrEx>
          <w:tblCellMar>
            <w:top w:w="0" w:type="dxa"/>
            <w:left w:w="108" w:type="dxa"/>
            <w:bottom w:w="0" w:type="dxa"/>
            <w:right w:w="108" w:type="dxa"/>
          </w:tblCellMar>
        </w:tblPrEx>
        <w:trPr>
          <w:trHeight w:val="469"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color w:val="000000"/>
                <w:kern w:val="0"/>
                <w:sz w:val="24"/>
                <w:szCs w:val="24"/>
              </w:rPr>
            </w:pPr>
            <w:r>
              <w:rPr>
                <w:color w:val="000000"/>
                <w:kern w:val="0"/>
                <w:sz w:val="24"/>
                <w:szCs w:val="24"/>
              </w:rPr>
              <w:t>项目</w:t>
            </w:r>
          </w:p>
          <w:p>
            <w:pPr>
              <w:widowControl/>
              <w:spacing w:line="520" w:lineRule="exact"/>
              <w:jc w:val="center"/>
              <w:rPr>
                <w:color w:val="000000"/>
                <w:kern w:val="0"/>
                <w:sz w:val="24"/>
                <w:szCs w:val="24"/>
              </w:rPr>
            </w:pPr>
            <w:r>
              <w:rPr>
                <w:color w:val="000000"/>
                <w:kern w:val="0"/>
                <w:sz w:val="24"/>
                <w:szCs w:val="24"/>
              </w:rPr>
              <w:t>名称</w:t>
            </w:r>
          </w:p>
        </w:tc>
        <w:tc>
          <w:tcPr>
            <w:tcW w:w="1715" w:type="dxa"/>
            <w:gridSpan w:val="4"/>
            <w:tcBorders>
              <w:top w:val="single" w:color="auto" w:sz="4" w:space="0"/>
              <w:left w:val="nil"/>
              <w:bottom w:val="single" w:color="auto" w:sz="4" w:space="0"/>
              <w:right w:val="single" w:color="000000" w:sz="4" w:space="0"/>
            </w:tcBorders>
            <w:vAlign w:val="center"/>
          </w:tcPr>
          <w:p>
            <w:pPr>
              <w:widowControl/>
              <w:spacing w:line="520" w:lineRule="exact"/>
              <w:jc w:val="center"/>
              <w:rPr>
                <w:rFonts w:hint="eastAsia" w:eastAsia="方正仿宋_GBK"/>
                <w:color w:val="000000"/>
                <w:kern w:val="0"/>
                <w:sz w:val="24"/>
                <w:szCs w:val="24"/>
                <w:lang w:eastAsia="zh-CN"/>
              </w:rPr>
            </w:pPr>
            <w:r>
              <w:rPr>
                <w:rFonts w:hint="eastAsia"/>
                <w:color w:val="000000"/>
                <w:kern w:val="0"/>
                <w:sz w:val="24"/>
                <w:szCs w:val="24"/>
                <w:lang w:eastAsia="zh-CN"/>
              </w:rPr>
              <w:t>档案保护费</w:t>
            </w:r>
          </w:p>
        </w:tc>
        <w:tc>
          <w:tcPr>
            <w:tcW w:w="824"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color w:val="000000"/>
                <w:kern w:val="0"/>
                <w:sz w:val="24"/>
                <w:szCs w:val="24"/>
              </w:rPr>
            </w:pPr>
            <w:r>
              <w:rPr>
                <w:color w:val="000000"/>
                <w:kern w:val="0"/>
                <w:sz w:val="24"/>
                <w:szCs w:val="24"/>
              </w:rPr>
              <w:t>项目</w:t>
            </w:r>
          </w:p>
          <w:p>
            <w:pPr>
              <w:widowControl/>
              <w:spacing w:line="520" w:lineRule="exact"/>
              <w:jc w:val="center"/>
              <w:rPr>
                <w:color w:val="000000"/>
                <w:kern w:val="0"/>
                <w:sz w:val="24"/>
                <w:szCs w:val="24"/>
              </w:rPr>
            </w:pPr>
            <w:r>
              <w:rPr>
                <w:color w:val="000000"/>
                <w:kern w:val="0"/>
                <w:sz w:val="24"/>
                <w:szCs w:val="24"/>
              </w:rPr>
              <w:t>编码</w:t>
            </w:r>
          </w:p>
        </w:tc>
        <w:tc>
          <w:tcPr>
            <w:tcW w:w="1046" w:type="dxa"/>
            <w:gridSpan w:val="2"/>
            <w:tcBorders>
              <w:top w:val="single" w:color="auto" w:sz="4" w:space="0"/>
              <w:left w:val="nil"/>
              <w:bottom w:val="single" w:color="auto" w:sz="4" w:space="0"/>
              <w:right w:val="single" w:color="000000" w:sz="4" w:space="0"/>
            </w:tcBorders>
            <w:vAlign w:val="center"/>
          </w:tcPr>
          <w:p>
            <w:pPr>
              <w:widowControl/>
              <w:spacing w:line="520" w:lineRule="exact"/>
              <w:jc w:val="center"/>
              <w:rPr>
                <w:color w:val="000000"/>
                <w:kern w:val="0"/>
                <w:sz w:val="24"/>
                <w:szCs w:val="24"/>
              </w:rPr>
            </w:pPr>
          </w:p>
        </w:tc>
        <w:tc>
          <w:tcPr>
            <w:tcW w:w="1272" w:type="dxa"/>
            <w:tcBorders>
              <w:top w:val="single" w:color="auto" w:sz="4" w:space="0"/>
              <w:left w:val="nil"/>
              <w:bottom w:val="single" w:color="auto" w:sz="4" w:space="0"/>
              <w:right w:val="single" w:color="auto" w:sz="4" w:space="0"/>
            </w:tcBorders>
            <w:vAlign w:val="center"/>
          </w:tcPr>
          <w:p>
            <w:pPr>
              <w:widowControl/>
              <w:spacing w:line="520" w:lineRule="exact"/>
              <w:jc w:val="center"/>
              <w:rPr>
                <w:color w:val="000000"/>
                <w:kern w:val="0"/>
                <w:sz w:val="24"/>
                <w:szCs w:val="24"/>
              </w:rPr>
            </w:pPr>
            <w:r>
              <w:rPr>
                <w:color w:val="000000"/>
                <w:kern w:val="0"/>
                <w:sz w:val="24"/>
                <w:szCs w:val="24"/>
              </w:rPr>
              <w:t>自评</w:t>
            </w:r>
          </w:p>
          <w:p>
            <w:pPr>
              <w:widowControl/>
              <w:spacing w:line="520" w:lineRule="exact"/>
              <w:jc w:val="center"/>
              <w:rPr>
                <w:color w:val="000000"/>
                <w:kern w:val="0"/>
                <w:sz w:val="24"/>
                <w:szCs w:val="24"/>
              </w:rPr>
            </w:pPr>
            <w:r>
              <w:rPr>
                <w:color w:val="000000"/>
                <w:kern w:val="0"/>
                <w:sz w:val="24"/>
                <w:szCs w:val="24"/>
              </w:rPr>
              <w:t>总分</w:t>
            </w:r>
          </w:p>
          <w:p>
            <w:pPr>
              <w:widowControl/>
              <w:spacing w:line="520" w:lineRule="exact"/>
              <w:jc w:val="center"/>
              <w:rPr>
                <w:color w:val="000000"/>
                <w:kern w:val="0"/>
                <w:sz w:val="24"/>
                <w:szCs w:val="24"/>
              </w:rPr>
            </w:pPr>
            <w:r>
              <w:rPr>
                <w:color w:val="000000"/>
                <w:kern w:val="0"/>
                <w:sz w:val="24"/>
                <w:szCs w:val="24"/>
              </w:rPr>
              <w:t>（分）</w:t>
            </w:r>
          </w:p>
        </w:tc>
        <w:tc>
          <w:tcPr>
            <w:tcW w:w="4428" w:type="dxa"/>
            <w:gridSpan w:val="6"/>
            <w:tcBorders>
              <w:top w:val="single" w:color="auto" w:sz="4" w:space="0"/>
              <w:left w:val="nil"/>
              <w:bottom w:val="single" w:color="auto" w:sz="4" w:space="0"/>
              <w:right w:val="single" w:color="000000" w:sz="4" w:space="0"/>
            </w:tcBorders>
            <w:vAlign w:val="center"/>
          </w:tcPr>
          <w:p>
            <w:pPr>
              <w:widowControl/>
              <w:spacing w:line="520" w:lineRule="exact"/>
              <w:jc w:val="center"/>
              <w:rPr>
                <w:color w:val="000000"/>
                <w:kern w:val="0"/>
                <w:sz w:val="24"/>
                <w:szCs w:val="24"/>
              </w:rPr>
            </w:pPr>
            <w:r>
              <w:rPr>
                <w:color w:val="000000"/>
                <w:kern w:val="0"/>
                <w:sz w:val="24"/>
                <w:szCs w:val="24"/>
              </w:rPr>
              <w:t>98.3</w:t>
            </w:r>
          </w:p>
        </w:tc>
      </w:tr>
      <w:tr>
        <w:tblPrEx>
          <w:tblCellMar>
            <w:top w:w="0" w:type="dxa"/>
            <w:left w:w="108" w:type="dxa"/>
            <w:bottom w:w="0" w:type="dxa"/>
            <w:right w:w="108" w:type="dxa"/>
          </w:tblCellMar>
        </w:tblPrEx>
        <w:trPr>
          <w:trHeight w:val="469" w:hRule="atLeast"/>
          <w:jc w:val="center"/>
        </w:trPr>
        <w:tc>
          <w:tcPr>
            <w:tcW w:w="847" w:type="dxa"/>
            <w:tcBorders>
              <w:top w:val="nil"/>
              <w:left w:val="single" w:color="auto" w:sz="4" w:space="0"/>
              <w:bottom w:val="single" w:color="auto" w:sz="4" w:space="0"/>
              <w:right w:val="single" w:color="auto" w:sz="4" w:space="0"/>
            </w:tcBorders>
            <w:vAlign w:val="center"/>
          </w:tcPr>
          <w:p>
            <w:pPr>
              <w:widowControl/>
              <w:spacing w:line="520" w:lineRule="exact"/>
              <w:jc w:val="center"/>
              <w:rPr>
                <w:color w:val="000000"/>
                <w:kern w:val="0"/>
                <w:sz w:val="24"/>
                <w:szCs w:val="24"/>
              </w:rPr>
            </w:pPr>
            <w:r>
              <w:rPr>
                <w:color w:val="000000"/>
                <w:kern w:val="0"/>
                <w:sz w:val="24"/>
                <w:szCs w:val="24"/>
              </w:rPr>
              <w:t>主管</w:t>
            </w:r>
          </w:p>
          <w:p>
            <w:pPr>
              <w:widowControl/>
              <w:spacing w:line="520" w:lineRule="exact"/>
              <w:jc w:val="center"/>
              <w:rPr>
                <w:color w:val="000000"/>
                <w:kern w:val="0"/>
                <w:sz w:val="24"/>
                <w:szCs w:val="24"/>
              </w:rPr>
            </w:pPr>
            <w:r>
              <w:rPr>
                <w:color w:val="000000"/>
                <w:kern w:val="0"/>
                <w:sz w:val="24"/>
                <w:szCs w:val="24"/>
              </w:rPr>
              <w:t>部门</w:t>
            </w:r>
          </w:p>
        </w:tc>
        <w:tc>
          <w:tcPr>
            <w:tcW w:w="1715" w:type="dxa"/>
            <w:gridSpan w:val="4"/>
            <w:tcBorders>
              <w:top w:val="single" w:color="auto" w:sz="4" w:space="0"/>
              <w:left w:val="nil"/>
              <w:bottom w:val="single" w:color="auto" w:sz="4" w:space="0"/>
              <w:right w:val="single" w:color="000000" w:sz="4" w:space="0"/>
            </w:tcBorders>
            <w:vAlign w:val="center"/>
          </w:tcPr>
          <w:p>
            <w:pPr>
              <w:widowControl/>
              <w:spacing w:line="520" w:lineRule="exact"/>
              <w:jc w:val="center"/>
              <w:rPr>
                <w:rFonts w:hint="eastAsia" w:eastAsia="方正仿宋_GBK"/>
                <w:color w:val="000000"/>
                <w:kern w:val="0"/>
                <w:sz w:val="24"/>
                <w:szCs w:val="24"/>
                <w:lang w:eastAsia="zh-CN"/>
              </w:rPr>
            </w:pPr>
            <w:r>
              <w:rPr>
                <w:color w:val="000000"/>
                <w:kern w:val="0"/>
                <w:sz w:val="24"/>
                <w:szCs w:val="24"/>
              </w:rPr>
              <w:t>城口县</w:t>
            </w:r>
            <w:r>
              <w:rPr>
                <w:rFonts w:hint="eastAsia"/>
                <w:color w:val="000000"/>
                <w:kern w:val="0"/>
                <w:sz w:val="24"/>
                <w:szCs w:val="24"/>
                <w:lang w:eastAsia="zh-CN"/>
              </w:rPr>
              <w:t>档案馆</w:t>
            </w:r>
          </w:p>
        </w:tc>
        <w:tc>
          <w:tcPr>
            <w:tcW w:w="824" w:type="dxa"/>
            <w:gridSpan w:val="2"/>
            <w:tcBorders>
              <w:top w:val="nil"/>
              <w:left w:val="nil"/>
              <w:bottom w:val="single" w:color="auto" w:sz="4" w:space="0"/>
              <w:right w:val="single" w:color="auto" w:sz="4" w:space="0"/>
            </w:tcBorders>
            <w:vAlign w:val="center"/>
          </w:tcPr>
          <w:p>
            <w:pPr>
              <w:widowControl/>
              <w:spacing w:line="520" w:lineRule="exact"/>
              <w:jc w:val="center"/>
              <w:rPr>
                <w:color w:val="000000"/>
                <w:kern w:val="0"/>
                <w:sz w:val="24"/>
                <w:szCs w:val="24"/>
              </w:rPr>
            </w:pPr>
            <w:r>
              <w:rPr>
                <w:color w:val="000000"/>
                <w:kern w:val="0"/>
                <w:sz w:val="24"/>
                <w:szCs w:val="24"/>
              </w:rPr>
              <w:t>财政</w:t>
            </w:r>
          </w:p>
          <w:p>
            <w:pPr>
              <w:widowControl/>
              <w:spacing w:line="520" w:lineRule="exact"/>
              <w:jc w:val="center"/>
              <w:rPr>
                <w:color w:val="000000"/>
                <w:kern w:val="0"/>
                <w:sz w:val="24"/>
                <w:szCs w:val="24"/>
              </w:rPr>
            </w:pPr>
            <w:r>
              <w:rPr>
                <w:color w:val="000000"/>
                <w:kern w:val="0"/>
                <w:sz w:val="24"/>
                <w:szCs w:val="24"/>
              </w:rPr>
              <w:t>处室</w:t>
            </w:r>
          </w:p>
        </w:tc>
        <w:tc>
          <w:tcPr>
            <w:tcW w:w="1046" w:type="dxa"/>
            <w:gridSpan w:val="2"/>
            <w:tcBorders>
              <w:top w:val="single" w:color="auto" w:sz="4" w:space="0"/>
              <w:left w:val="nil"/>
              <w:bottom w:val="single" w:color="auto" w:sz="4" w:space="0"/>
              <w:right w:val="single" w:color="000000" w:sz="4" w:space="0"/>
            </w:tcBorders>
            <w:vAlign w:val="center"/>
          </w:tcPr>
          <w:p>
            <w:pPr>
              <w:widowControl/>
              <w:spacing w:line="520" w:lineRule="exact"/>
              <w:jc w:val="center"/>
              <w:rPr>
                <w:color w:val="000000"/>
                <w:kern w:val="0"/>
                <w:sz w:val="24"/>
                <w:szCs w:val="24"/>
              </w:rPr>
            </w:pPr>
            <w:r>
              <w:rPr>
                <w:color w:val="000000"/>
                <w:kern w:val="0"/>
                <w:sz w:val="24"/>
                <w:szCs w:val="24"/>
              </w:rPr>
              <w:t>行政和社会保障科</w:t>
            </w:r>
          </w:p>
        </w:tc>
        <w:tc>
          <w:tcPr>
            <w:tcW w:w="1272" w:type="dxa"/>
            <w:tcBorders>
              <w:top w:val="nil"/>
              <w:left w:val="nil"/>
              <w:bottom w:val="single" w:color="auto" w:sz="4" w:space="0"/>
              <w:right w:val="single" w:color="auto" w:sz="4" w:space="0"/>
            </w:tcBorders>
            <w:vAlign w:val="center"/>
          </w:tcPr>
          <w:p>
            <w:pPr>
              <w:widowControl/>
              <w:spacing w:line="520" w:lineRule="exact"/>
              <w:jc w:val="center"/>
              <w:rPr>
                <w:color w:val="000000"/>
                <w:kern w:val="0"/>
                <w:sz w:val="24"/>
                <w:szCs w:val="24"/>
              </w:rPr>
            </w:pPr>
            <w:r>
              <w:rPr>
                <w:color w:val="000000"/>
                <w:kern w:val="0"/>
                <w:sz w:val="24"/>
                <w:szCs w:val="24"/>
              </w:rPr>
              <w:t>项目</w:t>
            </w:r>
          </w:p>
          <w:p>
            <w:pPr>
              <w:widowControl/>
              <w:spacing w:line="520" w:lineRule="exact"/>
              <w:jc w:val="center"/>
              <w:rPr>
                <w:color w:val="000000"/>
                <w:kern w:val="0"/>
                <w:sz w:val="24"/>
                <w:szCs w:val="24"/>
              </w:rPr>
            </w:pPr>
            <w:r>
              <w:rPr>
                <w:color w:val="000000"/>
                <w:kern w:val="0"/>
                <w:sz w:val="24"/>
                <w:szCs w:val="24"/>
              </w:rPr>
              <w:t>联系人</w:t>
            </w:r>
          </w:p>
        </w:tc>
        <w:tc>
          <w:tcPr>
            <w:tcW w:w="1037" w:type="dxa"/>
            <w:gridSpan w:val="2"/>
            <w:tcBorders>
              <w:top w:val="nil"/>
              <w:left w:val="nil"/>
              <w:bottom w:val="single" w:color="auto" w:sz="4" w:space="0"/>
              <w:right w:val="single" w:color="auto" w:sz="4" w:space="0"/>
            </w:tcBorders>
            <w:vAlign w:val="center"/>
          </w:tcPr>
          <w:p>
            <w:pPr>
              <w:widowControl/>
              <w:spacing w:line="520" w:lineRule="exact"/>
              <w:rPr>
                <w:color w:val="000000"/>
                <w:kern w:val="0"/>
                <w:sz w:val="24"/>
                <w:szCs w:val="24"/>
              </w:rPr>
            </w:pPr>
            <w:r>
              <w:rPr>
                <w:rFonts w:hint="eastAsia"/>
                <w:color w:val="000000"/>
                <w:kern w:val="0"/>
                <w:sz w:val="24"/>
                <w:szCs w:val="24"/>
              </w:rPr>
              <w:t>陈鸿玲</w:t>
            </w:r>
          </w:p>
        </w:tc>
        <w:tc>
          <w:tcPr>
            <w:tcW w:w="1284" w:type="dxa"/>
            <w:tcBorders>
              <w:top w:val="nil"/>
              <w:left w:val="nil"/>
              <w:bottom w:val="single" w:color="auto" w:sz="4" w:space="0"/>
              <w:right w:val="single" w:color="auto" w:sz="4" w:space="0"/>
            </w:tcBorders>
            <w:vAlign w:val="center"/>
          </w:tcPr>
          <w:p>
            <w:pPr>
              <w:widowControl/>
              <w:spacing w:line="520" w:lineRule="exact"/>
              <w:rPr>
                <w:color w:val="000000"/>
                <w:kern w:val="0"/>
                <w:sz w:val="24"/>
                <w:szCs w:val="24"/>
              </w:rPr>
            </w:pPr>
            <w:r>
              <w:rPr>
                <w:color w:val="000000"/>
                <w:kern w:val="0"/>
                <w:sz w:val="24"/>
                <w:szCs w:val="24"/>
              </w:rPr>
              <w:t>联系电话</w:t>
            </w:r>
          </w:p>
        </w:tc>
        <w:tc>
          <w:tcPr>
            <w:tcW w:w="2107" w:type="dxa"/>
            <w:gridSpan w:val="3"/>
            <w:tcBorders>
              <w:top w:val="single" w:color="auto" w:sz="4" w:space="0"/>
              <w:left w:val="nil"/>
              <w:bottom w:val="single" w:color="auto" w:sz="4" w:space="0"/>
              <w:right w:val="single" w:color="000000" w:sz="4" w:space="0"/>
            </w:tcBorders>
            <w:vAlign w:val="center"/>
          </w:tcPr>
          <w:p>
            <w:pPr>
              <w:widowControl/>
              <w:spacing w:line="520" w:lineRule="exact"/>
              <w:rPr>
                <w:color w:val="000000"/>
                <w:kern w:val="0"/>
                <w:sz w:val="24"/>
                <w:szCs w:val="24"/>
              </w:rPr>
            </w:pPr>
            <w:r>
              <w:rPr>
                <w:color w:val="000000"/>
                <w:kern w:val="0"/>
                <w:sz w:val="24"/>
                <w:szCs w:val="24"/>
              </w:rPr>
              <w:t>023-59225446</w:t>
            </w:r>
          </w:p>
        </w:tc>
      </w:tr>
      <w:tr>
        <w:tblPrEx>
          <w:tblCellMar>
            <w:top w:w="0" w:type="dxa"/>
            <w:left w:w="108" w:type="dxa"/>
            <w:bottom w:w="0" w:type="dxa"/>
            <w:right w:w="108" w:type="dxa"/>
          </w:tblCellMar>
        </w:tblPrEx>
        <w:trPr>
          <w:trHeight w:val="469" w:hRule="atLeast"/>
          <w:jc w:val="center"/>
        </w:trPr>
        <w:tc>
          <w:tcPr>
            <w:tcW w:w="847" w:type="dxa"/>
            <w:vMerge w:val="restart"/>
            <w:tcBorders>
              <w:top w:val="nil"/>
              <w:left w:val="single" w:color="auto" w:sz="4" w:space="0"/>
              <w:bottom w:val="single" w:color="auto" w:sz="4" w:space="0"/>
              <w:right w:val="single" w:color="auto" w:sz="4" w:space="0"/>
            </w:tcBorders>
            <w:textDirection w:val="tbRlV"/>
            <w:vAlign w:val="center"/>
          </w:tcPr>
          <w:p>
            <w:pPr>
              <w:widowControl/>
              <w:spacing w:line="520" w:lineRule="exact"/>
              <w:ind w:left="113" w:right="113"/>
              <w:jc w:val="center"/>
              <w:rPr>
                <w:color w:val="000000"/>
                <w:kern w:val="0"/>
                <w:sz w:val="24"/>
                <w:szCs w:val="24"/>
              </w:rPr>
            </w:pPr>
            <w:r>
              <w:rPr>
                <w:color w:val="000000"/>
                <w:kern w:val="0"/>
                <w:sz w:val="24"/>
                <w:szCs w:val="24"/>
              </w:rPr>
              <w:t>项目资金（万元）</w:t>
            </w:r>
          </w:p>
        </w:tc>
        <w:tc>
          <w:tcPr>
            <w:tcW w:w="1297" w:type="dxa"/>
            <w:gridSpan w:val="2"/>
            <w:vMerge w:val="restart"/>
            <w:tcBorders>
              <w:top w:val="nil"/>
              <w:left w:val="nil"/>
              <w:right w:val="nil"/>
            </w:tcBorders>
            <w:vAlign w:val="center"/>
          </w:tcPr>
          <w:p>
            <w:pPr>
              <w:spacing w:line="520" w:lineRule="exact"/>
              <w:jc w:val="center"/>
              <w:rPr>
                <w:color w:val="000000"/>
                <w:kern w:val="0"/>
                <w:sz w:val="24"/>
                <w:szCs w:val="24"/>
              </w:rPr>
            </w:pPr>
            <w:r>
              <w:rPr>
                <w:color w:val="000000"/>
                <w:kern w:val="0"/>
                <w:sz w:val="24"/>
                <w:szCs w:val="24"/>
              </w:rPr>
              <w:t>年度</w:t>
            </w:r>
          </w:p>
          <w:p>
            <w:pPr>
              <w:spacing w:line="520" w:lineRule="exact"/>
              <w:jc w:val="center"/>
              <w:rPr>
                <w:color w:val="000000"/>
                <w:kern w:val="0"/>
                <w:sz w:val="24"/>
                <w:szCs w:val="24"/>
              </w:rPr>
            </w:pPr>
            <w:r>
              <w:rPr>
                <w:color w:val="000000"/>
                <w:kern w:val="0"/>
                <w:sz w:val="24"/>
                <w:szCs w:val="24"/>
              </w:rPr>
              <w:t>总金额</w:t>
            </w:r>
          </w:p>
        </w:tc>
        <w:tc>
          <w:tcPr>
            <w:tcW w:w="1242" w:type="dxa"/>
            <w:gridSpan w:val="4"/>
            <w:tcBorders>
              <w:top w:val="single" w:color="auto" w:sz="4" w:space="0"/>
              <w:left w:val="single" w:color="auto" w:sz="4" w:space="0"/>
              <w:bottom w:val="single" w:color="auto" w:sz="4" w:space="0"/>
              <w:right w:val="single" w:color="000000" w:sz="4" w:space="0"/>
            </w:tcBorders>
            <w:vAlign w:val="center"/>
          </w:tcPr>
          <w:p>
            <w:pPr>
              <w:widowControl/>
              <w:spacing w:line="520" w:lineRule="exact"/>
              <w:jc w:val="center"/>
              <w:rPr>
                <w:color w:val="000000"/>
                <w:kern w:val="0"/>
                <w:sz w:val="24"/>
                <w:szCs w:val="24"/>
              </w:rPr>
            </w:pPr>
            <w:r>
              <w:rPr>
                <w:color w:val="000000"/>
                <w:kern w:val="0"/>
                <w:sz w:val="24"/>
                <w:szCs w:val="24"/>
              </w:rPr>
              <w:t>年初</w:t>
            </w:r>
          </w:p>
          <w:p>
            <w:pPr>
              <w:widowControl/>
              <w:spacing w:line="520" w:lineRule="exact"/>
              <w:jc w:val="center"/>
              <w:rPr>
                <w:color w:val="000000"/>
                <w:kern w:val="0"/>
                <w:sz w:val="24"/>
                <w:szCs w:val="24"/>
              </w:rPr>
            </w:pPr>
            <w:r>
              <w:rPr>
                <w:color w:val="000000"/>
                <w:kern w:val="0"/>
                <w:sz w:val="24"/>
                <w:szCs w:val="24"/>
              </w:rPr>
              <w:t>预算数</w:t>
            </w:r>
          </w:p>
        </w:tc>
        <w:tc>
          <w:tcPr>
            <w:tcW w:w="1046"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color w:val="000000"/>
                <w:kern w:val="0"/>
                <w:sz w:val="24"/>
                <w:szCs w:val="24"/>
              </w:rPr>
            </w:pPr>
            <w:r>
              <w:rPr>
                <w:color w:val="000000"/>
                <w:kern w:val="0"/>
                <w:sz w:val="24"/>
                <w:szCs w:val="24"/>
              </w:rPr>
              <w:t>全年</w:t>
            </w:r>
          </w:p>
          <w:p>
            <w:pPr>
              <w:widowControl/>
              <w:spacing w:line="520" w:lineRule="exact"/>
              <w:jc w:val="center"/>
              <w:rPr>
                <w:color w:val="000000"/>
                <w:kern w:val="0"/>
                <w:sz w:val="24"/>
                <w:szCs w:val="24"/>
              </w:rPr>
            </w:pPr>
            <w:r>
              <w:rPr>
                <w:color w:val="000000"/>
                <w:kern w:val="0"/>
                <w:sz w:val="24"/>
                <w:szCs w:val="24"/>
              </w:rPr>
              <w:t>（调整）预算数</w:t>
            </w:r>
          </w:p>
        </w:tc>
        <w:tc>
          <w:tcPr>
            <w:tcW w:w="2262"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color w:val="000000"/>
                <w:kern w:val="0"/>
                <w:sz w:val="24"/>
                <w:szCs w:val="24"/>
              </w:rPr>
            </w:pPr>
            <w:r>
              <w:rPr>
                <w:color w:val="000000"/>
                <w:kern w:val="0"/>
                <w:sz w:val="24"/>
                <w:szCs w:val="24"/>
              </w:rPr>
              <w:t>全年执行数</w:t>
            </w:r>
          </w:p>
        </w:tc>
        <w:tc>
          <w:tcPr>
            <w:tcW w:w="1365" w:type="dxa"/>
            <w:gridSpan w:val="3"/>
            <w:tcBorders>
              <w:top w:val="nil"/>
              <w:left w:val="nil"/>
              <w:bottom w:val="single" w:color="auto" w:sz="4" w:space="0"/>
              <w:right w:val="single" w:color="auto" w:sz="4" w:space="0"/>
            </w:tcBorders>
            <w:vAlign w:val="center"/>
          </w:tcPr>
          <w:p>
            <w:pPr>
              <w:widowControl/>
              <w:spacing w:line="520" w:lineRule="exact"/>
              <w:jc w:val="center"/>
              <w:rPr>
                <w:color w:val="000000"/>
                <w:kern w:val="0"/>
                <w:sz w:val="24"/>
                <w:szCs w:val="24"/>
              </w:rPr>
            </w:pPr>
            <w:r>
              <w:rPr>
                <w:color w:val="000000"/>
                <w:kern w:val="0"/>
                <w:sz w:val="24"/>
                <w:szCs w:val="24"/>
              </w:rPr>
              <w:t>执行率</w:t>
            </w:r>
          </w:p>
          <w:p>
            <w:pPr>
              <w:widowControl/>
              <w:spacing w:line="520" w:lineRule="exact"/>
              <w:jc w:val="center"/>
              <w:rPr>
                <w:color w:val="000000"/>
                <w:kern w:val="0"/>
                <w:sz w:val="24"/>
                <w:szCs w:val="24"/>
              </w:rPr>
            </w:pPr>
            <w:r>
              <w:rPr>
                <w:color w:val="000000"/>
                <w:kern w:val="0"/>
                <w:sz w:val="24"/>
                <w:szCs w:val="24"/>
              </w:rPr>
              <w:t>（%）</w:t>
            </w:r>
          </w:p>
        </w:tc>
        <w:tc>
          <w:tcPr>
            <w:tcW w:w="835" w:type="dxa"/>
            <w:tcBorders>
              <w:top w:val="nil"/>
              <w:left w:val="nil"/>
              <w:bottom w:val="single" w:color="auto" w:sz="4" w:space="0"/>
              <w:right w:val="single" w:color="auto" w:sz="4" w:space="0"/>
            </w:tcBorders>
            <w:vAlign w:val="center"/>
          </w:tcPr>
          <w:p>
            <w:pPr>
              <w:widowControl/>
              <w:spacing w:line="520" w:lineRule="exact"/>
              <w:jc w:val="center"/>
              <w:rPr>
                <w:color w:val="000000"/>
                <w:kern w:val="0"/>
                <w:sz w:val="24"/>
                <w:szCs w:val="24"/>
              </w:rPr>
            </w:pPr>
            <w:r>
              <w:rPr>
                <w:color w:val="000000"/>
                <w:kern w:val="0"/>
                <w:sz w:val="24"/>
                <w:szCs w:val="24"/>
              </w:rPr>
              <w:t>执行率</w:t>
            </w:r>
          </w:p>
          <w:p>
            <w:pPr>
              <w:widowControl/>
              <w:spacing w:line="520" w:lineRule="exact"/>
              <w:jc w:val="center"/>
              <w:rPr>
                <w:color w:val="000000"/>
                <w:kern w:val="0"/>
                <w:sz w:val="24"/>
                <w:szCs w:val="24"/>
              </w:rPr>
            </w:pPr>
            <w:r>
              <w:rPr>
                <w:color w:val="000000"/>
                <w:kern w:val="0"/>
                <w:sz w:val="24"/>
                <w:szCs w:val="24"/>
              </w:rPr>
              <w:t>权重</w:t>
            </w:r>
          </w:p>
        </w:tc>
        <w:tc>
          <w:tcPr>
            <w:tcW w:w="1238" w:type="dxa"/>
            <w:tcBorders>
              <w:top w:val="nil"/>
              <w:left w:val="nil"/>
              <w:bottom w:val="single" w:color="auto" w:sz="4" w:space="0"/>
              <w:right w:val="single" w:color="auto" w:sz="4" w:space="0"/>
            </w:tcBorders>
            <w:vAlign w:val="center"/>
          </w:tcPr>
          <w:p>
            <w:pPr>
              <w:widowControl/>
              <w:spacing w:line="520" w:lineRule="exact"/>
              <w:jc w:val="center"/>
              <w:rPr>
                <w:color w:val="000000"/>
                <w:kern w:val="0"/>
                <w:sz w:val="24"/>
                <w:szCs w:val="24"/>
              </w:rPr>
            </w:pPr>
            <w:r>
              <w:rPr>
                <w:color w:val="000000"/>
                <w:kern w:val="0"/>
                <w:sz w:val="24"/>
                <w:szCs w:val="24"/>
              </w:rPr>
              <w:t>执行率</w:t>
            </w:r>
          </w:p>
          <w:p>
            <w:pPr>
              <w:widowControl/>
              <w:spacing w:line="520" w:lineRule="exact"/>
              <w:jc w:val="center"/>
              <w:rPr>
                <w:color w:val="000000"/>
                <w:kern w:val="0"/>
                <w:sz w:val="24"/>
                <w:szCs w:val="24"/>
              </w:rPr>
            </w:pPr>
            <w:r>
              <w:rPr>
                <w:color w:val="000000"/>
                <w:kern w:val="0"/>
                <w:sz w:val="24"/>
                <w:szCs w:val="24"/>
              </w:rPr>
              <w:t>得分</w:t>
            </w:r>
          </w:p>
          <w:p>
            <w:pPr>
              <w:widowControl/>
              <w:spacing w:line="520" w:lineRule="exact"/>
              <w:jc w:val="center"/>
              <w:rPr>
                <w:color w:val="000000"/>
                <w:kern w:val="0"/>
                <w:sz w:val="24"/>
                <w:szCs w:val="24"/>
              </w:rPr>
            </w:pPr>
            <w:r>
              <w:rPr>
                <w:color w:val="000000"/>
                <w:kern w:val="0"/>
                <w:sz w:val="24"/>
                <w:szCs w:val="24"/>
              </w:rPr>
              <w:t>（分）</w:t>
            </w:r>
          </w:p>
        </w:tc>
      </w:tr>
      <w:tr>
        <w:tblPrEx>
          <w:tblCellMar>
            <w:top w:w="0" w:type="dxa"/>
            <w:left w:w="108" w:type="dxa"/>
            <w:bottom w:w="0" w:type="dxa"/>
            <w:right w:w="108" w:type="dxa"/>
          </w:tblCellMar>
        </w:tblPrEx>
        <w:trPr>
          <w:trHeight w:val="469" w:hRule="atLeast"/>
          <w:jc w:val="center"/>
        </w:trPr>
        <w:tc>
          <w:tcPr>
            <w:tcW w:w="847" w:type="dxa"/>
            <w:vMerge w:val="continue"/>
            <w:tcBorders>
              <w:top w:val="nil"/>
              <w:left w:val="single" w:color="auto" w:sz="4" w:space="0"/>
              <w:bottom w:val="single" w:color="auto" w:sz="4" w:space="0"/>
              <w:right w:val="single" w:color="auto" w:sz="4" w:space="0"/>
            </w:tcBorders>
            <w:vAlign w:val="center"/>
          </w:tcPr>
          <w:p>
            <w:pPr>
              <w:widowControl/>
              <w:spacing w:line="520" w:lineRule="exact"/>
              <w:rPr>
                <w:color w:val="000000"/>
                <w:kern w:val="0"/>
                <w:sz w:val="24"/>
                <w:szCs w:val="24"/>
              </w:rPr>
            </w:pPr>
          </w:p>
        </w:tc>
        <w:tc>
          <w:tcPr>
            <w:tcW w:w="1297" w:type="dxa"/>
            <w:gridSpan w:val="2"/>
            <w:vMerge w:val="continue"/>
            <w:tcBorders>
              <w:left w:val="nil"/>
              <w:bottom w:val="single" w:color="auto" w:sz="4" w:space="0"/>
              <w:right w:val="nil"/>
            </w:tcBorders>
            <w:vAlign w:val="center"/>
          </w:tcPr>
          <w:p>
            <w:pPr>
              <w:widowControl/>
              <w:spacing w:line="520" w:lineRule="exact"/>
              <w:jc w:val="center"/>
              <w:rPr>
                <w:color w:val="000000"/>
                <w:kern w:val="0"/>
                <w:sz w:val="24"/>
                <w:szCs w:val="24"/>
              </w:rPr>
            </w:pPr>
          </w:p>
        </w:tc>
        <w:tc>
          <w:tcPr>
            <w:tcW w:w="1242" w:type="dxa"/>
            <w:gridSpan w:val="4"/>
            <w:tcBorders>
              <w:top w:val="single" w:color="auto" w:sz="4" w:space="0"/>
              <w:left w:val="single" w:color="auto" w:sz="4" w:space="0"/>
              <w:bottom w:val="single" w:color="auto" w:sz="4" w:space="0"/>
              <w:right w:val="single" w:color="000000" w:sz="4" w:space="0"/>
            </w:tcBorders>
            <w:vAlign w:val="center"/>
          </w:tcPr>
          <w:p>
            <w:pPr>
              <w:widowControl/>
              <w:spacing w:line="520" w:lineRule="exact"/>
              <w:jc w:val="center"/>
              <w:rPr>
                <w:rFonts w:hint="default" w:eastAsia="方正仿宋_GBK"/>
                <w:color w:val="000000"/>
                <w:kern w:val="0"/>
                <w:sz w:val="24"/>
                <w:szCs w:val="24"/>
                <w:lang w:val="en-US" w:eastAsia="zh-CN"/>
              </w:rPr>
            </w:pPr>
            <w:r>
              <w:rPr>
                <w:rFonts w:hint="eastAsia"/>
                <w:color w:val="000000"/>
                <w:kern w:val="0"/>
                <w:sz w:val="24"/>
                <w:szCs w:val="24"/>
                <w:lang w:val="en-US" w:eastAsia="zh-CN"/>
              </w:rPr>
              <w:t>43</w:t>
            </w:r>
          </w:p>
        </w:tc>
        <w:tc>
          <w:tcPr>
            <w:tcW w:w="1046"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hint="eastAsia" w:eastAsia="方正仿宋_GBK"/>
                <w:color w:val="000000"/>
                <w:kern w:val="0"/>
                <w:sz w:val="24"/>
                <w:szCs w:val="24"/>
                <w:lang w:eastAsia="zh-CN"/>
              </w:rPr>
            </w:pPr>
            <w:r>
              <w:rPr>
                <w:rFonts w:hint="eastAsia"/>
                <w:color w:val="000000"/>
                <w:kern w:val="0"/>
                <w:sz w:val="24"/>
                <w:szCs w:val="24"/>
                <w:lang w:val="en-US" w:eastAsia="zh-CN"/>
              </w:rPr>
              <w:t>0</w:t>
            </w:r>
          </w:p>
        </w:tc>
        <w:tc>
          <w:tcPr>
            <w:tcW w:w="2262"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hint="default" w:eastAsia="方正仿宋_GBK"/>
                <w:color w:val="000000"/>
                <w:kern w:val="0"/>
                <w:sz w:val="24"/>
                <w:szCs w:val="24"/>
                <w:lang w:val="en-US" w:eastAsia="zh-CN"/>
              </w:rPr>
            </w:pPr>
            <w:r>
              <w:rPr>
                <w:rFonts w:hint="eastAsia"/>
                <w:color w:val="000000"/>
                <w:kern w:val="0"/>
                <w:sz w:val="24"/>
                <w:szCs w:val="24"/>
                <w:lang w:val="en-US" w:eastAsia="zh-CN"/>
              </w:rPr>
              <w:t>43</w:t>
            </w:r>
          </w:p>
        </w:tc>
        <w:tc>
          <w:tcPr>
            <w:tcW w:w="1365" w:type="dxa"/>
            <w:gridSpan w:val="3"/>
            <w:tcBorders>
              <w:top w:val="nil"/>
              <w:left w:val="nil"/>
              <w:bottom w:val="single" w:color="auto" w:sz="4" w:space="0"/>
              <w:right w:val="single" w:color="auto" w:sz="4" w:space="0"/>
            </w:tcBorders>
            <w:vAlign w:val="center"/>
          </w:tcPr>
          <w:p>
            <w:pPr>
              <w:widowControl/>
              <w:spacing w:line="520" w:lineRule="exact"/>
              <w:jc w:val="center"/>
              <w:rPr>
                <w:color w:val="000000"/>
                <w:kern w:val="0"/>
                <w:sz w:val="24"/>
                <w:szCs w:val="24"/>
              </w:rPr>
            </w:pPr>
            <w:r>
              <w:rPr>
                <w:color w:val="000000"/>
                <w:kern w:val="0"/>
                <w:sz w:val="24"/>
                <w:szCs w:val="24"/>
              </w:rPr>
              <w:t>100</w:t>
            </w:r>
          </w:p>
        </w:tc>
        <w:tc>
          <w:tcPr>
            <w:tcW w:w="835" w:type="dxa"/>
            <w:tcBorders>
              <w:top w:val="nil"/>
              <w:left w:val="nil"/>
              <w:bottom w:val="single" w:color="auto" w:sz="4" w:space="0"/>
              <w:right w:val="single" w:color="auto" w:sz="4" w:space="0"/>
            </w:tcBorders>
            <w:vAlign w:val="center"/>
          </w:tcPr>
          <w:p>
            <w:pPr>
              <w:widowControl/>
              <w:spacing w:line="520" w:lineRule="exact"/>
              <w:jc w:val="center"/>
              <w:rPr>
                <w:kern w:val="0"/>
                <w:sz w:val="24"/>
                <w:szCs w:val="24"/>
              </w:rPr>
            </w:pPr>
            <w:r>
              <w:rPr>
                <w:kern w:val="0"/>
                <w:sz w:val="24"/>
                <w:szCs w:val="24"/>
              </w:rPr>
              <w:t>10</w:t>
            </w:r>
          </w:p>
        </w:tc>
        <w:tc>
          <w:tcPr>
            <w:tcW w:w="1238" w:type="dxa"/>
            <w:tcBorders>
              <w:top w:val="nil"/>
              <w:left w:val="nil"/>
              <w:bottom w:val="single" w:color="auto" w:sz="4" w:space="0"/>
              <w:right w:val="single" w:color="auto" w:sz="4" w:space="0"/>
            </w:tcBorders>
            <w:vAlign w:val="center"/>
          </w:tcPr>
          <w:p>
            <w:pPr>
              <w:widowControl/>
              <w:spacing w:line="520" w:lineRule="exact"/>
              <w:jc w:val="center"/>
              <w:rPr>
                <w:color w:val="000000"/>
                <w:kern w:val="0"/>
                <w:sz w:val="24"/>
                <w:szCs w:val="24"/>
              </w:rPr>
            </w:pPr>
            <w:r>
              <w:rPr>
                <w:color w:val="000000"/>
                <w:kern w:val="0"/>
                <w:sz w:val="24"/>
                <w:szCs w:val="24"/>
              </w:rPr>
              <w:t>10</w:t>
            </w:r>
          </w:p>
        </w:tc>
      </w:tr>
      <w:tr>
        <w:tblPrEx>
          <w:tblCellMar>
            <w:top w:w="0" w:type="dxa"/>
            <w:left w:w="108" w:type="dxa"/>
            <w:bottom w:w="0" w:type="dxa"/>
            <w:right w:w="108" w:type="dxa"/>
          </w:tblCellMar>
        </w:tblPrEx>
        <w:trPr>
          <w:trHeight w:val="469" w:hRule="atLeast"/>
          <w:jc w:val="center"/>
        </w:trPr>
        <w:tc>
          <w:tcPr>
            <w:tcW w:w="847" w:type="dxa"/>
            <w:vMerge w:val="continue"/>
            <w:tcBorders>
              <w:top w:val="nil"/>
              <w:left w:val="single" w:color="auto" w:sz="4" w:space="0"/>
              <w:bottom w:val="single" w:color="auto" w:sz="4" w:space="0"/>
              <w:right w:val="single" w:color="auto" w:sz="4" w:space="0"/>
            </w:tcBorders>
            <w:vAlign w:val="center"/>
          </w:tcPr>
          <w:p>
            <w:pPr>
              <w:widowControl/>
              <w:spacing w:line="520" w:lineRule="exact"/>
              <w:rPr>
                <w:color w:val="000000"/>
                <w:kern w:val="0"/>
                <w:sz w:val="24"/>
                <w:szCs w:val="24"/>
              </w:rPr>
            </w:pPr>
          </w:p>
        </w:tc>
        <w:tc>
          <w:tcPr>
            <w:tcW w:w="1297" w:type="dxa"/>
            <w:gridSpan w:val="2"/>
            <w:tcBorders>
              <w:top w:val="nil"/>
              <w:left w:val="nil"/>
              <w:bottom w:val="single" w:color="auto" w:sz="4" w:space="0"/>
              <w:right w:val="nil"/>
            </w:tcBorders>
            <w:vAlign w:val="center"/>
          </w:tcPr>
          <w:p>
            <w:pPr>
              <w:widowControl/>
              <w:spacing w:line="520" w:lineRule="exact"/>
              <w:rPr>
                <w:color w:val="000000"/>
                <w:kern w:val="0"/>
                <w:sz w:val="24"/>
                <w:szCs w:val="24"/>
              </w:rPr>
            </w:pPr>
            <w:r>
              <w:rPr>
                <w:color w:val="000000"/>
                <w:kern w:val="0"/>
                <w:sz w:val="24"/>
                <w:szCs w:val="24"/>
              </w:rPr>
              <w:t>其中：</w:t>
            </w:r>
          </w:p>
          <w:p>
            <w:pPr>
              <w:widowControl/>
              <w:spacing w:line="520" w:lineRule="exact"/>
              <w:rPr>
                <w:color w:val="000000"/>
                <w:kern w:val="0"/>
                <w:sz w:val="24"/>
                <w:szCs w:val="24"/>
              </w:rPr>
            </w:pPr>
            <w:r>
              <w:rPr>
                <w:color w:val="000000"/>
                <w:kern w:val="0"/>
                <w:sz w:val="24"/>
                <w:szCs w:val="24"/>
              </w:rPr>
              <w:t>县级支出</w:t>
            </w:r>
          </w:p>
        </w:tc>
        <w:tc>
          <w:tcPr>
            <w:tcW w:w="1242" w:type="dxa"/>
            <w:gridSpan w:val="4"/>
            <w:tcBorders>
              <w:top w:val="single" w:color="auto" w:sz="4" w:space="0"/>
              <w:left w:val="single" w:color="auto" w:sz="4" w:space="0"/>
              <w:bottom w:val="single" w:color="auto" w:sz="4" w:space="0"/>
              <w:right w:val="single" w:color="000000" w:sz="4" w:space="0"/>
            </w:tcBorders>
            <w:vAlign w:val="center"/>
          </w:tcPr>
          <w:p>
            <w:pPr>
              <w:widowControl/>
              <w:spacing w:line="520" w:lineRule="exact"/>
              <w:ind w:firstLine="480" w:firstLineChars="200"/>
              <w:jc w:val="both"/>
              <w:rPr>
                <w:rFonts w:hint="default" w:eastAsia="方正仿宋_GBK"/>
                <w:color w:val="000000"/>
                <w:kern w:val="0"/>
                <w:sz w:val="24"/>
                <w:szCs w:val="24"/>
                <w:lang w:val="en-US" w:eastAsia="zh-CN"/>
              </w:rPr>
            </w:pPr>
            <w:r>
              <w:rPr>
                <w:rFonts w:hint="eastAsia"/>
                <w:color w:val="000000"/>
                <w:kern w:val="0"/>
                <w:sz w:val="24"/>
                <w:szCs w:val="24"/>
                <w:lang w:val="en-US" w:eastAsia="zh-CN"/>
              </w:rPr>
              <w:t>43</w:t>
            </w:r>
          </w:p>
        </w:tc>
        <w:tc>
          <w:tcPr>
            <w:tcW w:w="1046"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hint="eastAsia" w:eastAsia="方正仿宋_GBK"/>
                <w:color w:val="000000"/>
                <w:kern w:val="0"/>
                <w:sz w:val="24"/>
                <w:szCs w:val="24"/>
                <w:lang w:eastAsia="zh-CN"/>
              </w:rPr>
            </w:pPr>
            <w:r>
              <w:rPr>
                <w:rFonts w:hint="eastAsia"/>
                <w:color w:val="000000"/>
                <w:kern w:val="0"/>
                <w:sz w:val="24"/>
                <w:szCs w:val="24"/>
                <w:lang w:val="en-US" w:eastAsia="zh-CN"/>
              </w:rPr>
              <w:t>0</w:t>
            </w:r>
          </w:p>
        </w:tc>
        <w:tc>
          <w:tcPr>
            <w:tcW w:w="2262"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hint="default" w:eastAsia="方正仿宋_GBK"/>
                <w:color w:val="000000"/>
                <w:kern w:val="0"/>
                <w:sz w:val="24"/>
                <w:szCs w:val="24"/>
                <w:lang w:val="en-US" w:eastAsia="zh-CN"/>
              </w:rPr>
            </w:pPr>
            <w:r>
              <w:rPr>
                <w:rFonts w:hint="eastAsia"/>
                <w:color w:val="000000"/>
                <w:kern w:val="0"/>
                <w:sz w:val="24"/>
                <w:szCs w:val="24"/>
                <w:lang w:val="en-US" w:eastAsia="zh-CN"/>
              </w:rPr>
              <w:t>43</w:t>
            </w:r>
          </w:p>
        </w:tc>
        <w:tc>
          <w:tcPr>
            <w:tcW w:w="1365" w:type="dxa"/>
            <w:gridSpan w:val="3"/>
            <w:tcBorders>
              <w:top w:val="nil"/>
              <w:left w:val="nil"/>
              <w:bottom w:val="single" w:color="auto" w:sz="4" w:space="0"/>
              <w:right w:val="single" w:color="auto" w:sz="4" w:space="0"/>
            </w:tcBorders>
            <w:vAlign w:val="center"/>
          </w:tcPr>
          <w:p>
            <w:pPr>
              <w:widowControl/>
              <w:spacing w:line="520" w:lineRule="exact"/>
              <w:jc w:val="center"/>
              <w:rPr>
                <w:color w:val="000000"/>
                <w:kern w:val="0"/>
                <w:sz w:val="24"/>
                <w:szCs w:val="24"/>
              </w:rPr>
            </w:pPr>
            <w:r>
              <w:rPr>
                <w:color w:val="000000"/>
                <w:kern w:val="0"/>
                <w:sz w:val="24"/>
                <w:szCs w:val="24"/>
              </w:rPr>
              <w:t>100</w:t>
            </w:r>
          </w:p>
        </w:tc>
        <w:tc>
          <w:tcPr>
            <w:tcW w:w="835" w:type="dxa"/>
            <w:tcBorders>
              <w:top w:val="nil"/>
              <w:left w:val="nil"/>
              <w:bottom w:val="single" w:color="auto" w:sz="4" w:space="0"/>
              <w:right w:val="single" w:color="auto" w:sz="4" w:space="0"/>
            </w:tcBorders>
            <w:vAlign w:val="center"/>
          </w:tcPr>
          <w:p>
            <w:pPr>
              <w:widowControl/>
              <w:spacing w:line="520" w:lineRule="exact"/>
              <w:jc w:val="center"/>
              <w:rPr>
                <w:color w:val="000000"/>
                <w:kern w:val="0"/>
                <w:sz w:val="24"/>
                <w:szCs w:val="24"/>
              </w:rPr>
            </w:pPr>
            <w:r>
              <w:rPr>
                <w:kern w:val="0"/>
                <w:sz w:val="24"/>
                <w:szCs w:val="24"/>
              </w:rPr>
              <w:t>10</w:t>
            </w:r>
          </w:p>
        </w:tc>
        <w:tc>
          <w:tcPr>
            <w:tcW w:w="1238" w:type="dxa"/>
            <w:tcBorders>
              <w:top w:val="nil"/>
              <w:left w:val="nil"/>
              <w:bottom w:val="single" w:color="auto" w:sz="4" w:space="0"/>
              <w:right w:val="single" w:color="auto" w:sz="4" w:space="0"/>
            </w:tcBorders>
            <w:vAlign w:val="center"/>
          </w:tcPr>
          <w:p>
            <w:pPr>
              <w:widowControl/>
              <w:spacing w:line="520" w:lineRule="exact"/>
              <w:jc w:val="center"/>
              <w:rPr>
                <w:color w:val="000000"/>
                <w:kern w:val="0"/>
                <w:sz w:val="24"/>
                <w:szCs w:val="24"/>
              </w:rPr>
            </w:pPr>
            <w:r>
              <w:rPr>
                <w:color w:val="000000"/>
                <w:kern w:val="0"/>
                <w:sz w:val="24"/>
                <w:szCs w:val="24"/>
              </w:rPr>
              <w:t>10</w:t>
            </w:r>
          </w:p>
        </w:tc>
      </w:tr>
      <w:tr>
        <w:tblPrEx>
          <w:tblCellMar>
            <w:top w:w="0" w:type="dxa"/>
            <w:left w:w="108" w:type="dxa"/>
            <w:bottom w:w="0" w:type="dxa"/>
            <w:right w:w="108" w:type="dxa"/>
          </w:tblCellMar>
        </w:tblPrEx>
        <w:trPr>
          <w:trHeight w:val="469" w:hRule="atLeast"/>
          <w:jc w:val="center"/>
        </w:trPr>
        <w:tc>
          <w:tcPr>
            <w:tcW w:w="847" w:type="dxa"/>
            <w:vMerge w:val="continue"/>
            <w:tcBorders>
              <w:top w:val="nil"/>
              <w:left w:val="single" w:color="auto" w:sz="4" w:space="0"/>
              <w:bottom w:val="single" w:color="auto" w:sz="4" w:space="0"/>
              <w:right w:val="single" w:color="auto" w:sz="4" w:space="0"/>
            </w:tcBorders>
            <w:vAlign w:val="center"/>
          </w:tcPr>
          <w:p>
            <w:pPr>
              <w:widowControl/>
              <w:spacing w:line="520" w:lineRule="exact"/>
              <w:rPr>
                <w:color w:val="000000"/>
                <w:kern w:val="0"/>
                <w:sz w:val="24"/>
                <w:szCs w:val="24"/>
              </w:rPr>
            </w:pPr>
          </w:p>
        </w:tc>
        <w:tc>
          <w:tcPr>
            <w:tcW w:w="1297" w:type="dxa"/>
            <w:gridSpan w:val="2"/>
            <w:tcBorders>
              <w:top w:val="nil"/>
              <w:left w:val="nil"/>
              <w:bottom w:val="single" w:color="auto" w:sz="4" w:space="0"/>
              <w:right w:val="nil"/>
            </w:tcBorders>
            <w:vAlign w:val="center"/>
          </w:tcPr>
          <w:p>
            <w:pPr>
              <w:widowControl/>
              <w:spacing w:line="520" w:lineRule="exact"/>
              <w:rPr>
                <w:color w:val="000000"/>
                <w:kern w:val="0"/>
                <w:sz w:val="24"/>
                <w:szCs w:val="24"/>
              </w:rPr>
            </w:pPr>
            <w:r>
              <w:rPr>
                <w:color w:val="000000"/>
                <w:kern w:val="0"/>
                <w:sz w:val="24"/>
                <w:szCs w:val="24"/>
              </w:rPr>
              <w:t>补助区县</w:t>
            </w:r>
          </w:p>
        </w:tc>
        <w:tc>
          <w:tcPr>
            <w:tcW w:w="1242" w:type="dxa"/>
            <w:gridSpan w:val="4"/>
            <w:tcBorders>
              <w:top w:val="single" w:color="auto" w:sz="4" w:space="0"/>
              <w:left w:val="single" w:color="auto" w:sz="4" w:space="0"/>
              <w:bottom w:val="single" w:color="auto" w:sz="4" w:space="0"/>
              <w:right w:val="single" w:color="000000" w:sz="4" w:space="0"/>
            </w:tcBorders>
            <w:vAlign w:val="center"/>
          </w:tcPr>
          <w:p>
            <w:pPr>
              <w:widowControl/>
              <w:spacing w:line="520" w:lineRule="exact"/>
              <w:jc w:val="center"/>
              <w:rPr>
                <w:color w:val="000000"/>
                <w:kern w:val="0"/>
                <w:sz w:val="24"/>
                <w:szCs w:val="24"/>
              </w:rPr>
            </w:pPr>
          </w:p>
        </w:tc>
        <w:tc>
          <w:tcPr>
            <w:tcW w:w="1046"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color w:val="000000"/>
                <w:kern w:val="0"/>
                <w:sz w:val="24"/>
                <w:szCs w:val="24"/>
              </w:rPr>
            </w:pPr>
          </w:p>
        </w:tc>
        <w:tc>
          <w:tcPr>
            <w:tcW w:w="2262"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color w:val="000000"/>
                <w:kern w:val="0"/>
                <w:sz w:val="24"/>
                <w:szCs w:val="24"/>
              </w:rPr>
            </w:pPr>
          </w:p>
        </w:tc>
        <w:tc>
          <w:tcPr>
            <w:tcW w:w="1365" w:type="dxa"/>
            <w:gridSpan w:val="3"/>
            <w:tcBorders>
              <w:top w:val="nil"/>
              <w:left w:val="nil"/>
              <w:bottom w:val="single" w:color="auto" w:sz="4" w:space="0"/>
              <w:right w:val="single" w:color="auto" w:sz="4" w:space="0"/>
            </w:tcBorders>
            <w:vAlign w:val="center"/>
          </w:tcPr>
          <w:p>
            <w:pPr>
              <w:widowControl/>
              <w:spacing w:line="520" w:lineRule="exact"/>
              <w:jc w:val="center"/>
              <w:rPr>
                <w:color w:val="000000"/>
                <w:kern w:val="0"/>
                <w:sz w:val="24"/>
                <w:szCs w:val="24"/>
              </w:rPr>
            </w:pPr>
          </w:p>
        </w:tc>
        <w:tc>
          <w:tcPr>
            <w:tcW w:w="835" w:type="dxa"/>
            <w:tcBorders>
              <w:top w:val="nil"/>
              <w:left w:val="nil"/>
              <w:bottom w:val="single" w:color="auto" w:sz="4" w:space="0"/>
              <w:right w:val="single" w:color="auto" w:sz="4" w:space="0"/>
            </w:tcBorders>
            <w:vAlign w:val="center"/>
          </w:tcPr>
          <w:p>
            <w:pPr>
              <w:widowControl/>
              <w:spacing w:line="520" w:lineRule="exact"/>
              <w:jc w:val="center"/>
              <w:rPr>
                <w:color w:val="000000"/>
                <w:kern w:val="0"/>
                <w:sz w:val="24"/>
                <w:szCs w:val="24"/>
              </w:rPr>
            </w:pPr>
          </w:p>
        </w:tc>
        <w:tc>
          <w:tcPr>
            <w:tcW w:w="1238" w:type="dxa"/>
            <w:tcBorders>
              <w:top w:val="nil"/>
              <w:left w:val="nil"/>
              <w:bottom w:val="single" w:color="auto" w:sz="4" w:space="0"/>
              <w:right w:val="single" w:color="auto" w:sz="4" w:space="0"/>
            </w:tcBorders>
            <w:vAlign w:val="center"/>
          </w:tcPr>
          <w:p>
            <w:pPr>
              <w:widowControl/>
              <w:spacing w:line="520" w:lineRule="exact"/>
              <w:jc w:val="center"/>
              <w:rPr>
                <w:color w:val="000000"/>
                <w:kern w:val="0"/>
                <w:sz w:val="24"/>
                <w:szCs w:val="24"/>
              </w:rPr>
            </w:pPr>
          </w:p>
        </w:tc>
      </w:tr>
      <w:tr>
        <w:tblPrEx>
          <w:tblCellMar>
            <w:top w:w="0" w:type="dxa"/>
            <w:left w:w="108" w:type="dxa"/>
            <w:bottom w:w="0" w:type="dxa"/>
            <w:right w:w="108" w:type="dxa"/>
          </w:tblCellMar>
        </w:tblPrEx>
        <w:trPr>
          <w:trHeight w:val="469" w:hRule="atLeast"/>
          <w:jc w:val="center"/>
        </w:trPr>
        <w:tc>
          <w:tcPr>
            <w:tcW w:w="847" w:type="dxa"/>
            <w:vMerge w:val="restart"/>
            <w:tcBorders>
              <w:top w:val="nil"/>
              <w:left w:val="single" w:color="auto" w:sz="4" w:space="0"/>
              <w:bottom w:val="single" w:color="auto" w:sz="4" w:space="0"/>
              <w:right w:val="single" w:color="auto" w:sz="4" w:space="0"/>
            </w:tcBorders>
            <w:vAlign w:val="center"/>
          </w:tcPr>
          <w:p>
            <w:pPr>
              <w:widowControl/>
              <w:spacing w:line="520" w:lineRule="exact"/>
              <w:rPr>
                <w:color w:val="000000"/>
                <w:kern w:val="0"/>
                <w:sz w:val="24"/>
                <w:szCs w:val="24"/>
              </w:rPr>
            </w:pPr>
            <w:r>
              <w:rPr>
                <w:color w:val="000000"/>
                <w:kern w:val="0"/>
                <w:sz w:val="24"/>
                <w:szCs w:val="24"/>
              </w:rPr>
              <w:t>当年绩效目标</w:t>
            </w:r>
          </w:p>
        </w:tc>
        <w:tc>
          <w:tcPr>
            <w:tcW w:w="2539" w:type="dxa"/>
            <w:gridSpan w:val="6"/>
            <w:tcBorders>
              <w:top w:val="single" w:color="auto" w:sz="4" w:space="0"/>
              <w:left w:val="nil"/>
              <w:bottom w:val="single" w:color="auto" w:sz="4" w:space="0"/>
              <w:right w:val="single" w:color="000000" w:sz="4" w:space="0"/>
            </w:tcBorders>
            <w:vAlign w:val="center"/>
          </w:tcPr>
          <w:p>
            <w:pPr>
              <w:widowControl/>
              <w:spacing w:line="520" w:lineRule="exact"/>
              <w:rPr>
                <w:color w:val="000000"/>
                <w:kern w:val="0"/>
                <w:sz w:val="24"/>
                <w:szCs w:val="24"/>
              </w:rPr>
            </w:pPr>
            <w:r>
              <w:rPr>
                <w:color w:val="000000"/>
                <w:kern w:val="0"/>
                <w:sz w:val="24"/>
                <w:szCs w:val="24"/>
              </w:rPr>
              <w:t>年初绩效目标</w:t>
            </w:r>
          </w:p>
        </w:tc>
        <w:tc>
          <w:tcPr>
            <w:tcW w:w="3308" w:type="dxa"/>
            <w:gridSpan w:val="4"/>
            <w:tcBorders>
              <w:top w:val="single" w:color="auto" w:sz="4" w:space="0"/>
              <w:left w:val="nil"/>
              <w:bottom w:val="single" w:color="auto" w:sz="4" w:space="0"/>
              <w:right w:val="single" w:color="000000" w:sz="4" w:space="0"/>
            </w:tcBorders>
            <w:vAlign w:val="center"/>
          </w:tcPr>
          <w:p>
            <w:pPr>
              <w:widowControl/>
              <w:spacing w:line="520" w:lineRule="exact"/>
              <w:rPr>
                <w:color w:val="000000"/>
                <w:kern w:val="0"/>
                <w:sz w:val="24"/>
                <w:szCs w:val="24"/>
              </w:rPr>
            </w:pPr>
            <w:r>
              <w:rPr>
                <w:color w:val="000000"/>
                <w:kern w:val="0"/>
                <w:sz w:val="24"/>
                <w:szCs w:val="24"/>
              </w:rPr>
              <w:t>全年（调整）绩效目标</w:t>
            </w:r>
          </w:p>
        </w:tc>
        <w:tc>
          <w:tcPr>
            <w:tcW w:w="3438" w:type="dxa"/>
            <w:gridSpan w:val="5"/>
            <w:tcBorders>
              <w:top w:val="single" w:color="auto" w:sz="4" w:space="0"/>
              <w:left w:val="nil"/>
              <w:bottom w:val="single" w:color="auto" w:sz="4" w:space="0"/>
              <w:right w:val="single" w:color="000000" w:sz="4" w:space="0"/>
            </w:tcBorders>
            <w:vAlign w:val="center"/>
          </w:tcPr>
          <w:p>
            <w:pPr>
              <w:widowControl/>
              <w:spacing w:line="520" w:lineRule="exact"/>
              <w:rPr>
                <w:color w:val="000000"/>
                <w:kern w:val="0"/>
                <w:sz w:val="24"/>
                <w:szCs w:val="24"/>
              </w:rPr>
            </w:pPr>
            <w:r>
              <w:rPr>
                <w:color w:val="000000"/>
                <w:kern w:val="0"/>
                <w:sz w:val="24"/>
                <w:szCs w:val="24"/>
              </w:rPr>
              <w:t>全年目标实际完成情况</w:t>
            </w:r>
          </w:p>
        </w:tc>
      </w:tr>
      <w:tr>
        <w:tblPrEx>
          <w:tblCellMar>
            <w:top w:w="0" w:type="dxa"/>
            <w:left w:w="108" w:type="dxa"/>
            <w:bottom w:w="0" w:type="dxa"/>
            <w:right w:w="108" w:type="dxa"/>
          </w:tblCellMar>
        </w:tblPrEx>
        <w:trPr>
          <w:trHeight w:val="1055" w:hRule="atLeast"/>
          <w:jc w:val="center"/>
        </w:trPr>
        <w:tc>
          <w:tcPr>
            <w:tcW w:w="847" w:type="dxa"/>
            <w:vMerge w:val="continue"/>
            <w:tcBorders>
              <w:top w:val="nil"/>
              <w:left w:val="single" w:color="auto" w:sz="4" w:space="0"/>
              <w:bottom w:val="single" w:color="auto" w:sz="4" w:space="0"/>
              <w:right w:val="single" w:color="auto" w:sz="4" w:space="0"/>
            </w:tcBorders>
            <w:vAlign w:val="center"/>
          </w:tcPr>
          <w:p>
            <w:pPr>
              <w:widowControl/>
              <w:spacing w:line="520" w:lineRule="exact"/>
              <w:rPr>
                <w:color w:val="000000"/>
                <w:kern w:val="0"/>
                <w:sz w:val="24"/>
                <w:szCs w:val="24"/>
              </w:rPr>
            </w:pPr>
          </w:p>
        </w:tc>
        <w:tc>
          <w:tcPr>
            <w:tcW w:w="2539" w:type="dxa"/>
            <w:gridSpan w:val="6"/>
            <w:tcBorders>
              <w:top w:val="single" w:color="auto" w:sz="4" w:space="0"/>
              <w:left w:val="nil"/>
              <w:bottom w:val="single" w:color="auto" w:sz="4" w:space="0"/>
              <w:right w:val="single" w:color="000000" w:sz="4" w:space="0"/>
            </w:tcBorders>
            <w:vAlign w:val="center"/>
          </w:tcPr>
          <w:p>
            <w:pPr>
              <w:widowControl/>
              <w:spacing w:line="520" w:lineRule="exact"/>
              <w:rPr>
                <w:color w:val="000000"/>
                <w:kern w:val="0"/>
                <w:sz w:val="24"/>
                <w:szCs w:val="24"/>
              </w:rPr>
            </w:pPr>
          </w:p>
        </w:tc>
        <w:tc>
          <w:tcPr>
            <w:tcW w:w="3308" w:type="dxa"/>
            <w:gridSpan w:val="4"/>
            <w:tcBorders>
              <w:top w:val="single" w:color="auto" w:sz="4" w:space="0"/>
              <w:left w:val="nil"/>
              <w:bottom w:val="single" w:color="auto" w:sz="4" w:space="0"/>
              <w:right w:val="single" w:color="000000" w:sz="4" w:space="0"/>
            </w:tcBorders>
            <w:vAlign w:val="center"/>
          </w:tcPr>
          <w:p>
            <w:pPr>
              <w:widowControl/>
              <w:spacing w:line="520" w:lineRule="exact"/>
              <w:ind w:firstLine="420" w:firstLineChars="200"/>
              <w:rPr>
                <w:color w:val="000000"/>
                <w:kern w:val="0"/>
                <w:sz w:val="24"/>
                <w:szCs w:val="24"/>
              </w:rPr>
            </w:pPr>
            <w:r>
              <w:rPr>
                <w:rFonts w:hint="eastAsia" w:ascii="方正仿宋_GBK" w:hAnsi="方正仿宋_GBK" w:cs="方正仿宋_GBK"/>
                <w:color w:val="000000" w:themeColor="text1"/>
                <w:sz w:val="21"/>
                <w:szCs w:val="21"/>
              </w:rPr>
              <w:t>接收、征集和管理县级党政机关、人民团体、县直属单位及部分企事业单位的重要档案资料和有关城口县历史的档案资料；依法向社会开放档案信息资源，为社会利用档案资源提供服务。</w:t>
            </w:r>
          </w:p>
        </w:tc>
        <w:tc>
          <w:tcPr>
            <w:tcW w:w="3438" w:type="dxa"/>
            <w:gridSpan w:val="5"/>
            <w:tcBorders>
              <w:top w:val="single" w:color="auto" w:sz="4" w:space="0"/>
              <w:left w:val="nil"/>
              <w:bottom w:val="single" w:color="auto" w:sz="4" w:space="0"/>
              <w:right w:val="single" w:color="000000" w:sz="4" w:space="0"/>
            </w:tcBorders>
            <w:vAlign w:val="center"/>
          </w:tcPr>
          <w:p>
            <w:pPr>
              <w:widowControl/>
              <w:spacing w:line="520" w:lineRule="exact"/>
              <w:rPr>
                <w:color w:val="000000"/>
                <w:kern w:val="0"/>
                <w:sz w:val="24"/>
                <w:szCs w:val="24"/>
              </w:rPr>
            </w:pPr>
            <w:r>
              <w:rPr>
                <w:rFonts w:hint="eastAsia" w:ascii="方正仿宋_GBK"/>
                <w:color w:val="000000" w:themeColor="text1"/>
                <w:sz w:val="21"/>
                <w:szCs w:val="21"/>
              </w:rPr>
              <w:t>现馆藏档案共计17万卷，对接收进馆的档案均制定了馆藏档案《全宗名册》。稳妥推进档案利用，累计接待档案查阅利用者2.5万余人次，提供档案查阅6.5万卷，14万件，摘抄复制页25万余张，加快档案数字化建设，已完成</w:t>
            </w:r>
            <w:r>
              <w:rPr>
                <w:rFonts w:hint="eastAsia" w:ascii="方正仿宋_GBK"/>
                <w:color w:val="000000" w:themeColor="text1"/>
                <w:sz w:val="21"/>
                <w:szCs w:val="21"/>
                <w:lang w:eastAsia="zh-CN"/>
              </w:rPr>
              <w:t>新中国成立</w:t>
            </w:r>
            <w:r>
              <w:rPr>
                <w:rFonts w:hint="eastAsia" w:ascii="方正仿宋_GBK"/>
                <w:color w:val="000000" w:themeColor="text1"/>
                <w:sz w:val="21"/>
                <w:szCs w:val="21"/>
              </w:rPr>
              <w:t>后馆藏档案80%的数字化扫描工作，共计900余万页。</w:t>
            </w:r>
          </w:p>
        </w:tc>
      </w:tr>
      <w:tr>
        <w:tblPrEx>
          <w:tblCellMar>
            <w:top w:w="0" w:type="dxa"/>
            <w:left w:w="108" w:type="dxa"/>
            <w:bottom w:w="0" w:type="dxa"/>
            <w:right w:w="108" w:type="dxa"/>
          </w:tblCellMar>
        </w:tblPrEx>
        <w:trPr>
          <w:trHeight w:val="469" w:hRule="atLeast"/>
          <w:jc w:val="center"/>
        </w:trPr>
        <w:tc>
          <w:tcPr>
            <w:tcW w:w="847" w:type="dxa"/>
            <w:vMerge w:val="restart"/>
            <w:tcBorders>
              <w:top w:val="nil"/>
              <w:left w:val="single" w:color="auto" w:sz="4" w:space="0"/>
              <w:bottom w:val="single" w:color="auto" w:sz="4" w:space="0"/>
              <w:right w:val="single" w:color="auto" w:sz="4" w:space="0"/>
            </w:tcBorders>
            <w:textDirection w:val="tbRlV"/>
            <w:vAlign w:val="center"/>
          </w:tcPr>
          <w:p>
            <w:pPr>
              <w:widowControl/>
              <w:spacing w:line="520" w:lineRule="exact"/>
              <w:jc w:val="center"/>
              <w:rPr>
                <w:color w:val="000000"/>
                <w:kern w:val="0"/>
                <w:sz w:val="24"/>
                <w:szCs w:val="24"/>
              </w:rPr>
            </w:pPr>
            <w:r>
              <w:rPr>
                <w:color w:val="000000"/>
                <w:kern w:val="0"/>
                <w:sz w:val="24"/>
                <w:szCs w:val="24"/>
              </w:rPr>
              <w:t>绩效指标</w:t>
            </w:r>
          </w:p>
        </w:tc>
        <w:tc>
          <w:tcPr>
            <w:tcW w:w="756" w:type="dxa"/>
            <w:tcBorders>
              <w:top w:val="nil"/>
              <w:left w:val="nil"/>
              <w:bottom w:val="single" w:color="auto" w:sz="4" w:space="0"/>
              <w:right w:val="nil"/>
            </w:tcBorders>
            <w:vAlign w:val="center"/>
          </w:tcPr>
          <w:p>
            <w:pPr>
              <w:widowControl/>
              <w:spacing w:line="520" w:lineRule="exact"/>
              <w:jc w:val="center"/>
              <w:rPr>
                <w:color w:val="000000"/>
                <w:kern w:val="0"/>
                <w:sz w:val="24"/>
                <w:szCs w:val="24"/>
              </w:rPr>
            </w:pPr>
            <w:r>
              <w:rPr>
                <w:color w:val="000000"/>
                <w:kern w:val="0"/>
                <w:sz w:val="24"/>
                <w:szCs w:val="24"/>
              </w:rPr>
              <w:t>指标</w:t>
            </w:r>
          </w:p>
          <w:p>
            <w:pPr>
              <w:widowControl/>
              <w:spacing w:line="520" w:lineRule="exact"/>
              <w:jc w:val="center"/>
              <w:rPr>
                <w:color w:val="000000"/>
                <w:kern w:val="0"/>
                <w:sz w:val="24"/>
                <w:szCs w:val="24"/>
              </w:rPr>
            </w:pPr>
            <w:r>
              <w:rPr>
                <w:color w:val="000000"/>
                <w:kern w:val="0"/>
                <w:sz w:val="24"/>
                <w:szCs w:val="24"/>
              </w:rPr>
              <w:t>名称</w:t>
            </w:r>
          </w:p>
        </w:tc>
        <w:tc>
          <w:tcPr>
            <w:tcW w:w="708" w:type="dxa"/>
            <w:gridSpan w:val="2"/>
            <w:tcBorders>
              <w:top w:val="nil"/>
              <w:left w:val="single" w:color="auto" w:sz="4" w:space="0"/>
              <w:bottom w:val="single" w:color="auto" w:sz="4" w:space="0"/>
              <w:right w:val="single" w:color="auto" w:sz="4" w:space="0"/>
            </w:tcBorders>
            <w:vAlign w:val="center"/>
          </w:tcPr>
          <w:p>
            <w:pPr>
              <w:widowControl/>
              <w:spacing w:line="520" w:lineRule="exact"/>
              <w:jc w:val="center"/>
              <w:rPr>
                <w:color w:val="000000"/>
                <w:kern w:val="0"/>
                <w:sz w:val="24"/>
                <w:szCs w:val="24"/>
              </w:rPr>
            </w:pPr>
            <w:r>
              <w:rPr>
                <w:color w:val="000000"/>
                <w:kern w:val="0"/>
                <w:sz w:val="24"/>
                <w:szCs w:val="24"/>
              </w:rPr>
              <w:t>计量</w:t>
            </w:r>
          </w:p>
          <w:p>
            <w:pPr>
              <w:widowControl/>
              <w:spacing w:line="520" w:lineRule="exact"/>
              <w:jc w:val="center"/>
              <w:rPr>
                <w:color w:val="000000"/>
                <w:kern w:val="0"/>
                <w:sz w:val="24"/>
                <w:szCs w:val="24"/>
              </w:rPr>
            </w:pPr>
            <w:r>
              <w:rPr>
                <w:color w:val="000000"/>
                <w:kern w:val="0"/>
                <w:sz w:val="24"/>
                <w:szCs w:val="24"/>
              </w:rPr>
              <w:t>单位</w:t>
            </w:r>
          </w:p>
        </w:tc>
        <w:tc>
          <w:tcPr>
            <w:tcW w:w="709" w:type="dxa"/>
            <w:gridSpan w:val="2"/>
            <w:tcBorders>
              <w:top w:val="nil"/>
              <w:left w:val="nil"/>
              <w:bottom w:val="single" w:color="auto" w:sz="4" w:space="0"/>
              <w:right w:val="single" w:color="auto" w:sz="4" w:space="0"/>
            </w:tcBorders>
            <w:vAlign w:val="center"/>
          </w:tcPr>
          <w:p>
            <w:pPr>
              <w:widowControl/>
              <w:spacing w:line="520" w:lineRule="exact"/>
              <w:jc w:val="center"/>
              <w:rPr>
                <w:color w:val="000000"/>
                <w:kern w:val="0"/>
                <w:sz w:val="24"/>
                <w:szCs w:val="24"/>
              </w:rPr>
            </w:pPr>
            <w:r>
              <w:rPr>
                <w:color w:val="000000"/>
                <w:kern w:val="0"/>
                <w:sz w:val="24"/>
                <w:szCs w:val="24"/>
              </w:rPr>
              <w:t>指标</w:t>
            </w:r>
          </w:p>
          <w:p>
            <w:pPr>
              <w:widowControl/>
              <w:spacing w:line="520" w:lineRule="exact"/>
              <w:jc w:val="center"/>
              <w:rPr>
                <w:color w:val="000000"/>
                <w:kern w:val="0"/>
                <w:sz w:val="24"/>
                <w:szCs w:val="24"/>
              </w:rPr>
            </w:pPr>
            <w:r>
              <w:rPr>
                <w:color w:val="000000"/>
                <w:kern w:val="0"/>
                <w:sz w:val="24"/>
                <w:szCs w:val="24"/>
              </w:rPr>
              <w:t>性质</w:t>
            </w:r>
          </w:p>
        </w:tc>
        <w:tc>
          <w:tcPr>
            <w:tcW w:w="708" w:type="dxa"/>
            <w:gridSpan w:val="2"/>
            <w:tcBorders>
              <w:top w:val="nil"/>
              <w:left w:val="nil"/>
              <w:bottom w:val="single" w:color="auto" w:sz="4" w:space="0"/>
              <w:right w:val="single" w:color="auto" w:sz="4" w:space="0"/>
            </w:tcBorders>
            <w:vAlign w:val="center"/>
          </w:tcPr>
          <w:p>
            <w:pPr>
              <w:widowControl/>
              <w:spacing w:line="520" w:lineRule="exact"/>
              <w:jc w:val="center"/>
              <w:rPr>
                <w:color w:val="000000"/>
                <w:kern w:val="0"/>
                <w:sz w:val="24"/>
                <w:szCs w:val="24"/>
              </w:rPr>
            </w:pPr>
            <w:r>
              <w:rPr>
                <w:color w:val="000000"/>
                <w:kern w:val="0"/>
                <w:sz w:val="24"/>
                <w:szCs w:val="24"/>
              </w:rPr>
              <w:t>年初</w:t>
            </w:r>
          </w:p>
          <w:p>
            <w:pPr>
              <w:widowControl/>
              <w:spacing w:line="520" w:lineRule="exact"/>
              <w:jc w:val="center"/>
              <w:rPr>
                <w:color w:val="000000"/>
                <w:kern w:val="0"/>
                <w:sz w:val="24"/>
                <w:szCs w:val="24"/>
              </w:rPr>
            </w:pPr>
            <w:r>
              <w:rPr>
                <w:color w:val="000000"/>
                <w:kern w:val="0"/>
                <w:sz w:val="24"/>
                <w:szCs w:val="24"/>
              </w:rPr>
              <w:t>指标</w:t>
            </w:r>
          </w:p>
          <w:p>
            <w:pPr>
              <w:widowControl/>
              <w:spacing w:line="520" w:lineRule="exact"/>
              <w:jc w:val="center"/>
              <w:rPr>
                <w:color w:val="000000"/>
                <w:kern w:val="0"/>
                <w:sz w:val="24"/>
                <w:szCs w:val="24"/>
              </w:rPr>
            </w:pPr>
            <w:r>
              <w:rPr>
                <w:color w:val="000000"/>
                <w:kern w:val="0"/>
                <w:sz w:val="24"/>
                <w:szCs w:val="24"/>
              </w:rPr>
              <w:t>值</w:t>
            </w:r>
          </w:p>
        </w:tc>
        <w:tc>
          <w:tcPr>
            <w:tcW w:w="704" w:type="dxa"/>
            <w:tcBorders>
              <w:top w:val="nil"/>
              <w:left w:val="nil"/>
              <w:bottom w:val="single" w:color="auto" w:sz="4" w:space="0"/>
              <w:right w:val="single" w:color="auto" w:sz="4" w:space="0"/>
            </w:tcBorders>
            <w:vAlign w:val="center"/>
          </w:tcPr>
          <w:p>
            <w:pPr>
              <w:widowControl/>
              <w:spacing w:line="520" w:lineRule="exact"/>
              <w:jc w:val="center"/>
              <w:rPr>
                <w:color w:val="000000"/>
                <w:kern w:val="0"/>
                <w:sz w:val="24"/>
                <w:szCs w:val="24"/>
              </w:rPr>
            </w:pPr>
            <w:r>
              <w:rPr>
                <w:color w:val="000000"/>
                <w:kern w:val="0"/>
                <w:sz w:val="24"/>
                <w:szCs w:val="24"/>
              </w:rPr>
              <w:t>调整</w:t>
            </w:r>
          </w:p>
          <w:p>
            <w:pPr>
              <w:widowControl/>
              <w:spacing w:line="520" w:lineRule="exact"/>
              <w:jc w:val="center"/>
              <w:rPr>
                <w:color w:val="000000"/>
                <w:kern w:val="0"/>
                <w:sz w:val="24"/>
                <w:szCs w:val="24"/>
              </w:rPr>
            </w:pPr>
            <w:r>
              <w:rPr>
                <w:color w:val="000000"/>
                <w:kern w:val="0"/>
                <w:sz w:val="24"/>
                <w:szCs w:val="24"/>
              </w:rPr>
              <w:t>指标</w:t>
            </w:r>
          </w:p>
          <w:p>
            <w:pPr>
              <w:widowControl/>
              <w:spacing w:line="520" w:lineRule="exact"/>
              <w:jc w:val="center"/>
              <w:rPr>
                <w:color w:val="000000"/>
                <w:kern w:val="0"/>
                <w:sz w:val="24"/>
                <w:szCs w:val="24"/>
              </w:rPr>
            </w:pPr>
            <w:r>
              <w:rPr>
                <w:color w:val="000000"/>
                <w:kern w:val="0"/>
                <w:sz w:val="24"/>
                <w:szCs w:val="24"/>
              </w:rPr>
              <w:t>值</w:t>
            </w:r>
          </w:p>
        </w:tc>
        <w:tc>
          <w:tcPr>
            <w:tcW w:w="1272" w:type="dxa"/>
            <w:tcBorders>
              <w:top w:val="nil"/>
              <w:left w:val="nil"/>
              <w:bottom w:val="single" w:color="auto" w:sz="4" w:space="0"/>
              <w:right w:val="single" w:color="auto" w:sz="4" w:space="0"/>
            </w:tcBorders>
            <w:vAlign w:val="center"/>
          </w:tcPr>
          <w:p>
            <w:pPr>
              <w:widowControl/>
              <w:spacing w:line="520" w:lineRule="exact"/>
              <w:jc w:val="center"/>
              <w:rPr>
                <w:color w:val="000000"/>
                <w:kern w:val="0"/>
                <w:sz w:val="24"/>
                <w:szCs w:val="24"/>
              </w:rPr>
            </w:pPr>
            <w:r>
              <w:rPr>
                <w:color w:val="000000"/>
                <w:kern w:val="0"/>
                <w:sz w:val="24"/>
                <w:szCs w:val="24"/>
              </w:rPr>
              <w:t>全年</w:t>
            </w:r>
          </w:p>
          <w:p>
            <w:pPr>
              <w:widowControl/>
              <w:spacing w:line="520" w:lineRule="exact"/>
              <w:jc w:val="center"/>
              <w:rPr>
                <w:color w:val="000000"/>
                <w:kern w:val="0"/>
                <w:sz w:val="24"/>
                <w:szCs w:val="24"/>
              </w:rPr>
            </w:pPr>
            <w:r>
              <w:rPr>
                <w:color w:val="000000"/>
                <w:kern w:val="0"/>
                <w:sz w:val="24"/>
                <w:szCs w:val="24"/>
              </w:rPr>
              <w:t>完成值</w:t>
            </w:r>
          </w:p>
        </w:tc>
        <w:tc>
          <w:tcPr>
            <w:tcW w:w="990" w:type="dxa"/>
            <w:tcBorders>
              <w:top w:val="nil"/>
              <w:left w:val="nil"/>
              <w:bottom w:val="single" w:color="auto" w:sz="4" w:space="0"/>
              <w:right w:val="single" w:color="auto" w:sz="4" w:space="0"/>
            </w:tcBorders>
            <w:vAlign w:val="center"/>
          </w:tcPr>
          <w:p>
            <w:pPr>
              <w:widowControl/>
              <w:spacing w:line="520" w:lineRule="exact"/>
              <w:jc w:val="center"/>
              <w:rPr>
                <w:color w:val="000000"/>
                <w:kern w:val="0"/>
                <w:sz w:val="24"/>
                <w:szCs w:val="24"/>
              </w:rPr>
            </w:pPr>
            <w:r>
              <w:rPr>
                <w:color w:val="000000"/>
                <w:kern w:val="0"/>
                <w:sz w:val="24"/>
                <w:szCs w:val="24"/>
              </w:rPr>
              <w:t>得分</w:t>
            </w:r>
          </w:p>
          <w:p>
            <w:pPr>
              <w:widowControl/>
              <w:spacing w:line="520" w:lineRule="exact"/>
              <w:jc w:val="center"/>
              <w:rPr>
                <w:color w:val="000000"/>
                <w:kern w:val="0"/>
                <w:sz w:val="24"/>
                <w:szCs w:val="24"/>
              </w:rPr>
            </w:pPr>
            <w:r>
              <w:rPr>
                <w:color w:val="000000"/>
                <w:kern w:val="0"/>
                <w:sz w:val="24"/>
                <w:szCs w:val="24"/>
              </w:rPr>
              <w:t>系数</w:t>
            </w:r>
          </w:p>
          <w:p>
            <w:pPr>
              <w:widowControl/>
              <w:spacing w:line="520" w:lineRule="exact"/>
              <w:jc w:val="center"/>
              <w:rPr>
                <w:color w:val="000000"/>
                <w:kern w:val="0"/>
                <w:sz w:val="24"/>
                <w:szCs w:val="24"/>
              </w:rPr>
            </w:pPr>
            <w:r>
              <w:rPr>
                <w:color w:val="000000"/>
                <w:kern w:val="0"/>
                <w:sz w:val="24"/>
                <w:szCs w:val="24"/>
              </w:rPr>
              <w:t>（%）</w:t>
            </w:r>
          </w:p>
        </w:tc>
        <w:tc>
          <w:tcPr>
            <w:tcW w:w="1365" w:type="dxa"/>
            <w:gridSpan w:val="3"/>
            <w:tcBorders>
              <w:top w:val="nil"/>
              <w:left w:val="nil"/>
              <w:bottom w:val="single" w:color="auto" w:sz="4" w:space="0"/>
              <w:right w:val="single" w:color="auto" w:sz="4" w:space="0"/>
            </w:tcBorders>
            <w:vAlign w:val="center"/>
          </w:tcPr>
          <w:p>
            <w:pPr>
              <w:widowControl/>
              <w:spacing w:line="520" w:lineRule="exact"/>
              <w:jc w:val="center"/>
              <w:rPr>
                <w:color w:val="000000"/>
                <w:kern w:val="0"/>
                <w:sz w:val="24"/>
                <w:szCs w:val="24"/>
              </w:rPr>
            </w:pPr>
            <w:r>
              <w:rPr>
                <w:color w:val="000000"/>
                <w:kern w:val="0"/>
                <w:sz w:val="24"/>
                <w:szCs w:val="24"/>
              </w:rPr>
              <w:t>指标</w:t>
            </w:r>
          </w:p>
          <w:p>
            <w:pPr>
              <w:widowControl/>
              <w:spacing w:line="520" w:lineRule="exact"/>
              <w:jc w:val="center"/>
              <w:rPr>
                <w:color w:val="000000"/>
                <w:kern w:val="0"/>
                <w:sz w:val="24"/>
                <w:szCs w:val="24"/>
              </w:rPr>
            </w:pPr>
            <w:r>
              <w:rPr>
                <w:color w:val="000000"/>
                <w:kern w:val="0"/>
                <w:sz w:val="24"/>
                <w:szCs w:val="24"/>
              </w:rPr>
              <w:t>权重</w:t>
            </w:r>
          </w:p>
          <w:p>
            <w:pPr>
              <w:widowControl/>
              <w:spacing w:line="520" w:lineRule="exact"/>
              <w:jc w:val="center"/>
              <w:rPr>
                <w:color w:val="000000"/>
                <w:kern w:val="0"/>
                <w:sz w:val="24"/>
                <w:szCs w:val="24"/>
              </w:rPr>
            </w:pPr>
            <w:r>
              <w:rPr>
                <w:color w:val="000000"/>
                <w:kern w:val="0"/>
                <w:sz w:val="24"/>
                <w:szCs w:val="24"/>
              </w:rPr>
              <w:t>（分）</w:t>
            </w:r>
          </w:p>
        </w:tc>
        <w:tc>
          <w:tcPr>
            <w:tcW w:w="835" w:type="dxa"/>
            <w:tcBorders>
              <w:top w:val="nil"/>
              <w:left w:val="nil"/>
              <w:bottom w:val="single" w:color="auto" w:sz="4" w:space="0"/>
              <w:right w:val="single" w:color="auto" w:sz="4" w:space="0"/>
            </w:tcBorders>
            <w:vAlign w:val="center"/>
          </w:tcPr>
          <w:p>
            <w:pPr>
              <w:widowControl/>
              <w:spacing w:line="520" w:lineRule="exact"/>
              <w:jc w:val="center"/>
              <w:rPr>
                <w:color w:val="000000"/>
                <w:kern w:val="0"/>
                <w:sz w:val="24"/>
                <w:szCs w:val="24"/>
              </w:rPr>
            </w:pPr>
            <w:r>
              <w:rPr>
                <w:color w:val="000000"/>
                <w:kern w:val="0"/>
                <w:sz w:val="24"/>
                <w:szCs w:val="24"/>
              </w:rPr>
              <w:t>指标得分</w:t>
            </w:r>
          </w:p>
          <w:p>
            <w:pPr>
              <w:widowControl/>
              <w:spacing w:line="520" w:lineRule="exact"/>
              <w:jc w:val="center"/>
              <w:rPr>
                <w:color w:val="000000"/>
                <w:kern w:val="0"/>
                <w:sz w:val="24"/>
                <w:szCs w:val="24"/>
              </w:rPr>
            </w:pPr>
            <w:r>
              <w:rPr>
                <w:color w:val="000000"/>
                <w:kern w:val="0"/>
                <w:sz w:val="24"/>
                <w:szCs w:val="24"/>
              </w:rPr>
              <w:t>（分）</w:t>
            </w:r>
          </w:p>
        </w:tc>
        <w:tc>
          <w:tcPr>
            <w:tcW w:w="1238" w:type="dxa"/>
            <w:tcBorders>
              <w:top w:val="nil"/>
              <w:left w:val="nil"/>
              <w:bottom w:val="single" w:color="auto" w:sz="4" w:space="0"/>
              <w:right w:val="single" w:color="auto" w:sz="4" w:space="0"/>
            </w:tcBorders>
            <w:vAlign w:val="center"/>
          </w:tcPr>
          <w:p>
            <w:pPr>
              <w:widowControl/>
              <w:spacing w:line="520" w:lineRule="exact"/>
              <w:jc w:val="center"/>
              <w:rPr>
                <w:color w:val="000000"/>
                <w:kern w:val="0"/>
                <w:sz w:val="24"/>
                <w:szCs w:val="24"/>
              </w:rPr>
            </w:pPr>
            <w:r>
              <w:rPr>
                <w:color w:val="000000"/>
                <w:kern w:val="0"/>
                <w:sz w:val="24"/>
                <w:szCs w:val="24"/>
              </w:rPr>
              <w:t>是否核心</w:t>
            </w:r>
          </w:p>
          <w:p>
            <w:pPr>
              <w:widowControl/>
              <w:spacing w:line="520" w:lineRule="exact"/>
              <w:jc w:val="center"/>
              <w:rPr>
                <w:color w:val="000000"/>
                <w:kern w:val="0"/>
                <w:sz w:val="24"/>
                <w:szCs w:val="24"/>
              </w:rPr>
            </w:pPr>
            <w:r>
              <w:rPr>
                <w:color w:val="000000"/>
                <w:kern w:val="0"/>
                <w:sz w:val="24"/>
                <w:szCs w:val="24"/>
              </w:rPr>
              <w:t>指标</w:t>
            </w:r>
          </w:p>
        </w:tc>
      </w:tr>
      <w:tr>
        <w:tblPrEx>
          <w:tblCellMar>
            <w:top w:w="0" w:type="dxa"/>
            <w:left w:w="108" w:type="dxa"/>
            <w:bottom w:w="0" w:type="dxa"/>
            <w:right w:w="108" w:type="dxa"/>
          </w:tblCellMar>
        </w:tblPrEx>
        <w:trPr>
          <w:trHeight w:val="408" w:hRule="atLeast"/>
          <w:jc w:val="center"/>
        </w:trPr>
        <w:tc>
          <w:tcPr>
            <w:tcW w:w="847" w:type="dxa"/>
            <w:vMerge w:val="continue"/>
            <w:tcBorders>
              <w:top w:val="nil"/>
              <w:left w:val="single" w:color="auto" w:sz="4" w:space="0"/>
              <w:bottom w:val="single" w:color="auto" w:sz="4" w:space="0"/>
              <w:right w:val="single" w:color="auto" w:sz="4" w:space="0"/>
            </w:tcBorders>
            <w:vAlign w:val="center"/>
          </w:tcPr>
          <w:p>
            <w:pPr>
              <w:widowControl/>
              <w:spacing w:line="520" w:lineRule="exact"/>
              <w:rPr>
                <w:color w:val="000000"/>
                <w:kern w:val="0"/>
                <w:sz w:val="24"/>
                <w:szCs w:val="24"/>
              </w:rPr>
            </w:pPr>
          </w:p>
        </w:tc>
        <w:tc>
          <w:tcPr>
            <w:tcW w:w="756" w:type="dxa"/>
            <w:tcBorders>
              <w:top w:val="nil"/>
              <w:left w:val="nil"/>
              <w:bottom w:val="single" w:color="auto" w:sz="4" w:space="0"/>
              <w:right w:val="nil"/>
            </w:tcBorders>
            <w:vAlign w:val="center"/>
          </w:tcPr>
          <w:p>
            <w:pPr>
              <w:widowControl/>
              <w:spacing w:line="520" w:lineRule="exact"/>
              <w:jc w:val="center"/>
              <w:rPr>
                <w:color w:val="000000"/>
                <w:kern w:val="0"/>
                <w:sz w:val="24"/>
                <w:szCs w:val="24"/>
              </w:rPr>
            </w:pPr>
            <w:r>
              <w:rPr>
                <w:color w:val="000000"/>
                <w:kern w:val="0"/>
                <w:sz w:val="24"/>
                <w:szCs w:val="24"/>
              </w:rPr>
              <w:t>群众满意率</w:t>
            </w:r>
          </w:p>
        </w:tc>
        <w:tc>
          <w:tcPr>
            <w:tcW w:w="708" w:type="dxa"/>
            <w:gridSpan w:val="2"/>
            <w:tcBorders>
              <w:top w:val="nil"/>
              <w:left w:val="single" w:color="auto" w:sz="4" w:space="0"/>
              <w:bottom w:val="single" w:color="auto" w:sz="4" w:space="0"/>
              <w:right w:val="nil"/>
            </w:tcBorders>
            <w:vAlign w:val="center"/>
          </w:tcPr>
          <w:p>
            <w:pPr>
              <w:widowControl/>
              <w:spacing w:line="520" w:lineRule="exact"/>
              <w:jc w:val="center"/>
              <w:rPr>
                <w:color w:val="000000"/>
                <w:kern w:val="0"/>
                <w:sz w:val="24"/>
                <w:szCs w:val="24"/>
              </w:rPr>
            </w:pPr>
            <w:r>
              <w:rPr>
                <w:color w:val="000000"/>
                <w:kern w:val="0"/>
                <w:sz w:val="24"/>
                <w:szCs w:val="24"/>
              </w:rPr>
              <w:t>%</w:t>
            </w:r>
          </w:p>
        </w:tc>
        <w:tc>
          <w:tcPr>
            <w:tcW w:w="709" w:type="dxa"/>
            <w:gridSpan w:val="2"/>
            <w:tcBorders>
              <w:top w:val="nil"/>
              <w:left w:val="single" w:color="auto" w:sz="4" w:space="0"/>
              <w:bottom w:val="single" w:color="auto" w:sz="4" w:space="0"/>
              <w:right w:val="nil"/>
            </w:tcBorders>
            <w:vAlign w:val="center"/>
          </w:tcPr>
          <w:p>
            <w:pPr>
              <w:widowControl/>
              <w:spacing w:line="520" w:lineRule="exact"/>
              <w:jc w:val="center"/>
              <w:rPr>
                <w:color w:val="000000"/>
                <w:kern w:val="0"/>
                <w:sz w:val="24"/>
                <w:szCs w:val="24"/>
              </w:rPr>
            </w:pPr>
            <w:r>
              <w:rPr>
                <w:color w:val="000000"/>
                <w:kern w:val="0"/>
                <w:sz w:val="24"/>
                <w:szCs w:val="24"/>
              </w:rPr>
              <w:t>满意度</w:t>
            </w:r>
          </w:p>
        </w:tc>
        <w:tc>
          <w:tcPr>
            <w:tcW w:w="708" w:type="dxa"/>
            <w:gridSpan w:val="2"/>
            <w:tcBorders>
              <w:top w:val="nil"/>
              <w:left w:val="single" w:color="auto" w:sz="4" w:space="0"/>
              <w:bottom w:val="single" w:color="auto" w:sz="4" w:space="0"/>
              <w:right w:val="nil"/>
            </w:tcBorders>
            <w:vAlign w:val="center"/>
          </w:tcPr>
          <w:p>
            <w:pPr>
              <w:widowControl/>
              <w:spacing w:line="520" w:lineRule="exact"/>
              <w:jc w:val="center"/>
              <w:rPr>
                <w:color w:val="000000"/>
                <w:kern w:val="0"/>
                <w:sz w:val="24"/>
                <w:szCs w:val="24"/>
              </w:rPr>
            </w:pPr>
            <w:r>
              <w:rPr>
                <w:color w:val="000000"/>
                <w:kern w:val="0"/>
                <w:sz w:val="24"/>
                <w:szCs w:val="24"/>
              </w:rPr>
              <w:t>0</w:t>
            </w:r>
          </w:p>
        </w:tc>
        <w:tc>
          <w:tcPr>
            <w:tcW w:w="704" w:type="dxa"/>
            <w:tcBorders>
              <w:top w:val="nil"/>
              <w:left w:val="single" w:color="auto" w:sz="4" w:space="0"/>
              <w:bottom w:val="single" w:color="auto" w:sz="4" w:space="0"/>
              <w:right w:val="nil"/>
            </w:tcBorders>
            <w:vAlign w:val="center"/>
          </w:tcPr>
          <w:p>
            <w:pPr>
              <w:widowControl/>
              <w:spacing w:line="520" w:lineRule="exact"/>
              <w:jc w:val="center"/>
              <w:rPr>
                <w:color w:val="000000"/>
                <w:kern w:val="0"/>
                <w:sz w:val="24"/>
                <w:szCs w:val="24"/>
              </w:rPr>
            </w:pPr>
            <w:r>
              <w:rPr>
                <w:color w:val="000000"/>
                <w:kern w:val="0"/>
                <w:sz w:val="24"/>
                <w:szCs w:val="24"/>
              </w:rPr>
              <w:t>100</w:t>
            </w:r>
          </w:p>
        </w:tc>
        <w:tc>
          <w:tcPr>
            <w:tcW w:w="1272" w:type="dxa"/>
            <w:tcBorders>
              <w:top w:val="nil"/>
              <w:left w:val="single" w:color="auto" w:sz="4" w:space="0"/>
              <w:bottom w:val="single" w:color="auto" w:sz="4" w:space="0"/>
              <w:right w:val="nil"/>
            </w:tcBorders>
            <w:vAlign w:val="center"/>
          </w:tcPr>
          <w:p>
            <w:pPr>
              <w:widowControl/>
              <w:spacing w:line="520" w:lineRule="exact"/>
              <w:jc w:val="center"/>
              <w:rPr>
                <w:color w:val="000000"/>
                <w:kern w:val="0"/>
                <w:sz w:val="24"/>
                <w:szCs w:val="24"/>
              </w:rPr>
            </w:pPr>
            <w:r>
              <w:rPr>
                <w:color w:val="000000"/>
                <w:kern w:val="0"/>
                <w:sz w:val="24"/>
                <w:szCs w:val="24"/>
              </w:rPr>
              <w:t>99.2</w:t>
            </w:r>
          </w:p>
        </w:tc>
        <w:tc>
          <w:tcPr>
            <w:tcW w:w="990" w:type="dxa"/>
            <w:tcBorders>
              <w:top w:val="nil"/>
              <w:left w:val="single" w:color="auto" w:sz="4" w:space="0"/>
              <w:bottom w:val="single" w:color="auto" w:sz="4" w:space="0"/>
              <w:right w:val="nil"/>
            </w:tcBorders>
            <w:vAlign w:val="center"/>
          </w:tcPr>
          <w:p>
            <w:pPr>
              <w:widowControl/>
              <w:spacing w:line="520" w:lineRule="exact"/>
              <w:jc w:val="center"/>
              <w:rPr>
                <w:color w:val="000000"/>
                <w:kern w:val="0"/>
                <w:sz w:val="24"/>
                <w:szCs w:val="24"/>
              </w:rPr>
            </w:pPr>
            <w:r>
              <w:rPr>
                <w:color w:val="000000"/>
                <w:kern w:val="0"/>
                <w:sz w:val="24"/>
                <w:szCs w:val="24"/>
              </w:rPr>
              <w:t>99.2</w:t>
            </w:r>
          </w:p>
        </w:tc>
        <w:tc>
          <w:tcPr>
            <w:tcW w:w="1365" w:type="dxa"/>
            <w:gridSpan w:val="3"/>
            <w:tcBorders>
              <w:top w:val="nil"/>
              <w:left w:val="single" w:color="auto" w:sz="4" w:space="0"/>
              <w:bottom w:val="single" w:color="auto" w:sz="4" w:space="0"/>
              <w:right w:val="nil"/>
            </w:tcBorders>
            <w:vAlign w:val="center"/>
          </w:tcPr>
          <w:p>
            <w:pPr>
              <w:widowControl/>
              <w:spacing w:line="520" w:lineRule="exact"/>
              <w:jc w:val="center"/>
              <w:rPr>
                <w:color w:val="000000"/>
                <w:kern w:val="0"/>
                <w:sz w:val="24"/>
                <w:szCs w:val="24"/>
              </w:rPr>
            </w:pPr>
            <w:r>
              <w:rPr>
                <w:color w:val="000000"/>
                <w:kern w:val="0"/>
                <w:sz w:val="24"/>
                <w:szCs w:val="24"/>
              </w:rPr>
              <w:t>20</w:t>
            </w:r>
          </w:p>
        </w:tc>
        <w:tc>
          <w:tcPr>
            <w:tcW w:w="835" w:type="dxa"/>
            <w:tcBorders>
              <w:top w:val="nil"/>
              <w:left w:val="single" w:color="auto" w:sz="4" w:space="0"/>
              <w:bottom w:val="single" w:color="auto" w:sz="4" w:space="0"/>
              <w:right w:val="nil"/>
            </w:tcBorders>
            <w:vAlign w:val="center"/>
          </w:tcPr>
          <w:p>
            <w:pPr>
              <w:widowControl/>
              <w:spacing w:line="520" w:lineRule="exact"/>
              <w:jc w:val="center"/>
              <w:rPr>
                <w:color w:val="000000"/>
                <w:kern w:val="0"/>
                <w:sz w:val="24"/>
                <w:szCs w:val="24"/>
              </w:rPr>
            </w:pPr>
            <w:r>
              <w:rPr>
                <w:color w:val="000000"/>
                <w:kern w:val="0"/>
                <w:sz w:val="24"/>
                <w:szCs w:val="24"/>
              </w:rPr>
              <w:t>19.84</w:t>
            </w:r>
          </w:p>
        </w:tc>
        <w:tc>
          <w:tcPr>
            <w:tcW w:w="1238" w:type="dxa"/>
            <w:tcBorders>
              <w:top w:val="nil"/>
              <w:left w:val="single" w:color="auto" w:sz="4" w:space="0"/>
              <w:bottom w:val="single" w:color="auto" w:sz="4" w:space="0"/>
              <w:right w:val="single" w:color="auto" w:sz="4" w:space="0"/>
            </w:tcBorders>
            <w:vAlign w:val="center"/>
          </w:tcPr>
          <w:p>
            <w:pPr>
              <w:widowControl/>
              <w:spacing w:line="520" w:lineRule="exact"/>
              <w:jc w:val="center"/>
              <w:rPr>
                <w:color w:val="000000"/>
                <w:kern w:val="0"/>
                <w:sz w:val="24"/>
                <w:szCs w:val="24"/>
              </w:rPr>
            </w:pPr>
            <w:r>
              <w:rPr>
                <w:color w:val="000000"/>
                <w:kern w:val="0"/>
                <w:sz w:val="24"/>
                <w:szCs w:val="24"/>
              </w:rPr>
              <w:t>是</w:t>
            </w:r>
          </w:p>
        </w:tc>
      </w:tr>
      <w:tr>
        <w:tblPrEx>
          <w:tblCellMar>
            <w:top w:w="0" w:type="dxa"/>
            <w:left w:w="108" w:type="dxa"/>
            <w:bottom w:w="0" w:type="dxa"/>
            <w:right w:w="108" w:type="dxa"/>
          </w:tblCellMar>
        </w:tblPrEx>
        <w:trPr>
          <w:trHeight w:val="589" w:hRule="atLeast"/>
          <w:jc w:val="center"/>
        </w:trPr>
        <w:tc>
          <w:tcPr>
            <w:tcW w:w="847" w:type="dxa"/>
            <w:tcBorders>
              <w:top w:val="nil"/>
              <w:left w:val="single" w:color="auto" w:sz="4" w:space="0"/>
              <w:bottom w:val="single" w:color="auto" w:sz="4" w:space="0"/>
              <w:right w:val="single" w:color="auto" w:sz="4" w:space="0"/>
            </w:tcBorders>
            <w:vAlign w:val="center"/>
          </w:tcPr>
          <w:p>
            <w:pPr>
              <w:widowControl/>
              <w:spacing w:line="520" w:lineRule="exact"/>
              <w:rPr>
                <w:color w:val="000000"/>
                <w:kern w:val="0"/>
                <w:sz w:val="24"/>
                <w:szCs w:val="24"/>
              </w:rPr>
            </w:pPr>
            <w:r>
              <w:rPr>
                <w:color w:val="000000"/>
                <w:kern w:val="0"/>
                <w:sz w:val="24"/>
                <w:szCs w:val="24"/>
              </w:rPr>
              <w:t>说明</w:t>
            </w:r>
          </w:p>
        </w:tc>
        <w:tc>
          <w:tcPr>
            <w:tcW w:w="9285" w:type="dxa"/>
            <w:gridSpan w:val="15"/>
            <w:tcBorders>
              <w:top w:val="single" w:color="auto" w:sz="4" w:space="0"/>
              <w:left w:val="nil"/>
              <w:bottom w:val="single" w:color="auto" w:sz="4" w:space="0"/>
              <w:right w:val="single" w:color="auto" w:sz="4" w:space="0"/>
            </w:tcBorders>
            <w:vAlign w:val="center"/>
          </w:tcPr>
          <w:p>
            <w:pPr>
              <w:widowControl/>
              <w:spacing w:line="520" w:lineRule="exact"/>
              <w:rPr>
                <w:color w:val="000000"/>
                <w:kern w:val="0"/>
                <w:sz w:val="24"/>
                <w:szCs w:val="24"/>
              </w:rPr>
            </w:pPr>
          </w:p>
        </w:tc>
      </w:tr>
    </w:tbl>
    <w:p>
      <w:pPr>
        <w:pStyle w:val="8"/>
        <w:tabs>
          <w:tab w:val="center" w:pos="4153"/>
          <w:tab w:val="left" w:pos="7275"/>
        </w:tabs>
        <w:spacing w:line="520" w:lineRule="exact"/>
        <w:ind w:firstLine="640"/>
        <w:rPr>
          <w:rFonts w:ascii="Times New Roman" w:hAnsi="Times New Roman" w:eastAsia="方正仿宋_GBK"/>
          <w:kern w:val="0"/>
          <w:sz w:val="32"/>
          <w:szCs w:val="32"/>
        </w:rPr>
      </w:pPr>
      <w:r>
        <w:rPr>
          <w:rFonts w:ascii="Times New Roman" w:hAnsi="Times New Roman" w:eastAsia="方正仿宋_GBK"/>
          <w:kern w:val="0"/>
          <w:sz w:val="32"/>
          <w:szCs w:val="32"/>
        </w:rPr>
        <w:t>2.绩效自评报告或案例</w:t>
      </w:r>
    </w:p>
    <w:p>
      <w:pPr>
        <w:pStyle w:val="8"/>
        <w:tabs>
          <w:tab w:val="center" w:pos="4153"/>
          <w:tab w:val="left" w:pos="7275"/>
        </w:tabs>
        <w:spacing w:line="520" w:lineRule="exact"/>
        <w:ind w:firstLine="640"/>
        <w:rPr>
          <w:rFonts w:ascii="Times New Roman" w:hAnsi="Times New Roman" w:eastAsia="方正仿宋_GBK"/>
          <w:kern w:val="0"/>
          <w:sz w:val="32"/>
          <w:szCs w:val="32"/>
        </w:rPr>
      </w:pPr>
      <w:r>
        <w:rPr>
          <w:rFonts w:ascii="Times New Roman" w:hAnsi="Times New Roman" w:eastAsia="方正仿宋_GBK"/>
          <w:kern w:val="0"/>
          <w:sz w:val="32"/>
          <w:szCs w:val="32"/>
        </w:rPr>
        <w:t>无。</w:t>
      </w:r>
    </w:p>
    <w:p>
      <w:pPr>
        <w:pStyle w:val="8"/>
        <w:tabs>
          <w:tab w:val="center" w:pos="4153"/>
          <w:tab w:val="left" w:pos="7275"/>
        </w:tabs>
        <w:spacing w:line="520" w:lineRule="exact"/>
        <w:ind w:firstLine="640"/>
        <w:rPr>
          <w:rFonts w:ascii="Times New Roman" w:hAnsi="Times New Roman" w:eastAsia="方正黑体_GBK"/>
          <w:sz w:val="32"/>
          <w:szCs w:val="32"/>
        </w:rPr>
      </w:pPr>
      <w:r>
        <w:rPr>
          <w:rFonts w:ascii="Times New Roman" w:hAnsi="Times New Roman" w:eastAsia="方正黑体_GBK"/>
          <w:sz w:val="32"/>
          <w:szCs w:val="32"/>
        </w:rPr>
        <w:t>六、专业名词解释</w:t>
      </w:r>
    </w:p>
    <w:p>
      <w:pPr>
        <w:pStyle w:val="8"/>
        <w:tabs>
          <w:tab w:val="center" w:pos="4153"/>
          <w:tab w:val="left" w:pos="7275"/>
        </w:tabs>
        <w:spacing w:line="520" w:lineRule="exact"/>
        <w:ind w:firstLine="640"/>
        <w:rPr>
          <w:rFonts w:ascii="Times New Roman" w:hAnsi="Times New Roman" w:eastAsia="方正仿宋_GBK"/>
          <w:kern w:val="0"/>
          <w:sz w:val="32"/>
          <w:szCs w:val="32"/>
          <w:lang w:val="zh-CN"/>
        </w:rPr>
      </w:pPr>
      <w:r>
        <w:rPr>
          <w:rFonts w:ascii="Times New Roman" w:hAnsi="Times New Roman" w:eastAsia="方正楷体_GBK"/>
          <w:kern w:val="0"/>
          <w:sz w:val="32"/>
          <w:szCs w:val="32"/>
          <w:lang w:val="zh-CN"/>
        </w:rPr>
        <w:t>（一）财政拨款收入</w:t>
      </w:r>
      <w:r>
        <w:rPr>
          <w:rFonts w:hint="eastAsia" w:ascii="Times New Roman" w:hAnsi="Times New Roman" w:eastAsia="方正仿宋_GBK"/>
          <w:kern w:val="0"/>
          <w:sz w:val="32"/>
          <w:szCs w:val="32"/>
          <w:lang w:val="zh-CN"/>
        </w:rPr>
        <w:t>。</w:t>
      </w:r>
      <w:r>
        <w:rPr>
          <w:rFonts w:ascii="Times New Roman" w:hAnsi="Times New Roman" w:eastAsia="方正仿宋_GBK"/>
          <w:kern w:val="0"/>
          <w:sz w:val="32"/>
          <w:szCs w:val="32"/>
          <w:lang w:val="zh-CN"/>
        </w:rPr>
        <w:t>指本年度从本级财政部门取得的财政拨款，包括一般公共预算财政拨款和政府性基金预算财政拨款。</w:t>
      </w:r>
    </w:p>
    <w:p>
      <w:pPr>
        <w:pStyle w:val="8"/>
        <w:tabs>
          <w:tab w:val="center" w:pos="4153"/>
          <w:tab w:val="left" w:pos="7275"/>
        </w:tabs>
        <w:spacing w:line="520" w:lineRule="exact"/>
        <w:ind w:firstLine="640"/>
        <w:rPr>
          <w:rFonts w:ascii="Times New Roman" w:hAnsi="Times New Roman" w:eastAsia="方正楷体_GBK"/>
          <w:kern w:val="0"/>
          <w:sz w:val="32"/>
          <w:szCs w:val="32"/>
          <w:lang w:val="zh-CN"/>
        </w:rPr>
      </w:pPr>
      <w:r>
        <w:rPr>
          <w:rFonts w:ascii="Times New Roman" w:hAnsi="Times New Roman" w:eastAsia="方正楷体_GBK"/>
          <w:kern w:val="0"/>
          <w:sz w:val="32"/>
          <w:szCs w:val="32"/>
          <w:lang w:val="zh-CN"/>
        </w:rPr>
        <w:t>（二）事业收入</w:t>
      </w:r>
      <w:r>
        <w:rPr>
          <w:rFonts w:hint="eastAsia" w:ascii="Times New Roman" w:hAnsi="Times New Roman" w:eastAsia="方正楷体_GBK"/>
          <w:kern w:val="0"/>
          <w:sz w:val="32"/>
          <w:szCs w:val="32"/>
          <w:lang w:val="zh-CN"/>
        </w:rPr>
        <w:t>。</w:t>
      </w:r>
      <w:r>
        <w:rPr>
          <w:rFonts w:ascii="Times New Roman" w:hAnsi="Times New Roman" w:eastAsia="方正仿宋_GBK"/>
          <w:kern w:val="0"/>
          <w:sz w:val="32"/>
          <w:szCs w:val="32"/>
          <w:lang w:val="zh-CN"/>
        </w:rPr>
        <w:t>指事业单位开展专业业务活动及其辅助活动取得的现金流入；事业单位收到的财政专户实际核拨的教育收费等资金在此反映。</w:t>
      </w:r>
    </w:p>
    <w:p>
      <w:pPr>
        <w:pStyle w:val="8"/>
        <w:tabs>
          <w:tab w:val="center" w:pos="4153"/>
          <w:tab w:val="left" w:pos="7275"/>
        </w:tabs>
        <w:spacing w:line="520" w:lineRule="exact"/>
        <w:ind w:firstLine="640"/>
        <w:rPr>
          <w:rFonts w:ascii="Times New Roman" w:hAnsi="Times New Roman" w:eastAsia="方正楷体_GBK"/>
          <w:kern w:val="0"/>
          <w:sz w:val="32"/>
          <w:szCs w:val="32"/>
          <w:lang w:val="zh-CN"/>
        </w:rPr>
      </w:pPr>
      <w:r>
        <w:rPr>
          <w:rFonts w:ascii="Times New Roman" w:hAnsi="Times New Roman" w:eastAsia="方正楷体_GBK"/>
          <w:kern w:val="0"/>
          <w:sz w:val="32"/>
          <w:szCs w:val="32"/>
          <w:lang w:val="zh-CN"/>
        </w:rPr>
        <w:t>（三）经营收入</w:t>
      </w:r>
      <w:r>
        <w:rPr>
          <w:rFonts w:hint="eastAsia" w:ascii="Times New Roman" w:hAnsi="Times New Roman" w:eastAsia="方正楷体_GBK"/>
          <w:kern w:val="0"/>
          <w:sz w:val="32"/>
          <w:szCs w:val="32"/>
          <w:lang w:val="zh-CN"/>
        </w:rPr>
        <w:t>。</w:t>
      </w:r>
      <w:r>
        <w:rPr>
          <w:rFonts w:ascii="Times New Roman" w:hAnsi="Times New Roman" w:eastAsia="方正仿宋_GBK"/>
          <w:kern w:val="0"/>
          <w:sz w:val="32"/>
          <w:szCs w:val="32"/>
          <w:lang w:val="zh-CN"/>
        </w:rPr>
        <w:t>指事业单位在专业业务活动及其辅助活动之外开展非独立核算经营活动取得的现金流入。</w:t>
      </w:r>
    </w:p>
    <w:p>
      <w:pPr>
        <w:pStyle w:val="8"/>
        <w:tabs>
          <w:tab w:val="center" w:pos="4153"/>
          <w:tab w:val="left" w:pos="7275"/>
        </w:tabs>
        <w:spacing w:line="520" w:lineRule="exact"/>
        <w:ind w:firstLine="640"/>
        <w:rPr>
          <w:rFonts w:ascii="Times New Roman" w:hAnsi="Times New Roman" w:eastAsia="方正楷体_GBK"/>
          <w:kern w:val="0"/>
          <w:sz w:val="32"/>
          <w:szCs w:val="32"/>
          <w:lang w:val="zh-CN"/>
        </w:rPr>
      </w:pPr>
      <w:r>
        <w:rPr>
          <w:rFonts w:ascii="Times New Roman" w:hAnsi="Times New Roman" w:eastAsia="方正楷体_GBK"/>
          <w:kern w:val="0"/>
          <w:sz w:val="32"/>
          <w:szCs w:val="32"/>
          <w:lang w:val="zh-CN"/>
        </w:rPr>
        <w:t>（四）其他收入</w:t>
      </w:r>
      <w:r>
        <w:rPr>
          <w:rFonts w:hint="eastAsia" w:ascii="Times New Roman" w:hAnsi="Times New Roman" w:eastAsia="方正楷体_GBK"/>
          <w:kern w:val="0"/>
          <w:sz w:val="32"/>
          <w:szCs w:val="32"/>
          <w:lang w:val="zh-CN"/>
        </w:rPr>
        <w:t>。</w:t>
      </w:r>
      <w:r>
        <w:rPr>
          <w:rFonts w:ascii="Times New Roman" w:hAnsi="Times New Roman" w:eastAsia="方正仿宋_GBK"/>
          <w:kern w:val="0"/>
          <w:sz w:val="32"/>
          <w:szCs w:val="32"/>
          <w:lang w:val="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tabs>
          <w:tab w:val="center" w:pos="4153"/>
          <w:tab w:val="left" w:pos="7275"/>
        </w:tabs>
        <w:spacing w:line="520" w:lineRule="exact"/>
        <w:ind w:firstLine="640"/>
        <w:rPr>
          <w:rFonts w:ascii="Times New Roman" w:hAnsi="Times New Roman" w:eastAsia="方正仿宋_GBK"/>
          <w:kern w:val="0"/>
          <w:sz w:val="32"/>
          <w:szCs w:val="32"/>
          <w:lang w:val="zh-CN"/>
        </w:rPr>
      </w:pPr>
      <w:r>
        <w:rPr>
          <w:rFonts w:ascii="Times New Roman" w:hAnsi="Times New Roman" w:eastAsia="方正楷体_GBK"/>
          <w:kern w:val="0"/>
          <w:sz w:val="32"/>
          <w:szCs w:val="32"/>
          <w:lang w:val="zh-CN"/>
        </w:rPr>
        <w:t>（五）用事业基金弥补收支差额</w:t>
      </w:r>
      <w:r>
        <w:rPr>
          <w:rFonts w:hint="eastAsia" w:ascii="Times New Roman" w:hAnsi="Times New Roman" w:eastAsia="方正仿宋_GBK"/>
          <w:kern w:val="0"/>
          <w:sz w:val="32"/>
          <w:szCs w:val="32"/>
          <w:lang w:val="zh-CN"/>
        </w:rPr>
        <w:t>。</w:t>
      </w:r>
      <w:r>
        <w:rPr>
          <w:rFonts w:ascii="Times New Roman" w:hAnsi="Times New Roman" w:eastAsia="方正仿宋_GBK"/>
          <w:kern w:val="0"/>
          <w:sz w:val="32"/>
          <w:szCs w:val="32"/>
          <w:lang w:val="zh-CN"/>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8"/>
        <w:tabs>
          <w:tab w:val="center" w:pos="4153"/>
          <w:tab w:val="left" w:pos="7275"/>
        </w:tabs>
        <w:spacing w:line="520" w:lineRule="exact"/>
        <w:ind w:firstLine="640"/>
        <w:rPr>
          <w:rFonts w:ascii="Times New Roman" w:hAnsi="Times New Roman" w:eastAsia="方正楷体_GBK"/>
          <w:kern w:val="0"/>
          <w:sz w:val="32"/>
          <w:szCs w:val="32"/>
          <w:lang w:val="zh-CN"/>
        </w:rPr>
      </w:pPr>
      <w:r>
        <w:rPr>
          <w:rFonts w:ascii="Times New Roman" w:hAnsi="Times New Roman" w:eastAsia="方正楷体_GBK"/>
          <w:kern w:val="0"/>
          <w:sz w:val="32"/>
          <w:szCs w:val="32"/>
          <w:lang w:val="zh-CN"/>
        </w:rPr>
        <w:t>（六）年初结转和结余</w:t>
      </w:r>
      <w:r>
        <w:rPr>
          <w:rFonts w:hint="eastAsia" w:ascii="Times New Roman" w:hAnsi="Times New Roman" w:eastAsia="方正楷体_GBK"/>
          <w:kern w:val="0"/>
          <w:sz w:val="32"/>
          <w:szCs w:val="32"/>
          <w:lang w:val="zh-CN"/>
        </w:rPr>
        <w:t>。</w:t>
      </w:r>
      <w:r>
        <w:rPr>
          <w:rFonts w:ascii="Times New Roman" w:hAnsi="Times New Roman" w:eastAsia="方正仿宋_GBK"/>
          <w:kern w:val="0"/>
          <w:sz w:val="32"/>
          <w:szCs w:val="32"/>
          <w:lang w:val="zh-CN"/>
        </w:rPr>
        <w:t>指单位上年结转本年使用的基本支出结转、项目支出结转和结余、经营结余。</w:t>
      </w:r>
    </w:p>
    <w:p>
      <w:pPr>
        <w:pStyle w:val="8"/>
        <w:tabs>
          <w:tab w:val="center" w:pos="4153"/>
          <w:tab w:val="left" w:pos="7275"/>
        </w:tabs>
        <w:spacing w:line="520" w:lineRule="exact"/>
        <w:ind w:firstLine="640"/>
        <w:rPr>
          <w:rFonts w:ascii="Times New Roman" w:hAnsi="Times New Roman" w:eastAsia="方正仿宋_GBK"/>
          <w:kern w:val="0"/>
          <w:sz w:val="32"/>
          <w:szCs w:val="32"/>
          <w:lang w:val="zh-CN"/>
        </w:rPr>
      </w:pPr>
      <w:r>
        <w:rPr>
          <w:rFonts w:ascii="Times New Roman" w:hAnsi="Times New Roman" w:eastAsia="方正楷体_GBK"/>
          <w:kern w:val="0"/>
          <w:sz w:val="32"/>
          <w:szCs w:val="32"/>
          <w:lang w:val="zh-CN"/>
        </w:rPr>
        <w:t>（七）结余分配</w:t>
      </w:r>
      <w:r>
        <w:rPr>
          <w:rFonts w:hint="eastAsia" w:ascii="Times New Roman" w:hAnsi="Times New Roman" w:eastAsia="方正仿宋_GBK"/>
          <w:kern w:val="0"/>
          <w:sz w:val="32"/>
          <w:szCs w:val="32"/>
          <w:lang w:val="zh-CN"/>
        </w:rPr>
        <w:t>。</w:t>
      </w:r>
      <w:r>
        <w:rPr>
          <w:rFonts w:ascii="Times New Roman" w:hAnsi="Times New Roman" w:eastAsia="方正仿宋_GBK"/>
          <w:kern w:val="0"/>
          <w:sz w:val="32"/>
          <w:szCs w:val="32"/>
          <w:lang w:val="zh-CN"/>
        </w:rPr>
        <w:t>指单位按照国家有关规定，缴纳所得税、提取专用基金、转入事业基金等当年结余的分配情况。</w:t>
      </w:r>
    </w:p>
    <w:p>
      <w:pPr>
        <w:pStyle w:val="8"/>
        <w:tabs>
          <w:tab w:val="center" w:pos="4153"/>
          <w:tab w:val="left" w:pos="7275"/>
        </w:tabs>
        <w:spacing w:line="520" w:lineRule="exact"/>
        <w:ind w:firstLine="640"/>
        <w:rPr>
          <w:rFonts w:ascii="Times New Roman" w:hAnsi="Times New Roman" w:eastAsia="方正楷体_GBK"/>
          <w:kern w:val="0"/>
          <w:sz w:val="32"/>
          <w:szCs w:val="32"/>
          <w:lang w:val="zh-CN"/>
        </w:rPr>
      </w:pPr>
      <w:r>
        <w:rPr>
          <w:rFonts w:ascii="Times New Roman" w:hAnsi="Times New Roman" w:eastAsia="方正楷体_GBK"/>
          <w:kern w:val="0"/>
          <w:sz w:val="32"/>
          <w:szCs w:val="32"/>
          <w:lang w:val="zh-CN"/>
        </w:rPr>
        <w:t>（八）年末结转和结余</w:t>
      </w:r>
      <w:r>
        <w:rPr>
          <w:rFonts w:hint="eastAsia" w:ascii="Times New Roman" w:hAnsi="Times New Roman" w:eastAsia="方正楷体_GBK"/>
          <w:kern w:val="0"/>
          <w:sz w:val="32"/>
          <w:szCs w:val="32"/>
          <w:lang w:val="zh-CN"/>
        </w:rPr>
        <w:t>。</w:t>
      </w:r>
      <w:r>
        <w:rPr>
          <w:rFonts w:ascii="Times New Roman" w:hAnsi="Times New Roman" w:eastAsia="方正仿宋_GBK"/>
          <w:kern w:val="0"/>
          <w:sz w:val="32"/>
          <w:szCs w:val="32"/>
          <w:lang w:val="zh-CN"/>
        </w:rPr>
        <w:t>指单位结转下年的基本支出结转、项目支出结转和结余、经营结余。</w:t>
      </w:r>
    </w:p>
    <w:p>
      <w:pPr>
        <w:pStyle w:val="8"/>
        <w:tabs>
          <w:tab w:val="center" w:pos="4153"/>
          <w:tab w:val="left" w:pos="7275"/>
        </w:tabs>
        <w:spacing w:line="520" w:lineRule="exact"/>
        <w:ind w:firstLine="640"/>
        <w:rPr>
          <w:rFonts w:ascii="Times New Roman" w:hAnsi="Times New Roman" w:eastAsia="方正楷体_GBK"/>
          <w:kern w:val="0"/>
          <w:sz w:val="32"/>
          <w:szCs w:val="32"/>
          <w:lang w:val="zh-CN"/>
        </w:rPr>
      </w:pPr>
      <w:r>
        <w:rPr>
          <w:rFonts w:ascii="Times New Roman" w:hAnsi="Times New Roman" w:eastAsia="方正楷体_GBK"/>
          <w:kern w:val="0"/>
          <w:sz w:val="32"/>
          <w:szCs w:val="32"/>
          <w:lang w:val="zh-CN"/>
        </w:rPr>
        <w:t>（九）基本支出</w:t>
      </w:r>
      <w:r>
        <w:rPr>
          <w:rFonts w:hint="eastAsia" w:ascii="Times New Roman" w:hAnsi="Times New Roman" w:eastAsia="方正楷体_GBK"/>
          <w:kern w:val="0"/>
          <w:sz w:val="32"/>
          <w:szCs w:val="32"/>
          <w:lang w:val="zh-CN"/>
        </w:rPr>
        <w:t>。</w:t>
      </w:r>
      <w:r>
        <w:rPr>
          <w:rFonts w:ascii="Times New Roman" w:hAnsi="Times New Roman" w:eastAsia="方正仿宋_GBK"/>
          <w:kern w:val="0"/>
          <w:sz w:val="32"/>
          <w:szCs w:val="32"/>
          <w:lang w:val="zh-CN"/>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tabs>
          <w:tab w:val="center" w:pos="4153"/>
          <w:tab w:val="left" w:pos="7275"/>
        </w:tabs>
        <w:spacing w:line="520" w:lineRule="exact"/>
        <w:ind w:firstLine="640"/>
        <w:rPr>
          <w:rFonts w:ascii="Times New Roman" w:hAnsi="Times New Roman" w:eastAsia="方正楷体_GBK"/>
          <w:kern w:val="0"/>
          <w:sz w:val="32"/>
          <w:szCs w:val="32"/>
          <w:lang w:val="zh-CN"/>
        </w:rPr>
      </w:pPr>
      <w:r>
        <w:rPr>
          <w:rFonts w:ascii="Times New Roman" w:hAnsi="Times New Roman" w:eastAsia="方正楷体_GBK"/>
          <w:kern w:val="0"/>
          <w:sz w:val="32"/>
          <w:szCs w:val="32"/>
          <w:lang w:val="zh-CN"/>
        </w:rPr>
        <w:t>（十）项目支出</w:t>
      </w:r>
      <w:r>
        <w:rPr>
          <w:rFonts w:hint="eastAsia" w:ascii="Times New Roman" w:hAnsi="Times New Roman" w:eastAsia="方正楷体_GBK"/>
          <w:kern w:val="0"/>
          <w:sz w:val="32"/>
          <w:szCs w:val="32"/>
          <w:lang w:val="zh-CN"/>
        </w:rPr>
        <w:t>。</w:t>
      </w:r>
      <w:r>
        <w:rPr>
          <w:rFonts w:ascii="Times New Roman" w:hAnsi="Times New Roman" w:eastAsia="方正仿宋_GBK"/>
          <w:kern w:val="0"/>
          <w:sz w:val="32"/>
          <w:szCs w:val="32"/>
          <w:lang w:val="zh-CN"/>
        </w:rPr>
        <w:t>指在基本支出之外为完成特定行政任务和事业发展目标所发生的支出。</w:t>
      </w:r>
    </w:p>
    <w:p>
      <w:pPr>
        <w:pStyle w:val="8"/>
        <w:tabs>
          <w:tab w:val="center" w:pos="4153"/>
          <w:tab w:val="left" w:pos="7275"/>
        </w:tabs>
        <w:spacing w:line="520" w:lineRule="exact"/>
        <w:ind w:firstLine="640"/>
        <w:rPr>
          <w:rFonts w:ascii="Times New Roman" w:hAnsi="Times New Roman" w:eastAsia="方正楷体_GBK"/>
          <w:kern w:val="0"/>
          <w:sz w:val="32"/>
          <w:szCs w:val="32"/>
          <w:lang w:val="zh-CN"/>
        </w:rPr>
      </w:pPr>
      <w:r>
        <w:rPr>
          <w:rFonts w:ascii="Times New Roman" w:hAnsi="Times New Roman" w:eastAsia="方正楷体_GBK"/>
          <w:kern w:val="0"/>
          <w:sz w:val="32"/>
          <w:szCs w:val="32"/>
          <w:lang w:val="zh-CN"/>
        </w:rPr>
        <w:t>（十一）经营支出</w:t>
      </w:r>
      <w:r>
        <w:rPr>
          <w:rFonts w:hint="eastAsia" w:ascii="Times New Roman" w:hAnsi="Times New Roman" w:eastAsia="方正楷体_GBK"/>
          <w:kern w:val="0"/>
          <w:sz w:val="32"/>
          <w:szCs w:val="32"/>
          <w:lang w:val="zh-CN"/>
        </w:rPr>
        <w:t>。</w:t>
      </w:r>
      <w:r>
        <w:rPr>
          <w:rFonts w:ascii="Times New Roman" w:hAnsi="Times New Roman" w:eastAsia="方正仿宋_GBK"/>
          <w:kern w:val="0"/>
          <w:sz w:val="32"/>
          <w:szCs w:val="32"/>
          <w:lang w:val="zh-CN"/>
        </w:rPr>
        <w:t>指事业单位在专业业务活动及其辅助活动之外开展非独立核算经营活动发生的支出。</w:t>
      </w:r>
    </w:p>
    <w:p>
      <w:pPr>
        <w:pStyle w:val="8"/>
        <w:tabs>
          <w:tab w:val="center" w:pos="4153"/>
          <w:tab w:val="left" w:pos="7275"/>
        </w:tabs>
        <w:spacing w:line="520" w:lineRule="exact"/>
        <w:ind w:firstLine="640"/>
        <w:rPr>
          <w:rFonts w:ascii="Times New Roman" w:hAnsi="Times New Roman" w:eastAsia="方正仿宋_GBK"/>
          <w:kern w:val="0"/>
          <w:sz w:val="32"/>
          <w:szCs w:val="32"/>
          <w:lang w:val="zh-CN"/>
        </w:rPr>
      </w:pPr>
      <w:r>
        <w:rPr>
          <w:rFonts w:ascii="Times New Roman" w:hAnsi="Times New Roman" w:eastAsia="方正楷体_GBK"/>
          <w:kern w:val="0"/>
          <w:sz w:val="32"/>
          <w:szCs w:val="32"/>
          <w:lang w:val="zh-CN"/>
        </w:rPr>
        <w:t>（十二）“三公”经费</w:t>
      </w:r>
      <w:r>
        <w:rPr>
          <w:rFonts w:hint="eastAsia" w:ascii="Times New Roman" w:hAnsi="Times New Roman" w:eastAsia="方正仿宋_GBK"/>
          <w:kern w:val="0"/>
          <w:sz w:val="32"/>
          <w:szCs w:val="32"/>
          <w:lang w:val="zh-CN"/>
        </w:rPr>
        <w:t>。</w:t>
      </w:r>
      <w:r>
        <w:rPr>
          <w:rFonts w:ascii="Times New Roman" w:hAnsi="Times New Roman" w:eastAsia="方正仿宋_GBK"/>
          <w:kern w:val="0"/>
          <w:sz w:val="32"/>
          <w:szCs w:val="32"/>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tabs>
          <w:tab w:val="center" w:pos="4153"/>
          <w:tab w:val="left" w:pos="7275"/>
        </w:tabs>
        <w:spacing w:line="520" w:lineRule="exact"/>
        <w:ind w:firstLine="640"/>
        <w:rPr>
          <w:rFonts w:ascii="Times New Roman" w:hAnsi="Times New Roman" w:eastAsia="方正仿宋_GBK"/>
          <w:kern w:val="0"/>
          <w:sz w:val="32"/>
          <w:szCs w:val="32"/>
          <w:lang w:val="zh-CN"/>
        </w:rPr>
      </w:pPr>
      <w:r>
        <w:rPr>
          <w:rFonts w:ascii="Times New Roman" w:hAnsi="Times New Roman" w:eastAsia="方正楷体_GBK"/>
          <w:kern w:val="0"/>
          <w:sz w:val="32"/>
          <w:szCs w:val="32"/>
          <w:lang w:val="zh-CN"/>
        </w:rPr>
        <w:t>（十三）机关运行经费</w:t>
      </w:r>
      <w:r>
        <w:rPr>
          <w:rFonts w:hint="eastAsia" w:ascii="Times New Roman" w:hAnsi="Times New Roman" w:eastAsia="方正仿宋_GBK"/>
          <w:kern w:val="0"/>
          <w:sz w:val="32"/>
          <w:szCs w:val="32"/>
          <w:lang w:val="zh-CN"/>
        </w:rPr>
        <w:t>。</w:t>
      </w:r>
      <w:r>
        <w:rPr>
          <w:rFonts w:ascii="Times New Roman" w:hAnsi="Times New Roman" w:eastAsia="方正仿宋_GBK"/>
          <w:kern w:val="0"/>
          <w:sz w:val="32"/>
          <w:szCs w:val="32"/>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tabs>
          <w:tab w:val="center" w:pos="4153"/>
          <w:tab w:val="left" w:pos="7275"/>
        </w:tabs>
        <w:spacing w:line="520" w:lineRule="exact"/>
        <w:ind w:firstLine="640"/>
        <w:rPr>
          <w:rFonts w:ascii="Times New Roman" w:hAnsi="Times New Roman" w:eastAsia="方正仿宋_GBK"/>
          <w:kern w:val="0"/>
          <w:sz w:val="32"/>
          <w:szCs w:val="32"/>
          <w:lang w:val="zh-CN"/>
        </w:rPr>
      </w:pPr>
      <w:r>
        <w:rPr>
          <w:rFonts w:ascii="Times New Roman" w:hAnsi="Times New Roman" w:eastAsia="方正楷体_GBK"/>
          <w:kern w:val="0"/>
          <w:sz w:val="32"/>
          <w:szCs w:val="32"/>
          <w:lang w:val="zh-CN"/>
        </w:rPr>
        <w:t>（十四）工资福利支出</w:t>
      </w:r>
      <w:r>
        <w:rPr>
          <w:rFonts w:hint="eastAsia" w:ascii="Times New Roman" w:hAnsi="Times New Roman" w:eastAsia="方正仿宋_GBK"/>
          <w:kern w:val="0"/>
          <w:sz w:val="32"/>
          <w:szCs w:val="32"/>
          <w:lang w:val="zh-CN"/>
        </w:rPr>
        <w:t>。</w:t>
      </w:r>
      <w:r>
        <w:rPr>
          <w:rFonts w:ascii="Times New Roman" w:hAnsi="Times New Roman" w:eastAsia="方正仿宋_GBK"/>
          <w:kern w:val="0"/>
          <w:sz w:val="32"/>
          <w:szCs w:val="32"/>
          <w:lang w:val="zh-CN"/>
        </w:rPr>
        <w:t>反映单位开支的在职职工和编制外长期聘用人员的各类劳动报酬，以及为上述人员缴纳的各项社会保险费等。</w:t>
      </w:r>
    </w:p>
    <w:p>
      <w:pPr>
        <w:pStyle w:val="8"/>
        <w:tabs>
          <w:tab w:val="center" w:pos="4153"/>
          <w:tab w:val="left" w:pos="7275"/>
        </w:tabs>
        <w:spacing w:line="520" w:lineRule="exact"/>
        <w:ind w:firstLine="640"/>
        <w:rPr>
          <w:rFonts w:ascii="Times New Roman" w:hAnsi="Times New Roman" w:eastAsia="方正仿宋_GBK"/>
          <w:kern w:val="0"/>
          <w:sz w:val="32"/>
          <w:szCs w:val="32"/>
          <w:lang w:val="zh-CN"/>
        </w:rPr>
      </w:pPr>
      <w:r>
        <w:rPr>
          <w:rFonts w:ascii="Times New Roman" w:hAnsi="Times New Roman" w:eastAsia="方正楷体_GBK"/>
          <w:kern w:val="0"/>
          <w:sz w:val="32"/>
          <w:szCs w:val="32"/>
          <w:lang w:val="zh-CN"/>
        </w:rPr>
        <w:t>（十五）商品和服务支出</w:t>
      </w:r>
      <w:r>
        <w:rPr>
          <w:rFonts w:hint="eastAsia" w:ascii="Times New Roman" w:hAnsi="Times New Roman" w:eastAsia="方正楷体_GBK"/>
          <w:kern w:val="0"/>
          <w:sz w:val="32"/>
          <w:szCs w:val="32"/>
          <w:lang w:val="zh-CN"/>
        </w:rPr>
        <w:t>。</w:t>
      </w:r>
      <w:r>
        <w:rPr>
          <w:rFonts w:ascii="Times New Roman" w:hAnsi="Times New Roman" w:eastAsia="方正仿宋_GBK"/>
          <w:kern w:val="0"/>
          <w:sz w:val="32"/>
          <w:szCs w:val="32"/>
          <w:lang w:val="zh-CN"/>
        </w:rPr>
        <w:t>反映单位购买商品和服务的支出（不包括用于购置固定资产的支出、战略性和应急储备支出）。</w:t>
      </w:r>
    </w:p>
    <w:p>
      <w:pPr>
        <w:pStyle w:val="8"/>
        <w:tabs>
          <w:tab w:val="center" w:pos="4153"/>
          <w:tab w:val="left" w:pos="7275"/>
        </w:tabs>
        <w:spacing w:line="520" w:lineRule="exact"/>
        <w:ind w:firstLine="640"/>
        <w:rPr>
          <w:rFonts w:ascii="Times New Roman" w:hAnsi="Times New Roman" w:eastAsia="方正仿宋_GBK"/>
          <w:kern w:val="0"/>
          <w:sz w:val="32"/>
          <w:szCs w:val="32"/>
          <w:lang w:val="zh-CN"/>
        </w:rPr>
      </w:pPr>
      <w:r>
        <w:rPr>
          <w:rFonts w:ascii="Times New Roman" w:hAnsi="Times New Roman" w:eastAsia="方正楷体_GBK"/>
          <w:kern w:val="0"/>
          <w:sz w:val="32"/>
          <w:szCs w:val="32"/>
          <w:lang w:val="zh-CN"/>
        </w:rPr>
        <w:t>（十六）其他资本性支出</w:t>
      </w:r>
      <w:r>
        <w:rPr>
          <w:rFonts w:hint="eastAsia" w:ascii="Times New Roman" w:hAnsi="Times New Roman" w:eastAsia="方正仿宋_GBK"/>
          <w:kern w:val="0"/>
          <w:sz w:val="32"/>
          <w:szCs w:val="32"/>
          <w:lang w:val="zh-CN"/>
        </w:rPr>
        <w:t>。</w:t>
      </w:r>
      <w:r>
        <w:rPr>
          <w:rFonts w:ascii="Times New Roman" w:hAnsi="Times New Roman" w:eastAsia="方正仿宋_GBK"/>
          <w:kern w:val="0"/>
          <w:sz w:val="32"/>
          <w:szCs w:val="32"/>
          <w:lang w:val="zh-CN"/>
        </w:rPr>
        <w:t>反映非各级发展与改革部门集中安排的用于购置固定资产、战略性和应急性储备、土地和无形资产，以及构建基础设施、大型修缮和财政支持企业更新改造所发生的支出。</w:t>
      </w:r>
    </w:p>
    <w:p>
      <w:pPr>
        <w:pStyle w:val="8"/>
        <w:tabs>
          <w:tab w:val="center" w:pos="4153"/>
          <w:tab w:val="left" w:pos="7275"/>
        </w:tabs>
        <w:spacing w:line="520" w:lineRule="exact"/>
        <w:ind w:firstLine="640"/>
        <w:rPr>
          <w:rFonts w:ascii="Times New Roman" w:hAnsi="Times New Roman" w:eastAsia="方正黑体_GBK"/>
          <w:kern w:val="0"/>
          <w:sz w:val="32"/>
          <w:szCs w:val="32"/>
        </w:rPr>
      </w:pPr>
      <w:r>
        <w:rPr>
          <w:rFonts w:ascii="Times New Roman" w:hAnsi="Times New Roman" w:eastAsia="方正黑体_GBK"/>
          <w:kern w:val="0"/>
          <w:sz w:val="32"/>
          <w:szCs w:val="32"/>
        </w:rPr>
        <w:t>七、决算公开联系方式</w:t>
      </w:r>
    </w:p>
    <w:p>
      <w:pPr>
        <w:pStyle w:val="8"/>
        <w:tabs>
          <w:tab w:val="center" w:pos="4153"/>
          <w:tab w:val="left" w:pos="7275"/>
        </w:tabs>
        <w:spacing w:line="520" w:lineRule="exact"/>
        <w:ind w:firstLine="640"/>
        <w:rPr>
          <w:rFonts w:ascii="Times New Roman" w:hAnsi="Times New Roman" w:eastAsia="方正仿宋_GBK"/>
          <w:kern w:val="0"/>
          <w:sz w:val="32"/>
          <w:szCs w:val="32"/>
        </w:rPr>
      </w:pPr>
      <w:r>
        <w:rPr>
          <w:rFonts w:ascii="Times New Roman" w:hAnsi="Times New Roman" w:eastAsia="方正仿宋_GBK"/>
          <w:kern w:val="0"/>
          <w:sz w:val="32"/>
          <w:szCs w:val="32"/>
          <w:lang w:val="zh-CN"/>
        </w:rPr>
        <w:t>城口县</w:t>
      </w:r>
      <w:r>
        <w:rPr>
          <w:rFonts w:hint="eastAsia" w:ascii="Times New Roman" w:hAnsi="Times New Roman" w:eastAsia="方正仿宋_GBK"/>
          <w:kern w:val="0"/>
          <w:sz w:val="32"/>
          <w:szCs w:val="32"/>
          <w:lang w:val="zh-CN"/>
        </w:rPr>
        <w:t>档案馆</w:t>
      </w:r>
      <w:r>
        <w:rPr>
          <w:rFonts w:ascii="Times New Roman" w:hAnsi="Times New Roman" w:eastAsia="方正仿宋_GBK"/>
          <w:kern w:val="0"/>
          <w:sz w:val="32"/>
          <w:szCs w:val="32"/>
          <w:lang w:val="zh-CN"/>
        </w:rPr>
        <w:t xml:space="preserve">： </w:t>
      </w:r>
      <w:r>
        <w:rPr>
          <w:rFonts w:ascii="Times New Roman" w:hAnsi="Times New Roman" w:eastAsia="方正仿宋_GBK"/>
          <w:kern w:val="0"/>
          <w:sz w:val="32"/>
          <w:szCs w:val="32"/>
        </w:rPr>
        <w:t>023-59225446</w:t>
      </w:r>
    </w:p>
    <w:p>
      <w:pPr>
        <w:pStyle w:val="4"/>
        <w:shd w:val="clear" w:color="auto" w:fill="FFFFFF"/>
        <w:snapToGrid w:val="0"/>
        <w:spacing w:line="480" w:lineRule="exact"/>
        <w:rPr>
          <w:rFonts w:asciiTheme="minorEastAsia" w:hAnsiTheme="minorEastAsia" w:eastAsia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jMDkwNTMzN2I2ODFiZmM3ZGRhYWZlZDNlZWMzY2EifQ=="/>
  </w:docVars>
  <w:rsids>
    <w:rsidRoot w:val="00174DF1"/>
    <w:rsid w:val="000054BE"/>
    <w:rsid w:val="000728C1"/>
    <w:rsid w:val="00074E7E"/>
    <w:rsid w:val="000957AD"/>
    <w:rsid w:val="000D1429"/>
    <w:rsid w:val="000E016F"/>
    <w:rsid w:val="000E2060"/>
    <w:rsid w:val="00174DF1"/>
    <w:rsid w:val="00196237"/>
    <w:rsid w:val="0025091A"/>
    <w:rsid w:val="002863C1"/>
    <w:rsid w:val="002A7A65"/>
    <w:rsid w:val="002C7B53"/>
    <w:rsid w:val="00311475"/>
    <w:rsid w:val="00332241"/>
    <w:rsid w:val="00356209"/>
    <w:rsid w:val="003D08E3"/>
    <w:rsid w:val="00402374"/>
    <w:rsid w:val="0040670C"/>
    <w:rsid w:val="00440485"/>
    <w:rsid w:val="004472F3"/>
    <w:rsid w:val="004A74EB"/>
    <w:rsid w:val="004B6829"/>
    <w:rsid w:val="004B7167"/>
    <w:rsid w:val="004F00E1"/>
    <w:rsid w:val="005A4C41"/>
    <w:rsid w:val="006541A0"/>
    <w:rsid w:val="0066263C"/>
    <w:rsid w:val="00684EF0"/>
    <w:rsid w:val="00736FB5"/>
    <w:rsid w:val="0078068F"/>
    <w:rsid w:val="007A1F2D"/>
    <w:rsid w:val="008E5831"/>
    <w:rsid w:val="008F5071"/>
    <w:rsid w:val="0092537B"/>
    <w:rsid w:val="00937E90"/>
    <w:rsid w:val="00973709"/>
    <w:rsid w:val="00983222"/>
    <w:rsid w:val="009832D4"/>
    <w:rsid w:val="009B3A44"/>
    <w:rsid w:val="009C13F8"/>
    <w:rsid w:val="00A0301D"/>
    <w:rsid w:val="00A77612"/>
    <w:rsid w:val="00A81CE0"/>
    <w:rsid w:val="00A8777A"/>
    <w:rsid w:val="00AB3ECC"/>
    <w:rsid w:val="00B20162"/>
    <w:rsid w:val="00B661E9"/>
    <w:rsid w:val="00BB1EDF"/>
    <w:rsid w:val="00BF0F4C"/>
    <w:rsid w:val="00C543DB"/>
    <w:rsid w:val="00CA75C7"/>
    <w:rsid w:val="00CD1DA8"/>
    <w:rsid w:val="00CF0458"/>
    <w:rsid w:val="00D05917"/>
    <w:rsid w:val="00D23CCC"/>
    <w:rsid w:val="00D35BFC"/>
    <w:rsid w:val="00D85629"/>
    <w:rsid w:val="00DF518D"/>
    <w:rsid w:val="00E41657"/>
    <w:rsid w:val="00E83B15"/>
    <w:rsid w:val="00EA4AA1"/>
    <w:rsid w:val="00EF3723"/>
    <w:rsid w:val="00F37CE4"/>
    <w:rsid w:val="00FE62D8"/>
    <w:rsid w:val="23DF0FD6"/>
    <w:rsid w:val="402D0840"/>
    <w:rsid w:val="6EE7AFEB"/>
    <w:rsid w:val="79FBCA3F"/>
    <w:rsid w:val="B5EC743C"/>
    <w:rsid w:val="E7179696"/>
    <w:rsid w:val="FF5FE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rPr>
      <w:rFonts w:ascii="Calibri" w:hAnsi="Calibri" w:eastAsia="宋体"/>
      <w:sz w:val="21"/>
    </w:rPr>
  </w:style>
  <w:style w:type="character" w:customStyle="1" w:styleId="9">
    <w:name w:val="页眉 Char"/>
    <w:basedOn w:val="6"/>
    <w:link w:val="3"/>
    <w:qFormat/>
    <w:uiPriority w:val="99"/>
    <w:rPr>
      <w:kern w:val="2"/>
      <w:sz w:val="18"/>
      <w:szCs w:val="18"/>
    </w:rPr>
  </w:style>
  <w:style w:type="character" w:customStyle="1" w:styleId="10">
    <w:name w:val="页脚 Char"/>
    <w:basedOn w:val="6"/>
    <w:link w:val="2"/>
    <w:qFormat/>
    <w:uiPriority w:val="99"/>
    <w:rPr>
      <w:kern w:val="2"/>
      <w:sz w:val="18"/>
      <w:szCs w:val="18"/>
    </w:rPr>
  </w:style>
  <w:style w:type="paragraph" w:customStyle="1" w:styleId="11">
    <w:name w:val="列出段落1"/>
    <w:basedOn w:val="1"/>
    <w:qFormat/>
    <w:uiPriority w:val="34"/>
    <w:pPr>
      <w:ind w:firstLine="420" w:firstLineChars="200"/>
    </w:pPr>
    <w:rPr>
      <w:rFonts w:ascii="Calibri" w:hAnsi="Calibri" w:eastAsia="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7133</Words>
  <Characters>7725</Characters>
  <Lines>61</Lines>
  <Paragraphs>17</Paragraphs>
  <TotalTime>551</TotalTime>
  <ScaleCrop>false</ScaleCrop>
  <LinksUpToDate>false</LinksUpToDate>
  <CharactersWithSpaces>7859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2020-08-15T09:01:00Z</dcterms:created>
  <dc:creator>admi</dc:creator>
  <cp:lastModifiedBy>Administrator</cp:lastModifiedBy>
  <cp:lastPrinted>2022-10-28T11:01:00Z</cp:lastPrinted>
  <dcterms:modified xsi:type="dcterms:W3CDTF">2025-03-19T02:49:53Z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D08D434E7A434FDF9056D86ED4C83C1E</vt:lpwstr>
  </property>
</Properties>
</file>