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重庆市城口县突发事件预警信息发布中心</w:t>
      </w:r>
    </w:p>
    <w:p>
      <w:pPr>
        <w:pStyle w:val="4"/>
        <w:shd w:val="clear" w:color="auto" w:fill="FFFFFF"/>
        <w:spacing w:before="0" w:beforeAutospacing="0" w:after="0" w:afterAutospacing="0"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w:t>
      </w:r>
      <w:r>
        <w:rPr>
          <w:rFonts w:hint="eastAsia" w:ascii="方正小标宋_GBK" w:hAnsi="方正小标宋_GBK" w:eastAsia="方正小标宋_GBK" w:cs="方正小标宋_GBK"/>
          <w:sz w:val="44"/>
          <w:szCs w:val="44"/>
          <w:lang w:val="en-US" w:eastAsia="zh-CN"/>
        </w:rPr>
        <w:t>21</w:t>
      </w:r>
      <w:r>
        <w:rPr>
          <w:rFonts w:hint="eastAsia" w:ascii="方正小标宋_GBK" w:hAnsi="方正小标宋_GBK" w:eastAsia="方正小标宋_GBK" w:cs="方正小标宋_GBK"/>
          <w:sz w:val="44"/>
          <w:szCs w:val="44"/>
        </w:rPr>
        <w:t>年度部门决算</w:t>
      </w:r>
      <w:r>
        <w:rPr>
          <w:rFonts w:hint="eastAsia" w:ascii="方正小标宋_GBK" w:hAnsi="方正小标宋_GBK" w:eastAsia="方正小标宋_GBK" w:cs="方正小标宋_GBK"/>
          <w:sz w:val="44"/>
          <w:szCs w:val="44"/>
          <w:lang w:eastAsia="zh-CN"/>
        </w:rPr>
        <w:t>公开</w:t>
      </w:r>
      <w:r>
        <w:rPr>
          <w:rFonts w:hint="eastAsia" w:ascii="方正小标宋_GBK" w:hAnsi="方正小标宋_GBK" w:eastAsia="方正小标宋_GBK" w:cs="方正小标宋_GBK"/>
          <w:sz w:val="44"/>
          <w:szCs w:val="44"/>
        </w:rPr>
        <w:t>说明</w:t>
      </w:r>
    </w:p>
    <w:p>
      <w:pPr>
        <w:pStyle w:val="4"/>
        <w:shd w:val="clear" w:color="auto" w:fill="FFFFFF"/>
        <w:spacing w:before="0" w:beforeAutospacing="0" w:after="0" w:afterAutospacing="0" w:line="560" w:lineRule="exact"/>
        <w:ind w:firstLine="880" w:firstLineChars="200"/>
        <w:jc w:val="center"/>
        <w:rPr>
          <w:rFonts w:ascii="方正小标宋_GBK" w:hAnsi="方正小标宋_GBK" w:eastAsia="方正小标宋_GBK" w:cs="方正小标宋_GBK"/>
          <w:sz w:val="44"/>
          <w:szCs w:val="44"/>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方正仿宋_GBK" w:hAnsi="方正仿宋_GBK" w:eastAsia="方正仿宋_GBK" w:cs="方正仿宋_GBK"/>
          <w:sz w:val="32"/>
          <w:szCs w:val="32"/>
        </w:rPr>
      </w:pPr>
      <w:r>
        <w:rPr>
          <w:rStyle w:val="7"/>
          <w:rFonts w:hint="eastAsia" w:ascii="方正仿宋_GBK" w:hAnsi="方正仿宋_GBK" w:eastAsia="方正仿宋_GBK" w:cs="方正仿宋_GBK"/>
          <w:b w:val="0"/>
          <w:bCs w:val="0"/>
          <w:sz w:val="32"/>
          <w:szCs w:val="32"/>
        </w:rPr>
        <w:t xml:space="preserve">  </w:t>
      </w:r>
      <w:r>
        <w:rPr>
          <w:rStyle w:val="7"/>
          <w:rFonts w:hint="eastAsia" w:ascii="方正黑体_GBK" w:hAnsi="方正黑体_GBK" w:eastAsia="方正黑体_GBK" w:cs="方正黑体_GBK"/>
          <w:b w:val="0"/>
          <w:bCs w:val="0"/>
          <w:sz w:val="32"/>
          <w:szCs w:val="32"/>
        </w:rPr>
        <w:t>一、</w:t>
      </w:r>
      <w:r>
        <w:rPr>
          <w:rStyle w:val="7"/>
          <w:rFonts w:hint="eastAsia" w:ascii="方正黑体_GBK" w:hAnsi="方正黑体_GBK" w:eastAsia="方正黑体_GBK" w:cs="方正黑体_GBK"/>
          <w:b w:val="0"/>
          <w:bCs w:val="0"/>
          <w:sz w:val="32"/>
          <w:szCs w:val="32"/>
          <w:lang w:eastAsia="zh-CN"/>
        </w:rPr>
        <w:t>单位</w:t>
      </w:r>
      <w:r>
        <w:rPr>
          <w:rStyle w:val="7"/>
          <w:rFonts w:hint="eastAsia" w:ascii="方正黑体_GBK" w:hAnsi="方正黑体_GBK" w:eastAsia="方正黑体_GBK" w:cs="方正黑体_GBK"/>
          <w:b w:val="0"/>
          <w:bCs w:val="0"/>
          <w:sz w:val="32"/>
          <w:szCs w:val="32"/>
        </w:rPr>
        <w:t>基本情况</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7"/>
          <w:rFonts w:ascii="方正仿宋_GBK" w:hAnsi="方正仿宋_GBK" w:eastAsia="方正仿宋_GBK" w:cs="方正仿宋_GBK"/>
          <w:b w:val="0"/>
          <w:bCs w:val="0"/>
          <w:sz w:val="32"/>
          <w:szCs w:val="32"/>
        </w:rPr>
      </w:pPr>
      <w:r>
        <w:rPr>
          <w:rStyle w:val="7"/>
          <w:rFonts w:hint="eastAsia" w:ascii="方正楷体_GBK" w:hAnsi="方正楷体_GBK" w:eastAsia="方正楷体_GBK" w:cs="方正楷体_GBK"/>
          <w:b w:val="0"/>
          <w:bCs w:val="0"/>
          <w:sz w:val="32"/>
          <w:szCs w:val="32"/>
        </w:rPr>
        <w:t>  （一）职能职责</w:t>
      </w:r>
      <w:r>
        <w:rPr>
          <w:rStyle w:val="7"/>
          <w:rFonts w:hint="eastAsia" w:ascii="方正仿宋_GBK" w:hAnsi="方正仿宋_GBK" w:eastAsia="方正仿宋_GBK" w:cs="方正仿宋_GBK"/>
          <w:b w:val="0"/>
          <w:bCs w:val="0"/>
          <w:sz w:val="32"/>
          <w:szCs w:val="32"/>
        </w:rPr>
        <w:t>。城口县突发事件预警信息发布中心为公益一类全额财政拨款事业单位，主要职能：1.负责全县自然灾害预警预防的日常服务工作。2.承担突发事件预警信息发布平台的建设、运行、维护工作。3.负责全县突发事件预警信息发布及24小时值守。4.负责全县预警信息发布渠道的建设、维护工作。5.负责全县自然灾害共享数据库的建设、维护工作。6.指导全县自然灾害监测网络、预警信息发布网络、各乡镇（街道）及涉灾部门防灾应急工作站的建设工作。7.为县委、县政府提供自然灾害应急处置指挥子平台，并提供决策建议和技术支持。8.承担全县人工影响天气作业的具体工作。9.承担县委、县政府和市气象局交办的其他任务。</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方正仿宋_GBK" w:hAnsi="方正仿宋_GBK" w:eastAsia="方正仿宋_GBK" w:cs="方正仿宋_GBK"/>
          <w:sz w:val="32"/>
          <w:szCs w:val="32"/>
        </w:rPr>
      </w:pPr>
      <w:r>
        <w:rPr>
          <w:rStyle w:val="7"/>
          <w:rFonts w:hint="eastAsia" w:ascii="方正仿宋_GBK" w:hAnsi="方正仿宋_GBK" w:eastAsia="方正仿宋_GBK" w:cs="方正仿宋_GBK"/>
          <w:b w:val="0"/>
          <w:bCs w:val="0"/>
          <w:sz w:val="32"/>
          <w:szCs w:val="32"/>
        </w:rPr>
        <w:t xml:space="preserve">  </w:t>
      </w:r>
      <w:r>
        <w:rPr>
          <w:rStyle w:val="7"/>
          <w:rFonts w:hint="eastAsia" w:ascii="方正楷体_GBK" w:hAnsi="方正楷体_GBK" w:eastAsia="方正楷体_GBK" w:cs="方正楷体_GBK"/>
          <w:b w:val="0"/>
          <w:bCs w:val="0"/>
          <w:sz w:val="32"/>
          <w:szCs w:val="32"/>
        </w:rPr>
        <w:t>（二）机构设置</w:t>
      </w:r>
      <w:r>
        <w:rPr>
          <w:rStyle w:val="7"/>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sz w:val="32"/>
          <w:szCs w:val="32"/>
        </w:rPr>
        <w:t>无内设机构。</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7"/>
          <w:rFonts w:ascii="方正仿宋_GBK" w:hAnsi="方正仿宋_GBK" w:eastAsia="方正仿宋_GBK" w:cs="方正仿宋_GBK"/>
          <w:b w:val="0"/>
          <w:bCs w:val="0"/>
          <w:sz w:val="32"/>
          <w:szCs w:val="32"/>
        </w:rPr>
      </w:pPr>
      <w:r>
        <w:rPr>
          <w:rStyle w:val="7"/>
          <w:rFonts w:hint="eastAsia" w:ascii="方正仿宋_GBK" w:hAnsi="方正仿宋_GBK" w:eastAsia="方正仿宋_GBK" w:cs="方正仿宋_GBK"/>
          <w:b w:val="0"/>
          <w:bCs w:val="0"/>
          <w:sz w:val="32"/>
          <w:szCs w:val="32"/>
        </w:rPr>
        <w:t xml:space="preserve">  </w:t>
      </w:r>
      <w:r>
        <w:rPr>
          <w:rStyle w:val="7"/>
          <w:rFonts w:hint="eastAsia" w:ascii="方正楷体_GBK" w:hAnsi="方正楷体_GBK" w:eastAsia="方正楷体_GBK" w:cs="方正楷体_GBK"/>
          <w:b w:val="0"/>
          <w:bCs w:val="0"/>
          <w:sz w:val="32"/>
          <w:szCs w:val="32"/>
        </w:rPr>
        <w:t>（三）单位构成</w:t>
      </w:r>
      <w:r>
        <w:rPr>
          <w:rStyle w:val="7"/>
          <w:rFonts w:hint="eastAsia" w:ascii="方正仿宋_GBK" w:hAnsi="方正仿宋_GBK" w:eastAsia="方正仿宋_GBK" w:cs="方正仿宋_GBK"/>
          <w:b w:val="0"/>
          <w:bCs w:val="0"/>
          <w:sz w:val="32"/>
          <w:szCs w:val="32"/>
        </w:rPr>
        <w:t>。无</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方正仿宋_GBK" w:hAnsi="方正仿宋_GBK" w:eastAsia="方正仿宋_GBK" w:cs="方正仿宋_GBK"/>
          <w:sz w:val="32"/>
          <w:szCs w:val="32"/>
        </w:rPr>
      </w:pPr>
      <w:r>
        <w:rPr>
          <w:rStyle w:val="7"/>
          <w:rFonts w:hint="eastAsia" w:ascii="方正仿宋_GBK" w:hAnsi="方正仿宋_GBK" w:eastAsia="方正仿宋_GBK" w:cs="方正仿宋_GBK"/>
          <w:b w:val="0"/>
          <w:bCs w:val="0"/>
          <w:sz w:val="32"/>
          <w:szCs w:val="32"/>
        </w:rPr>
        <w:t xml:space="preserve">  </w:t>
      </w:r>
      <w:r>
        <w:rPr>
          <w:rStyle w:val="7"/>
          <w:rFonts w:hint="eastAsia" w:ascii="方正楷体_GBK" w:hAnsi="方正楷体_GBK" w:eastAsia="方正楷体_GBK" w:cs="方正楷体_GBK"/>
          <w:b w:val="0"/>
          <w:bCs w:val="0"/>
          <w:sz w:val="32"/>
          <w:szCs w:val="32"/>
        </w:rPr>
        <w:t>（四）机构改革情况</w:t>
      </w:r>
      <w:r>
        <w:rPr>
          <w:rStyle w:val="7"/>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sz w:val="32"/>
          <w:szCs w:val="32"/>
        </w:rPr>
        <w:t>无</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w:t>
      </w:r>
      <w:r>
        <w:rPr>
          <w:rStyle w:val="7"/>
          <w:rFonts w:hint="eastAsia" w:ascii="方正黑体_GBK" w:hAnsi="方正黑体_GBK" w:eastAsia="方正黑体_GBK" w:cs="方正黑体_GBK"/>
          <w:b w:val="0"/>
          <w:bCs w:val="0"/>
          <w:sz w:val="32"/>
          <w:szCs w:val="32"/>
        </w:rPr>
        <w:t>二、部门决算情况说明</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方正仿宋_GBK" w:hAnsi="方正仿宋_GBK" w:eastAsia="方正仿宋_GBK" w:cs="方正仿宋_GBK"/>
          <w:sz w:val="32"/>
          <w:szCs w:val="32"/>
        </w:rPr>
      </w:pPr>
      <w:r>
        <w:rPr>
          <w:rStyle w:val="7"/>
          <w:rFonts w:hint="eastAsia" w:ascii="方正仿宋_GBK" w:hAnsi="方正仿宋_GBK" w:eastAsia="方正仿宋_GBK" w:cs="方正仿宋_GBK"/>
          <w:b w:val="0"/>
          <w:bCs w:val="0"/>
          <w:sz w:val="32"/>
          <w:szCs w:val="32"/>
        </w:rPr>
        <w:t xml:space="preserve">  </w:t>
      </w:r>
      <w:r>
        <w:rPr>
          <w:rStyle w:val="7"/>
          <w:rFonts w:hint="eastAsia" w:ascii="方正楷体_GBK" w:hAnsi="方正楷体_GBK" w:eastAsia="方正楷体_GBK" w:cs="方正楷体_GBK"/>
          <w:b w:val="0"/>
          <w:bCs w:val="0"/>
          <w:sz w:val="32"/>
          <w:szCs w:val="32"/>
        </w:rPr>
        <w:t>（一）收入支出决算总体情况说明</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sz w:val="32"/>
          <w:szCs w:val="32"/>
        </w:rPr>
      </w:pPr>
      <w:r>
        <w:rPr>
          <w:rStyle w:val="7"/>
          <w:rFonts w:hint="eastAsia" w:ascii="方正仿宋_GBK" w:hAnsi="方正仿宋_GBK" w:eastAsia="方正仿宋_GBK" w:cs="方正仿宋_GBK"/>
          <w:b w:val="0"/>
          <w:bCs w:val="0"/>
          <w:sz w:val="32"/>
          <w:szCs w:val="32"/>
        </w:rPr>
        <w:t>  1.总体情况。</w:t>
      </w:r>
      <w:r>
        <w:rPr>
          <w:rFonts w:hint="eastAsia" w:ascii="方正仿宋_GBK" w:hAnsi="方正仿宋_GBK" w:eastAsia="方正仿宋_GBK" w:cs="方正仿宋_GBK"/>
          <w:sz w:val="32"/>
          <w:szCs w:val="32"/>
        </w:rPr>
        <w:t>20</w:t>
      </w:r>
      <w:r>
        <w:rPr>
          <w:rFonts w:hint="eastAsia" w:ascii="方正仿宋_GBK" w:hAnsi="方正仿宋_GBK" w:eastAsia="方正仿宋_GBK" w:cs="方正仿宋_GBK"/>
          <w:sz w:val="32"/>
          <w:szCs w:val="32"/>
          <w:lang w:val="en-US" w:eastAsia="zh-CN"/>
        </w:rPr>
        <w:t>21</w:t>
      </w:r>
      <w:r>
        <w:rPr>
          <w:rFonts w:hint="eastAsia" w:ascii="方正仿宋_GBK" w:hAnsi="方正仿宋_GBK" w:eastAsia="方正仿宋_GBK" w:cs="方正仿宋_GBK"/>
          <w:sz w:val="32"/>
          <w:szCs w:val="32"/>
        </w:rPr>
        <w:t>年度收入总计</w:t>
      </w:r>
      <w:r>
        <w:rPr>
          <w:rFonts w:hint="eastAsia" w:ascii="方正仿宋_GBK" w:hAnsi="方正仿宋_GBK" w:eastAsia="方正仿宋_GBK" w:cs="方正仿宋_GBK"/>
          <w:sz w:val="32"/>
          <w:szCs w:val="32"/>
          <w:lang w:val="en-US" w:eastAsia="zh-CN"/>
        </w:rPr>
        <w:t>118.78</w:t>
      </w:r>
      <w:r>
        <w:rPr>
          <w:rFonts w:hint="eastAsia" w:ascii="方正仿宋_GBK" w:hAnsi="方正仿宋_GBK" w:eastAsia="方正仿宋_GBK" w:cs="方正仿宋_GBK"/>
          <w:sz w:val="32"/>
          <w:szCs w:val="32"/>
        </w:rPr>
        <w:t>万元，支出总计</w:t>
      </w:r>
      <w:r>
        <w:rPr>
          <w:rFonts w:hint="eastAsia" w:ascii="方正仿宋_GBK" w:hAnsi="方正仿宋_GBK" w:eastAsia="方正仿宋_GBK" w:cs="方正仿宋_GBK"/>
          <w:sz w:val="32"/>
          <w:szCs w:val="32"/>
          <w:lang w:val="en-US" w:eastAsia="zh-CN"/>
        </w:rPr>
        <w:t>118.78</w:t>
      </w:r>
      <w:r>
        <w:rPr>
          <w:rFonts w:hint="eastAsia" w:ascii="方正仿宋_GBK" w:hAnsi="方正仿宋_GBK" w:eastAsia="方正仿宋_GBK" w:cs="方正仿宋_GBK"/>
          <w:sz w:val="32"/>
          <w:szCs w:val="32"/>
        </w:rPr>
        <w:t>万元。收支较上年决算数</w:t>
      </w:r>
      <w:r>
        <w:rPr>
          <w:rFonts w:hint="eastAsia" w:ascii="方正仿宋_GBK" w:hAnsi="方正仿宋_GBK" w:eastAsia="方正仿宋_GBK" w:cs="方正仿宋_GBK"/>
          <w:sz w:val="32"/>
          <w:szCs w:val="32"/>
          <w:lang w:eastAsia="zh-CN"/>
        </w:rPr>
        <w:t>增加</w:t>
      </w:r>
      <w:r>
        <w:rPr>
          <w:rFonts w:hint="eastAsia" w:ascii="方正仿宋_GBK" w:hAnsi="方正仿宋_GBK" w:eastAsia="方正仿宋_GBK" w:cs="方正仿宋_GBK"/>
          <w:sz w:val="32"/>
          <w:szCs w:val="32"/>
          <w:lang w:val="en-US" w:eastAsia="zh-CN"/>
        </w:rPr>
        <w:t>6.38</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增加</w:t>
      </w:r>
      <w:r>
        <w:rPr>
          <w:rFonts w:hint="eastAsia" w:ascii="方正仿宋_GBK" w:hAnsi="方正仿宋_GBK" w:eastAsia="方正仿宋_GBK" w:cs="方正仿宋_GBK"/>
          <w:sz w:val="32"/>
          <w:szCs w:val="32"/>
          <w:lang w:val="en-US" w:eastAsia="zh-CN"/>
        </w:rPr>
        <w:t>5.68</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，主要原因是本年单位人员岗位晋升追加相关人员经费及公用经费追加等</w:t>
      </w:r>
      <w:r>
        <w:rPr>
          <w:rFonts w:hint="eastAsia" w:ascii="方正仿宋_GBK" w:hAnsi="方正仿宋_GBK" w:eastAsia="方正仿宋_GBK" w:cs="方正仿宋_GBK"/>
          <w:sz w:val="32"/>
          <w:szCs w:val="32"/>
        </w:rPr>
        <w:t>。本部分的收入总计包括收入合计、用事业基金弥补收支差额、年初结转和结余，支出总计包括本年支出合计、结余分配、年末结转和结余。</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sz w:val="32"/>
          <w:szCs w:val="32"/>
        </w:rPr>
      </w:pPr>
      <w:r>
        <w:rPr>
          <w:rStyle w:val="7"/>
          <w:rFonts w:hint="eastAsia" w:ascii="方正仿宋_GBK" w:hAnsi="方正仿宋_GBK" w:eastAsia="方正仿宋_GBK" w:cs="方正仿宋_GBK"/>
          <w:b w:val="0"/>
          <w:bCs w:val="0"/>
          <w:sz w:val="32"/>
          <w:szCs w:val="32"/>
        </w:rPr>
        <w:t>  2.收入情况。</w:t>
      </w:r>
      <w:r>
        <w:rPr>
          <w:rFonts w:hint="eastAsia" w:ascii="方正仿宋_GBK" w:hAnsi="方正仿宋_GBK" w:eastAsia="方正仿宋_GBK" w:cs="方正仿宋_GBK"/>
          <w:sz w:val="32"/>
          <w:szCs w:val="32"/>
        </w:rPr>
        <w:t>20</w:t>
      </w:r>
      <w:r>
        <w:rPr>
          <w:rFonts w:hint="eastAsia" w:ascii="方正仿宋_GBK" w:hAnsi="方正仿宋_GBK" w:eastAsia="方正仿宋_GBK" w:cs="方正仿宋_GBK"/>
          <w:sz w:val="32"/>
          <w:szCs w:val="32"/>
          <w:lang w:val="en-US" w:eastAsia="zh-CN"/>
        </w:rPr>
        <w:t>21</w:t>
      </w:r>
      <w:r>
        <w:rPr>
          <w:rFonts w:hint="eastAsia" w:ascii="方正仿宋_GBK" w:hAnsi="方正仿宋_GBK" w:eastAsia="方正仿宋_GBK" w:cs="方正仿宋_GBK"/>
          <w:sz w:val="32"/>
          <w:szCs w:val="32"/>
        </w:rPr>
        <w:t>年度收入合计</w:t>
      </w:r>
      <w:r>
        <w:rPr>
          <w:rFonts w:hint="eastAsia" w:ascii="方正仿宋_GBK" w:hAnsi="方正仿宋_GBK" w:eastAsia="方正仿宋_GBK" w:cs="方正仿宋_GBK"/>
          <w:sz w:val="32"/>
          <w:szCs w:val="32"/>
          <w:lang w:val="en-US" w:eastAsia="zh-CN"/>
        </w:rPr>
        <w:t>118.78</w:t>
      </w:r>
      <w:r>
        <w:rPr>
          <w:rFonts w:hint="eastAsia" w:ascii="方正仿宋_GBK" w:hAnsi="方正仿宋_GBK" w:eastAsia="方正仿宋_GBK" w:cs="方正仿宋_GBK"/>
          <w:sz w:val="32"/>
          <w:szCs w:val="32"/>
        </w:rPr>
        <w:t>万元，较上年决算数</w:t>
      </w:r>
      <w:r>
        <w:rPr>
          <w:rFonts w:hint="eastAsia" w:ascii="方正仿宋_GBK" w:hAnsi="方正仿宋_GBK" w:eastAsia="方正仿宋_GBK" w:cs="方正仿宋_GBK"/>
          <w:sz w:val="32"/>
          <w:szCs w:val="32"/>
          <w:lang w:eastAsia="zh-CN"/>
        </w:rPr>
        <w:t>增加</w:t>
      </w:r>
      <w:r>
        <w:rPr>
          <w:rFonts w:hint="eastAsia" w:ascii="方正仿宋_GBK" w:hAnsi="方正仿宋_GBK" w:eastAsia="方正仿宋_GBK" w:cs="方正仿宋_GBK"/>
          <w:sz w:val="32"/>
          <w:szCs w:val="32"/>
          <w:lang w:val="en-US" w:eastAsia="zh-CN"/>
        </w:rPr>
        <w:t>6.38</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增加</w:t>
      </w:r>
      <w:r>
        <w:rPr>
          <w:rFonts w:hint="eastAsia" w:ascii="方正仿宋_GBK" w:hAnsi="方正仿宋_GBK" w:eastAsia="方正仿宋_GBK" w:cs="方正仿宋_GBK"/>
          <w:sz w:val="32"/>
          <w:szCs w:val="32"/>
          <w:lang w:val="en-US" w:eastAsia="zh-CN"/>
        </w:rPr>
        <w:t>5.68</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主要原因是本年单位人员岗位晋升追加相关人员经费及公用经费追加等</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其中：财政拨款收入</w:t>
      </w:r>
      <w:r>
        <w:rPr>
          <w:rFonts w:hint="eastAsia" w:ascii="方正仿宋_GBK" w:hAnsi="方正仿宋_GBK" w:eastAsia="方正仿宋_GBK" w:cs="方正仿宋_GBK"/>
          <w:sz w:val="32"/>
          <w:szCs w:val="32"/>
          <w:lang w:val="en-US" w:eastAsia="zh-CN"/>
        </w:rPr>
        <w:t>118.78</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100.00</w:t>
      </w:r>
      <w:r>
        <w:rPr>
          <w:rFonts w:hint="eastAsia" w:ascii="方正仿宋_GBK" w:hAnsi="方正仿宋_GBK" w:eastAsia="方正仿宋_GBK" w:cs="方正仿宋_GBK"/>
          <w:sz w:val="32"/>
          <w:szCs w:val="32"/>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sz w:val="32"/>
          <w:szCs w:val="32"/>
        </w:rPr>
      </w:pPr>
      <w:r>
        <w:rPr>
          <w:rStyle w:val="7"/>
          <w:rFonts w:hint="eastAsia" w:ascii="方正仿宋_GBK" w:hAnsi="方正仿宋_GBK" w:eastAsia="方正仿宋_GBK" w:cs="方正仿宋_GBK"/>
          <w:b w:val="0"/>
          <w:bCs w:val="0"/>
          <w:sz w:val="32"/>
          <w:szCs w:val="32"/>
        </w:rPr>
        <w:t>  3.支出情况。</w:t>
      </w:r>
      <w:r>
        <w:rPr>
          <w:rFonts w:hint="eastAsia" w:ascii="方正仿宋_GBK" w:hAnsi="方正仿宋_GBK" w:eastAsia="方正仿宋_GBK" w:cs="方正仿宋_GBK"/>
          <w:sz w:val="32"/>
          <w:szCs w:val="32"/>
        </w:rPr>
        <w:t>20</w:t>
      </w:r>
      <w:r>
        <w:rPr>
          <w:rFonts w:hint="eastAsia" w:ascii="方正仿宋_GBK" w:hAnsi="方正仿宋_GBK" w:eastAsia="方正仿宋_GBK" w:cs="方正仿宋_GBK"/>
          <w:sz w:val="32"/>
          <w:szCs w:val="32"/>
          <w:lang w:val="en-US" w:eastAsia="zh-CN"/>
        </w:rPr>
        <w:t>21</w:t>
      </w:r>
      <w:r>
        <w:rPr>
          <w:rFonts w:hint="eastAsia" w:ascii="方正仿宋_GBK" w:hAnsi="方正仿宋_GBK" w:eastAsia="方正仿宋_GBK" w:cs="方正仿宋_GBK"/>
          <w:sz w:val="32"/>
          <w:szCs w:val="32"/>
        </w:rPr>
        <w:t>年度支出合计</w:t>
      </w:r>
      <w:r>
        <w:rPr>
          <w:rFonts w:hint="eastAsia" w:ascii="方正仿宋_GBK" w:hAnsi="方正仿宋_GBK" w:eastAsia="方正仿宋_GBK" w:cs="方正仿宋_GBK"/>
          <w:sz w:val="32"/>
          <w:szCs w:val="32"/>
          <w:lang w:val="en-US" w:eastAsia="zh-CN"/>
        </w:rPr>
        <w:t>118.78</w:t>
      </w:r>
      <w:r>
        <w:rPr>
          <w:rFonts w:hint="eastAsia" w:ascii="方正仿宋_GBK" w:hAnsi="方正仿宋_GBK" w:eastAsia="方正仿宋_GBK" w:cs="方正仿宋_GBK"/>
          <w:sz w:val="32"/>
          <w:szCs w:val="32"/>
        </w:rPr>
        <w:t>万元，较上年决算数</w:t>
      </w:r>
      <w:r>
        <w:rPr>
          <w:rFonts w:hint="eastAsia" w:ascii="方正仿宋_GBK" w:hAnsi="方正仿宋_GBK" w:eastAsia="方正仿宋_GBK" w:cs="方正仿宋_GBK"/>
          <w:sz w:val="32"/>
          <w:szCs w:val="32"/>
          <w:lang w:eastAsia="zh-CN"/>
        </w:rPr>
        <w:t>增加</w:t>
      </w:r>
      <w:r>
        <w:rPr>
          <w:rFonts w:hint="eastAsia" w:ascii="方正仿宋_GBK" w:hAnsi="方正仿宋_GBK" w:eastAsia="方正仿宋_GBK" w:cs="方正仿宋_GBK"/>
          <w:sz w:val="32"/>
          <w:szCs w:val="32"/>
          <w:lang w:val="en-US" w:eastAsia="zh-CN"/>
        </w:rPr>
        <w:t>6.38</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增加</w:t>
      </w:r>
      <w:r>
        <w:rPr>
          <w:rFonts w:hint="eastAsia" w:ascii="方正仿宋_GBK" w:hAnsi="方正仿宋_GBK" w:eastAsia="方正仿宋_GBK" w:cs="方正仿宋_GBK"/>
          <w:sz w:val="32"/>
          <w:szCs w:val="32"/>
          <w:lang w:val="en-US" w:eastAsia="zh-CN"/>
        </w:rPr>
        <w:t>5.68</w:t>
      </w:r>
      <w:r>
        <w:rPr>
          <w:rFonts w:hint="eastAsia" w:ascii="方正仿宋_GBK" w:hAnsi="方正仿宋_GBK" w:eastAsia="方正仿宋_GBK" w:cs="方正仿宋_GBK"/>
          <w:sz w:val="32"/>
          <w:szCs w:val="32"/>
        </w:rPr>
        <w:t>%，主要原因是单位</w:t>
      </w:r>
      <w:r>
        <w:rPr>
          <w:rFonts w:hint="eastAsia" w:ascii="方正仿宋_GBK" w:hAnsi="方正仿宋_GBK" w:eastAsia="方正仿宋_GBK" w:cs="方正仿宋_GBK"/>
          <w:sz w:val="32"/>
          <w:szCs w:val="32"/>
          <w:lang w:val="en-US" w:eastAsia="zh-CN"/>
        </w:rPr>
        <w:t>2021年人员经费支出有所增加</w:t>
      </w:r>
      <w:r>
        <w:rPr>
          <w:rFonts w:hint="eastAsia" w:ascii="方正仿宋_GBK" w:hAnsi="方正仿宋_GBK" w:eastAsia="方正仿宋_GBK" w:cs="方正仿宋_GBK"/>
          <w:sz w:val="32"/>
          <w:szCs w:val="32"/>
        </w:rPr>
        <w:t>。其中：基本支出</w:t>
      </w:r>
      <w:r>
        <w:rPr>
          <w:rFonts w:hint="eastAsia" w:ascii="方正仿宋_GBK" w:hAnsi="方正仿宋_GBK" w:eastAsia="方正仿宋_GBK" w:cs="方正仿宋_GBK"/>
          <w:sz w:val="32"/>
          <w:szCs w:val="32"/>
          <w:lang w:val="en-US" w:eastAsia="zh-CN"/>
        </w:rPr>
        <w:t>94.78</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79.79</w:t>
      </w:r>
      <w:r>
        <w:rPr>
          <w:rFonts w:hint="eastAsia" w:ascii="方正仿宋_GBK" w:hAnsi="方正仿宋_GBK" w:eastAsia="方正仿宋_GBK" w:cs="方正仿宋_GBK"/>
          <w:sz w:val="32"/>
          <w:szCs w:val="32"/>
        </w:rPr>
        <w:t>%；项目支出</w:t>
      </w:r>
      <w:r>
        <w:rPr>
          <w:rFonts w:hint="eastAsia" w:ascii="方正仿宋_GBK" w:hAnsi="方正仿宋_GBK" w:eastAsia="方正仿宋_GBK" w:cs="方正仿宋_GBK"/>
          <w:sz w:val="32"/>
          <w:szCs w:val="32"/>
          <w:lang w:val="en-US" w:eastAsia="zh-CN"/>
        </w:rPr>
        <w:t>24.00</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20.21</w:t>
      </w:r>
      <w:r>
        <w:rPr>
          <w:rFonts w:hint="eastAsia" w:ascii="方正仿宋_GBK" w:hAnsi="方正仿宋_GBK" w:eastAsia="方正仿宋_GBK" w:cs="方正仿宋_GBK"/>
          <w:sz w:val="32"/>
          <w:szCs w:val="32"/>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sz w:val="32"/>
          <w:szCs w:val="32"/>
        </w:rPr>
      </w:pPr>
      <w:r>
        <w:rPr>
          <w:rStyle w:val="7"/>
          <w:rFonts w:hint="eastAsia" w:ascii="方正仿宋_GBK" w:hAnsi="方正仿宋_GBK" w:eastAsia="方正仿宋_GBK" w:cs="方正仿宋_GBK"/>
          <w:b w:val="0"/>
          <w:bCs w:val="0"/>
          <w:sz w:val="32"/>
          <w:szCs w:val="32"/>
        </w:rPr>
        <w:t>  4.结转结余情况。</w:t>
      </w:r>
      <w:r>
        <w:rPr>
          <w:rFonts w:hint="eastAsia" w:ascii="方正仿宋_GBK" w:hAnsi="方正仿宋_GBK" w:eastAsia="方正仿宋_GBK" w:cs="方正仿宋_GBK"/>
          <w:sz w:val="32"/>
          <w:szCs w:val="32"/>
        </w:rPr>
        <w:t>20</w:t>
      </w:r>
      <w:r>
        <w:rPr>
          <w:rFonts w:hint="eastAsia" w:ascii="方正仿宋_GBK" w:hAnsi="方正仿宋_GBK" w:eastAsia="方正仿宋_GBK" w:cs="方正仿宋_GBK"/>
          <w:sz w:val="32"/>
          <w:szCs w:val="32"/>
          <w:lang w:val="en-US" w:eastAsia="zh-CN"/>
        </w:rPr>
        <w:t>21</w:t>
      </w:r>
      <w:r>
        <w:rPr>
          <w:rFonts w:hint="eastAsia" w:ascii="方正仿宋_GBK" w:hAnsi="方正仿宋_GBK" w:eastAsia="方正仿宋_GBK" w:cs="方正仿宋_GBK"/>
          <w:sz w:val="32"/>
          <w:szCs w:val="32"/>
        </w:rPr>
        <w:t>年度年末结转和结余0.00万元，较上年决算数增加0.00万元，增长0.00%。</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sz w:val="32"/>
          <w:szCs w:val="32"/>
        </w:rPr>
      </w:pPr>
      <w:r>
        <w:rPr>
          <w:rStyle w:val="7"/>
          <w:rFonts w:hint="eastAsia" w:ascii="方正仿宋_GBK" w:hAnsi="方正仿宋_GBK" w:eastAsia="方正仿宋_GBK" w:cs="方正仿宋_GBK"/>
          <w:b w:val="0"/>
          <w:bCs w:val="0"/>
          <w:sz w:val="32"/>
          <w:szCs w:val="32"/>
        </w:rPr>
        <w:t xml:space="preserve">  </w:t>
      </w:r>
      <w:r>
        <w:rPr>
          <w:rStyle w:val="7"/>
          <w:rFonts w:hint="eastAsia" w:ascii="方正楷体_GBK" w:hAnsi="方正楷体_GBK" w:eastAsia="方正楷体_GBK" w:cs="方正楷体_GBK"/>
          <w:b w:val="0"/>
          <w:bCs w:val="0"/>
          <w:sz w:val="32"/>
          <w:szCs w:val="32"/>
        </w:rPr>
        <w:t>（二）财政拨款收入支出决算总体情况说明</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20</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年度财政拨款收、支总计</w:t>
      </w:r>
      <w:r>
        <w:rPr>
          <w:rFonts w:hint="eastAsia" w:ascii="方正仿宋_GBK" w:hAnsi="方正仿宋_GBK" w:eastAsia="方正仿宋_GBK" w:cs="方正仿宋_GBK"/>
          <w:sz w:val="32"/>
          <w:szCs w:val="32"/>
          <w:lang w:val="en-US" w:eastAsia="zh-CN"/>
        </w:rPr>
        <w:t>118.78</w:t>
      </w:r>
      <w:r>
        <w:rPr>
          <w:rFonts w:hint="eastAsia" w:ascii="方正仿宋_GBK" w:hAnsi="方正仿宋_GBK" w:eastAsia="方正仿宋_GBK" w:cs="方正仿宋_GBK"/>
          <w:sz w:val="32"/>
          <w:szCs w:val="32"/>
        </w:rPr>
        <w:t>万元。与20</w:t>
      </w:r>
      <w:r>
        <w:rPr>
          <w:rFonts w:hint="eastAsia" w:ascii="方正仿宋_GBK" w:hAnsi="方正仿宋_GBK" w:eastAsia="方正仿宋_GBK" w:cs="方正仿宋_GBK"/>
          <w:sz w:val="32"/>
          <w:szCs w:val="32"/>
          <w:lang w:val="en-US" w:eastAsia="zh-CN"/>
        </w:rPr>
        <w:t>20</w:t>
      </w:r>
      <w:r>
        <w:rPr>
          <w:rFonts w:hint="eastAsia" w:ascii="方正仿宋_GBK" w:hAnsi="方正仿宋_GBK" w:eastAsia="方正仿宋_GBK" w:cs="方正仿宋_GBK"/>
          <w:sz w:val="32"/>
          <w:szCs w:val="32"/>
        </w:rPr>
        <w:t>年相比，财政拨款收、支总计各</w:t>
      </w:r>
      <w:r>
        <w:rPr>
          <w:rFonts w:hint="eastAsia" w:ascii="方正仿宋_GBK" w:hAnsi="方正仿宋_GBK" w:eastAsia="方正仿宋_GBK" w:cs="方正仿宋_GBK"/>
          <w:sz w:val="32"/>
          <w:szCs w:val="32"/>
          <w:lang w:eastAsia="zh-CN"/>
        </w:rPr>
        <w:t>增加</w:t>
      </w:r>
      <w:r>
        <w:rPr>
          <w:rFonts w:hint="eastAsia" w:ascii="方正仿宋_GBK" w:hAnsi="方正仿宋_GBK" w:eastAsia="方正仿宋_GBK" w:cs="方正仿宋_GBK"/>
          <w:sz w:val="32"/>
          <w:szCs w:val="32"/>
          <w:lang w:val="en-US" w:eastAsia="zh-CN"/>
        </w:rPr>
        <w:t>6.38</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增加</w:t>
      </w:r>
      <w:r>
        <w:rPr>
          <w:rFonts w:hint="eastAsia" w:ascii="方正仿宋_GBK" w:hAnsi="方正仿宋_GBK" w:eastAsia="方正仿宋_GBK" w:cs="方正仿宋_GBK"/>
          <w:sz w:val="32"/>
          <w:szCs w:val="32"/>
          <w:lang w:val="en-US" w:eastAsia="zh-CN"/>
        </w:rPr>
        <w:t>5.68</w:t>
      </w:r>
      <w:r>
        <w:rPr>
          <w:rFonts w:hint="eastAsia" w:ascii="方正仿宋_GBK" w:hAnsi="方正仿宋_GBK" w:eastAsia="方正仿宋_GBK" w:cs="方正仿宋_GBK"/>
          <w:sz w:val="32"/>
          <w:szCs w:val="32"/>
        </w:rPr>
        <w:t>%。主要原因是</w:t>
      </w:r>
      <w:r>
        <w:rPr>
          <w:rFonts w:hint="eastAsia" w:ascii="方正仿宋_GBK" w:hAnsi="方正仿宋_GBK" w:eastAsia="方正仿宋_GBK" w:cs="方正仿宋_GBK"/>
          <w:sz w:val="32"/>
          <w:szCs w:val="32"/>
          <w:lang w:val="en-US" w:eastAsia="zh-CN"/>
        </w:rPr>
        <w:t>2021年人员经费支出有所增加</w:t>
      </w:r>
      <w:r>
        <w:rPr>
          <w:rFonts w:hint="eastAsia" w:ascii="方正仿宋_GBK" w:hAnsi="方正仿宋_GBK" w:eastAsia="方正仿宋_GBK" w:cs="方正仿宋_GBK"/>
          <w:sz w:val="32"/>
          <w:szCs w:val="32"/>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sz w:val="32"/>
          <w:szCs w:val="32"/>
        </w:rPr>
      </w:pPr>
      <w:r>
        <w:rPr>
          <w:rStyle w:val="7"/>
          <w:rFonts w:hint="eastAsia" w:ascii="方正仿宋_GBK" w:hAnsi="方正仿宋_GBK" w:eastAsia="方正仿宋_GBK" w:cs="方正仿宋_GBK"/>
          <w:b w:val="0"/>
          <w:bCs w:val="0"/>
          <w:sz w:val="32"/>
          <w:szCs w:val="32"/>
        </w:rPr>
        <w:t xml:space="preserve">  </w:t>
      </w:r>
      <w:r>
        <w:rPr>
          <w:rStyle w:val="7"/>
          <w:rFonts w:hint="eastAsia" w:ascii="方正楷体_GBK" w:hAnsi="方正楷体_GBK" w:eastAsia="方正楷体_GBK" w:cs="方正楷体_GBK"/>
          <w:b w:val="0"/>
          <w:bCs w:val="0"/>
          <w:sz w:val="32"/>
          <w:szCs w:val="32"/>
        </w:rPr>
        <w:t>（三）一般公共预算财政拨款支出决算情况说明</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sz w:val="32"/>
          <w:szCs w:val="32"/>
        </w:rPr>
      </w:pPr>
      <w:r>
        <w:rPr>
          <w:rStyle w:val="7"/>
          <w:rFonts w:hint="eastAsia" w:ascii="方正仿宋_GBK" w:hAnsi="方正仿宋_GBK" w:eastAsia="方正仿宋_GBK" w:cs="方正仿宋_GBK"/>
          <w:b w:val="0"/>
          <w:bCs w:val="0"/>
          <w:sz w:val="32"/>
          <w:szCs w:val="32"/>
        </w:rPr>
        <w:t>  1.收入情况。</w:t>
      </w:r>
      <w:r>
        <w:rPr>
          <w:rFonts w:hint="eastAsia" w:ascii="方正仿宋_GBK" w:hAnsi="方正仿宋_GBK" w:eastAsia="方正仿宋_GBK" w:cs="方正仿宋_GBK"/>
          <w:sz w:val="32"/>
          <w:szCs w:val="32"/>
        </w:rPr>
        <w:t>20</w:t>
      </w:r>
      <w:r>
        <w:rPr>
          <w:rFonts w:hint="eastAsia" w:ascii="方正仿宋_GBK" w:hAnsi="方正仿宋_GBK" w:eastAsia="方正仿宋_GBK" w:cs="方正仿宋_GBK"/>
          <w:sz w:val="32"/>
          <w:szCs w:val="32"/>
          <w:lang w:val="en-US" w:eastAsia="zh-CN"/>
        </w:rPr>
        <w:t>21</w:t>
      </w:r>
      <w:r>
        <w:rPr>
          <w:rFonts w:hint="eastAsia" w:ascii="方正仿宋_GBK" w:hAnsi="方正仿宋_GBK" w:eastAsia="方正仿宋_GBK" w:cs="方正仿宋_GBK"/>
          <w:sz w:val="32"/>
          <w:szCs w:val="32"/>
        </w:rPr>
        <w:t>年度一般公共预算财政拨款收入</w:t>
      </w:r>
      <w:r>
        <w:rPr>
          <w:rFonts w:hint="eastAsia" w:ascii="方正仿宋_GBK" w:hAnsi="方正仿宋_GBK" w:eastAsia="方正仿宋_GBK" w:cs="方正仿宋_GBK"/>
          <w:sz w:val="32"/>
          <w:szCs w:val="32"/>
          <w:lang w:val="en-US" w:eastAsia="zh-CN"/>
        </w:rPr>
        <w:t>118.78</w:t>
      </w:r>
      <w:r>
        <w:rPr>
          <w:rFonts w:hint="eastAsia" w:ascii="方正仿宋_GBK" w:hAnsi="方正仿宋_GBK" w:eastAsia="方正仿宋_GBK" w:cs="方正仿宋_GBK"/>
          <w:sz w:val="32"/>
          <w:szCs w:val="32"/>
        </w:rPr>
        <w:t>万元，较上年决算数</w:t>
      </w:r>
      <w:r>
        <w:rPr>
          <w:rFonts w:hint="eastAsia" w:ascii="方正仿宋_GBK" w:hAnsi="方正仿宋_GBK" w:eastAsia="方正仿宋_GBK" w:cs="方正仿宋_GBK"/>
          <w:sz w:val="32"/>
          <w:szCs w:val="32"/>
          <w:lang w:eastAsia="zh-CN"/>
        </w:rPr>
        <w:t>增加</w:t>
      </w:r>
      <w:r>
        <w:rPr>
          <w:rFonts w:hint="eastAsia" w:ascii="方正仿宋_GBK" w:hAnsi="方正仿宋_GBK" w:eastAsia="方正仿宋_GBK" w:cs="方正仿宋_GBK"/>
          <w:sz w:val="32"/>
          <w:szCs w:val="32"/>
          <w:lang w:val="en-US" w:eastAsia="zh-CN"/>
        </w:rPr>
        <w:t>6.38</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增加</w:t>
      </w:r>
      <w:r>
        <w:rPr>
          <w:rFonts w:hint="eastAsia" w:ascii="方正仿宋_GBK" w:hAnsi="方正仿宋_GBK" w:eastAsia="方正仿宋_GBK" w:cs="方正仿宋_GBK"/>
          <w:sz w:val="32"/>
          <w:szCs w:val="32"/>
          <w:lang w:val="en-US" w:eastAsia="zh-CN"/>
        </w:rPr>
        <w:t>5.68</w:t>
      </w:r>
      <w:r>
        <w:rPr>
          <w:rFonts w:hint="eastAsia" w:ascii="方正仿宋_GBK" w:hAnsi="方正仿宋_GBK" w:eastAsia="方正仿宋_GBK" w:cs="方正仿宋_GBK"/>
          <w:sz w:val="32"/>
          <w:szCs w:val="32"/>
        </w:rPr>
        <w:t>%。主要原因是单位</w:t>
      </w:r>
      <w:r>
        <w:rPr>
          <w:rFonts w:hint="eastAsia" w:ascii="方正仿宋_GBK" w:hAnsi="方正仿宋_GBK" w:eastAsia="方正仿宋_GBK" w:cs="方正仿宋_GBK"/>
          <w:sz w:val="32"/>
          <w:szCs w:val="32"/>
          <w:lang w:val="en-US" w:eastAsia="zh-CN"/>
        </w:rPr>
        <w:t>2021年人员经费支出有所增加</w:t>
      </w:r>
      <w:r>
        <w:rPr>
          <w:rFonts w:hint="eastAsia" w:ascii="方正仿宋_GBK" w:hAnsi="方正仿宋_GBK" w:eastAsia="方正仿宋_GBK" w:cs="方正仿宋_GBK"/>
          <w:sz w:val="32"/>
          <w:szCs w:val="32"/>
        </w:rPr>
        <w:t>。此外，年初财政拨款结转和结余0.00万元。</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sz w:val="32"/>
          <w:szCs w:val="32"/>
        </w:rPr>
      </w:pPr>
      <w:r>
        <w:rPr>
          <w:rStyle w:val="7"/>
          <w:rFonts w:hint="eastAsia" w:ascii="方正仿宋_GBK" w:hAnsi="方正仿宋_GBK" w:eastAsia="方正仿宋_GBK" w:cs="方正仿宋_GBK"/>
          <w:b w:val="0"/>
          <w:bCs w:val="0"/>
          <w:sz w:val="32"/>
          <w:szCs w:val="32"/>
        </w:rPr>
        <w:t>  2.支出情况。</w:t>
      </w:r>
      <w:r>
        <w:rPr>
          <w:rFonts w:hint="eastAsia" w:ascii="方正仿宋_GBK" w:hAnsi="方正仿宋_GBK" w:eastAsia="方正仿宋_GBK" w:cs="方正仿宋_GBK"/>
          <w:sz w:val="32"/>
          <w:szCs w:val="32"/>
        </w:rPr>
        <w:t>20</w:t>
      </w:r>
      <w:r>
        <w:rPr>
          <w:rFonts w:hint="eastAsia" w:ascii="方正仿宋_GBK" w:hAnsi="方正仿宋_GBK" w:eastAsia="方正仿宋_GBK" w:cs="方正仿宋_GBK"/>
          <w:sz w:val="32"/>
          <w:szCs w:val="32"/>
          <w:lang w:val="en-US" w:eastAsia="zh-CN"/>
        </w:rPr>
        <w:t>21</w:t>
      </w:r>
      <w:r>
        <w:rPr>
          <w:rFonts w:hint="eastAsia" w:ascii="方正仿宋_GBK" w:hAnsi="方正仿宋_GBK" w:eastAsia="方正仿宋_GBK" w:cs="方正仿宋_GBK"/>
          <w:sz w:val="32"/>
          <w:szCs w:val="32"/>
        </w:rPr>
        <w:t>年度一般公共预算财政拨款支出1</w:t>
      </w:r>
      <w:r>
        <w:rPr>
          <w:rFonts w:hint="eastAsia" w:ascii="方正仿宋_GBK" w:hAnsi="方正仿宋_GBK" w:eastAsia="方正仿宋_GBK" w:cs="方正仿宋_GBK"/>
          <w:sz w:val="32"/>
          <w:szCs w:val="32"/>
          <w:lang w:val="en-US" w:eastAsia="zh-CN"/>
        </w:rPr>
        <w:t>18.78</w:t>
      </w:r>
      <w:r>
        <w:rPr>
          <w:rFonts w:hint="eastAsia" w:ascii="方正仿宋_GBK" w:hAnsi="方正仿宋_GBK" w:eastAsia="方正仿宋_GBK" w:cs="方正仿宋_GBK"/>
          <w:sz w:val="32"/>
          <w:szCs w:val="32"/>
        </w:rPr>
        <w:t>万元，较上年决算数</w:t>
      </w:r>
      <w:r>
        <w:rPr>
          <w:rFonts w:hint="eastAsia" w:ascii="方正仿宋_GBK" w:hAnsi="方正仿宋_GBK" w:eastAsia="方正仿宋_GBK" w:cs="方正仿宋_GBK"/>
          <w:sz w:val="32"/>
          <w:szCs w:val="32"/>
          <w:lang w:eastAsia="zh-CN"/>
        </w:rPr>
        <w:t>增加</w:t>
      </w:r>
      <w:r>
        <w:rPr>
          <w:rFonts w:hint="eastAsia" w:ascii="方正仿宋_GBK" w:hAnsi="方正仿宋_GBK" w:eastAsia="方正仿宋_GBK" w:cs="方正仿宋_GBK"/>
          <w:sz w:val="32"/>
          <w:szCs w:val="32"/>
          <w:lang w:val="en-US" w:eastAsia="zh-CN"/>
        </w:rPr>
        <w:t>6.38</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增加</w:t>
      </w:r>
      <w:r>
        <w:rPr>
          <w:rFonts w:hint="eastAsia" w:ascii="方正仿宋_GBK" w:hAnsi="方正仿宋_GBK" w:eastAsia="方正仿宋_GBK" w:cs="方正仿宋_GBK"/>
          <w:sz w:val="32"/>
          <w:szCs w:val="32"/>
          <w:lang w:val="en-US" w:eastAsia="zh-CN"/>
        </w:rPr>
        <w:t>5.68</w:t>
      </w:r>
      <w:r>
        <w:rPr>
          <w:rFonts w:hint="eastAsia" w:ascii="方正仿宋_GBK" w:hAnsi="方正仿宋_GBK" w:eastAsia="方正仿宋_GBK" w:cs="方正仿宋_GBK"/>
          <w:sz w:val="32"/>
          <w:szCs w:val="32"/>
        </w:rPr>
        <w:t>%。主要原因是单位</w:t>
      </w:r>
      <w:r>
        <w:rPr>
          <w:rFonts w:hint="eastAsia" w:ascii="方正仿宋_GBK" w:hAnsi="方正仿宋_GBK" w:eastAsia="方正仿宋_GBK" w:cs="方正仿宋_GBK"/>
          <w:sz w:val="32"/>
          <w:szCs w:val="32"/>
          <w:lang w:val="en-US" w:eastAsia="zh-CN"/>
        </w:rPr>
        <w:t>2021年人员经费支出有所增加</w:t>
      </w:r>
      <w:r>
        <w:rPr>
          <w:rFonts w:hint="eastAsia" w:ascii="方正仿宋_GBK" w:hAnsi="方正仿宋_GBK" w:eastAsia="方正仿宋_GBK" w:cs="方正仿宋_GBK"/>
          <w:sz w:val="32"/>
          <w:szCs w:val="32"/>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sz w:val="32"/>
          <w:szCs w:val="32"/>
        </w:rPr>
      </w:pPr>
      <w:r>
        <w:rPr>
          <w:rStyle w:val="7"/>
          <w:rFonts w:hint="eastAsia" w:ascii="方正仿宋_GBK" w:hAnsi="方正仿宋_GBK" w:eastAsia="方正仿宋_GBK" w:cs="方正仿宋_GBK"/>
          <w:b w:val="0"/>
          <w:bCs w:val="0"/>
          <w:sz w:val="32"/>
          <w:szCs w:val="32"/>
        </w:rPr>
        <w:t>  3.结转结余情况。</w:t>
      </w:r>
      <w:r>
        <w:rPr>
          <w:rFonts w:hint="eastAsia" w:ascii="方正仿宋_GBK" w:hAnsi="方正仿宋_GBK" w:eastAsia="方正仿宋_GBK" w:cs="方正仿宋_GBK"/>
          <w:sz w:val="32"/>
          <w:szCs w:val="32"/>
        </w:rPr>
        <w:t>20</w:t>
      </w:r>
      <w:r>
        <w:rPr>
          <w:rFonts w:hint="eastAsia" w:ascii="方正仿宋_GBK" w:hAnsi="方正仿宋_GBK" w:eastAsia="方正仿宋_GBK" w:cs="方正仿宋_GBK"/>
          <w:sz w:val="32"/>
          <w:szCs w:val="32"/>
          <w:lang w:val="en-US" w:eastAsia="zh-CN"/>
        </w:rPr>
        <w:t>21</w:t>
      </w:r>
      <w:r>
        <w:rPr>
          <w:rFonts w:hint="eastAsia" w:ascii="方正仿宋_GBK" w:hAnsi="方正仿宋_GBK" w:eastAsia="方正仿宋_GBK" w:cs="方正仿宋_GBK"/>
          <w:sz w:val="32"/>
          <w:szCs w:val="32"/>
        </w:rPr>
        <w:t>年度年末一般公共预算财政拨款结转和结余0.00万元，较上年决算数增加0.00万元，增长0.00%。</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sz w:val="32"/>
          <w:szCs w:val="32"/>
        </w:rPr>
      </w:pPr>
      <w:r>
        <w:rPr>
          <w:rStyle w:val="7"/>
          <w:rFonts w:hint="eastAsia" w:ascii="方正仿宋_GBK" w:hAnsi="方正仿宋_GBK" w:eastAsia="方正仿宋_GBK" w:cs="方正仿宋_GBK"/>
          <w:b w:val="0"/>
          <w:bCs w:val="0"/>
          <w:sz w:val="32"/>
          <w:szCs w:val="32"/>
        </w:rPr>
        <w:t>  4.比较情况。</w:t>
      </w:r>
      <w:r>
        <w:rPr>
          <w:rFonts w:hint="eastAsia" w:ascii="方正仿宋_GBK" w:hAnsi="方正仿宋_GBK" w:eastAsia="方正仿宋_GBK" w:cs="方正仿宋_GBK"/>
          <w:sz w:val="32"/>
          <w:szCs w:val="32"/>
        </w:rPr>
        <w:t>本部门20</w:t>
      </w:r>
      <w:r>
        <w:rPr>
          <w:rFonts w:hint="eastAsia" w:ascii="方正仿宋_GBK" w:hAnsi="方正仿宋_GBK" w:eastAsia="方正仿宋_GBK" w:cs="方正仿宋_GBK"/>
          <w:sz w:val="32"/>
          <w:szCs w:val="32"/>
          <w:lang w:val="en-US" w:eastAsia="zh-CN"/>
        </w:rPr>
        <w:t>21</w:t>
      </w:r>
      <w:r>
        <w:rPr>
          <w:rFonts w:hint="eastAsia" w:ascii="方正仿宋_GBK" w:hAnsi="方正仿宋_GBK" w:eastAsia="方正仿宋_GBK" w:cs="方正仿宋_GBK"/>
          <w:sz w:val="32"/>
          <w:szCs w:val="32"/>
        </w:rPr>
        <w:t>年度一般公共预算财政拨款支出主要用于以下几个方面：</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（1）一般公共服务支出0.</w:t>
      </w:r>
      <w:r>
        <w:rPr>
          <w:rFonts w:hint="eastAsia" w:ascii="方正仿宋_GBK" w:hAnsi="方正仿宋_GBK" w:eastAsia="方正仿宋_GBK" w:cs="方正仿宋_GBK"/>
          <w:sz w:val="32"/>
          <w:szCs w:val="32"/>
          <w:lang w:val="en-US" w:eastAsia="zh-CN"/>
        </w:rPr>
        <w:t>34</w:t>
      </w:r>
      <w:r>
        <w:rPr>
          <w:rFonts w:hint="eastAsia" w:ascii="方正仿宋_GBK" w:hAnsi="方正仿宋_GBK" w:eastAsia="方正仿宋_GBK" w:cs="方正仿宋_GBK"/>
          <w:sz w:val="32"/>
          <w:szCs w:val="32"/>
        </w:rPr>
        <w:t>万元，占0.</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%，较年初预算数增加0.00万元，增长0.00%。</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（2）社会保障与就业支出</w:t>
      </w:r>
      <w:r>
        <w:rPr>
          <w:rFonts w:hint="eastAsia" w:ascii="方正仿宋_GBK" w:hAnsi="方正仿宋_GBK" w:eastAsia="方正仿宋_GBK" w:cs="方正仿宋_GBK"/>
          <w:sz w:val="32"/>
          <w:szCs w:val="32"/>
          <w:lang w:val="en-US" w:eastAsia="zh-CN"/>
        </w:rPr>
        <w:t>9.62</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8.10</w:t>
      </w:r>
      <w:r>
        <w:rPr>
          <w:rFonts w:hint="eastAsia" w:ascii="方正仿宋_GBK" w:hAnsi="方正仿宋_GBK" w:eastAsia="方正仿宋_GBK" w:cs="方正仿宋_GBK"/>
          <w:sz w:val="32"/>
          <w:szCs w:val="32"/>
        </w:rPr>
        <w:t>%，较年初预算数增加</w:t>
      </w:r>
      <w:r>
        <w:rPr>
          <w:rFonts w:hint="eastAsia" w:ascii="方正仿宋_GBK" w:hAnsi="方正仿宋_GBK" w:eastAsia="方正仿宋_GBK" w:cs="方正仿宋_GBK"/>
          <w:sz w:val="32"/>
          <w:szCs w:val="32"/>
          <w:lang w:val="en-US" w:eastAsia="zh-CN"/>
        </w:rPr>
        <w:t>0.11</w:t>
      </w:r>
      <w:r>
        <w:rPr>
          <w:rFonts w:hint="eastAsia" w:ascii="方正仿宋_GBK" w:hAnsi="方正仿宋_GBK" w:eastAsia="方正仿宋_GBK" w:cs="方正仿宋_GBK"/>
          <w:sz w:val="32"/>
          <w:szCs w:val="32"/>
        </w:rPr>
        <w:t>万元，增长</w:t>
      </w:r>
      <w:r>
        <w:rPr>
          <w:rFonts w:hint="eastAsia" w:ascii="方正仿宋_GBK" w:hAnsi="方正仿宋_GBK" w:eastAsia="方正仿宋_GBK" w:cs="方正仿宋_GBK"/>
          <w:sz w:val="32"/>
          <w:szCs w:val="32"/>
          <w:lang w:val="en-US" w:eastAsia="zh-CN"/>
        </w:rPr>
        <w:t>1.10</w:t>
      </w:r>
      <w:r>
        <w:rPr>
          <w:rFonts w:hint="eastAsia" w:ascii="方正仿宋_GBK" w:hAnsi="方正仿宋_GBK" w:eastAsia="方正仿宋_GBK" w:cs="方正仿宋_GBK"/>
          <w:sz w:val="32"/>
          <w:szCs w:val="32"/>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（3）卫生健康支出</w:t>
      </w:r>
      <w:r>
        <w:rPr>
          <w:rFonts w:hint="eastAsia" w:ascii="方正仿宋_GBK" w:hAnsi="方正仿宋_GBK" w:eastAsia="方正仿宋_GBK" w:cs="方正仿宋_GBK"/>
          <w:sz w:val="32"/>
          <w:szCs w:val="32"/>
          <w:lang w:val="en-US" w:eastAsia="zh-CN"/>
        </w:rPr>
        <w:t>2.58</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2.17</w:t>
      </w:r>
      <w:r>
        <w:rPr>
          <w:rFonts w:hint="eastAsia" w:ascii="方正仿宋_GBK" w:hAnsi="方正仿宋_GBK" w:eastAsia="方正仿宋_GBK" w:cs="方正仿宋_GBK"/>
          <w:sz w:val="32"/>
          <w:szCs w:val="32"/>
        </w:rPr>
        <w:t>%，较年初预算数增加</w:t>
      </w:r>
      <w:r>
        <w:rPr>
          <w:rFonts w:hint="eastAsia" w:ascii="方正仿宋_GBK" w:hAnsi="方正仿宋_GBK" w:eastAsia="方正仿宋_GBK" w:cs="方正仿宋_GBK"/>
          <w:sz w:val="32"/>
          <w:szCs w:val="32"/>
          <w:lang w:val="en-US" w:eastAsia="zh-CN"/>
        </w:rPr>
        <w:t>0.04</w:t>
      </w:r>
      <w:r>
        <w:rPr>
          <w:rFonts w:hint="eastAsia" w:ascii="方正仿宋_GBK" w:hAnsi="方正仿宋_GBK" w:eastAsia="方正仿宋_GBK" w:cs="方正仿宋_GBK"/>
          <w:sz w:val="32"/>
          <w:szCs w:val="32"/>
        </w:rPr>
        <w:t>万元，增长</w:t>
      </w:r>
      <w:r>
        <w:rPr>
          <w:rFonts w:hint="eastAsia" w:ascii="方正仿宋_GBK" w:hAnsi="方正仿宋_GBK" w:eastAsia="方正仿宋_GBK" w:cs="方正仿宋_GBK"/>
          <w:sz w:val="32"/>
          <w:szCs w:val="32"/>
          <w:lang w:val="en-US" w:eastAsia="zh-CN"/>
        </w:rPr>
        <w:t>1.50</w:t>
      </w:r>
      <w:r>
        <w:rPr>
          <w:rFonts w:hint="eastAsia" w:ascii="方正仿宋_GBK" w:hAnsi="方正仿宋_GBK" w:eastAsia="方正仿宋_GBK" w:cs="方正仿宋_GBK"/>
          <w:sz w:val="32"/>
          <w:szCs w:val="32"/>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）自然资源海洋气象等支出</w:t>
      </w:r>
      <w:r>
        <w:rPr>
          <w:rFonts w:hint="eastAsia" w:ascii="方正仿宋_GBK" w:hAnsi="方正仿宋_GBK" w:eastAsia="方正仿宋_GBK" w:cs="方正仿宋_GBK"/>
          <w:sz w:val="32"/>
          <w:szCs w:val="32"/>
          <w:lang w:val="en-US" w:eastAsia="zh-CN"/>
        </w:rPr>
        <w:t>101.47</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85.42</w:t>
      </w:r>
      <w:r>
        <w:rPr>
          <w:rFonts w:hint="eastAsia" w:ascii="方正仿宋_GBK" w:hAnsi="方正仿宋_GBK" w:eastAsia="方正仿宋_GBK" w:cs="方正仿宋_GBK"/>
          <w:sz w:val="32"/>
          <w:szCs w:val="32"/>
        </w:rPr>
        <w:t>%，较年初预算数增加</w:t>
      </w:r>
      <w:r>
        <w:rPr>
          <w:rFonts w:hint="eastAsia" w:ascii="方正仿宋_GBK" w:hAnsi="方正仿宋_GBK" w:eastAsia="方正仿宋_GBK" w:cs="方正仿宋_GBK"/>
          <w:sz w:val="32"/>
          <w:szCs w:val="32"/>
          <w:lang w:val="en-US" w:eastAsia="zh-CN"/>
        </w:rPr>
        <w:t>5.69</w:t>
      </w:r>
      <w:r>
        <w:rPr>
          <w:rFonts w:hint="eastAsia" w:ascii="方正仿宋_GBK" w:hAnsi="方正仿宋_GBK" w:eastAsia="方正仿宋_GBK" w:cs="方正仿宋_GBK"/>
          <w:sz w:val="32"/>
          <w:szCs w:val="32"/>
        </w:rPr>
        <w:t>万元，增长</w:t>
      </w:r>
      <w:r>
        <w:rPr>
          <w:rFonts w:hint="eastAsia" w:ascii="方正仿宋_GBK" w:hAnsi="方正仿宋_GBK" w:eastAsia="方正仿宋_GBK" w:cs="方正仿宋_GBK"/>
          <w:sz w:val="32"/>
          <w:szCs w:val="32"/>
          <w:lang w:val="en-US" w:eastAsia="zh-CN"/>
        </w:rPr>
        <w:t>5.94</w:t>
      </w:r>
      <w:r>
        <w:rPr>
          <w:rFonts w:hint="eastAsia" w:ascii="方正仿宋_GBK" w:hAnsi="方正仿宋_GBK" w:eastAsia="方正仿宋_GBK" w:cs="方正仿宋_GBK"/>
          <w:sz w:val="32"/>
          <w:szCs w:val="32"/>
        </w:rPr>
        <w:t>%，主要原因是单位</w:t>
      </w:r>
      <w:r>
        <w:rPr>
          <w:rFonts w:hint="eastAsia" w:ascii="方正仿宋_GBK" w:hAnsi="方正仿宋_GBK" w:eastAsia="方正仿宋_GBK" w:cs="方正仿宋_GBK"/>
          <w:sz w:val="32"/>
          <w:szCs w:val="32"/>
          <w:lang w:eastAsia="zh-CN"/>
        </w:rPr>
        <w:t>调整当年工资津补贴的</w:t>
      </w:r>
      <w:r>
        <w:rPr>
          <w:rFonts w:hint="eastAsia" w:ascii="方正仿宋_GBK" w:hAnsi="方正仿宋_GBK" w:eastAsia="方正仿宋_GBK" w:cs="方正仿宋_GBK"/>
          <w:sz w:val="32"/>
          <w:szCs w:val="32"/>
        </w:rPr>
        <w:t>相关支出。</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）住房保障支出</w:t>
      </w:r>
      <w:r>
        <w:rPr>
          <w:rFonts w:hint="eastAsia" w:ascii="方正仿宋_GBK" w:hAnsi="方正仿宋_GBK" w:eastAsia="方正仿宋_GBK" w:cs="方正仿宋_GBK"/>
          <w:sz w:val="32"/>
          <w:szCs w:val="32"/>
          <w:lang w:val="en-US" w:eastAsia="zh-CN"/>
        </w:rPr>
        <w:t>4.77</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4.01</w:t>
      </w:r>
      <w:r>
        <w:rPr>
          <w:rFonts w:hint="eastAsia" w:ascii="方正仿宋_GBK" w:hAnsi="方正仿宋_GBK" w:eastAsia="方正仿宋_GBK" w:cs="方正仿宋_GBK"/>
          <w:sz w:val="32"/>
          <w:szCs w:val="32"/>
        </w:rPr>
        <w:t>%，较年初预算数增加</w:t>
      </w:r>
      <w:r>
        <w:rPr>
          <w:rFonts w:hint="eastAsia" w:ascii="方正仿宋_GBK" w:hAnsi="方正仿宋_GBK" w:eastAsia="方正仿宋_GBK" w:cs="方正仿宋_GBK"/>
          <w:sz w:val="32"/>
          <w:szCs w:val="32"/>
          <w:lang w:val="en-US" w:eastAsia="zh-CN"/>
        </w:rPr>
        <w:t>0.00</w:t>
      </w:r>
      <w:r>
        <w:rPr>
          <w:rFonts w:hint="eastAsia" w:ascii="方正仿宋_GBK" w:hAnsi="方正仿宋_GBK" w:eastAsia="方正仿宋_GBK" w:cs="方正仿宋_GBK"/>
          <w:sz w:val="32"/>
          <w:szCs w:val="32"/>
        </w:rPr>
        <w:t>万元，增长</w:t>
      </w:r>
      <w:r>
        <w:rPr>
          <w:rFonts w:hint="eastAsia" w:ascii="方正仿宋_GBK" w:hAnsi="方正仿宋_GBK" w:eastAsia="方正仿宋_GBK" w:cs="方正仿宋_GBK"/>
          <w:sz w:val="32"/>
          <w:szCs w:val="32"/>
          <w:lang w:val="en-US" w:eastAsia="zh-CN"/>
        </w:rPr>
        <w:t>0.00</w:t>
      </w:r>
      <w:r>
        <w:rPr>
          <w:rFonts w:hint="eastAsia" w:ascii="方正仿宋_GBK" w:hAnsi="方正仿宋_GBK" w:eastAsia="方正仿宋_GBK" w:cs="方正仿宋_GBK"/>
          <w:sz w:val="32"/>
          <w:szCs w:val="32"/>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sz w:val="32"/>
          <w:szCs w:val="32"/>
        </w:rPr>
      </w:pPr>
      <w:r>
        <w:rPr>
          <w:rStyle w:val="7"/>
          <w:rFonts w:hint="eastAsia" w:ascii="方正仿宋_GBK" w:hAnsi="方正仿宋_GBK" w:eastAsia="方正仿宋_GBK" w:cs="方正仿宋_GBK"/>
          <w:b w:val="0"/>
          <w:bCs w:val="0"/>
          <w:sz w:val="32"/>
          <w:szCs w:val="32"/>
        </w:rPr>
        <w:t xml:space="preserve">  </w:t>
      </w:r>
      <w:r>
        <w:rPr>
          <w:rStyle w:val="7"/>
          <w:rFonts w:hint="eastAsia" w:ascii="方正楷体_GBK" w:hAnsi="方正楷体_GBK" w:eastAsia="方正楷体_GBK" w:cs="方正楷体_GBK"/>
          <w:b w:val="0"/>
          <w:bCs w:val="0"/>
          <w:sz w:val="32"/>
          <w:szCs w:val="32"/>
        </w:rPr>
        <w:t>（四）一般公共预算财政拨款基本支出决算情况说明</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20</w:t>
      </w:r>
      <w:r>
        <w:rPr>
          <w:rFonts w:hint="eastAsia" w:ascii="方正仿宋_GBK" w:hAnsi="方正仿宋_GBK" w:eastAsia="方正仿宋_GBK" w:cs="方正仿宋_GBK"/>
          <w:sz w:val="32"/>
          <w:szCs w:val="32"/>
          <w:lang w:val="en-US" w:eastAsia="zh-CN"/>
        </w:rPr>
        <w:t>21</w:t>
      </w:r>
      <w:r>
        <w:rPr>
          <w:rFonts w:hint="eastAsia" w:ascii="方正仿宋_GBK" w:hAnsi="方正仿宋_GBK" w:eastAsia="方正仿宋_GBK" w:cs="方正仿宋_GBK"/>
          <w:sz w:val="32"/>
          <w:szCs w:val="32"/>
        </w:rPr>
        <w:t>年度一般公共财政拨款基本支出</w:t>
      </w:r>
      <w:r>
        <w:rPr>
          <w:rFonts w:hint="eastAsia" w:ascii="方正仿宋_GBK" w:hAnsi="方正仿宋_GBK" w:eastAsia="方正仿宋_GBK" w:cs="方正仿宋_GBK"/>
          <w:sz w:val="32"/>
          <w:szCs w:val="32"/>
          <w:lang w:val="en-US" w:eastAsia="zh-CN"/>
        </w:rPr>
        <w:t>94.78</w:t>
      </w:r>
      <w:r>
        <w:rPr>
          <w:rFonts w:hint="eastAsia" w:ascii="方正仿宋_GBK" w:hAnsi="方正仿宋_GBK" w:eastAsia="方正仿宋_GBK" w:cs="方正仿宋_GBK"/>
          <w:sz w:val="32"/>
          <w:szCs w:val="32"/>
        </w:rPr>
        <w:t>万元。其中：人员经费</w:t>
      </w:r>
      <w:r>
        <w:rPr>
          <w:rFonts w:hint="eastAsia" w:ascii="方正仿宋_GBK" w:hAnsi="方正仿宋_GBK" w:eastAsia="方正仿宋_GBK" w:cs="方正仿宋_GBK"/>
          <w:sz w:val="32"/>
          <w:szCs w:val="32"/>
          <w:lang w:val="en-US" w:eastAsia="zh-CN"/>
        </w:rPr>
        <w:t>86.42</w:t>
      </w:r>
      <w:r>
        <w:rPr>
          <w:rFonts w:hint="eastAsia" w:ascii="方正仿宋_GBK" w:hAnsi="方正仿宋_GBK" w:eastAsia="方正仿宋_GBK" w:cs="方正仿宋_GBK"/>
          <w:sz w:val="32"/>
          <w:szCs w:val="32"/>
        </w:rPr>
        <w:t>万元，较上年决算数</w:t>
      </w:r>
      <w:r>
        <w:rPr>
          <w:rFonts w:hint="eastAsia" w:ascii="方正仿宋_GBK" w:hAnsi="方正仿宋_GBK" w:eastAsia="方正仿宋_GBK" w:cs="方正仿宋_GBK"/>
          <w:sz w:val="32"/>
          <w:szCs w:val="32"/>
          <w:lang w:eastAsia="zh-CN"/>
        </w:rPr>
        <w:t>增加</w:t>
      </w:r>
      <w:r>
        <w:rPr>
          <w:rFonts w:hint="eastAsia" w:ascii="方正仿宋_GBK" w:hAnsi="方正仿宋_GBK" w:eastAsia="方正仿宋_GBK" w:cs="方正仿宋_GBK"/>
          <w:sz w:val="32"/>
          <w:szCs w:val="32"/>
          <w:lang w:val="en-US" w:eastAsia="zh-CN"/>
        </w:rPr>
        <w:t>1.14</w:t>
      </w:r>
      <w:r>
        <w:rPr>
          <w:rFonts w:hint="eastAsia" w:ascii="方正仿宋_GBK" w:hAnsi="方正仿宋_GBK" w:eastAsia="方正仿宋_GBK" w:cs="方正仿宋_GBK"/>
          <w:sz w:val="32"/>
          <w:szCs w:val="32"/>
        </w:rPr>
        <w:t>万元，增长</w:t>
      </w:r>
      <w:r>
        <w:rPr>
          <w:rFonts w:hint="eastAsia" w:ascii="方正仿宋_GBK" w:hAnsi="方正仿宋_GBK" w:eastAsia="方正仿宋_GBK" w:cs="方正仿宋_GBK"/>
          <w:sz w:val="32"/>
          <w:szCs w:val="32"/>
          <w:lang w:val="en-US" w:eastAsia="zh-CN"/>
        </w:rPr>
        <w:t>1.34</w:t>
      </w:r>
      <w:r>
        <w:rPr>
          <w:rFonts w:hint="eastAsia" w:ascii="方正仿宋_GBK" w:hAnsi="方正仿宋_GBK" w:eastAsia="方正仿宋_GBK" w:cs="方正仿宋_GBK"/>
          <w:sz w:val="32"/>
          <w:szCs w:val="32"/>
        </w:rPr>
        <w:t>%，主要原因是</w:t>
      </w:r>
      <w:r>
        <w:rPr>
          <w:rFonts w:hint="eastAsia" w:ascii="方正仿宋_GBK" w:hAnsi="方正仿宋_GBK" w:eastAsia="方正仿宋_GBK" w:cs="方正仿宋_GBK"/>
          <w:sz w:val="32"/>
          <w:szCs w:val="32"/>
          <w:lang w:eastAsia="zh-CN"/>
        </w:rPr>
        <w:t>调整当年工资津补贴</w:t>
      </w:r>
      <w:r>
        <w:rPr>
          <w:rFonts w:hint="eastAsia" w:ascii="方正仿宋_GBK" w:hAnsi="方正仿宋_GBK" w:eastAsia="方正仿宋_GBK" w:cs="方正仿宋_GBK"/>
          <w:sz w:val="32"/>
          <w:szCs w:val="32"/>
        </w:rPr>
        <w:t>。人员经费用途主要包括基本工资、津贴补贴、奖金、社保缴费等。公用经费</w:t>
      </w:r>
      <w:r>
        <w:rPr>
          <w:rFonts w:hint="eastAsia" w:ascii="方正仿宋_GBK" w:hAnsi="方正仿宋_GBK" w:eastAsia="方正仿宋_GBK" w:cs="方正仿宋_GBK"/>
          <w:sz w:val="32"/>
          <w:szCs w:val="32"/>
          <w:lang w:val="en-US" w:eastAsia="zh-CN"/>
        </w:rPr>
        <w:t>8.36</w:t>
      </w:r>
      <w:r>
        <w:rPr>
          <w:rFonts w:hint="eastAsia" w:ascii="方正仿宋_GBK" w:hAnsi="方正仿宋_GBK" w:eastAsia="方正仿宋_GBK" w:cs="方正仿宋_GBK"/>
          <w:sz w:val="32"/>
          <w:szCs w:val="32"/>
        </w:rPr>
        <w:t>万元，较上年决算数</w:t>
      </w:r>
      <w:r>
        <w:rPr>
          <w:rFonts w:hint="eastAsia" w:ascii="方正仿宋_GBK" w:hAnsi="方正仿宋_GBK" w:eastAsia="方正仿宋_GBK" w:cs="方正仿宋_GBK"/>
          <w:sz w:val="32"/>
          <w:szCs w:val="32"/>
          <w:lang w:eastAsia="zh-CN"/>
        </w:rPr>
        <w:t>增加</w:t>
      </w:r>
      <w:r>
        <w:rPr>
          <w:rFonts w:hint="eastAsia" w:ascii="方正仿宋_GBK" w:hAnsi="方正仿宋_GBK" w:eastAsia="方正仿宋_GBK" w:cs="方正仿宋_GBK"/>
          <w:sz w:val="32"/>
          <w:szCs w:val="32"/>
          <w:lang w:val="en-US" w:eastAsia="zh-CN"/>
        </w:rPr>
        <w:t>5.28</w:t>
      </w:r>
      <w:r>
        <w:rPr>
          <w:rFonts w:hint="eastAsia" w:ascii="方正仿宋_GBK" w:hAnsi="方正仿宋_GBK" w:eastAsia="方正仿宋_GBK" w:cs="方正仿宋_GBK"/>
          <w:sz w:val="32"/>
          <w:szCs w:val="32"/>
        </w:rPr>
        <w:t>万元，增长</w:t>
      </w:r>
      <w:r>
        <w:rPr>
          <w:rFonts w:hint="eastAsia" w:ascii="方正仿宋_GBK" w:hAnsi="方正仿宋_GBK" w:eastAsia="方正仿宋_GBK" w:cs="方正仿宋_GBK"/>
          <w:sz w:val="32"/>
          <w:szCs w:val="32"/>
          <w:lang w:val="en-US" w:eastAsia="zh-CN"/>
        </w:rPr>
        <w:t>171.43</w:t>
      </w:r>
      <w:r>
        <w:rPr>
          <w:rFonts w:hint="eastAsia" w:ascii="方正仿宋_GBK" w:hAnsi="方正仿宋_GBK" w:eastAsia="方正仿宋_GBK" w:cs="方正仿宋_GBK"/>
          <w:sz w:val="32"/>
          <w:szCs w:val="32"/>
        </w:rPr>
        <w:t>%，主要原因是公用经费</w:t>
      </w:r>
      <w:r>
        <w:rPr>
          <w:rFonts w:hint="eastAsia" w:ascii="方正仿宋_GBK" w:hAnsi="方正仿宋_GBK" w:eastAsia="方正仿宋_GBK" w:cs="方正仿宋_GBK"/>
          <w:sz w:val="32"/>
          <w:szCs w:val="32"/>
          <w:lang w:eastAsia="zh-CN"/>
        </w:rPr>
        <w:t>增加</w:t>
      </w:r>
      <w:r>
        <w:rPr>
          <w:rFonts w:hint="eastAsia" w:ascii="方正仿宋_GBK" w:hAnsi="方正仿宋_GBK" w:eastAsia="方正仿宋_GBK" w:cs="方正仿宋_GBK"/>
          <w:sz w:val="32"/>
          <w:szCs w:val="32"/>
        </w:rPr>
        <w:t>等。公用经费用途主要包括办公费、印刷费、咨询费、手续费、差旅费、劳务费等。</w:t>
      </w:r>
    </w:p>
    <w:p>
      <w:pPr>
        <w:pStyle w:val="4"/>
        <w:keepNext w:val="0"/>
        <w:keepLines w:val="0"/>
        <w:pageBreakBefore w:val="0"/>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Style w:val="7"/>
          <w:rFonts w:ascii="方正楷体_GBK" w:hAnsi="方正楷体_GBK" w:eastAsia="方正楷体_GBK" w:cs="方正楷体_GBK"/>
          <w:b w:val="0"/>
          <w:bCs w:val="0"/>
          <w:sz w:val="32"/>
          <w:szCs w:val="32"/>
        </w:rPr>
      </w:pPr>
      <w:r>
        <w:rPr>
          <w:rStyle w:val="7"/>
          <w:rFonts w:hint="eastAsia" w:ascii="方正楷体_GBK" w:hAnsi="方正楷体_GBK" w:eastAsia="方正楷体_GBK" w:cs="方正楷体_GBK"/>
          <w:b w:val="0"/>
          <w:bCs w:val="0"/>
          <w:sz w:val="32"/>
          <w:szCs w:val="32"/>
        </w:rPr>
        <w:t>政府性基金预算收支决算情况说明</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本部门20</w:t>
      </w:r>
      <w:r>
        <w:rPr>
          <w:rFonts w:hint="eastAsia" w:ascii="方正仿宋_GBK" w:hAnsi="方正仿宋_GBK" w:eastAsia="方正仿宋_GBK" w:cs="方正仿宋_GBK"/>
          <w:sz w:val="32"/>
          <w:szCs w:val="32"/>
          <w:lang w:val="en-US" w:eastAsia="zh-CN"/>
        </w:rPr>
        <w:t>21</w:t>
      </w:r>
      <w:r>
        <w:rPr>
          <w:rFonts w:hint="eastAsia" w:ascii="方正仿宋_GBK" w:hAnsi="方正仿宋_GBK" w:eastAsia="方正仿宋_GBK" w:cs="方正仿宋_GBK"/>
          <w:sz w:val="32"/>
          <w:szCs w:val="32"/>
        </w:rPr>
        <w:t>年度无政府性基金预算财政拨款收支。</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方正黑体_GBK" w:hAnsi="方正黑体_GBK" w:eastAsia="方正黑体_GBK" w:cs="方正黑体_GBK"/>
          <w:sz w:val="32"/>
          <w:szCs w:val="32"/>
        </w:rPr>
      </w:pPr>
      <w:r>
        <w:rPr>
          <w:rStyle w:val="7"/>
          <w:rFonts w:hint="eastAsia" w:ascii="方正黑体_GBK" w:hAnsi="方正黑体_GBK" w:eastAsia="方正黑体_GBK" w:cs="方正黑体_GBK"/>
          <w:b w:val="0"/>
          <w:bCs w:val="0"/>
          <w:sz w:val="32"/>
          <w:szCs w:val="32"/>
        </w:rPr>
        <w:t>  三、“三公”经费情况说明</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方正仿宋_GBK" w:hAnsi="方正仿宋_GBK" w:eastAsia="方正仿宋_GBK" w:cs="方正仿宋_GBK"/>
          <w:sz w:val="32"/>
          <w:szCs w:val="32"/>
        </w:rPr>
      </w:pPr>
      <w:r>
        <w:rPr>
          <w:rStyle w:val="7"/>
          <w:rFonts w:hint="eastAsia" w:ascii="方正仿宋_GBK" w:hAnsi="方正仿宋_GBK" w:eastAsia="方正仿宋_GBK" w:cs="方正仿宋_GBK"/>
          <w:b w:val="0"/>
          <w:bCs w:val="0"/>
          <w:sz w:val="32"/>
          <w:szCs w:val="32"/>
        </w:rPr>
        <w:t xml:space="preserve">  </w:t>
      </w:r>
      <w:r>
        <w:rPr>
          <w:rStyle w:val="7"/>
          <w:rFonts w:hint="eastAsia" w:ascii="方正楷体_GBK" w:hAnsi="方正楷体_GBK" w:eastAsia="方正楷体_GBK" w:cs="方正楷体_GBK"/>
          <w:b w:val="0"/>
          <w:bCs w:val="0"/>
          <w:sz w:val="32"/>
          <w:szCs w:val="32"/>
        </w:rPr>
        <w:t>（一）</w:t>
      </w:r>
      <w:r>
        <w:rPr>
          <w:rFonts w:hint="eastAsia" w:ascii="方正楷体_GBK" w:hAnsi="宋体" w:eastAsia="方正楷体_GBK" w:cs="宋体"/>
          <w:kern w:val="0"/>
          <w:sz w:val="32"/>
          <w:szCs w:val="32"/>
        </w:rPr>
        <w:t>“三公”经费支出情况</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20</w:t>
      </w:r>
      <w:r>
        <w:rPr>
          <w:rFonts w:hint="eastAsia" w:ascii="方正仿宋_GBK" w:hAnsi="方正仿宋_GBK" w:eastAsia="方正仿宋_GBK" w:cs="方正仿宋_GBK"/>
          <w:sz w:val="32"/>
          <w:szCs w:val="32"/>
          <w:lang w:val="en-US" w:eastAsia="zh-CN"/>
        </w:rPr>
        <w:t>21</w:t>
      </w:r>
      <w:r>
        <w:rPr>
          <w:rFonts w:hint="eastAsia" w:ascii="方正仿宋_GBK" w:hAnsi="方正仿宋_GBK" w:eastAsia="方正仿宋_GBK" w:cs="方正仿宋_GBK"/>
          <w:sz w:val="32"/>
          <w:szCs w:val="32"/>
        </w:rPr>
        <w:t>年度“三公”经费支出共计0.00万元，较年初预算数增加0.00万元，增长0.00%。较上年支出数增加0.00万元，增长0.00%，与上年持平</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主要原因是一是认真贯彻落实中央八项规定精神，按照只减不增的要求从严控制“三公”经费，全年实际支出较预算和决算均有所下降。二是严格落实公车使用规定，公车运行维护成本大幅下降。三是强化公务接待支出管理，严格遵守公务接待开支范围和开支标准，严格控制陪餐人数，对应由接待对象承担的费用一律由接待对象自行支付，公务接待费大幅下降。四是进一步规范因公出国（境）活动，今年未安排人员出国出访。</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sz w:val="32"/>
          <w:szCs w:val="32"/>
        </w:rPr>
      </w:pPr>
      <w:r>
        <w:rPr>
          <w:rStyle w:val="7"/>
          <w:rFonts w:hint="eastAsia" w:ascii="方正仿宋_GBK" w:hAnsi="方正仿宋_GBK" w:eastAsia="方正仿宋_GBK" w:cs="方正仿宋_GBK"/>
          <w:b w:val="0"/>
          <w:bCs w:val="0"/>
          <w:sz w:val="32"/>
          <w:szCs w:val="32"/>
        </w:rPr>
        <w:t xml:space="preserve">  </w:t>
      </w:r>
      <w:r>
        <w:rPr>
          <w:rStyle w:val="7"/>
          <w:rFonts w:hint="eastAsia" w:ascii="方正楷体_GBK" w:hAnsi="方正楷体_GBK" w:eastAsia="方正楷体_GBK" w:cs="方正楷体_GBK"/>
          <w:b w:val="0"/>
          <w:bCs w:val="0"/>
          <w:sz w:val="32"/>
          <w:szCs w:val="32"/>
        </w:rPr>
        <w:t>（二）“三公”经费实物量情况</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20</w:t>
      </w:r>
      <w:r>
        <w:rPr>
          <w:rFonts w:hint="eastAsia" w:ascii="方正仿宋_GBK" w:hAnsi="方正仿宋_GBK" w:eastAsia="方正仿宋_GBK" w:cs="方正仿宋_GBK"/>
          <w:sz w:val="32"/>
          <w:szCs w:val="32"/>
          <w:lang w:val="en-US" w:eastAsia="zh-CN"/>
        </w:rPr>
        <w:t>21</w:t>
      </w:r>
      <w:r>
        <w:rPr>
          <w:rFonts w:hint="eastAsia" w:ascii="方正仿宋_GBK" w:hAnsi="方正仿宋_GBK" w:eastAsia="方正仿宋_GBK" w:cs="方正仿宋_GBK"/>
          <w:sz w:val="32"/>
          <w:szCs w:val="32"/>
        </w:rPr>
        <w:t>年度本部门因公出国（境）共计0个团组，0人；公务用车购置0辆，公务车保有量为0辆；国内公务接待0批次0人，其中：国内外事接待0批次，0人；国（境）外公务接待0批次，0人。20</w:t>
      </w:r>
      <w:r>
        <w:rPr>
          <w:rFonts w:hint="eastAsia" w:ascii="方正仿宋_GBK" w:hAnsi="方正仿宋_GBK" w:eastAsia="方正仿宋_GBK" w:cs="方正仿宋_GBK"/>
          <w:sz w:val="32"/>
          <w:szCs w:val="32"/>
          <w:lang w:val="en-US" w:eastAsia="zh-CN"/>
        </w:rPr>
        <w:t>21</w:t>
      </w:r>
      <w:r>
        <w:rPr>
          <w:rFonts w:hint="eastAsia" w:ascii="方正仿宋_GBK" w:hAnsi="方正仿宋_GBK" w:eastAsia="方正仿宋_GBK" w:cs="方正仿宋_GBK"/>
          <w:sz w:val="32"/>
          <w:szCs w:val="32"/>
        </w:rPr>
        <w:t>年本部门人均接待费0.00元，车均购置费0.00万元，车均维护费0.00万元。</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sz w:val="32"/>
          <w:szCs w:val="32"/>
        </w:rPr>
      </w:pPr>
      <w:r>
        <w:rPr>
          <w:rStyle w:val="7"/>
          <w:rFonts w:hint="eastAsia" w:ascii="方正仿宋_GBK" w:hAnsi="方正仿宋_GBK" w:eastAsia="方正仿宋_GBK" w:cs="方正仿宋_GBK"/>
          <w:b w:val="0"/>
          <w:bCs w:val="0"/>
          <w:sz w:val="32"/>
          <w:szCs w:val="32"/>
        </w:rPr>
        <w:t> </w:t>
      </w:r>
      <w:r>
        <w:rPr>
          <w:rStyle w:val="7"/>
          <w:rFonts w:hint="eastAsia" w:ascii="方正黑体_GBK" w:hAnsi="方正黑体_GBK" w:eastAsia="方正黑体_GBK" w:cs="方正黑体_GBK"/>
          <w:b w:val="0"/>
          <w:bCs w:val="0"/>
          <w:sz w:val="32"/>
          <w:szCs w:val="32"/>
        </w:rPr>
        <w:t xml:space="preserve"> 四、其他需要说明的事项</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sz w:val="32"/>
          <w:szCs w:val="32"/>
        </w:rPr>
      </w:pPr>
      <w:r>
        <w:rPr>
          <w:rStyle w:val="7"/>
          <w:rFonts w:hint="eastAsia" w:ascii="方正仿宋_GBK" w:hAnsi="方正仿宋_GBK" w:eastAsia="方正仿宋_GBK" w:cs="方正仿宋_GBK"/>
          <w:b w:val="0"/>
          <w:bCs w:val="0"/>
          <w:sz w:val="32"/>
          <w:szCs w:val="32"/>
        </w:rPr>
        <w:t xml:space="preserve">  </w:t>
      </w:r>
      <w:r>
        <w:rPr>
          <w:rStyle w:val="7"/>
          <w:rFonts w:hint="eastAsia" w:ascii="方正楷体_GBK" w:hAnsi="方正楷体_GBK" w:eastAsia="方正楷体_GBK" w:cs="方正楷体_GBK"/>
          <w:b w:val="0"/>
          <w:bCs w:val="0"/>
          <w:sz w:val="32"/>
          <w:szCs w:val="32"/>
        </w:rPr>
        <w:t>（一）机关运行经费情况说明</w:t>
      </w:r>
      <w:r>
        <w:rPr>
          <w:rStyle w:val="7"/>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sz w:val="32"/>
          <w:szCs w:val="32"/>
        </w:rPr>
        <w:t>20</w:t>
      </w:r>
      <w:r>
        <w:rPr>
          <w:rFonts w:hint="eastAsia" w:ascii="方正仿宋_GBK" w:hAnsi="方正仿宋_GBK" w:eastAsia="方正仿宋_GBK" w:cs="方正仿宋_GBK"/>
          <w:sz w:val="32"/>
          <w:szCs w:val="32"/>
          <w:lang w:val="en-US" w:eastAsia="zh-CN"/>
        </w:rPr>
        <w:t>21</w:t>
      </w:r>
      <w:r>
        <w:rPr>
          <w:rFonts w:hint="eastAsia" w:ascii="方正仿宋_GBK" w:hAnsi="方正仿宋_GBK" w:eastAsia="方正仿宋_GBK" w:cs="方正仿宋_GBK"/>
          <w:sz w:val="32"/>
          <w:szCs w:val="32"/>
        </w:rPr>
        <w:t>年度本部门机关运行经费支出0.00万元。</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此外，本年度一般公共预算财政拨款会议费支出0.00万元，较上年决算数增加0.00万元，增长0.00%。本年度一般公共预算财政拨款培训费支出0.00万元，较上年决算数增加0.00万元。</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按照部门决算列报口径，我单位不在机关运行经费统计范围之内。</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sz w:val="32"/>
          <w:szCs w:val="32"/>
        </w:rPr>
      </w:pPr>
      <w:r>
        <w:rPr>
          <w:rStyle w:val="7"/>
          <w:rFonts w:hint="eastAsia" w:ascii="方正楷体_GBK" w:hAnsi="方正楷体_GBK" w:eastAsia="方正楷体_GBK" w:cs="方正楷体_GBK"/>
          <w:b w:val="0"/>
          <w:bCs w:val="0"/>
          <w:sz w:val="32"/>
          <w:szCs w:val="32"/>
        </w:rPr>
        <w:t>  （二）国有资产占用情况说明</w:t>
      </w:r>
      <w:r>
        <w:rPr>
          <w:rStyle w:val="7"/>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sz w:val="32"/>
          <w:szCs w:val="32"/>
        </w:rPr>
        <w:t>截至20</w:t>
      </w:r>
      <w:r>
        <w:rPr>
          <w:rFonts w:hint="eastAsia" w:ascii="方正仿宋_GBK" w:hAnsi="方正仿宋_GBK" w:eastAsia="方正仿宋_GBK" w:cs="方正仿宋_GBK"/>
          <w:sz w:val="32"/>
          <w:szCs w:val="32"/>
          <w:lang w:val="en-US" w:eastAsia="zh-CN"/>
        </w:rPr>
        <w:t>21</w:t>
      </w:r>
      <w:r>
        <w:rPr>
          <w:rFonts w:hint="eastAsia" w:ascii="方正仿宋_GBK" w:hAnsi="方正仿宋_GBK" w:eastAsia="方正仿宋_GBK" w:cs="方正仿宋_GBK"/>
          <w:sz w:val="32"/>
          <w:szCs w:val="32"/>
        </w:rPr>
        <w:t>年12月31日，本部门共有车辆0辆，其中，副部（省）级及以上领导用车0辆、主要领导干部用车0辆、机要通信用车0辆、应急保障用车0辆、执法执勤用车0辆，特种专业技术用车0辆，离退休干部用车0辆，其他用车0辆。单价50万元（含）以上通用设备0台（套），单价100万元（含）以上专用设备0台（套）。</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b w:val="0"/>
          <w:bCs w:val="0"/>
          <w:sz w:val="32"/>
          <w:szCs w:val="32"/>
        </w:rPr>
        <w:t xml:space="preserve">  </w:t>
      </w:r>
      <w:r>
        <w:rPr>
          <w:rStyle w:val="7"/>
          <w:rFonts w:hint="eastAsia" w:ascii="方正楷体_GBK" w:hAnsi="方正楷体_GBK" w:eastAsia="方正楷体_GBK" w:cs="方正楷体_GBK"/>
          <w:b w:val="0"/>
          <w:bCs w:val="0"/>
          <w:sz w:val="32"/>
          <w:szCs w:val="32"/>
        </w:rPr>
        <w:t>（三）政府采购支出情况说明</w:t>
      </w:r>
      <w:r>
        <w:rPr>
          <w:rStyle w:val="7"/>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sz w:val="32"/>
          <w:szCs w:val="32"/>
        </w:rPr>
        <w:t>20</w:t>
      </w:r>
      <w:r>
        <w:rPr>
          <w:rFonts w:hint="eastAsia" w:ascii="方正仿宋_GBK" w:hAnsi="方正仿宋_GBK" w:eastAsia="方正仿宋_GBK" w:cs="方正仿宋_GBK"/>
          <w:sz w:val="32"/>
          <w:szCs w:val="32"/>
          <w:lang w:val="en-US" w:eastAsia="zh-CN"/>
        </w:rPr>
        <w:t>21</w:t>
      </w:r>
      <w:r>
        <w:rPr>
          <w:rFonts w:hint="eastAsia" w:ascii="方正仿宋_GBK" w:hAnsi="方正仿宋_GBK" w:eastAsia="方正仿宋_GBK" w:cs="方正仿宋_GBK"/>
          <w:sz w:val="32"/>
          <w:szCs w:val="32"/>
        </w:rPr>
        <w:t>年度本部门政府采购支出总额</w:t>
      </w:r>
      <w:r>
        <w:rPr>
          <w:rFonts w:hint="eastAsia" w:ascii="方正仿宋_GBK" w:hAnsi="方正仿宋_GBK" w:eastAsia="方正仿宋_GBK" w:cs="方正仿宋_GBK"/>
          <w:sz w:val="32"/>
          <w:szCs w:val="32"/>
          <w:lang w:val="en-US" w:eastAsia="zh-CN"/>
        </w:rPr>
        <w:t>0.00</w:t>
      </w:r>
      <w:r>
        <w:rPr>
          <w:rFonts w:hint="eastAsia" w:ascii="方正仿宋_GBK" w:hAnsi="方正仿宋_GBK" w:eastAsia="方正仿宋_GBK" w:cs="方正仿宋_GBK"/>
          <w:sz w:val="32"/>
          <w:szCs w:val="32"/>
        </w:rPr>
        <w:t>万元，其中：政府采购货物支出</w:t>
      </w:r>
      <w:r>
        <w:rPr>
          <w:rFonts w:hint="eastAsia" w:ascii="方正仿宋_GBK" w:hAnsi="方正仿宋_GBK" w:eastAsia="方正仿宋_GBK" w:cs="方正仿宋_GBK"/>
          <w:sz w:val="32"/>
          <w:szCs w:val="32"/>
          <w:lang w:val="en-US" w:eastAsia="zh-CN"/>
        </w:rPr>
        <w:t>0.00</w:t>
      </w:r>
      <w:r>
        <w:rPr>
          <w:rFonts w:hint="eastAsia" w:ascii="方正仿宋_GBK" w:hAnsi="方正仿宋_GBK" w:eastAsia="方正仿宋_GBK" w:cs="方正仿宋_GBK"/>
          <w:sz w:val="32"/>
          <w:szCs w:val="32"/>
        </w:rPr>
        <w:t>万元、政府采购工程支出0.00万元、政府采购服务支出0.00万元。授予中小企业合同金额</w:t>
      </w:r>
      <w:r>
        <w:rPr>
          <w:rFonts w:hint="eastAsia" w:ascii="方正仿宋_GBK" w:hAnsi="方正仿宋_GBK" w:eastAsia="方正仿宋_GBK" w:cs="方正仿宋_GBK"/>
          <w:sz w:val="32"/>
          <w:szCs w:val="32"/>
          <w:lang w:val="en-US" w:eastAsia="zh-CN"/>
        </w:rPr>
        <w:t>0.00</w:t>
      </w:r>
      <w:r>
        <w:rPr>
          <w:rFonts w:hint="eastAsia" w:ascii="方正仿宋_GBK" w:hAnsi="方正仿宋_GBK" w:eastAsia="方正仿宋_GBK" w:cs="方正仿宋_GBK"/>
          <w:sz w:val="32"/>
          <w:szCs w:val="32"/>
        </w:rPr>
        <w:t>万元，占政府采购支出总额的</w:t>
      </w:r>
      <w:r>
        <w:rPr>
          <w:rFonts w:hint="eastAsia" w:ascii="方正仿宋_GBK" w:hAnsi="方正仿宋_GBK" w:eastAsia="方正仿宋_GBK" w:cs="方正仿宋_GBK"/>
          <w:sz w:val="32"/>
          <w:szCs w:val="32"/>
          <w:lang w:val="en-US" w:eastAsia="zh-CN"/>
        </w:rPr>
        <w:t>0.00</w:t>
      </w:r>
      <w:r>
        <w:rPr>
          <w:rFonts w:hint="eastAsia" w:ascii="方正仿宋_GBK" w:hAnsi="方正仿宋_GBK" w:eastAsia="方正仿宋_GBK" w:cs="方正仿宋_GBK"/>
          <w:sz w:val="32"/>
          <w:szCs w:val="32"/>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Style w:val="7"/>
          <w:rFonts w:hint="eastAsia" w:ascii="方正黑体_GBK" w:hAnsi="方正黑体_GBK" w:eastAsia="方正黑体_GBK" w:cs="方正黑体_GBK"/>
          <w:b w:val="0"/>
          <w:bCs w:val="0"/>
          <w:sz w:val="32"/>
          <w:szCs w:val="32"/>
        </w:rPr>
        <w:t xml:space="preserve"> 五、预算绩效管理情况说明</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7"/>
          <w:rFonts w:ascii="方正楷体_GBK" w:hAnsi="方正楷体_GBK" w:eastAsia="方正楷体_GBK" w:cs="方正楷体_GBK"/>
          <w:b w:val="0"/>
          <w:bCs w:val="0"/>
          <w:sz w:val="32"/>
          <w:szCs w:val="32"/>
        </w:rPr>
      </w:pPr>
      <w:r>
        <w:rPr>
          <w:rFonts w:hint="eastAsia" w:ascii="方正仿宋_GBK" w:hAnsi="方正仿宋_GBK" w:eastAsia="方正仿宋_GBK" w:cs="方正仿宋_GBK"/>
          <w:sz w:val="32"/>
          <w:szCs w:val="32"/>
        </w:rPr>
        <w:t> </w:t>
      </w:r>
      <w:r>
        <w:rPr>
          <w:rStyle w:val="7"/>
          <w:rFonts w:hint="eastAsia" w:ascii="方正楷体_GBK" w:hAnsi="方正楷体_GBK" w:eastAsia="方正楷体_GBK" w:cs="方正楷体_GBK"/>
          <w:b w:val="0"/>
          <w:bCs w:val="0"/>
          <w:sz w:val="32"/>
          <w:szCs w:val="32"/>
        </w:rPr>
        <w:t>（一）预算绩效管理工作开展情况</w:t>
      </w:r>
    </w:p>
    <w:p>
      <w:pPr>
        <w:pStyle w:val="10"/>
        <w:keepNext w:val="0"/>
        <w:keepLines w:val="0"/>
        <w:pageBreakBefore w:val="0"/>
        <w:tabs>
          <w:tab w:val="center" w:pos="4153"/>
          <w:tab w:val="left" w:pos="7275"/>
        </w:tabs>
        <w:kinsoku/>
        <w:wordWrap/>
        <w:overflowPunct/>
        <w:topLinePunct w:val="0"/>
        <w:autoSpaceDE/>
        <w:autoSpaceDN/>
        <w:bidi w:val="0"/>
        <w:adjustRightInd/>
        <w:snapToGrid/>
        <w:spacing w:line="560" w:lineRule="exact"/>
        <w:ind w:firstLine="64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根据预算绩效管理要求，</w:t>
      </w:r>
      <w:r>
        <w:rPr>
          <w:rFonts w:hint="eastAsia" w:ascii="Times New Roman" w:hAnsi="Times New Roman" w:eastAsia="方正仿宋_GBK" w:cs="宋体"/>
          <w:kern w:val="0"/>
          <w:sz w:val="32"/>
          <w:szCs w:val="32"/>
        </w:rPr>
        <w:t>我</w:t>
      </w:r>
      <w:r>
        <w:rPr>
          <w:rFonts w:hint="eastAsia" w:eastAsia="方正仿宋_GBK" w:cs="宋体"/>
          <w:kern w:val="0"/>
          <w:sz w:val="32"/>
          <w:szCs w:val="32"/>
          <w:lang w:eastAsia="zh-CN"/>
        </w:rPr>
        <w:t>单位</w:t>
      </w:r>
      <w:r>
        <w:rPr>
          <w:rFonts w:hint="eastAsia" w:ascii="Times New Roman" w:hAnsi="Times New Roman" w:eastAsia="方正仿宋_GBK" w:cs="宋体"/>
          <w:kern w:val="0"/>
          <w:sz w:val="32"/>
          <w:szCs w:val="32"/>
        </w:rPr>
        <w:t>对部门</w:t>
      </w:r>
      <w:r>
        <w:rPr>
          <w:rFonts w:ascii="Times New Roman" w:hAnsi="Times New Roman" w:eastAsia="方正仿宋_GBK" w:cs="宋体"/>
          <w:kern w:val="0"/>
          <w:sz w:val="32"/>
          <w:szCs w:val="32"/>
        </w:rPr>
        <w:t>整体</w:t>
      </w:r>
      <w:r>
        <w:rPr>
          <w:rFonts w:hint="eastAsia" w:ascii="Times New Roman" w:hAnsi="Times New Roman" w:eastAsia="方正仿宋_GBK" w:cs="宋体"/>
          <w:kern w:val="0"/>
          <w:sz w:val="32"/>
          <w:szCs w:val="32"/>
        </w:rPr>
        <w:t>和</w:t>
      </w:r>
      <w:r>
        <w:rPr>
          <w:rFonts w:hint="eastAsia" w:eastAsia="方正仿宋_GBK" w:cs="宋体"/>
          <w:kern w:val="0"/>
          <w:sz w:val="32"/>
          <w:szCs w:val="32"/>
          <w:lang w:val="en-US" w:eastAsia="zh-CN"/>
        </w:rPr>
        <w:t>1</w:t>
      </w:r>
      <w:r>
        <w:rPr>
          <w:rFonts w:hint="eastAsia" w:ascii="Times New Roman" w:hAnsi="Times New Roman" w:eastAsia="方正仿宋_GBK" w:cs="宋体"/>
          <w:kern w:val="0"/>
          <w:sz w:val="32"/>
          <w:szCs w:val="32"/>
        </w:rPr>
        <w:t>个项目开展了绩效自评，其中，以填报目标自评表形式开展自评</w:t>
      </w:r>
      <w:r>
        <w:rPr>
          <w:rFonts w:hint="eastAsia" w:eastAsia="方正仿宋_GBK" w:cs="宋体"/>
          <w:kern w:val="0"/>
          <w:sz w:val="32"/>
          <w:szCs w:val="32"/>
          <w:lang w:val="en-US" w:eastAsia="zh-CN"/>
        </w:rPr>
        <w:t>2</w:t>
      </w:r>
      <w:r>
        <w:rPr>
          <w:rFonts w:hint="eastAsia" w:ascii="Times New Roman" w:hAnsi="Times New Roman" w:eastAsia="方正仿宋_GBK" w:cs="宋体"/>
          <w:kern w:val="0"/>
          <w:sz w:val="32"/>
          <w:szCs w:val="32"/>
        </w:rPr>
        <w:t>项，涉及资金</w:t>
      </w:r>
      <w:r>
        <w:rPr>
          <w:rFonts w:hint="eastAsia" w:eastAsia="方正仿宋_GBK" w:cs="宋体"/>
          <w:kern w:val="0"/>
          <w:sz w:val="32"/>
          <w:szCs w:val="32"/>
          <w:lang w:val="en-US" w:eastAsia="zh-CN"/>
        </w:rPr>
        <w:t>118.78</w:t>
      </w:r>
      <w:r>
        <w:rPr>
          <w:rFonts w:hint="eastAsia" w:ascii="Times New Roman" w:hAnsi="Times New Roman" w:eastAsia="方正仿宋_GBK" w:cs="宋体"/>
          <w:kern w:val="0"/>
          <w:sz w:val="32"/>
          <w:szCs w:val="32"/>
        </w:rPr>
        <w:t>万元；从评价情况来看</w:t>
      </w:r>
      <w:r>
        <w:rPr>
          <w:rFonts w:hint="eastAsia" w:eastAsia="方正仿宋_GBK" w:cs="宋体"/>
          <w:kern w:val="0"/>
          <w:sz w:val="32"/>
          <w:szCs w:val="32"/>
          <w:lang w:eastAsia="zh-CN"/>
        </w:rPr>
        <w:t>，</w:t>
      </w:r>
      <w:r>
        <w:rPr>
          <w:rFonts w:hint="eastAsia" w:ascii="方正仿宋_GBK" w:hAnsi="方正仿宋_GBK" w:eastAsia="方正仿宋_GBK" w:cs="方正仿宋_GBK"/>
          <w:sz w:val="32"/>
          <w:szCs w:val="32"/>
        </w:rPr>
        <w:t>大力发挥了突发事件预警信息发布平台的功能，提高了公共服务能力和水平。</w:t>
      </w:r>
    </w:p>
    <w:p>
      <w:pPr>
        <w:pStyle w:val="4"/>
        <w:keepNext w:val="0"/>
        <w:keepLines w:val="0"/>
        <w:pageBreakBefore w:val="0"/>
        <w:numPr>
          <w:ilvl w:val="0"/>
          <w:numId w:val="2"/>
        </w:numPr>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绩效自评结果</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绩效目标自评表</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突发事件预警信息发布平台业务维持费项目绩效目标自评综述：根据年初设定的绩效目标，项目总体完成情况：给社会公众及相关部门获取和发布预警信息提供了重要渠道，提高了突发公共事件预警信息发布的时效性和可控性，充分发挥了公众在抗灾救灾中的积极性和主动性，变被动抗灾为主动防御，充分发挥群防作用，有效地保护了人民群众的生命财产安全，较大地提升了政府对社会公共服务的能力，促进了社会经济科学发展。项目全年预算数为24万元，执行数为</w:t>
      </w:r>
      <w:r>
        <w:rPr>
          <w:rFonts w:hint="eastAsia" w:ascii="方正仿宋_GBK" w:hAnsi="方正仿宋_GBK" w:eastAsia="方正仿宋_GBK" w:cs="方正仿宋_GBK"/>
          <w:sz w:val="32"/>
          <w:szCs w:val="32"/>
          <w:lang w:val="en-US" w:eastAsia="zh-CN"/>
        </w:rPr>
        <w:t>24</w:t>
      </w:r>
      <w:r>
        <w:rPr>
          <w:rFonts w:hint="eastAsia" w:ascii="方正仿宋_GBK" w:hAnsi="方正仿宋_GBK" w:eastAsia="方正仿宋_GBK" w:cs="方正仿宋_GBK"/>
          <w:sz w:val="32"/>
          <w:szCs w:val="32"/>
        </w:rPr>
        <w:t>万元，完成预算的</w:t>
      </w:r>
      <w:r>
        <w:rPr>
          <w:rFonts w:hint="eastAsia" w:ascii="方正仿宋_GBK" w:hAnsi="方正仿宋_GBK" w:eastAsia="方正仿宋_GBK" w:cs="方正仿宋_GBK"/>
          <w:sz w:val="32"/>
          <w:szCs w:val="32"/>
          <w:lang w:val="en-US" w:eastAsia="zh-CN"/>
        </w:rPr>
        <w:t>100.00</w:t>
      </w:r>
      <w:r>
        <w:rPr>
          <w:rFonts w:hint="eastAsia" w:ascii="方正仿宋_GBK" w:hAnsi="方正仿宋_GBK" w:eastAsia="方正仿宋_GBK" w:cs="方正仿宋_GBK"/>
          <w:sz w:val="32"/>
          <w:szCs w:val="32"/>
        </w:rPr>
        <w:t>%。主要产出和效果：一是及时发布突发事件预警信息，降低灾害损失，二是拓展预警信息接收覆盖面，三是保证平台正常运行。发现的问题及原因，受众面不够广，公众影响力不够突出。下一步改进措施，增加受众面，扩大公众影响力，提升对社会公共服务的能力。</w:t>
      </w:r>
    </w:p>
    <w:p>
      <w:pPr>
        <w:pStyle w:val="10"/>
        <w:tabs>
          <w:tab w:val="center" w:pos="4153"/>
          <w:tab w:val="left" w:pos="7275"/>
        </w:tabs>
        <w:spacing w:line="600" w:lineRule="exact"/>
        <w:ind w:firstLine="0" w:firstLineChars="0"/>
        <w:jc w:val="center"/>
        <w:rPr>
          <w:rFonts w:ascii="Times New Roman" w:hAnsi="Times New Roman" w:eastAsia="方正仿宋_GBK" w:cs="宋体"/>
          <w:kern w:val="0"/>
          <w:sz w:val="32"/>
          <w:szCs w:val="32"/>
        </w:rPr>
      </w:pPr>
      <w:r>
        <w:rPr>
          <w:rFonts w:hint="eastAsia" w:ascii="Times New Roman" w:hAnsi="Times New Roman" w:eastAsia="方正小标宋_GBK" w:cs="宋体"/>
          <w:color w:val="000000"/>
          <w:kern w:val="0"/>
          <w:sz w:val="36"/>
          <w:szCs w:val="36"/>
        </w:rPr>
        <w:t>部门整体绩效自评表</w:t>
      </w:r>
    </w:p>
    <w:tbl>
      <w:tblPr>
        <w:tblStyle w:val="5"/>
        <w:tblW w:w="9993" w:type="dxa"/>
        <w:tblInd w:w="-318" w:type="dxa"/>
        <w:tblLayout w:type="autofit"/>
        <w:tblCellMar>
          <w:top w:w="0" w:type="dxa"/>
          <w:left w:w="108" w:type="dxa"/>
          <w:bottom w:w="0" w:type="dxa"/>
          <w:right w:w="108" w:type="dxa"/>
        </w:tblCellMar>
      </w:tblPr>
      <w:tblGrid>
        <w:gridCol w:w="953"/>
        <w:gridCol w:w="943"/>
        <w:gridCol w:w="136"/>
        <w:gridCol w:w="256"/>
        <w:gridCol w:w="102"/>
        <w:gridCol w:w="749"/>
        <w:gridCol w:w="706"/>
        <w:gridCol w:w="323"/>
        <w:gridCol w:w="430"/>
        <w:gridCol w:w="253"/>
        <w:gridCol w:w="458"/>
        <w:gridCol w:w="88"/>
        <w:gridCol w:w="929"/>
        <w:gridCol w:w="1405"/>
        <w:gridCol w:w="91"/>
        <w:gridCol w:w="968"/>
        <w:gridCol w:w="1203"/>
      </w:tblGrid>
      <w:tr>
        <w:tblPrEx>
          <w:tblCellMar>
            <w:top w:w="0" w:type="dxa"/>
            <w:left w:w="108" w:type="dxa"/>
            <w:bottom w:w="0" w:type="dxa"/>
            <w:right w:w="108" w:type="dxa"/>
          </w:tblCellMar>
        </w:tblPrEx>
        <w:trPr>
          <w:trHeight w:val="575" w:hRule="atLeast"/>
        </w:trPr>
        <w:tc>
          <w:tcPr>
            <w:tcW w:w="953"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主管</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部门</w:t>
            </w:r>
          </w:p>
        </w:tc>
        <w:tc>
          <w:tcPr>
            <w:tcW w:w="1335"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lang w:eastAsia="zh-CN"/>
              </w:rPr>
            </w:pPr>
            <w:r>
              <w:rPr>
                <w:rFonts w:hint="eastAsia" w:eastAsia="方正仿宋_GBK" w:cs="宋体"/>
                <w:color w:val="000000"/>
                <w:kern w:val="0"/>
                <w:sz w:val="24"/>
                <w:szCs w:val="24"/>
                <w:lang w:eastAsia="zh-CN"/>
              </w:rPr>
              <w:t>城口县气象局</w:t>
            </w:r>
          </w:p>
        </w:tc>
        <w:tc>
          <w:tcPr>
            <w:tcW w:w="851" w:type="dxa"/>
            <w:gridSpan w:val="2"/>
            <w:vMerge w:val="restart"/>
            <w:tcBorders>
              <w:top w:val="single" w:color="auto" w:sz="4" w:space="0"/>
              <w:left w:val="single" w:color="auto" w:sz="4" w:space="0"/>
              <w:bottom w:val="single" w:color="000000" w:sz="4" w:space="0"/>
              <w:right w:val="single" w:color="auto" w:sz="4" w:space="0"/>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财政处室</w:t>
            </w:r>
          </w:p>
        </w:tc>
        <w:tc>
          <w:tcPr>
            <w:tcW w:w="1029" w:type="dxa"/>
            <w:gridSpan w:val="2"/>
            <w:vMerge w:val="restart"/>
            <w:tcBorders>
              <w:top w:val="single" w:color="auto" w:sz="4" w:space="0"/>
              <w:left w:val="single" w:color="auto" w:sz="4" w:space="0"/>
              <w:bottom w:val="single" w:color="000000" w:sz="4" w:space="0"/>
              <w:right w:val="single" w:color="000000" w:sz="4" w:space="0"/>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lang w:eastAsia="zh-CN"/>
              </w:rPr>
            </w:pPr>
            <w:r>
              <w:rPr>
                <w:rFonts w:hint="eastAsia" w:eastAsia="方正仿宋_GBK" w:cs="宋体"/>
                <w:color w:val="000000"/>
                <w:kern w:val="0"/>
                <w:sz w:val="24"/>
                <w:szCs w:val="24"/>
                <w:lang w:eastAsia="zh-CN"/>
              </w:rPr>
              <w:t>农业科</w:t>
            </w:r>
          </w:p>
        </w:tc>
        <w:tc>
          <w:tcPr>
            <w:tcW w:w="1141"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自评总分（分）</w:t>
            </w:r>
          </w:p>
        </w:tc>
        <w:tc>
          <w:tcPr>
            <w:tcW w:w="4684" w:type="dxa"/>
            <w:gridSpan w:val="6"/>
            <w:tcBorders>
              <w:top w:val="single" w:color="auto" w:sz="4" w:space="0"/>
              <w:left w:val="nil"/>
              <w:bottom w:val="single" w:color="auto" w:sz="4" w:space="0"/>
              <w:right w:val="single" w:color="000000" w:sz="4" w:space="0"/>
            </w:tcBorders>
            <w:noWrap w:val="0"/>
            <w:vAlign w:val="center"/>
          </w:tcPr>
          <w:p>
            <w:pPr>
              <w:widowControl/>
              <w:spacing w:line="300" w:lineRule="exact"/>
              <w:rPr>
                <w:rFonts w:hint="default" w:ascii="Times New Roman" w:hAnsi="Times New Roman" w:eastAsia="方正仿宋_GBK" w:cs="宋体"/>
                <w:color w:val="000000"/>
                <w:kern w:val="0"/>
                <w:sz w:val="24"/>
                <w:szCs w:val="24"/>
                <w:lang w:val="en-US" w:eastAsia="zh-CN"/>
              </w:rPr>
            </w:pPr>
            <w:r>
              <w:rPr>
                <w:rFonts w:hint="eastAsia" w:eastAsia="方正仿宋_GBK" w:cs="宋体"/>
                <w:color w:val="000000"/>
                <w:kern w:val="0"/>
                <w:sz w:val="24"/>
                <w:szCs w:val="24"/>
                <w:lang w:val="en-US" w:eastAsia="zh-CN"/>
              </w:rPr>
              <w:t>100</w:t>
            </w:r>
          </w:p>
        </w:tc>
      </w:tr>
      <w:tr>
        <w:tblPrEx>
          <w:tblCellMar>
            <w:top w:w="0" w:type="dxa"/>
            <w:left w:w="108" w:type="dxa"/>
            <w:bottom w:w="0" w:type="dxa"/>
            <w:right w:w="108" w:type="dxa"/>
          </w:tblCellMar>
        </w:tblPrEx>
        <w:trPr>
          <w:trHeight w:val="90" w:hRule="atLeast"/>
        </w:trPr>
        <w:tc>
          <w:tcPr>
            <w:tcW w:w="953"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300" w:lineRule="exact"/>
              <w:jc w:val="center"/>
              <w:rPr>
                <w:rFonts w:ascii="Times New Roman" w:hAnsi="Times New Roman" w:eastAsia="方正仿宋_GBK" w:cs="宋体"/>
                <w:color w:val="000000"/>
                <w:kern w:val="0"/>
                <w:sz w:val="24"/>
                <w:szCs w:val="24"/>
              </w:rPr>
            </w:pPr>
          </w:p>
        </w:tc>
        <w:tc>
          <w:tcPr>
            <w:tcW w:w="1335"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eastAsia="方正仿宋_GBK" w:cs="宋体"/>
                <w:color w:val="000000"/>
                <w:kern w:val="0"/>
                <w:sz w:val="24"/>
                <w:szCs w:val="24"/>
              </w:rPr>
            </w:pPr>
          </w:p>
        </w:tc>
        <w:tc>
          <w:tcPr>
            <w:tcW w:w="851" w:type="dxa"/>
            <w:gridSpan w:val="2"/>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300" w:lineRule="exact"/>
              <w:jc w:val="center"/>
              <w:rPr>
                <w:rFonts w:ascii="Times New Roman" w:hAnsi="Times New Roman" w:eastAsia="方正仿宋_GBK" w:cs="宋体"/>
                <w:color w:val="000000"/>
                <w:kern w:val="0"/>
                <w:sz w:val="24"/>
                <w:szCs w:val="24"/>
              </w:rPr>
            </w:pPr>
          </w:p>
        </w:tc>
        <w:tc>
          <w:tcPr>
            <w:tcW w:w="1029"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eastAsia="方正仿宋_GBK" w:cs="宋体"/>
                <w:color w:val="000000"/>
                <w:kern w:val="0"/>
                <w:sz w:val="24"/>
                <w:szCs w:val="24"/>
              </w:rPr>
            </w:pPr>
          </w:p>
        </w:tc>
        <w:tc>
          <w:tcPr>
            <w:tcW w:w="1141" w:type="dxa"/>
            <w:gridSpan w:val="3"/>
            <w:tcBorders>
              <w:top w:val="nil"/>
              <w:left w:val="nil"/>
              <w:bottom w:val="single" w:color="auto" w:sz="4" w:space="0"/>
              <w:right w:val="single" w:color="auto" w:sz="4" w:space="0"/>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部门</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联系人</w:t>
            </w:r>
          </w:p>
        </w:tc>
        <w:tc>
          <w:tcPr>
            <w:tcW w:w="1017" w:type="dxa"/>
            <w:gridSpan w:val="2"/>
            <w:tcBorders>
              <w:top w:val="nil"/>
              <w:left w:val="nil"/>
              <w:bottom w:val="single" w:color="auto" w:sz="4" w:space="0"/>
              <w:right w:val="single" w:color="auto" w:sz="4" w:space="0"/>
            </w:tcBorders>
            <w:noWrap w:val="0"/>
            <w:vAlign w:val="center"/>
          </w:tcPr>
          <w:p>
            <w:pPr>
              <w:widowControl/>
              <w:spacing w:line="300" w:lineRule="exact"/>
              <w:rPr>
                <w:rFonts w:hint="eastAsia" w:ascii="Times New Roman" w:hAnsi="Times New Roman" w:eastAsia="方正仿宋_GBK" w:cs="宋体"/>
                <w:color w:val="000000"/>
                <w:kern w:val="0"/>
                <w:sz w:val="24"/>
                <w:szCs w:val="24"/>
                <w:lang w:eastAsia="zh-CN"/>
              </w:rPr>
            </w:pPr>
            <w:r>
              <w:rPr>
                <w:rFonts w:hint="eastAsia" w:eastAsia="方正仿宋_GBK" w:cs="宋体"/>
                <w:color w:val="000000"/>
                <w:kern w:val="0"/>
                <w:sz w:val="24"/>
                <w:szCs w:val="24"/>
                <w:lang w:eastAsia="zh-CN"/>
              </w:rPr>
              <w:t>叶群</w:t>
            </w:r>
          </w:p>
        </w:tc>
        <w:tc>
          <w:tcPr>
            <w:tcW w:w="1405" w:type="dxa"/>
            <w:tcBorders>
              <w:top w:val="nil"/>
              <w:left w:val="nil"/>
              <w:bottom w:val="single" w:color="auto" w:sz="4" w:space="0"/>
              <w:right w:val="single" w:color="auto" w:sz="4" w:space="0"/>
            </w:tcBorders>
            <w:noWrap w:val="0"/>
            <w:vAlign w:val="center"/>
          </w:tcPr>
          <w:p>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联系电话</w:t>
            </w:r>
          </w:p>
        </w:tc>
        <w:tc>
          <w:tcPr>
            <w:tcW w:w="2262" w:type="dxa"/>
            <w:gridSpan w:val="3"/>
            <w:tcBorders>
              <w:top w:val="single" w:color="auto" w:sz="4" w:space="0"/>
              <w:left w:val="nil"/>
              <w:bottom w:val="single" w:color="auto" w:sz="4" w:space="0"/>
              <w:right w:val="single" w:color="000000" w:sz="4" w:space="0"/>
            </w:tcBorders>
            <w:noWrap w:val="0"/>
            <w:vAlign w:val="center"/>
          </w:tcPr>
          <w:p>
            <w:pPr>
              <w:widowControl/>
              <w:spacing w:line="300" w:lineRule="exact"/>
              <w:rPr>
                <w:rFonts w:hint="default" w:ascii="Times New Roman" w:hAnsi="Times New Roman" w:eastAsia="方正仿宋_GBK" w:cs="宋体"/>
                <w:color w:val="000000"/>
                <w:kern w:val="0"/>
                <w:sz w:val="24"/>
                <w:szCs w:val="24"/>
                <w:lang w:val="en-US" w:eastAsia="zh-CN"/>
              </w:rPr>
            </w:pPr>
            <w:r>
              <w:rPr>
                <w:rFonts w:hint="eastAsia" w:eastAsia="方正仿宋_GBK" w:cs="宋体"/>
                <w:color w:val="000000"/>
                <w:kern w:val="0"/>
                <w:sz w:val="24"/>
                <w:szCs w:val="24"/>
                <w:lang w:val="en-US" w:eastAsia="zh-CN"/>
              </w:rPr>
              <w:t>59220200</w:t>
            </w:r>
          </w:p>
        </w:tc>
      </w:tr>
      <w:tr>
        <w:tblPrEx>
          <w:tblCellMar>
            <w:top w:w="0" w:type="dxa"/>
            <w:left w:w="108" w:type="dxa"/>
            <w:bottom w:w="0" w:type="dxa"/>
            <w:right w:w="108" w:type="dxa"/>
          </w:tblCellMar>
        </w:tblPrEx>
        <w:trPr>
          <w:trHeight w:val="575" w:hRule="atLeast"/>
        </w:trPr>
        <w:tc>
          <w:tcPr>
            <w:tcW w:w="953"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部门预算执行情况</w:t>
            </w:r>
          </w:p>
        </w:tc>
        <w:tc>
          <w:tcPr>
            <w:tcW w:w="1079" w:type="dxa"/>
            <w:gridSpan w:val="2"/>
            <w:vMerge w:val="restart"/>
            <w:tcBorders>
              <w:top w:val="nil"/>
              <w:left w:val="nil"/>
              <w:right w:val="nil"/>
            </w:tcBorders>
            <w:noWrap w:val="0"/>
            <w:vAlign w:val="center"/>
          </w:tcPr>
          <w:p>
            <w:pPr>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预算</w:t>
            </w:r>
          </w:p>
          <w:p>
            <w:pPr>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资金</w:t>
            </w:r>
          </w:p>
          <w:p>
            <w:pPr>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（万元）</w:t>
            </w:r>
          </w:p>
        </w:tc>
        <w:tc>
          <w:tcPr>
            <w:tcW w:w="1107" w:type="dxa"/>
            <w:gridSpan w:val="3"/>
            <w:tcBorders>
              <w:top w:val="single" w:color="auto" w:sz="4" w:space="0"/>
              <w:left w:val="single" w:color="auto" w:sz="4" w:space="0"/>
              <w:bottom w:val="single" w:color="auto" w:sz="4" w:space="0"/>
              <w:right w:val="single" w:color="000000" w:sz="4" w:space="0"/>
            </w:tcBorders>
            <w:noWrap w:val="0"/>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年初</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预算数</w:t>
            </w:r>
          </w:p>
        </w:tc>
        <w:tc>
          <w:tcPr>
            <w:tcW w:w="1712"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全年（调整）</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预算数</w:t>
            </w:r>
          </w:p>
        </w:tc>
        <w:tc>
          <w:tcPr>
            <w:tcW w:w="1475"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全年执行数</w:t>
            </w:r>
          </w:p>
        </w:tc>
        <w:tc>
          <w:tcPr>
            <w:tcW w:w="1405"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执行率</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w:t>
            </w:r>
          </w:p>
        </w:tc>
        <w:tc>
          <w:tcPr>
            <w:tcW w:w="1059"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执行率</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权重</w:t>
            </w:r>
          </w:p>
        </w:tc>
        <w:tc>
          <w:tcPr>
            <w:tcW w:w="1203" w:type="dxa"/>
            <w:tcBorders>
              <w:top w:val="nil"/>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执行率</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得分</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（分）</w:t>
            </w:r>
          </w:p>
        </w:tc>
      </w:tr>
      <w:tr>
        <w:tblPrEx>
          <w:tblCellMar>
            <w:top w:w="0" w:type="dxa"/>
            <w:left w:w="108" w:type="dxa"/>
            <w:bottom w:w="0" w:type="dxa"/>
            <w:right w:w="108" w:type="dxa"/>
          </w:tblCellMar>
        </w:tblPrEx>
        <w:trPr>
          <w:trHeight w:val="575" w:hRule="atLeast"/>
        </w:trPr>
        <w:tc>
          <w:tcPr>
            <w:tcW w:w="953"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rPr>
                <w:rFonts w:ascii="Times New Roman" w:hAnsi="Times New Roman" w:eastAsia="方正仿宋_GBK" w:cs="宋体"/>
                <w:color w:val="000000"/>
                <w:kern w:val="0"/>
                <w:sz w:val="24"/>
                <w:szCs w:val="24"/>
              </w:rPr>
            </w:pPr>
          </w:p>
        </w:tc>
        <w:tc>
          <w:tcPr>
            <w:tcW w:w="1079" w:type="dxa"/>
            <w:gridSpan w:val="2"/>
            <w:vMerge w:val="continue"/>
            <w:tcBorders>
              <w:left w:val="nil"/>
              <w:bottom w:val="single" w:color="auto" w:sz="4" w:space="0"/>
              <w:right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p>
        </w:tc>
        <w:tc>
          <w:tcPr>
            <w:tcW w:w="1107" w:type="dxa"/>
            <w:gridSpan w:val="3"/>
            <w:tcBorders>
              <w:top w:val="single" w:color="auto" w:sz="4" w:space="0"/>
              <w:left w:val="single" w:color="auto" w:sz="4" w:space="0"/>
              <w:bottom w:val="single" w:color="auto" w:sz="4" w:space="0"/>
              <w:right w:val="single" w:color="000000" w:sz="4" w:space="0"/>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eastAsia="方正仿宋_GBK" w:cs="宋体"/>
                <w:color w:val="000000"/>
                <w:kern w:val="0"/>
                <w:sz w:val="24"/>
                <w:szCs w:val="24"/>
                <w:lang w:val="en-US" w:eastAsia="zh-CN"/>
              </w:rPr>
              <w:t>88.97</w:t>
            </w:r>
          </w:p>
        </w:tc>
        <w:tc>
          <w:tcPr>
            <w:tcW w:w="1712"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eastAsia="方正仿宋_GBK" w:cs="宋体"/>
                <w:color w:val="000000"/>
                <w:kern w:val="0"/>
                <w:sz w:val="24"/>
                <w:szCs w:val="24"/>
                <w:lang w:val="en-US" w:eastAsia="zh-CN"/>
              </w:rPr>
              <w:t>94.78</w:t>
            </w:r>
          </w:p>
        </w:tc>
        <w:tc>
          <w:tcPr>
            <w:tcW w:w="1475"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eastAsia="方正仿宋_GBK" w:cs="宋体"/>
                <w:color w:val="000000"/>
                <w:kern w:val="0"/>
                <w:sz w:val="24"/>
                <w:szCs w:val="24"/>
                <w:lang w:val="en-US" w:eastAsia="zh-CN"/>
              </w:rPr>
              <w:t>94.78</w:t>
            </w:r>
          </w:p>
        </w:tc>
        <w:tc>
          <w:tcPr>
            <w:tcW w:w="1405" w:type="dxa"/>
            <w:tcBorders>
              <w:top w:val="nil"/>
              <w:left w:val="nil"/>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宋体"/>
                <w:color w:val="000000"/>
                <w:kern w:val="0"/>
                <w:sz w:val="24"/>
                <w:szCs w:val="24"/>
                <w:lang w:val="en-US" w:eastAsia="zh-CN"/>
              </w:rPr>
            </w:pPr>
            <w:r>
              <w:rPr>
                <w:rFonts w:hint="eastAsia" w:eastAsia="方正仿宋_GBK" w:cs="宋体"/>
                <w:color w:val="000000"/>
                <w:kern w:val="0"/>
                <w:sz w:val="24"/>
                <w:szCs w:val="24"/>
                <w:lang w:val="en-US" w:eastAsia="zh-CN"/>
              </w:rPr>
              <w:t>100%</w:t>
            </w:r>
          </w:p>
        </w:tc>
        <w:tc>
          <w:tcPr>
            <w:tcW w:w="1059" w:type="dxa"/>
            <w:gridSpan w:val="2"/>
            <w:tcBorders>
              <w:top w:val="nil"/>
              <w:left w:val="nil"/>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宋体"/>
                <w:color w:val="000000"/>
                <w:kern w:val="0"/>
                <w:sz w:val="24"/>
                <w:szCs w:val="24"/>
                <w:lang w:val="en-US" w:eastAsia="zh-CN"/>
              </w:rPr>
            </w:pPr>
            <w:r>
              <w:rPr>
                <w:rFonts w:hint="eastAsia" w:eastAsia="方正仿宋_GBK" w:cs="宋体"/>
                <w:color w:val="000000"/>
                <w:kern w:val="0"/>
                <w:sz w:val="24"/>
                <w:szCs w:val="24"/>
                <w:lang w:val="en-US" w:eastAsia="zh-CN"/>
              </w:rPr>
              <w:t>40%</w:t>
            </w:r>
          </w:p>
        </w:tc>
        <w:tc>
          <w:tcPr>
            <w:tcW w:w="1203" w:type="dxa"/>
            <w:tcBorders>
              <w:top w:val="nil"/>
              <w:left w:val="nil"/>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宋体"/>
                <w:color w:val="000000"/>
                <w:kern w:val="0"/>
                <w:sz w:val="24"/>
                <w:szCs w:val="24"/>
                <w:lang w:val="en-US" w:eastAsia="zh-CN"/>
              </w:rPr>
            </w:pPr>
            <w:r>
              <w:rPr>
                <w:rFonts w:hint="eastAsia" w:eastAsia="方正仿宋_GBK" w:cs="宋体"/>
                <w:color w:val="000000"/>
                <w:kern w:val="0"/>
                <w:sz w:val="24"/>
                <w:szCs w:val="24"/>
                <w:lang w:val="en-US" w:eastAsia="zh-CN"/>
              </w:rPr>
              <w:t>40</w:t>
            </w:r>
          </w:p>
        </w:tc>
      </w:tr>
      <w:tr>
        <w:tblPrEx>
          <w:tblCellMar>
            <w:top w:w="0" w:type="dxa"/>
            <w:left w:w="108" w:type="dxa"/>
            <w:bottom w:w="0" w:type="dxa"/>
            <w:right w:w="108" w:type="dxa"/>
          </w:tblCellMar>
        </w:tblPrEx>
        <w:trPr>
          <w:trHeight w:val="575" w:hRule="atLeast"/>
        </w:trPr>
        <w:tc>
          <w:tcPr>
            <w:tcW w:w="953"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当年绩效目标</w:t>
            </w:r>
          </w:p>
        </w:tc>
        <w:tc>
          <w:tcPr>
            <w:tcW w:w="2186" w:type="dxa"/>
            <w:gridSpan w:val="5"/>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年初绩效目标</w:t>
            </w:r>
          </w:p>
        </w:tc>
        <w:tc>
          <w:tcPr>
            <w:tcW w:w="3187" w:type="dxa"/>
            <w:gridSpan w:val="7"/>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全年（调整）绩效目标</w:t>
            </w:r>
          </w:p>
        </w:tc>
        <w:tc>
          <w:tcPr>
            <w:tcW w:w="3667" w:type="dxa"/>
            <w:gridSpan w:val="4"/>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全年目标实际完成情况</w:t>
            </w:r>
          </w:p>
        </w:tc>
      </w:tr>
      <w:tr>
        <w:tblPrEx>
          <w:tblCellMar>
            <w:top w:w="0" w:type="dxa"/>
            <w:left w:w="108" w:type="dxa"/>
            <w:bottom w:w="0" w:type="dxa"/>
            <w:right w:w="108" w:type="dxa"/>
          </w:tblCellMar>
        </w:tblPrEx>
        <w:trPr>
          <w:trHeight w:val="712" w:hRule="atLeast"/>
        </w:trPr>
        <w:tc>
          <w:tcPr>
            <w:tcW w:w="953"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rPr>
                <w:rFonts w:ascii="Times New Roman" w:hAnsi="Times New Roman" w:eastAsia="方正仿宋_GBK" w:cs="宋体"/>
                <w:color w:val="000000"/>
                <w:kern w:val="0"/>
                <w:sz w:val="24"/>
                <w:szCs w:val="24"/>
              </w:rPr>
            </w:pPr>
          </w:p>
        </w:tc>
        <w:tc>
          <w:tcPr>
            <w:tcW w:w="2186" w:type="dxa"/>
            <w:gridSpan w:val="5"/>
            <w:tcBorders>
              <w:top w:val="single" w:color="auto" w:sz="4" w:space="0"/>
              <w:left w:val="nil"/>
              <w:bottom w:val="single" w:color="auto" w:sz="4" w:space="0"/>
              <w:right w:val="single" w:color="000000" w:sz="4" w:space="0"/>
            </w:tcBorders>
            <w:noWrap w:val="0"/>
            <w:vAlign w:val="center"/>
          </w:tcPr>
          <w:p>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负责全县自然灾害预警预防的日常服务工作。2.承担突发事件预警信息发布平台的建设、运行、维护工作。3.负责全县突发事件预警信息发布及24小时值守。4.负责全县预警信息发布渠道的建设、维护工作。5.负责全县自然灾害共享数据库的建设、维护工作。6.指导全县自然灾害监测网络、预警信息发布网络、各乡镇（街道）及涉灾部门防灾应急工作站的建设工作。7.为县委、县政府提供自然灾害应急处置指挥子平台，并提供决策建议和技术支持。8.承担全县人工影响天气作业的具体工作。9.承担县委、县政府和市气象局交办的其他任务。</w:t>
            </w:r>
          </w:p>
        </w:tc>
        <w:tc>
          <w:tcPr>
            <w:tcW w:w="3187" w:type="dxa"/>
            <w:gridSpan w:val="7"/>
            <w:tcBorders>
              <w:top w:val="single" w:color="auto" w:sz="4" w:space="0"/>
              <w:left w:val="nil"/>
              <w:bottom w:val="single" w:color="auto" w:sz="4" w:space="0"/>
              <w:right w:val="single" w:color="000000" w:sz="4" w:space="0"/>
            </w:tcBorders>
            <w:noWrap w:val="0"/>
            <w:vAlign w:val="center"/>
          </w:tcPr>
          <w:p>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负责全县自然灾害预警预防的日常服务工作。2.承担突发事件预警信息发布平台的建设、运行、维护工作。3.负责全县突发事件预警信息发布及24小时值守。4.负责全县预警信息发布渠道的建设、维护工作。5.负责全县自然灾害共享数据库的建设、维护工作。6.指导全县自然灾害监测网络、预警信息发布网络、各乡镇（街道）及涉灾部门防灾应急工作站的建设工作。7.为县委、县政府提供自然灾害应急处置指挥子平台，并提供决策建议和技术支持。8.承担全县人工影响天气作业的具体工作。9.承担县委、县政府和市气象局交办的其他任务。</w:t>
            </w:r>
          </w:p>
        </w:tc>
        <w:tc>
          <w:tcPr>
            <w:tcW w:w="3667" w:type="dxa"/>
            <w:gridSpan w:val="4"/>
            <w:tcBorders>
              <w:top w:val="single" w:color="auto" w:sz="4" w:space="0"/>
              <w:left w:val="nil"/>
              <w:bottom w:val="single" w:color="auto" w:sz="4" w:space="0"/>
              <w:right w:val="single" w:color="000000" w:sz="4" w:space="0"/>
            </w:tcBorders>
            <w:noWrap w:val="0"/>
            <w:vAlign w:val="center"/>
          </w:tcPr>
          <w:p>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w:t>
            </w:r>
            <w:r>
              <w:rPr>
                <w:rFonts w:hint="eastAsia" w:eastAsia="方正仿宋_GBK" w:cs="宋体"/>
                <w:color w:val="000000"/>
                <w:kern w:val="0"/>
                <w:sz w:val="24"/>
                <w:szCs w:val="24"/>
                <w:lang w:eastAsia="zh-CN"/>
              </w:rPr>
              <w:t>完成了</w:t>
            </w:r>
            <w:r>
              <w:rPr>
                <w:rFonts w:hint="eastAsia" w:ascii="Times New Roman" w:hAnsi="Times New Roman" w:eastAsia="方正仿宋_GBK" w:cs="宋体"/>
                <w:color w:val="000000"/>
                <w:kern w:val="0"/>
                <w:sz w:val="24"/>
                <w:szCs w:val="24"/>
              </w:rPr>
              <w:t>全县自然灾害预警预防的日常服务工作。2.承担</w:t>
            </w:r>
            <w:r>
              <w:rPr>
                <w:rFonts w:hint="eastAsia" w:eastAsia="方正仿宋_GBK" w:cs="宋体"/>
                <w:color w:val="000000"/>
                <w:kern w:val="0"/>
                <w:sz w:val="24"/>
                <w:szCs w:val="24"/>
                <w:lang w:eastAsia="zh-CN"/>
              </w:rPr>
              <w:t>了</w:t>
            </w:r>
            <w:r>
              <w:rPr>
                <w:rFonts w:hint="eastAsia" w:ascii="Times New Roman" w:hAnsi="Times New Roman" w:eastAsia="方正仿宋_GBK" w:cs="宋体"/>
                <w:color w:val="000000"/>
                <w:kern w:val="0"/>
                <w:sz w:val="24"/>
                <w:szCs w:val="24"/>
              </w:rPr>
              <w:t>突发事件预警信息发布平台的建设、运行、维护工作。3.全县突发事件预警信息发布及24小时值守。4.全县预警信息发布渠道的建设、维护工作。5.全县自然灾害共享数据库的建设、维护工作。6.指导</w:t>
            </w:r>
            <w:r>
              <w:rPr>
                <w:rFonts w:hint="eastAsia" w:eastAsia="方正仿宋_GBK" w:cs="宋体"/>
                <w:color w:val="000000"/>
                <w:kern w:val="0"/>
                <w:sz w:val="24"/>
                <w:szCs w:val="24"/>
                <w:lang w:eastAsia="zh-CN"/>
              </w:rPr>
              <w:t>了</w:t>
            </w:r>
            <w:r>
              <w:rPr>
                <w:rFonts w:hint="eastAsia" w:ascii="Times New Roman" w:hAnsi="Times New Roman" w:eastAsia="方正仿宋_GBK" w:cs="宋体"/>
                <w:color w:val="000000"/>
                <w:kern w:val="0"/>
                <w:sz w:val="24"/>
                <w:szCs w:val="24"/>
              </w:rPr>
              <w:t>全县自然灾害监测网络、预警信息发布网络、各乡镇（街道）及涉灾部门防灾应急工作站的建设工作。7.为县委、县政府提供</w:t>
            </w:r>
            <w:r>
              <w:rPr>
                <w:rFonts w:hint="eastAsia" w:eastAsia="方正仿宋_GBK" w:cs="宋体"/>
                <w:color w:val="000000"/>
                <w:kern w:val="0"/>
                <w:sz w:val="24"/>
                <w:szCs w:val="24"/>
                <w:lang w:eastAsia="zh-CN"/>
              </w:rPr>
              <w:t>了</w:t>
            </w:r>
            <w:r>
              <w:rPr>
                <w:rFonts w:hint="eastAsia" w:ascii="Times New Roman" w:hAnsi="Times New Roman" w:eastAsia="方正仿宋_GBK" w:cs="宋体"/>
                <w:color w:val="000000"/>
                <w:kern w:val="0"/>
                <w:sz w:val="24"/>
                <w:szCs w:val="24"/>
              </w:rPr>
              <w:t>自然灾害应急处置指挥子平台，并提供决策建议和技术支持。8.承担</w:t>
            </w:r>
            <w:r>
              <w:rPr>
                <w:rFonts w:hint="eastAsia" w:eastAsia="方正仿宋_GBK" w:cs="宋体"/>
                <w:color w:val="000000"/>
                <w:kern w:val="0"/>
                <w:sz w:val="24"/>
                <w:szCs w:val="24"/>
                <w:lang w:eastAsia="zh-CN"/>
              </w:rPr>
              <w:t>了</w:t>
            </w:r>
            <w:r>
              <w:rPr>
                <w:rFonts w:hint="eastAsia" w:ascii="Times New Roman" w:hAnsi="Times New Roman" w:eastAsia="方正仿宋_GBK" w:cs="宋体"/>
                <w:color w:val="000000"/>
                <w:kern w:val="0"/>
                <w:sz w:val="24"/>
                <w:szCs w:val="24"/>
              </w:rPr>
              <w:t>全县人工影响天气作业的具体工作。9.承担</w:t>
            </w:r>
            <w:r>
              <w:rPr>
                <w:rFonts w:hint="eastAsia" w:eastAsia="方正仿宋_GBK" w:cs="宋体"/>
                <w:color w:val="000000"/>
                <w:kern w:val="0"/>
                <w:sz w:val="24"/>
                <w:szCs w:val="24"/>
                <w:lang w:eastAsia="zh-CN"/>
              </w:rPr>
              <w:t>了</w:t>
            </w:r>
            <w:r>
              <w:rPr>
                <w:rFonts w:hint="eastAsia" w:ascii="Times New Roman" w:hAnsi="Times New Roman" w:eastAsia="方正仿宋_GBK" w:cs="宋体"/>
                <w:color w:val="000000"/>
                <w:kern w:val="0"/>
                <w:sz w:val="24"/>
                <w:szCs w:val="24"/>
              </w:rPr>
              <w:t>县委、县政府和市气象局交办的其他任务。</w:t>
            </w:r>
          </w:p>
        </w:tc>
      </w:tr>
      <w:tr>
        <w:tblPrEx>
          <w:tblCellMar>
            <w:top w:w="0" w:type="dxa"/>
            <w:left w:w="108" w:type="dxa"/>
            <w:bottom w:w="0" w:type="dxa"/>
            <w:right w:w="108" w:type="dxa"/>
          </w:tblCellMar>
        </w:tblPrEx>
        <w:trPr>
          <w:trHeight w:val="575" w:hRule="atLeast"/>
        </w:trPr>
        <w:tc>
          <w:tcPr>
            <w:tcW w:w="953" w:type="dxa"/>
            <w:vMerge w:val="restart"/>
            <w:tcBorders>
              <w:top w:val="nil"/>
              <w:left w:val="single" w:color="auto" w:sz="4" w:space="0"/>
              <w:bottom w:val="single" w:color="auto" w:sz="4" w:space="0"/>
              <w:right w:val="single" w:color="auto" w:sz="4" w:space="0"/>
            </w:tcBorders>
            <w:noWrap w:val="0"/>
            <w:textDirection w:val="tbRlV"/>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绩效指标</w:t>
            </w:r>
          </w:p>
        </w:tc>
        <w:tc>
          <w:tcPr>
            <w:tcW w:w="943" w:type="dxa"/>
            <w:tcBorders>
              <w:top w:val="nil"/>
              <w:left w:val="nil"/>
              <w:bottom w:val="single" w:color="auto" w:sz="4" w:space="0"/>
              <w:right w:val="nil"/>
            </w:tcBorders>
            <w:noWrap w:val="0"/>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指标</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名称</w:t>
            </w:r>
          </w:p>
        </w:tc>
        <w:tc>
          <w:tcPr>
            <w:tcW w:w="494" w:type="dxa"/>
            <w:gridSpan w:val="3"/>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计量</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单位</w:t>
            </w:r>
          </w:p>
        </w:tc>
        <w:tc>
          <w:tcPr>
            <w:tcW w:w="749"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指标</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性质</w:t>
            </w:r>
          </w:p>
        </w:tc>
        <w:tc>
          <w:tcPr>
            <w:tcW w:w="7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年初</w:t>
            </w:r>
          </w:p>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指标</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值</w:t>
            </w:r>
          </w:p>
        </w:tc>
        <w:tc>
          <w:tcPr>
            <w:tcW w:w="753"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调整</w:t>
            </w:r>
          </w:p>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指标</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值</w:t>
            </w:r>
          </w:p>
        </w:tc>
        <w:tc>
          <w:tcPr>
            <w:tcW w:w="799" w:type="dxa"/>
            <w:gridSpan w:val="3"/>
            <w:tcBorders>
              <w:top w:val="nil"/>
              <w:left w:val="nil"/>
              <w:bottom w:val="single" w:color="auto" w:sz="4" w:space="0"/>
              <w:right w:val="single" w:color="auto" w:sz="4" w:space="0"/>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全年</w:t>
            </w:r>
          </w:p>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完成</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值</w:t>
            </w:r>
          </w:p>
        </w:tc>
        <w:tc>
          <w:tcPr>
            <w:tcW w:w="929" w:type="dxa"/>
            <w:tcBorders>
              <w:top w:val="nil"/>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得分</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系数</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w:t>
            </w:r>
          </w:p>
        </w:tc>
        <w:tc>
          <w:tcPr>
            <w:tcW w:w="1496"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指标权重</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（分）</w:t>
            </w:r>
          </w:p>
        </w:tc>
        <w:tc>
          <w:tcPr>
            <w:tcW w:w="968" w:type="dxa"/>
            <w:tcBorders>
              <w:top w:val="nil"/>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指标</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得分</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（分）</w:t>
            </w:r>
          </w:p>
        </w:tc>
        <w:tc>
          <w:tcPr>
            <w:tcW w:w="1203"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是否核心</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指标</w:t>
            </w:r>
          </w:p>
        </w:tc>
      </w:tr>
      <w:tr>
        <w:tblPrEx>
          <w:tblCellMar>
            <w:top w:w="0" w:type="dxa"/>
            <w:left w:w="108" w:type="dxa"/>
            <w:bottom w:w="0" w:type="dxa"/>
            <w:right w:w="108" w:type="dxa"/>
          </w:tblCellMar>
        </w:tblPrEx>
        <w:trPr>
          <w:trHeight w:val="575" w:hRule="atLeast"/>
        </w:trPr>
        <w:tc>
          <w:tcPr>
            <w:tcW w:w="953" w:type="dxa"/>
            <w:vMerge w:val="continue"/>
            <w:tcBorders>
              <w:left w:val="single" w:color="auto" w:sz="4" w:space="0"/>
              <w:right w:val="single" w:color="auto" w:sz="4" w:space="0"/>
            </w:tcBorders>
            <w:noWrap w:val="0"/>
            <w:textDirection w:val="tbRlV"/>
            <w:vAlign w:val="center"/>
          </w:tcPr>
          <w:p>
            <w:pPr>
              <w:widowControl/>
              <w:spacing w:line="300" w:lineRule="exact"/>
              <w:jc w:val="center"/>
              <w:rPr>
                <w:rFonts w:hint="eastAsia" w:ascii="Times New Roman" w:hAnsi="Times New Roman" w:eastAsia="方正仿宋_GBK" w:cs="宋体"/>
                <w:color w:val="000000"/>
                <w:kern w:val="0"/>
                <w:sz w:val="24"/>
                <w:szCs w:val="24"/>
              </w:rPr>
            </w:pPr>
          </w:p>
        </w:tc>
        <w:tc>
          <w:tcPr>
            <w:tcW w:w="943" w:type="dxa"/>
            <w:tcBorders>
              <w:top w:val="nil"/>
              <w:left w:val="nil"/>
              <w:bottom w:val="single" w:color="auto" w:sz="4" w:space="0"/>
              <w:right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三公经费变动率</w:t>
            </w:r>
          </w:p>
        </w:tc>
        <w:tc>
          <w:tcPr>
            <w:tcW w:w="494" w:type="dxa"/>
            <w:gridSpan w:val="3"/>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eastAsia="方正仿宋_GBK" w:cs="宋体"/>
                <w:color w:val="000000"/>
                <w:kern w:val="0"/>
                <w:sz w:val="24"/>
                <w:szCs w:val="24"/>
                <w:lang w:val="en-US" w:eastAsia="zh-CN"/>
              </w:rPr>
              <w:t>%</w:t>
            </w:r>
          </w:p>
        </w:tc>
        <w:tc>
          <w:tcPr>
            <w:tcW w:w="749"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eastAsia="方正仿宋_GBK" w:cs="宋体"/>
                <w:color w:val="000000"/>
                <w:kern w:val="0"/>
                <w:sz w:val="24"/>
                <w:szCs w:val="24"/>
                <w:lang w:eastAsia="zh-CN"/>
              </w:rPr>
              <w:t>共性指标</w:t>
            </w:r>
          </w:p>
        </w:tc>
        <w:tc>
          <w:tcPr>
            <w:tcW w:w="7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≤0%</w:t>
            </w:r>
          </w:p>
        </w:tc>
        <w:tc>
          <w:tcPr>
            <w:tcW w:w="753"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≤0%</w:t>
            </w:r>
          </w:p>
        </w:tc>
        <w:tc>
          <w:tcPr>
            <w:tcW w:w="799" w:type="dxa"/>
            <w:gridSpan w:val="3"/>
            <w:tcBorders>
              <w:top w:val="nil"/>
              <w:left w:val="nil"/>
              <w:bottom w:val="single" w:color="auto" w:sz="4" w:space="0"/>
              <w:right w:val="single" w:color="auto" w:sz="4" w:space="0"/>
            </w:tcBorders>
            <w:noWrap w:val="0"/>
            <w:vAlign w:val="center"/>
          </w:tcPr>
          <w:p>
            <w:pPr>
              <w:widowControl/>
              <w:spacing w:line="300" w:lineRule="exact"/>
              <w:jc w:val="both"/>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0%</w:t>
            </w:r>
          </w:p>
        </w:tc>
        <w:tc>
          <w:tcPr>
            <w:tcW w:w="929"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eastAsia="方正仿宋_GBK" w:cs="宋体"/>
                <w:color w:val="000000"/>
                <w:kern w:val="0"/>
                <w:sz w:val="24"/>
                <w:szCs w:val="24"/>
                <w:lang w:val="en-US" w:eastAsia="zh-CN"/>
              </w:rPr>
              <w:t>20%</w:t>
            </w:r>
          </w:p>
        </w:tc>
        <w:tc>
          <w:tcPr>
            <w:tcW w:w="1496"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eastAsia="方正仿宋_GBK" w:cs="宋体"/>
                <w:color w:val="000000"/>
                <w:kern w:val="0"/>
                <w:sz w:val="24"/>
                <w:szCs w:val="24"/>
                <w:lang w:val="en-US" w:eastAsia="zh-CN"/>
              </w:rPr>
              <w:t>20</w:t>
            </w:r>
          </w:p>
        </w:tc>
        <w:tc>
          <w:tcPr>
            <w:tcW w:w="968"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eastAsia="方正仿宋_GBK" w:cs="宋体"/>
                <w:color w:val="000000"/>
                <w:kern w:val="0"/>
                <w:sz w:val="24"/>
                <w:szCs w:val="24"/>
                <w:lang w:val="en-US" w:eastAsia="zh-CN"/>
              </w:rPr>
              <w:t>20</w:t>
            </w:r>
          </w:p>
        </w:tc>
        <w:tc>
          <w:tcPr>
            <w:tcW w:w="1203"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lang w:eastAsia="zh-CN"/>
              </w:rPr>
            </w:pPr>
            <w:r>
              <w:rPr>
                <w:rFonts w:hint="eastAsia" w:eastAsia="方正仿宋_GBK" w:cs="宋体"/>
                <w:color w:val="000000"/>
                <w:kern w:val="0"/>
                <w:sz w:val="24"/>
                <w:szCs w:val="24"/>
                <w:lang w:eastAsia="zh-CN"/>
              </w:rPr>
              <w:t>是</w:t>
            </w:r>
          </w:p>
        </w:tc>
      </w:tr>
      <w:tr>
        <w:tblPrEx>
          <w:tblCellMar>
            <w:top w:w="0" w:type="dxa"/>
            <w:left w:w="108" w:type="dxa"/>
            <w:bottom w:w="0" w:type="dxa"/>
            <w:right w:w="108" w:type="dxa"/>
          </w:tblCellMar>
        </w:tblPrEx>
        <w:trPr>
          <w:trHeight w:val="772" w:hRule="atLeast"/>
        </w:trPr>
        <w:tc>
          <w:tcPr>
            <w:tcW w:w="953" w:type="dxa"/>
            <w:vMerge w:val="continue"/>
            <w:tcBorders>
              <w:left w:val="single" w:color="auto" w:sz="4" w:space="0"/>
              <w:right w:val="single" w:color="auto" w:sz="4" w:space="0"/>
            </w:tcBorders>
            <w:noWrap w:val="0"/>
            <w:textDirection w:val="tbRlV"/>
            <w:vAlign w:val="center"/>
          </w:tcPr>
          <w:p>
            <w:pPr>
              <w:widowControl/>
              <w:spacing w:line="300" w:lineRule="exact"/>
              <w:jc w:val="center"/>
              <w:rPr>
                <w:rFonts w:hint="eastAsia" w:ascii="Times New Roman" w:hAnsi="Times New Roman" w:eastAsia="方正仿宋_GBK" w:cs="宋体"/>
                <w:color w:val="000000"/>
                <w:kern w:val="0"/>
                <w:sz w:val="24"/>
                <w:szCs w:val="24"/>
              </w:rPr>
            </w:pPr>
          </w:p>
        </w:tc>
        <w:tc>
          <w:tcPr>
            <w:tcW w:w="943" w:type="dxa"/>
            <w:tcBorders>
              <w:top w:val="nil"/>
              <w:left w:val="nil"/>
              <w:bottom w:val="single" w:color="auto" w:sz="4" w:space="0"/>
              <w:right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结转结余率</w:t>
            </w:r>
          </w:p>
        </w:tc>
        <w:tc>
          <w:tcPr>
            <w:tcW w:w="494" w:type="dxa"/>
            <w:gridSpan w:val="3"/>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w:t>
            </w:r>
          </w:p>
        </w:tc>
        <w:tc>
          <w:tcPr>
            <w:tcW w:w="749"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eastAsia="方正仿宋_GBK" w:cs="宋体"/>
                <w:color w:val="000000"/>
                <w:kern w:val="0"/>
                <w:sz w:val="24"/>
                <w:szCs w:val="24"/>
                <w:lang w:eastAsia="zh-CN"/>
              </w:rPr>
            </w:pPr>
            <w:r>
              <w:rPr>
                <w:rFonts w:hint="eastAsia" w:ascii="Times New Roman" w:hAnsi="Times New Roman" w:eastAsia="方正仿宋_GBK" w:cs="宋体"/>
                <w:color w:val="000000"/>
                <w:kern w:val="0"/>
                <w:sz w:val="24"/>
                <w:szCs w:val="24"/>
                <w:lang w:eastAsia="zh-CN"/>
              </w:rPr>
              <w:t>共性指标</w:t>
            </w:r>
          </w:p>
        </w:tc>
        <w:tc>
          <w:tcPr>
            <w:tcW w:w="7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≤9%</w:t>
            </w:r>
          </w:p>
        </w:tc>
        <w:tc>
          <w:tcPr>
            <w:tcW w:w="753"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≤9%</w:t>
            </w:r>
          </w:p>
        </w:tc>
        <w:tc>
          <w:tcPr>
            <w:tcW w:w="799" w:type="dxa"/>
            <w:gridSpan w:val="3"/>
            <w:tcBorders>
              <w:top w:val="nil"/>
              <w:left w:val="nil"/>
              <w:bottom w:val="single" w:color="auto" w:sz="4" w:space="0"/>
              <w:right w:val="single" w:color="auto" w:sz="4" w:space="0"/>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lang w:val="en-US" w:eastAsia="zh-CN"/>
              </w:rPr>
              <w:t>0%</w:t>
            </w:r>
          </w:p>
        </w:tc>
        <w:tc>
          <w:tcPr>
            <w:tcW w:w="929"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20%</w:t>
            </w:r>
          </w:p>
        </w:tc>
        <w:tc>
          <w:tcPr>
            <w:tcW w:w="1496"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hint="eastAsia"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20</w:t>
            </w:r>
          </w:p>
        </w:tc>
        <w:tc>
          <w:tcPr>
            <w:tcW w:w="968"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20</w:t>
            </w:r>
          </w:p>
        </w:tc>
        <w:tc>
          <w:tcPr>
            <w:tcW w:w="1203"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eastAsia="方正仿宋_GBK" w:cs="宋体"/>
                <w:color w:val="000000"/>
                <w:kern w:val="0"/>
                <w:sz w:val="24"/>
                <w:szCs w:val="24"/>
                <w:lang w:eastAsia="zh-CN"/>
              </w:rPr>
            </w:pPr>
            <w:r>
              <w:rPr>
                <w:rFonts w:hint="eastAsia" w:ascii="Times New Roman" w:hAnsi="Times New Roman" w:eastAsia="方正仿宋_GBK" w:cs="宋体"/>
                <w:color w:val="000000"/>
                <w:kern w:val="0"/>
                <w:sz w:val="24"/>
                <w:szCs w:val="24"/>
                <w:lang w:eastAsia="zh-CN"/>
              </w:rPr>
              <w:t>是</w:t>
            </w:r>
          </w:p>
        </w:tc>
      </w:tr>
      <w:tr>
        <w:tblPrEx>
          <w:tblCellMar>
            <w:top w:w="0" w:type="dxa"/>
            <w:left w:w="108" w:type="dxa"/>
            <w:bottom w:w="0" w:type="dxa"/>
            <w:right w:w="108" w:type="dxa"/>
          </w:tblCellMar>
        </w:tblPrEx>
        <w:trPr>
          <w:trHeight w:val="500" w:hRule="atLeast"/>
        </w:trPr>
        <w:tc>
          <w:tcPr>
            <w:tcW w:w="953"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rPr>
                <w:rFonts w:ascii="Times New Roman" w:hAnsi="Times New Roman" w:eastAsia="方正仿宋_GBK" w:cs="宋体"/>
                <w:color w:val="000000"/>
                <w:kern w:val="0"/>
                <w:sz w:val="24"/>
                <w:szCs w:val="24"/>
              </w:rPr>
            </w:pPr>
          </w:p>
        </w:tc>
        <w:tc>
          <w:tcPr>
            <w:tcW w:w="943" w:type="dxa"/>
            <w:tcBorders>
              <w:top w:val="nil"/>
              <w:left w:val="nil"/>
              <w:bottom w:val="single" w:color="auto" w:sz="4" w:space="0"/>
              <w:right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lang w:eastAsia="zh-CN"/>
              </w:rPr>
            </w:pPr>
            <w:r>
              <w:rPr>
                <w:rFonts w:hint="eastAsia" w:ascii="Times New Roman" w:hAnsi="Times New Roman" w:eastAsia="方正仿宋_GBK" w:cs="宋体"/>
                <w:color w:val="000000"/>
                <w:kern w:val="0"/>
                <w:sz w:val="24"/>
                <w:szCs w:val="24"/>
              </w:rPr>
              <w:t>发布预警信息</w:t>
            </w:r>
            <w:r>
              <w:rPr>
                <w:rFonts w:hint="eastAsia" w:eastAsia="方正仿宋_GBK" w:cs="宋体"/>
                <w:color w:val="000000"/>
                <w:kern w:val="0"/>
                <w:sz w:val="24"/>
                <w:szCs w:val="24"/>
                <w:lang w:eastAsia="zh-CN"/>
              </w:rPr>
              <w:t>决策服务材料</w:t>
            </w:r>
            <w:bookmarkStart w:id="0" w:name="_GoBack"/>
            <w:bookmarkEnd w:id="0"/>
          </w:p>
        </w:tc>
        <w:tc>
          <w:tcPr>
            <w:tcW w:w="494" w:type="dxa"/>
            <w:gridSpan w:val="3"/>
            <w:tcBorders>
              <w:top w:val="nil"/>
              <w:left w:val="single" w:color="auto" w:sz="4" w:space="0"/>
              <w:bottom w:val="single" w:color="auto" w:sz="4" w:space="0"/>
              <w:right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lang w:val="en-US" w:eastAsia="zh-CN"/>
              </w:rPr>
            </w:pPr>
            <w:r>
              <w:rPr>
                <w:rFonts w:hint="eastAsia" w:eastAsia="方正仿宋_GBK" w:cs="宋体"/>
                <w:color w:val="000000"/>
                <w:kern w:val="0"/>
                <w:sz w:val="24"/>
                <w:szCs w:val="24"/>
                <w:lang w:val="en-US" w:eastAsia="zh-CN"/>
              </w:rPr>
              <w:t>期</w:t>
            </w:r>
          </w:p>
        </w:tc>
        <w:tc>
          <w:tcPr>
            <w:tcW w:w="749" w:type="dxa"/>
            <w:tcBorders>
              <w:top w:val="nil"/>
              <w:left w:val="single" w:color="auto" w:sz="4" w:space="0"/>
              <w:bottom w:val="single" w:color="auto" w:sz="4" w:space="0"/>
              <w:right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lang w:eastAsia="zh-CN"/>
              </w:rPr>
            </w:pPr>
            <w:r>
              <w:rPr>
                <w:rFonts w:hint="eastAsia" w:eastAsia="方正仿宋_GBK" w:cs="宋体"/>
                <w:color w:val="000000"/>
                <w:kern w:val="0"/>
                <w:sz w:val="24"/>
                <w:szCs w:val="24"/>
                <w:lang w:eastAsia="zh-CN"/>
              </w:rPr>
              <w:t>个</w:t>
            </w:r>
            <w:r>
              <w:rPr>
                <w:rFonts w:hint="eastAsia" w:ascii="Times New Roman" w:hAnsi="Times New Roman" w:eastAsia="方正仿宋_GBK" w:cs="宋体"/>
                <w:color w:val="000000"/>
                <w:kern w:val="0"/>
                <w:sz w:val="24"/>
                <w:szCs w:val="24"/>
                <w:lang w:eastAsia="zh-CN"/>
              </w:rPr>
              <w:t>性指标</w:t>
            </w:r>
          </w:p>
        </w:tc>
        <w:tc>
          <w:tcPr>
            <w:tcW w:w="706" w:type="dxa"/>
            <w:tcBorders>
              <w:top w:val="nil"/>
              <w:left w:val="single" w:color="auto" w:sz="4" w:space="0"/>
              <w:bottom w:val="single" w:color="auto" w:sz="4" w:space="0"/>
              <w:right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w:t>
            </w:r>
            <w:r>
              <w:rPr>
                <w:rFonts w:hint="eastAsia" w:eastAsia="方正仿宋_GBK" w:cs="宋体"/>
                <w:color w:val="000000"/>
                <w:kern w:val="0"/>
                <w:sz w:val="24"/>
                <w:szCs w:val="24"/>
                <w:lang w:val="en-US" w:eastAsia="zh-CN"/>
              </w:rPr>
              <w:t>500期</w:t>
            </w:r>
          </w:p>
        </w:tc>
        <w:tc>
          <w:tcPr>
            <w:tcW w:w="753" w:type="dxa"/>
            <w:gridSpan w:val="2"/>
            <w:tcBorders>
              <w:top w:val="nil"/>
              <w:left w:val="single" w:color="auto" w:sz="4" w:space="0"/>
              <w:bottom w:val="single" w:color="auto" w:sz="4" w:space="0"/>
              <w:right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w:t>
            </w:r>
            <w:r>
              <w:rPr>
                <w:rFonts w:hint="eastAsia" w:eastAsia="方正仿宋_GBK" w:cs="宋体"/>
                <w:color w:val="000000"/>
                <w:kern w:val="0"/>
                <w:sz w:val="24"/>
                <w:szCs w:val="24"/>
                <w:lang w:val="en-US" w:eastAsia="zh-CN"/>
              </w:rPr>
              <w:t>600期</w:t>
            </w:r>
          </w:p>
        </w:tc>
        <w:tc>
          <w:tcPr>
            <w:tcW w:w="799" w:type="dxa"/>
            <w:gridSpan w:val="3"/>
            <w:tcBorders>
              <w:top w:val="nil"/>
              <w:left w:val="single" w:color="auto" w:sz="4" w:space="0"/>
              <w:bottom w:val="single" w:color="auto" w:sz="4" w:space="0"/>
              <w:right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eastAsia="方正仿宋_GBK" w:cs="宋体"/>
                <w:color w:val="000000"/>
                <w:kern w:val="0"/>
                <w:sz w:val="24"/>
                <w:szCs w:val="24"/>
                <w:lang w:val="en-US" w:eastAsia="zh-CN"/>
              </w:rPr>
              <w:t>835</w:t>
            </w:r>
          </w:p>
        </w:tc>
        <w:tc>
          <w:tcPr>
            <w:tcW w:w="929" w:type="dxa"/>
            <w:tcBorders>
              <w:top w:val="nil"/>
              <w:left w:val="single" w:color="auto" w:sz="4" w:space="0"/>
              <w:bottom w:val="single" w:color="auto" w:sz="4" w:space="0"/>
              <w:right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20%</w:t>
            </w:r>
          </w:p>
        </w:tc>
        <w:tc>
          <w:tcPr>
            <w:tcW w:w="1496" w:type="dxa"/>
            <w:gridSpan w:val="2"/>
            <w:tcBorders>
              <w:top w:val="nil"/>
              <w:left w:val="single" w:color="auto" w:sz="4" w:space="0"/>
              <w:bottom w:val="single" w:color="auto" w:sz="4" w:space="0"/>
              <w:right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20</w:t>
            </w:r>
          </w:p>
        </w:tc>
        <w:tc>
          <w:tcPr>
            <w:tcW w:w="968" w:type="dxa"/>
            <w:tcBorders>
              <w:top w:val="nil"/>
              <w:left w:val="single" w:color="auto" w:sz="4" w:space="0"/>
              <w:bottom w:val="single" w:color="auto" w:sz="4" w:space="0"/>
              <w:right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20</w:t>
            </w:r>
          </w:p>
        </w:tc>
        <w:tc>
          <w:tcPr>
            <w:tcW w:w="1203"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lang w:eastAsia="zh-CN"/>
              </w:rPr>
            </w:pPr>
            <w:r>
              <w:rPr>
                <w:rFonts w:hint="eastAsia" w:ascii="Times New Roman" w:hAnsi="Times New Roman" w:eastAsia="方正仿宋_GBK" w:cs="宋体"/>
                <w:color w:val="000000"/>
                <w:kern w:val="0"/>
                <w:sz w:val="24"/>
                <w:szCs w:val="24"/>
                <w:lang w:eastAsia="zh-CN"/>
              </w:rPr>
              <w:t>是</w:t>
            </w:r>
          </w:p>
        </w:tc>
      </w:tr>
      <w:tr>
        <w:tblPrEx>
          <w:tblCellMar>
            <w:top w:w="0" w:type="dxa"/>
            <w:left w:w="108" w:type="dxa"/>
            <w:bottom w:w="0" w:type="dxa"/>
            <w:right w:w="108" w:type="dxa"/>
          </w:tblCellMar>
        </w:tblPrEx>
        <w:trPr>
          <w:trHeight w:val="415" w:hRule="atLeast"/>
        </w:trPr>
        <w:tc>
          <w:tcPr>
            <w:tcW w:w="953"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说明</w:t>
            </w:r>
          </w:p>
        </w:tc>
        <w:tc>
          <w:tcPr>
            <w:tcW w:w="9040" w:type="dxa"/>
            <w:gridSpan w:val="16"/>
            <w:tcBorders>
              <w:top w:val="single" w:color="auto" w:sz="4" w:space="0"/>
              <w:left w:val="nil"/>
              <w:bottom w:val="single" w:color="auto" w:sz="4" w:space="0"/>
              <w:right w:val="single" w:color="000000" w:sz="4" w:space="0"/>
            </w:tcBorders>
            <w:noWrap w:val="0"/>
            <w:vAlign w:val="center"/>
          </w:tcPr>
          <w:p>
            <w:pPr>
              <w:widowControl/>
              <w:spacing w:line="300" w:lineRule="exact"/>
              <w:rPr>
                <w:rFonts w:hint="eastAsia" w:ascii="Times New Roman" w:hAnsi="Times New Roman" w:eastAsia="方正仿宋_GBK" w:cs="宋体"/>
                <w:color w:val="000000"/>
                <w:kern w:val="0"/>
                <w:sz w:val="24"/>
                <w:szCs w:val="24"/>
              </w:rPr>
            </w:pPr>
          </w:p>
        </w:tc>
      </w:tr>
    </w:tbl>
    <w:p>
      <w:pPr>
        <w:pStyle w:val="10"/>
        <w:tabs>
          <w:tab w:val="center" w:pos="4153"/>
          <w:tab w:val="left" w:pos="7275"/>
        </w:tabs>
        <w:spacing w:line="600" w:lineRule="exact"/>
        <w:ind w:firstLine="0" w:firstLineChars="0"/>
        <w:jc w:val="center"/>
        <w:rPr>
          <w:rFonts w:hint="eastAsia" w:ascii="Times New Roman" w:hAnsi="Times New Roman" w:eastAsia="方正小标宋_GBK" w:cs="宋体"/>
          <w:color w:val="000000"/>
          <w:kern w:val="0"/>
          <w:sz w:val="36"/>
          <w:szCs w:val="36"/>
        </w:rPr>
      </w:pPr>
      <w:r>
        <w:rPr>
          <w:rFonts w:hint="eastAsia" w:ascii="Times New Roman" w:hAnsi="Times New Roman" w:eastAsia="方正小标宋_GBK" w:cs="宋体"/>
          <w:color w:val="000000"/>
          <w:kern w:val="0"/>
          <w:sz w:val="36"/>
          <w:szCs w:val="36"/>
        </w:rPr>
        <w:t>一级项目绩效自评表</w:t>
      </w:r>
    </w:p>
    <w:tbl>
      <w:tblPr>
        <w:tblStyle w:val="5"/>
        <w:tblpPr w:leftFromText="180" w:rightFromText="180" w:vertAnchor="text" w:horzAnchor="page" w:tblpX="1365" w:tblpY="653"/>
        <w:tblOverlap w:val="never"/>
        <w:tblW w:w="10061" w:type="dxa"/>
        <w:tblInd w:w="0" w:type="dxa"/>
        <w:tblLayout w:type="autofit"/>
        <w:tblCellMar>
          <w:top w:w="0" w:type="dxa"/>
          <w:left w:w="108" w:type="dxa"/>
          <w:bottom w:w="0" w:type="dxa"/>
          <w:right w:w="108" w:type="dxa"/>
        </w:tblCellMar>
      </w:tblPr>
      <w:tblGrid>
        <w:gridCol w:w="587"/>
        <w:gridCol w:w="668"/>
        <w:gridCol w:w="414"/>
        <w:gridCol w:w="96"/>
        <w:gridCol w:w="105"/>
        <w:gridCol w:w="405"/>
        <w:gridCol w:w="108"/>
        <w:gridCol w:w="145"/>
        <w:gridCol w:w="607"/>
        <w:gridCol w:w="2063"/>
        <w:gridCol w:w="951"/>
        <w:gridCol w:w="939"/>
        <w:gridCol w:w="936"/>
        <w:gridCol w:w="155"/>
        <w:gridCol w:w="882"/>
        <w:gridCol w:w="1000"/>
      </w:tblGrid>
      <w:tr>
        <w:tblPrEx>
          <w:tblCellMar>
            <w:top w:w="0" w:type="dxa"/>
            <w:left w:w="108" w:type="dxa"/>
            <w:bottom w:w="0" w:type="dxa"/>
            <w:right w:w="108" w:type="dxa"/>
          </w:tblCellMar>
        </w:tblPrEx>
        <w:trPr>
          <w:trHeight w:val="479" w:hRule="atLeast"/>
        </w:trPr>
        <w:tc>
          <w:tcPr>
            <w:tcW w:w="58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项目</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名称</w:t>
            </w:r>
          </w:p>
        </w:tc>
        <w:tc>
          <w:tcPr>
            <w:tcW w:w="1283" w:type="dxa"/>
            <w:gridSpan w:val="4"/>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突发事件预警信息发布平台业务维持费</w:t>
            </w:r>
          </w:p>
        </w:tc>
        <w:tc>
          <w:tcPr>
            <w:tcW w:w="658"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项目</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编码</w:t>
            </w:r>
          </w:p>
        </w:tc>
        <w:tc>
          <w:tcPr>
            <w:tcW w:w="2670" w:type="dxa"/>
            <w:gridSpan w:val="2"/>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eastAsia="方正仿宋_GBK" w:cs="宋体"/>
                <w:color w:val="000000"/>
                <w:kern w:val="0"/>
                <w:sz w:val="24"/>
                <w:szCs w:val="24"/>
                <w:lang w:val="en-US" w:eastAsia="zh-CN"/>
              </w:rPr>
              <w:t>146001BTZL2021D0001</w:t>
            </w:r>
          </w:p>
        </w:tc>
        <w:tc>
          <w:tcPr>
            <w:tcW w:w="951"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自评</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总分</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（分）</w:t>
            </w:r>
          </w:p>
        </w:tc>
        <w:tc>
          <w:tcPr>
            <w:tcW w:w="3912" w:type="dxa"/>
            <w:gridSpan w:val="5"/>
            <w:tcBorders>
              <w:top w:val="single" w:color="auto" w:sz="4" w:space="0"/>
              <w:left w:val="nil"/>
              <w:bottom w:val="single" w:color="auto" w:sz="4" w:space="0"/>
              <w:right w:val="single" w:color="000000" w:sz="4" w:space="0"/>
            </w:tcBorders>
            <w:noWrap w:val="0"/>
            <w:vAlign w:val="center"/>
          </w:tcPr>
          <w:p>
            <w:pPr>
              <w:widowControl/>
              <w:spacing w:line="300" w:lineRule="exact"/>
              <w:rPr>
                <w:rFonts w:hint="default" w:ascii="Times New Roman" w:hAnsi="Times New Roman" w:eastAsia="方正仿宋_GBK" w:cs="宋体"/>
                <w:color w:val="000000"/>
                <w:kern w:val="0"/>
                <w:sz w:val="24"/>
                <w:szCs w:val="24"/>
                <w:lang w:val="en-US" w:eastAsia="zh-CN"/>
              </w:rPr>
            </w:pPr>
            <w:r>
              <w:rPr>
                <w:rFonts w:hint="eastAsia" w:eastAsia="方正仿宋_GBK" w:cs="宋体"/>
                <w:color w:val="000000"/>
                <w:kern w:val="0"/>
                <w:sz w:val="24"/>
                <w:szCs w:val="24"/>
                <w:lang w:val="en-US" w:eastAsia="zh-CN"/>
              </w:rPr>
              <w:t>100</w:t>
            </w:r>
          </w:p>
        </w:tc>
      </w:tr>
      <w:tr>
        <w:tblPrEx>
          <w:tblCellMar>
            <w:top w:w="0" w:type="dxa"/>
            <w:left w:w="108" w:type="dxa"/>
            <w:bottom w:w="0" w:type="dxa"/>
            <w:right w:w="108" w:type="dxa"/>
          </w:tblCellMar>
        </w:tblPrEx>
        <w:trPr>
          <w:trHeight w:val="479" w:hRule="atLeast"/>
        </w:trPr>
        <w:tc>
          <w:tcPr>
            <w:tcW w:w="587"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主管</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部门</w:t>
            </w:r>
          </w:p>
        </w:tc>
        <w:tc>
          <w:tcPr>
            <w:tcW w:w="1283" w:type="dxa"/>
            <w:gridSpan w:val="4"/>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lang w:eastAsia="zh-CN"/>
              </w:rPr>
            </w:pPr>
            <w:r>
              <w:rPr>
                <w:rFonts w:hint="eastAsia" w:eastAsia="方正仿宋_GBK" w:cs="宋体"/>
                <w:color w:val="000000"/>
                <w:kern w:val="0"/>
                <w:sz w:val="24"/>
                <w:szCs w:val="24"/>
                <w:lang w:eastAsia="zh-CN"/>
              </w:rPr>
              <w:t>城口县气象局</w:t>
            </w:r>
          </w:p>
        </w:tc>
        <w:tc>
          <w:tcPr>
            <w:tcW w:w="658" w:type="dxa"/>
            <w:gridSpan w:val="3"/>
            <w:tcBorders>
              <w:top w:val="nil"/>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财政</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处室</w:t>
            </w:r>
          </w:p>
        </w:tc>
        <w:tc>
          <w:tcPr>
            <w:tcW w:w="2670" w:type="dxa"/>
            <w:gridSpan w:val="2"/>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lang w:eastAsia="zh-CN"/>
              </w:rPr>
            </w:pPr>
            <w:r>
              <w:rPr>
                <w:rFonts w:hint="eastAsia" w:eastAsia="方正仿宋_GBK" w:cs="宋体"/>
                <w:color w:val="000000"/>
                <w:kern w:val="0"/>
                <w:sz w:val="24"/>
                <w:szCs w:val="24"/>
                <w:lang w:eastAsia="zh-CN"/>
              </w:rPr>
              <w:t>农业科</w:t>
            </w:r>
          </w:p>
        </w:tc>
        <w:tc>
          <w:tcPr>
            <w:tcW w:w="951"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项目</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联系人</w:t>
            </w:r>
          </w:p>
        </w:tc>
        <w:tc>
          <w:tcPr>
            <w:tcW w:w="939"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lang w:eastAsia="zh-CN"/>
              </w:rPr>
            </w:pPr>
            <w:r>
              <w:rPr>
                <w:rFonts w:hint="eastAsia" w:eastAsia="方正仿宋_GBK" w:cs="宋体"/>
                <w:color w:val="000000"/>
                <w:kern w:val="0"/>
                <w:sz w:val="24"/>
                <w:szCs w:val="24"/>
                <w:lang w:eastAsia="zh-CN"/>
              </w:rPr>
              <w:t>叶群</w:t>
            </w:r>
          </w:p>
        </w:tc>
        <w:tc>
          <w:tcPr>
            <w:tcW w:w="1091"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联系电话</w:t>
            </w:r>
          </w:p>
        </w:tc>
        <w:tc>
          <w:tcPr>
            <w:tcW w:w="1882" w:type="dxa"/>
            <w:gridSpan w:val="2"/>
            <w:tcBorders>
              <w:top w:val="single" w:color="auto" w:sz="4" w:space="0"/>
              <w:left w:val="nil"/>
              <w:bottom w:val="single" w:color="auto" w:sz="4" w:space="0"/>
              <w:right w:val="single" w:color="000000" w:sz="4" w:space="0"/>
            </w:tcBorders>
            <w:noWrap w:val="0"/>
            <w:vAlign w:val="center"/>
          </w:tcPr>
          <w:p>
            <w:pPr>
              <w:widowControl/>
              <w:spacing w:line="300" w:lineRule="exact"/>
              <w:rPr>
                <w:rFonts w:hint="default" w:ascii="Times New Roman" w:hAnsi="Times New Roman" w:eastAsia="方正仿宋_GBK" w:cs="宋体"/>
                <w:color w:val="000000"/>
                <w:kern w:val="0"/>
                <w:sz w:val="24"/>
                <w:szCs w:val="24"/>
                <w:lang w:val="en-US" w:eastAsia="zh-CN"/>
              </w:rPr>
            </w:pPr>
            <w:r>
              <w:rPr>
                <w:rFonts w:hint="eastAsia" w:eastAsia="方正仿宋_GBK" w:cs="宋体"/>
                <w:color w:val="000000"/>
                <w:kern w:val="0"/>
                <w:sz w:val="24"/>
                <w:szCs w:val="24"/>
                <w:lang w:val="en-US" w:eastAsia="zh-CN"/>
              </w:rPr>
              <w:t>59220200</w:t>
            </w:r>
          </w:p>
        </w:tc>
      </w:tr>
      <w:tr>
        <w:tblPrEx>
          <w:tblCellMar>
            <w:top w:w="0" w:type="dxa"/>
            <w:left w:w="108" w:type="dxa"/>
            <w:bottom w:w="0" w:type="dxa"/>
            <w:right w:w="108" w:type="dxa"/>
          </w:tblCellMar>
        </w:tblPrEx>
        <w:trPr>
          <w:trHeight w:val="479" w:hRule="atLeast"/>
        </w:trPr>
        <w:tc>
          <w:tcPr>
            <w:tcW w:w="587" w:type="dxa"/>
            <w:vMerge w:val="restart"/>
            <w:tcBorders>
              <w:top w:val="nil"/>
              <w:left w:val="single" w:color="auto" w:sz="4" w:space="0"/>
              <w:bottom w:val="single" w:color="auto" w:sz="4" w:space="0"/>
              <w:right w:val="single" w:color="auto" w:sz="4" w:space="0"/>
            </w:tcBorders>
            <w:noWrap w:val="0"/>
            <w:textDirection w:val="tbRlV"/>
            <w:vAlign w:val="center"/>
          </w:tcPr>
          <w:p>
            <w:pPr>
              <w:widowControl/>
              <w:spacing w:line="300" w:lineRule="exact"/>
              <w:ind w:left="113" w:right="113"/>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项目资金（万元）</w:t>
            </w:r>
          </w:p>
        </w:tc>
        <w:tc>
          <w:tcPr>
            <w:tcW w:w="1082" w:type="dxa"/>
            <w:gridSpan w:val="2"/>
            <w:vMerge w:val="restart"/>
            <w:tcBorders>
              <w:top w:val="nil"/>
              <w:left w:val="nil"/>
              <w:right w:val="nil"/>
            </w:tcBorders>
            <w:noWrap w:val="0"/>
            <w:vAlign w:val="center"/>
          </w:tcPr>
          <w:p>
            <w:pPr>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年度</w:t>
            </w:r>
          </w:p>
          <w:p>
            <w:pPr>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总金额</w:t>
            </w:r>
          </w:p>
        </w:tc>
        <w:tc>
          <w:tcPr>
            <w:tcW w:w="714" w:type="dxa"/>
            <w:gridSpan w:val="4"/>
            <w:tcBorders>
              <w:top w:val="single" w:color="auto" w:sz="4" w:space="0"/>
              <w:left w:val="single" w:color="auto" w:sz="4" w:space="0"/>
              <w:bottom w:val="single" w:color="auto" w:sz="4" w:space="0"/>
              <w:right w:val="single" w:color="000000" w:sz="4" w:space="0"/>
            </w:tcBorders>
            <w:noWrap w:val="0"/>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年初</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预算数</w:t>
            </w:r>
          </w:p>
        </w:tc>
        <w:tc>
          <w:tcPr>
            <w:tcW w:w="2815"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全年</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（调整）预算数</w:t>
            </w:r>
          </w:p>
        </w:tc>
        <w:tc>
          <w:tcPr>
            <w:tcW w:w="189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全年执行数</w:t>
            </w:r>
          </w:p>
        </w:tc>
        <w:tc>
          <w:tcPr>
            <w:tcW w:w="1091"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执行率</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w:t>
            </w:r>
          </w:p>
        </w:tc>
        <w:tc>
          <w:tcPr>
            <w:tcW w:w="882"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执行率</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权重</w:t>
            </w:r>
          </w:p>
        </w:tc>
        <w:tc>
          <w:tcPr>
            <w:tcW w:w="1000" w:type="dxa"/>
            <w:tcBorders>
              <w:top w:val="nil"/>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执行率</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得分</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（分）</w:t>
            </w:r>
          </w:p>
        </w:tc>
      </w:tr>
      <w:tr>
        <w:tblPrEx>
          <w:tblCellMar>
            <w:top w:w="0" w:type="dxa"/>
            <w:left w:w="108" w:type="dxa"/>
            <w:bottom w:w="0" w:type="dxa"/>
            <w:right w:w="108" w:type="dxa"/>
          </w:tblCellMar>
        </w:tblPrEx>
        <w:trPr>
          <w:trHeight w:val="479" w:hRule="atLeast"/>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rPr>
                <w:rFonts w:ascii="Times New Roman" w:hAnsi="Times New Roman" w:eastAsia="方正仿宋_GBK" w:cs="宋体"/>
                <w:color w:val="000000"/>
                <w:kern w:val="0"/>
                <w:sz w:val="24"/>
                <w:szCs w:val="24"/>
              </w:rPr>
            </w:pPr>
          </w:p>
        </w:tc>
        <w:tc>
          <w:tcPr>
            <w:tcW w:w="1082" w:type="dxa"/>
            <w:gridSpan w:val="2"/>
            <w:vMerge w:val="continue"/>
            <w:tcBorders>
              <w:left w:val="nil"/>
              <w:bottom w:val="single" w:color="auto" w:sz="4" w:space="0"/>
              <w:right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p>
        </w:tc>
        <w:tc>
          <w:tcPr>
            <w:tcW w:w="714" w:type="dxa"/>
            <w:gridSpan w:val="4"/>
            <w:tcBorders>
              <w:top w:val="single" w:color="auto" w:sz="4" w:space="0"/>
              <w:left w:val="single" w:color="auto" w:sz="4" w:space="0"/>
              <w:bottom w:val="single" w:color="auto" w:sz="4" w:space="0"/>
              <w:right w:val="single" w:color="000000" w:sz="4" w:space="0"/>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eastAsia="方正仿宋_GBK" w:cs="宋体"/>
                <w:color w:val="000000"/>
                <w:kern w:val="0"/>
                <w:sz w:val="24"/>
                <w:szCs w:val="24"/>
                <w:lang w:val="en-US" w:eastAsia="zh-CN"/>
              </w:rPr>
              <w:t>24</w:t>
            </w:r>
          </w:p>
        </w:tc>
        <w:tc>
          <w:tcPr>
            <w:tcW w:w="2815"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eastAsia="方正仿宋_GBK" w:cs="宋体"/>
                <w:color w:val="000000"/>
                <w:kern w:val="0"/>
                <w:sz w:val="24"/>
                <w:szCs w:val="24"/>
                <w:lang w:val="en-US" w:eastAsia="zh-CN"/>
              </w:rPr>
              <w:t>24</w:t>
            </w:r>
          </w:p>
        </w:tc>
        <w:tc>
          <w:tcPr>
            <w:tcW w:w="189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eastAsia="方正仿宋_GBK" w:cs="宋体"/>
                <w:color w:val="000000"/>
                <w:kern w:val="0"/>
                <w:sz w:val="24"/>
                <w:szCs w:val="24"/>
                <w:lang w:val="en-US" w:eastAsia="zh-CN"/>
              </w:rPr>
              <w:t>24</w:t>
            </w:r>
          </w:p>
        </w:tc>
        <w:tc>
          <w:tcPr>
            <w:tcW w:w="1091"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eastAsia="方正仿宋_GBK" w:cs="宋体"/>
                <w:color w:val="000000"/>
                <w:kern w:val="0"/>
                <w:sz w:val="24"/>
                <w:szCs w:val="24"/>
                <w:lang w:val="en-US" w:eastAsia="zh-CN"/>
              </w:rPr>
              <w:t>100%</w:t>
            </w:r>
          </w:p>
        </w:tc>
        <w:tc>
          <w:tcPr>
            <w:tcW w:w="882"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宋体"/>
                <w:kern w:val="0"/>
                <w:sz w:val="24"/>
                <w:szCs w:val="24"/>
                <w:lang w:val="en-US" w:eastAsia="zh-CN"/>
              </w:rPr>
            </w:pPr>
            <w:r>
              <w:rPr>
                <w:rFonts w:hint="eastAsia" w:eastAsia="方正仿宋_GBK" w:cs="宋体"/>
                <w:kern w:val="0"/>
                <w:sz w:val="24"/>
                <w:szCs w:val="24"/>
                <w:lang w:val="en-US" w:eastAsia="zh-CN"/>
              </w:rPr>
              <w:t>40%</w:t>
            </w:r>
          </w:p>
        </w:tc>
        <w:tc>
          <w:tcPr>
            <w:tcW w:w="1000"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eastAsia="方正仿宋_GBK" w:cs="宋体"/>
                <w:color w:val="000000"/>
                <w:kern w:val="0"/>
                <w:sz w:val="24"/>
                <w:szCs w:val="24"/>
                <w:lang w:val="en-US" w:eastAsia="zh-CN"/>
              </w:rPr>
              <w:t>40</w:t>
            </w:r>
          </w:p>
        </w:tc>
      </w:tr>
      <w:tr>
        <w:tblPrEx>
          <w:tblCellMar>
            <w:top w:w="0" w:type="dxa"/>
            <w:left w:w="108" w:type="dxa"/>
            <w:bottom w:w="0" w:type="dxa"/>
            <w:right w:w="108" w:type="dxa"/>
          </w:tblCellMar>
        </w:tblPrEx>
        <w:trPr>
          <w:trHeight w:val="479" w:hRule="atLeast"/>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rPr>
                <w:rFonts w:ascii="Times New Roman" w:hAnsi="Times New Roman" w:eastAsia="方正仿宋_GBK" w:cs="宋体"/>
                <w:color w:val="000000"/>
                <w:kern w:val="0"/>
                <w:sz w:val="24"/>
                <w:szCs w:val="24"/>
              </w:rPr>
            </w:pPr>
          </w:p>
        </w:tc>
        <w:tc>
          <w:tcPr>
            <w:tcW w:w="1082" w:type="dxa"/>
            <w:gridSpan w:val="2"/>
            <w:tcBorders>
              <w:top w:val="nil"/>
              <w:left w:val="nil"/>
              <w:bottom w:val="single" w:color="auto" w:sz="4" w:space="0"/>
              <w:right w:val="nil"/>
            </w:tcBorders>
            <w:noWrap w:val="0"/>
            <w:vAlign w:val="center"/>
          </w:tcPr>
          <w:p>
            <w:pPr>
              <w:widowControl/>
              <w:spacing w:line="300" w:lineRule="exact"/>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其中：</w:t>
            </w:r>
          </w:p>
          <w:p>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县级支出</w:t>
            </w:r>
          </w:p>
        </w:tc>
        <w:tc>
          <w:tcPr>
            <w:tcW w:w="714" w:type="dxa"/>
            <w:gridSpan w:val="4"/>
            <w:tcBorders>
              <w:top w:val="single" w:color="auto" w:sz="4" w:space="0"/>
              <w:left w:val="single" w:color="auto" w:sz="4" w:space="0"/>
              <w:bottom w:val="single" w:color="auto" w:sz="4" w:space="0"/>
              <w:right w:val="single" w:color="000000" w:sz="4" w:space="0"/>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eastAsia="方正仿宋_GBK" w:cs="宋体"/>
                <w:color w:val="000000"/>
                <w:kern w:val="0"/>
                <w:sz w:val="24"/>
                <w:szCs w:val="24"/>
                <w:lang w:val="en-US" w:eastAsia="zh-CN"/>
              </w:rPr>
              <w:t>24</w:t>
            </w:r>
          </w:p>
        </w:tc>
        <w:tc>
          <w:tcPr>
            <w:tcW w:w="2815"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eastAsia="方正仿宋_GBK" w:cs="宋体"/>
                <w:color w:val="000000"/>
                <w:kern w:val="0"/>
                <w:sz w:val="24"/>
                <w:szCs w:val="24"/>
                <w:lang w:val="en-US" w:eastAsia="zh-CN"/>
              </w:rPr>
              <w:t>24</w:t>
            </w:r>
          </w:p>
        </w:tc>
        <w:tc>
          <w:tcPr>
            <w:tcW w:w="189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lang w:val="en-US" w:eastAsia="zh-CN" w:bidi="ar-SA"/>
              </w:rPr>
            </w:pPr>
            <w:r>
              <w:rPr>
                <w:rFonts w:hint="eastAsia" w:eastAsia="方正仿宋_GBK" w:cs="宋体"/>
                <w:color w:val="000000"/>
                <w:kern w:val="0"/>
                <w:sz w:val="24"/>
                <w:szCs w:val="24"/>
                <w:lang w:val="en-US" w:eastAsia="zh-CN"/>
              </w:rPr>
              <w:t>24</w:t>
            </w:r>
          </w:p>
        </w:tc>
        <w:tc>
          <w:tcPr>
            <w:tcW w:w="1091"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lang w:val="en-US" w:eastAsia="zh-CN" w:bidi="ar-SA"/>
              </w:rPr>
            </w:pPr>
            <w:r>
              <w:rPr>
                <w:rFonts w:hint="eastAsia" w:eastAsia="方正仿宋_GBK" w:cs="宋体"/>
                <w:color w:val="000000"/>
                <w:kern w:val="0"/>
                <w:sz w:val="24"/>
                <w:szCs w:val="24"/>
                <w:lang w:val="en-US" w:eastAsia="zh-CN"/>
              </w:rPr>
              <w:t>100%</w:t>
            </w:r>
          </w:p>
        </w:tc>
        <w:tc>
          <w:tcPr>
            <w:tcW w:w="882"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Times New Roman" w:hAnsi="Times New Roman" w:eastAsia="方正仿宋_GBK" w:cs="宋体"/>
                <w:kern w:val="0"/>
                <w:sz w:val="24"/>
                <w:szCs w:val="24"/>
                <w:lang w:val="en-US" w:eastAsia="zh-CN" w:bidi="ar-SA"/>
              </w:rPr>
            </w:pPr>
            <w:r>
              <w:rPr>
                <w:rFonts w:hint="eastAsia" w:eastAsia="方正仿宋_GBK" w:cs="宋体"/>
                <w:kern w:val="0"/>
                <w:sz w:val="24"/>
                <w:szCs w:val="24"/>
                <w:lang w:val="en-US" w:eastAsia="zh-CN"/>
              </w:rPr>
              <w:t>40%</w:t>
            </w:r>
          </w:p>
        </w:tc>
        <w:tc>
          <w:tcPr>
            <w:tcW w:w="100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lang w:val="en-US" w:eastAsia="zh-CN" w:bidi="ar-SA"/>
              </w:rPr>
            </w:pPr>
            <w:r>
              <w:rPr>
                <w:rFonts w:hint="eastAsia" w:eastAsia="方正仿宋_GBK" w:cs="宋体"/>
                <w:color w:val="000000"/>
                <w:kern w:val="0"/>
                <w:sz w:val="24"/>
                <w:szCs w:val="24"/>
                <w:lang w:val="en-US" w:eastAsia="zh-CN"/>
              </w:rPr>
              <w:t>40</w:t>
            </w:r>
          </w:p>
        </w:tc>
      </w:tr>
      <w:tr>
        <w:tblPrEx>
          <w:tblCellMar>
            <w:top w:w="0" w:type="dxa"/>
            <w:left w:w="108" w:type="dxa"/>
            <w:bottom w:w="0" w:type="dxa"/>
            <w:right w:w="108" w:type="dxa"/>
          </w:tblCellMar>
        </w:tblPrEx>
        <w:trPr>
          <w:trHeight w:val="479" w:hRule="atLeast"/>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rPr>
                <w:rFonts w:ascii="Times New Roman" w:hAnsi="Times New Roman" w:eastAsia="方正仿宋_GBK" w:cs="宋体"/>
                <w:color w:val="000000"/>
                <w:kern w:val="0"/>
                <w:sz w:val="24"/>
                <w:szCs w:val="24"/>
              </w:rPr>
            </w:pPr>
          </w:p>
        </w:tc>
        <w:tc>
          <w:tcPr>
            <w:tcW w:w="1082" w:type="dxa"/>
            <w:gridSpan w:val="2"/>
            <w:tcBorders>
              <w:top w:val="nil"/>
              <w:left w:val="nil"/>
              <w:bottom w:val="single" w:color="auto" w:sz="4" w:space="0"/>
              <w:right w:val="nil"/>
            </w:tcBorders>
            <w:noWrap w:val="0"/>
            <w:vAlign w:val="center"/>
          </w:tcPr>
          <w:p>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补助区县</w:t>
            </w:r>
          </w:p>
        </w:tc>
        <w:tc>
          <w:tcPr>
            <w:tcW w:w="714" w:type="dxa"/>
            <w:gridSpan w:val="4"/>
            <w:tcBorders>
              <w:top w:val="single" w:color="auto" w:sz="4" w:space="0"/>
              <w:left w:val="single" w:color="auto" w:sz="4" w:space="0"/>
              <w:bottom w:val="single" w:color="auto" w:sz="4" w:space="0"/>
              <w:right w:val="single" w:color="000000" w:sz="4" w:space="0"/>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p>
        </w:tc>
        <w:tc>
          <w:tcPr>
            <w:tcW w:w="2815"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p>
        </w:tc>
        <w:tc>
          <w:tcPr>
            <w:tcW w:w="189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p>
        </w:tc>
        <w:tc>
          <w:tcPr>
            <w:tcW w:w="1091"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p>
        </w:tc>
        <w:tc>
          <w:tcPr>
            <w:tcW w:w="882"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p>
        </w:tc>
        <w:tc>
          <w:tcPr>
            <w:tcW w:w="100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p>
        </w:tc>
      </w:tr>
      <w:tr>
        <w:tblPrEx>
          <w:tblCellMar>
            <w:top w:w="0" w:type="dxa"/>
            <w:left w:w="108" w:type="dxa"/>
            <w:bottom w:w="0" w:type="dxa"/>
            <w:right w:w="108" w:type="dxa"/>
          </w:tblCellMar>
        </w:tblPrEx>
        <w:trPr>
          <w:trHeight w:val="479" w:hRule="atLeast"/>
        </w:trPr>
        <w:tc>
          <w:tcPr>
            <w:tcW w:w="587"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当年绩效目标</w:t>
            </w:r>
          </w:p>
        </w:tc>
        <w:tc>
          <w:tcPr>
            <w:tcW w:w="1941" w:type="dxa"/>
            <w:gridSpan w:val="7"/>
            <w:tcBorders>
              <w:top w:val="single" w:color="auto" w:sz="4" w:space="0"/>
              <w:left w:val="nil"/>
              <w:bottom w:val="single" w:color="auto" w:sz="4" w:space="0"/>
              <w:right w:val="single" w:color="000000" w:sz="4" w:space="0"/>
            </w:tcBorders>
            <w:noWrap w:val="0"/>
            <w:vAlign w:val="center"/>
          </w:tcPr>
          <w:p>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年初绩效目标</w:t>
            </w:r>
          </w:p>
        </w:tc>
        <w:tc>
          <w:tcPr>
            <w:tcW w:w="4560" w:type="dxa"/>
            <w:gridSpan w:val="4"/>
            <w:tcBorders>
              <w:top w:val="single" w:color="auto" w:sz="4" w:space="0"/>
              <w:left w:val="nil"/>
              <w:bottom w:val="single" w:color="auto" w:sz="4" w:space="0"/>
              <w:right w:val="single" w:color="000000" w:sz="4" w:space="0"/>
            </w:tcBorders>
            <w:noWrap w:val="0"/>
            <w:vAlign w:val="center"/>
          </w:tcPr>
          <w:p>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全年（调整）绩效目标</w:t>
            </w:r>
          </w:p>
        </w:tc>
        <w:tc>
          <w:tcPr>
            <w:tcW w:w="2973" w:type="dxa"/>
            <w:gridSpan w:val="4"/>
            <w:tcBorders>
              <w:top w:val="single" w:color="auto" w:sz="4" w:space="0"/>
              <w:left w:val="nil"/>
              <w:bottom w:val="single" w:color="auto" w:sz="4" w:space="0"/>
              <w:right w:val="single" w:color="000000" w:sz="4" w:space="0"/>
            </w:tcBorders>
            <w:noWrap w:val="0"/>
            <w:vAlign w:val="center"/>
          </w:tcPr>
          <w:p>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全年目标实际完成情况</w:t>
            </w:r>
          </w:p>
        </w:tc>
      </w:tr>
      <w:tr>
        <w:tblPrEx>
          <w:tblCellMar>
            <w:top w:w="0" w:type="dxa"/>
            <w:left w:w="108" w:type="dxa"/>
            <w:bottom w:w="0" w:type="dxa"/>
            <w:right w:w="108" w:type="dxa"/>
          </w:tblCellMar>
        </w:tblPrEx>
        <w:trPr>
          <w:trHeight w:val="1078" w:hRule="atLeast"/>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rPr>
                <w:rFonts w:ascii="Times New Roman" w:hAnsi="Times New Roman" w:eastAsia="方正仿宋_GBK" w:cs="宋体"/>
                <w:color w:val="000000"/>
                <w:kern w:val="0"/>
                <w:sz w:val="24"/>
                <w:szCs w:val="24"/>
              </w:rPr>
            </w:pPr>
          </w:p>
        </w:tc>
        <w:tc>
          <w:tcPr>
            <w:tcW w:w="1941" w:type="dxa"/>
            <w:gridSpan w:val="7"/>
            <w:tcBorders>
              <w:top w:val="single" w:color="auto" w:sz="4" w:space="0"/>
              <w:left w:val="nil"/>
              <w:bottom w:val="single" w:color="auto" w:sz="4" w:space="0"/>
              <w:right w:val="single" w:color="000000" w:sz="4" w:space="0"/>
            </w:tcBorders>
            <w:noWrap w:val="0"/>
            <w:vAlign w:val="center"/>
          </w:tcPr>
          <w:p>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大力发挥突发事件预警信息发布平台的功能，提高公共服务能力和水平。</w:t>
            </w:r>
          </w:p>
        </w:tc>
        <w:tc>
          <w:tcPr>
            <w:tcW w:w="4560" w:type="dxa"/>
            <w:gridSpan w:val="4"/>
            <w:tcBorders>
              <w:top w:val="single" w:color="auto" w:sz="4" w:space="0"/>
              <w:left w:val="nil"/>
              <w:bottom w:val="single" w:color="auto" w:sz="4" w:space="0"/>
              <w:right w:val="single" w:color="000000" w:sz="4" w:space="0"/>
            </w:tcBorders>
            <w:noWrap w:val="0"/>
            <w:vAlign w:val="center"/>
          </w:tcPr>
          <w:p>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大力发挥突发事件预警信息发布平台的功能，提高公共服务能力和水平。</w:t>
            </w:r>
          </w:p>
        </w:tc>
        <w:tc>
          <w:tcPr>
            <w:tcW w:w="2973" w:type="dxa"/>
            <w:gridSpan w:val="4"/>
            <w:tcBorders>
              <w:top w:val="single" w:color="auto" w:sz="4" w:space="0"/>
              <w:left w:val="nil"/>
              <w:bottom w:val="single" w:color="auto" w:sz="4" w:space="0"/>
              <w:right w:val="single" w:color="000000" w:sz="4" w:space="0"/>
            </w:tcBorders>
            <w:noWrap w:val="0"/>
            <w:vAlign w:val="center"/>
          </w:tcPr>
          <w:p>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发挥</w:t>
            </w:r>
            <w:r>
              <w:rPr>
                <w:rFonts w:hint="eastAsia" w:eastAsia="方正仿宋_GBK" w:cs="宋体"/>
                <w:color w:val="000000"/>
                <w:kern w:val="0"/>
                <w:sz w:val="24"/>
                <w:szCs w:val="24"/>
                <w:lang w:eastAsia="zh-CN"/>
              </w:rPr>
              <w:t>了</w:t>
            </w:r>
            <w:r>
              <w:rPr>
                <w:rFonts w:hint="eastAsia" w:ascii="Times New Roman" w:hAnsi="Times New Roman" w:eastAsia="方正仿宋_GBK" w:cs="宋体"/>
                <w:color w:val="000000"/>
                <w:kern w:val="0"/>
                <w:sz w:val="24"/>
                <w:szCs w:val="24"/>
              </w:rPr>
              <w:t>突发事件预警信息发布平台的功能，提高</w:t>
            </w:r>
            <w:r>
              <w:rPr>
                <w:rFonts w:hint="eastAsia" w:eastAsia="方正仿宋_GBK" w:cs="宋体"/>
                <w:color w:val="000000"/>
                <w:kern w:val="0"/>
                <w:sz w:val="24"/>
                <w:szCs w:val="24"/>
                <w:lang w:eastAsia="zh-CN"/>
              </w:rPr>
              <w:t>了</w:t>
            </w:r>
            <w:r>
              <w:rPr>
                <w:rFonts w:hint="eastAsia" w:ascii="Times New Roman" w:hAnsi="Times New Roman" w:eastAsia="方正仿宋_GBK" w:cs="宋体"/>
                <w:color w:val="000000"/>
                <w:kern w:val="0"/>
                <w:sz w:val="24"/>
                <w:szCs w:val="24"/>
              </w:rPr>
              <w:t>公共服务能力和水平。</w:t>
            </w:r>
          </w:p>
        </w:tc>
      </w:tr>
      <w:tr>
        <w:tblPrEx>
          <w:tblCellMar>
            <w:top w:w="0" w:type="dxa"/>
            <w:left w:w="108" w:type="dxa"/>
            <w:bottom w:w="0" w:type="dxa"/>
            <w:right w:w="108" w:type="dxa"/>
          </w:tblCellMar>
        </w:tblPrEx>
        <w:trPr>
          <w:trHeight w:val="479" w:hRule="atLeast"/>
        </w:trPr>
        <w:tc>
          <w:tcPr>
            <w:tcW w:w="587" w:type="dxa"/>
            <w:vMerge w:val="restart"/>
            <w:tcBorders>
              <w:top w:val="nil"/>
              <w:left w:val="single" w:color="auto" w:sz="4" w:space="0"/>
              <w:bottom w:val="single" w:color="auto" w:sz="4" w:space="0"/>
              <w:right w:val="single" w:color="auto" w:sz="4" w:space="0"/>
            </w:tcBorders>
            <w:noWrap w:val="0"/>
            <w:textDirection w:val="tbRlV"/>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绩效指标</w:t>
            </w:r>
          </w:p>
        </w:tc>
        <w:tc>
          <w:tcPr>
            <w:tcW w:w="668" w:type="dxa"/>
            <w:tcBorders>
              <w:top w:val="nil"/>
              <w:left w:val="nil"/>
              <w:bottom w:val="single" w:color="auto" w:sz="4" w:space="0"/>
              <w:right w:val="nil"/>
            </w:tcBorders>
            <w:noWrap w:val="0"/>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指标</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名称</w:t>
            </w:r>
          </w:p>
        </w:tc>
        <w:tc>
          <w:tcPr>
            <w:tcW w:w="510" w:type="dxa"/>
            <w:gridSpan w:val="2"/>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计量</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单位</w:t>
            </w:r>
          </w:p>
        </w:tc>
        <w:tc>
          <w:tcPr>
            <w:tcW w:w="510"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指标</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性质</w:t>
            </w:r>
          </w:p>
        </w:tc>
        <w:tc>
          <w:tcPr>
            <w:tcW w:w="860" w:type="dxa"/>
            <w:gridSpan w:val="3"/>
            <w:tcBorders>
              <w:top w:val="nil"/>
              <w:left w:val="nil"/>
              <w:bottom w:val="single" w:color="auto" w:sz="4" w:space="0"/>
              <w:right w:val="single" w:color="auto" w:sz="4" w:space="0"/>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年初</w:t>
            </w:r>
          </w:p>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指标</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值</w:t>
            </w:r>
          </w:p>
        </w:tc>
        <w:tc>
          <w:tcPr>
            <w:tcW w:w="2063"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调整</w:t>
            </w:r>
          </w:p>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指标</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值</w:t>
            </w:r>
          </w:p>
        </w:tc>
        <w:tc>
          <w:tcPr>
            <w:tcW w:w="951"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全年</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完成值</w:t>
            </w:r>
          </w:p>
        </w:tc>
        <w:tc>
          <w:tcPr>
            <w:tcW w:w="939" w:type="dxa"/>
            <w:tcBorders>
              <w:top w:val="nil"/>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得分</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系数</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w:t>
            </w:r>
          </w:p>
        </w:tc>
        <w:tc>
          <w:tcPr>
            <w:tcW w:w="936" w:type="dxa"/>
            <w:tcBorders>
              <w:top w:val="nil"/>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指标</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权重</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（分）</w:t>
            </w:r>
          </w:p>
        </w:tc>
        <w:tc>
          <w:tcPr>
            <w:tcW w:w="1037"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指标得分</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（分）</w:t>
            </w:r>
          </w:p>
        </w:tc>
        <w:tc>
          <w:tcPr>
            <w:tcW w:w="100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是否核心</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指标</w:t>
            </w:r>
          </w:p>
        </w:tc>
      </w:tr>
      <w:tr>
        <w:tblPrEx>
          <w:tblCellMar>
            <w:top w:w="0" w:type="dxa"/>
            <w:left w:w="108" w:type="dxa"/>
            <w:bottom w:w="0" w:type="dxa"/>
            <w:right w:w="108" w:type="dxa"/>
          </w:tblCellMar>
        </w:tblPrEx>
        <w:trPr>
          <w:trHeight w:val="417" w:hRule="atLeast"/>
        </w:trPr>
        <w:tc>
          <w:tcPr>
            <w:tcW w:w="587"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rPr>
                <w:rFonts w:ascii="Times New Roman" w:hAnsi="Times New Roman" w:eastAsia="方正仿宋_GBK" w:cs="宋体"/>
                <w:color w:val="000000"/>
                <w:kern w:val="0"/>
                <w:sz w:val="24"/>
                <w:szCs w:val="24"/>
              </w:rPr>
            </w:pPr>
          </w:p>
        </w:tc>
        <w:tc>
          <w:tcPr>
            <w:tcW w:w="668" w:type="dxa"/>
            <w:tcBorders>
              <w:top w:val="nil"/>
              <w:left w:val="nil"/>
              <w:bottom w:val="single" w:color="auto" w:sz="4" w:space="0"/>
              <w:right w:val="nil"/>
            </w:tcBorders>
            <w:noWrap w:val="0"/>
            <w:vAlign w:val="center"/>
          </w:tcPr>
          <w:p>
            <w:pPr>
              <w:widowControl/>
              <w:spacing w:line="300" w:lineRule="exact"/>
              <w:rPr>
                <w:rFonts w:hint="eastAsia" w:ascii="Times New Roman" w:hAnsi="Times New Roman" w:eastAsia="方正仿宋_GBK" w:cs="宋体"/>
                <w:color w:val="000000"/>
                <w:kern w:val="0"/>
                <w:sz w:val="24"/>
                <w:szCs w:val="24"/>
                <w:lang w:eastAsia="zh-CN"/>
              </w:rPr>
            </w:pPr>
            <w:r>
              <w:rPr>
                <w:rFonts w:hint="eastAsia" w:eastAsia="方正仿宋_GBK" w:cs="宋体"/>
                <w:color w:val="000000"/>
                <w:kern w:val="0"/>
                <w:sz w:val="24"/>
                <w:szCs w:val="24"/>
                <w:lang w:eastAsia="zh-CN"/>
              </w:rPr>
              <w:t>人员伤亡数</w:t>
            </w:r>
          </w:p>
        </w:tc>
        <w:tc>
          <w:tcPr>
            <w:tcW w:w="510" w:type="dxa"/>
            <w:gridSpan w:val="2"/>
            <w:tcBorders>
              <w:top w:val="nil"/>
              <w:left w:val="single" w:color="auto" w:sz="4" w:space="0"/>
              <w:bottom w:val="single" w:color="auto" w:sz="4" w:space="0"/>
              <w:right w:val="nil"/>
            </w:tcBorders>
            <w:noWrap w:val="0"/>
            <w:vAlign w:val="center"/>
          </w:tcPr>
          <w:p>
            <w:pPr>
              <w:widowControl/>
              <w:spacing w:line="300" w:lineRule="exact"/>
              <w:rPr>
                <w:rFonts w:hint="eastAsia" w:ascii="Times New Roman" w:hAnsi="Times New Roman" w:eastAsia="方正仿宋_GBK" w:cs="宋体"/>
                <w:color w:val="000000"/>
                <w:kern w:val="0"/>
                <w:sz w:val="24"/>
                <w:szCs w:val="24"/>
                <w:lang w:eastAsia="zh-CN"/>
              </w:rPr>
            </w:pPr>
            <w:r>
              <w:rPr>
                <w:rFonts w:hint="eastAsia" w:eastAsia="方正仿宋_GBK" w:cs="宋体"/>
                <w:color w:val="000000"/>
                <w:kern w:val="0"/>
                <w:sz w:val="24"/>
                <w:szCs w:val="24"/>
                <w:lang w:eastAsia="zh-CN"/>
              </w:rPr>
              <w:t>人次</w:t>
            </w:r>
          </w:p>
        </w:tc>
        <w:tc>
          <w:tcPr>
            <w:tcW w:w="510" w:type="dxa"/>
            <w:gridSpan w:val="2"/>
            <w:tcBorders>
              <w:top w:val="nil"/>
              <w:left w:val="single" w:color="auto" w:sz="4" w:space="0"/>
              <w:bottom w:val="single" w:color="auto" w:sz="4" w:space="0"/>
              <w:right w:val="nil"/>
            </w:tcBorders>
            <w:noWrap w:val="0"/>
            <w:vAlign w:val="center"/>
          </w:tcPr>
          <w:p>
            <w:pPr>
              <w:widowControl/>
              <w:spacing w:line="300" w:lineRule="exact"/>
              <w:rPr>
                <w:rFonts w:hint="eastAsia" w:ascii="Times New Roman" w:hAnsi="Times New Roman" w:eastAsia="方正仿宋_GBK" w:cs="宋体"/>
                <w:color w:val="000000"/>
                <w:kern w:val="0"/>
                <w:sz w:val="24"/>
                <w:szCs w:val="24"/>
                <w:lang w:eastAsia="zh-CN"/>
              </w:rPr>
            </w:pPr>
            <w:r>
              <w:rPr>
                <w:rFonts w:hint="eastAsia" w:eastAsia="方正仿宋_GBK" w:cs="宋体"/>
                <w:color w:val="000000"/>
                <w:kern w:val="0"/>
                <w:sz w:val="24"/>
                <w:szCs w:val="24"/>
                <w:lang w:eastAsia="zh-CN"/>
              </w:rPr>
              <w:t>效益指标</w:t>
            </w:r>
          </w:p>
        </w:tc>
        <w:tc>
          <w:tcPr>
            <w:tcW w:w="860" w:type="dxa"/>
            <w:gridSpan w:val="3"/>
            <w:tcBorders>
              <w:top w:val="nil"/>
              <w:left w:val="single" w:color="auto" w:sz="4" w:space="0"/>
              <w:bottom w:val="single" w:color="auto" w:sz="4" w:space="0"/>
              <w:right w:val="nil"/>
            </w:tcBorders>
            <w:noWrap w:val="0"/>
            <w:vAlign w:val="center"/>
          </w:tcPr>
          <w:p>
            <w:pPr>
              <w:widowControl/>
              <w:spacing w:line="300" w:lineRule="exact"/>
              <w:rPr>
                <w:rFonts w:hint="eastAsia" w:ascii="Times New Roman" w:hAnsi="Times New Roman" w:eastAsia="方正仿宋_GBK" w:cs="宋体"/>
                <w:color w:val="000000"/>
                <w:kern w:val="0"/>
                <w:sz w:val="24"/>
                <w:szCs w:val="24"/>
                <w:lang w:val="en-US" w:eastAsia="zh-CN"/>
              </w:rPr>
            </w:pPr>
            <w:r>
              <w:rPr>
                <w:rFonts w:hint="eastAsia" w:eastAsia="方正仿宋_GBK" w:cs="宋体"/>
                <w:color w:val="000000"/>
                <w:kern w:val="0"/>
                <w:sz w:val="24"/>
                <w:szCs w:val="24"/>
                <w:lang w:val="en-US" w:eastAsia="zh-CN"/>
              </w:rPr>
              <w:t>0人次</w:t>
            </w:r>
          </w:p>
        </w:tc>
        <w:tc>
          <w:tcPr>
            <w:tcW w:w="2063" w:type="dxa"/>
            <w:tcBorders>
              <w:top w:val="nil"/>
              <w:left w:val="single" w:color="auto" w:sz="4" w:space="0"/>
              <w:bottom w:val="single" w:color="auto" w:sz="4" w:space="0"/>
              <w:right w:val="nil"/>
            </w:tcBorders>
            <w:noWrap w:val="0"/>
            <w:vAlign w:val="center"/>
          </w:tcPr>
          <w:p>
            <w:pPr>
              <w:widowControl/>
              <w:spacing w:line="300" w:lineRule="exact"/>
              <w:rPr>
                <w:rFonts w:hint="eastAsia" w:ascii="Times New Roman" w:hAnsi="Times New Roman" w:eastAsia="方正仿宋_GBK" w:cs="宋体"/>
                <w:color w:val="000000"/>
                <w:kern w:val="0"/>
                <w:sz w:val="24"/>
                <w:szCs w:val="24"/>
                <w:lang w:val="en-US" w:eastAsia="zh-CN"/>
              </w:rPr>
            </w:pPr>
            <w:r>
              <w:rPr>
                <w:rFonts w:hint="eastAsia" w:eastAsia="方正仿宋_GBK" w:cs="宋体"/>
                <w:color w:val="000000"/>
                <w:kern w:val="0"/>
                <w:sz w:val="24"/>
                <w:szCs w:val="24"/>
                <w:lang w:val="en-US" w:eastAsia="zh-CN"/>
              </w:rPr>
              <w:t>0人次</w:t>
            </w:r>
          </w:p>
        </w:tc>
        <w:tc>
          <w:tcPr>
            <w:tcW w:w="951" w:type="dxa"/>
            <w:tcBorders>
              <w:top w:val="nil"/>
              <w:left w:val="single" w:color="auto" w:sz="4" w:space="0"/>
              <w:bottom w:val="single" w:color="auto" w:sz="4" w:space="0"/>
              <w:right w:val="nil"/>
            </w:tcBorders>
            <w:noWrap w:val="0"/>
            <w:vAlign w:val="center"/>
          </w:tcPr>
          <w:p>
            <w:pPr>
              <w:widowControl/>
              <w:spacing w:line="300" w:lineRule="exact"/>
              <w:rPr>
                <w:rFonts w:hint="eastAsia" w:ascii="Times New Roman" w:hAnsi="Times New Roman" w:eastAsia="方正仿宋_GBK" w:cs="宋体"/>
                <w:color w:val="000000"/>
                <w:kern w:val="0"/>
                <w:sz w:val="24"/>
                <w:szCs w:val="24"/>
                <w:lang w:val="en-US" w:eastAsia="zh-CN"/>
              </w:rPr>
            </w:pPr>
            <w:r>
              <w:rPr>
                <w:rFonts w:hint="eastAsia" w:eastAsia="方正仿宋_GBK" w:cs="宋体"/>
                <w:color w:val="000000"/>
                <w:kern w:val="0"/>
                <w:sz w:val="24"/>
                <w:szCs w:val="24"/>
                <w:lang w:val="en-US" w:eastAsia="zh-CN"/>
              </w:rPr>
              <w:t>0人次</w:t>
            </w:r>
          </w:p>
        </w:tc>
        <w:tc>
          <w:tcPr>
            <w:tcW w:w="939"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宋体"/>
                <w:color w:val="000000"/>
                <w:kern w:val="0"/>
                <w:sz w:val="24"/>
                <w:szCs w:val="24"/>
                <w:lang w:val="en-US" w:eastAsia="zh-CN"/>
              </w:rPr>
            </w:pPr>
            <w:r>
              <w:rPr>
                <w:rFonts w:hint="eastAsia" w:eastAsia="方正仿宋_GBK" w:cs="宋体"/>
                <w:color w:val="000000"/>
                <w:kern w:val="0"/>
                <w:sz w:val="24"/>
                <w:szCs w:val="24"/>
                <w:lang w:val="en-US" w:eastAsia="zh-CN"/>
              </w:rPr>
              <w:t>60%</w:t>
            </w:r>
          </w:p>
        </w:tc>
        <w:tc>
          <w:tcPr>
            <w:tcW w:w="936"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宋体"/>
                <w:color w:val="000000"/>
                <w:kern w:val="0"/>
                <w:sz w:val="24"/>
                <w:szCs w:val="24"/>
                <w:lang w:val="en-US" w:eastAsia="zh-CN"/>
              </w:rPr>
            </w:pPr>
            <w:r>
              <w:rPr>
                <w:rFonts w:hint="eastAsia" w:eastAsia="方正仿宋_GBK" w:cs="宋体"/>
                <w:color w:val="000000"/>
                <w:kern w:val="0"/>
                <w:sz w:val="24"/>
                <w:szCs w:val="24"/>
                <w:lang w:val="en-US" w:eastAsia="zh-CN"/>
              </w:rPr>
              <w:t>60</w:t>
            </w:r>
          </w:p>
        </w:tc>
        <w:tc>
          <w:tcPr>
            <w:tcW w:w="1037"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宋体"/>
                <w:color w:val="000000"/>
                <w:kern w:val="0"/>
                <w:sz w:val="24"/>
                <w:szCs w:val="24"/>
                <w:lang w:val="en-US" w:eastAsia="zh-CN"/>
              </w:rPr>
            </w:pPr>
            <w:r>
              <w:rPr>
                <w:rFonts w:hint="eastAsia" w:eastAsia="方正仿宋_GBK" w:cs="宋体"/>
                <w:color w:val="000000"/>
                <w:kern w:val="0"/>
                <w:sz w:val="24"/>
                <w:szCs w:val="24"/>
                <w:lang w:val="en-US" w:eastAsia="zh-CN"/>
              </w:rPr>
              <w:t>60</w:t>
            </w:r>
          </w:p>
        </w:tc>
        <w:tc>
          <w:tcPr>
            <w:tcW w:w="1000" w:type="dxa"/>
            <w:tcBorders>
              <w:top w:val="nil"/>
              <w:left w:val="single" w:color="auto" w:sz="4" w:space="0"/>
              <w:bottom w:val="single" w:color="auto" w:sz="4" w:space="0"/>
              <w:right w:val="single" w:color="auto" w:sz="4" w:space="0"/>
            </w:tcBorders>
            <w:noWrap w:val="0"/>
            <w:vAlign w:val="center"/>
          </w:tcPr>
          <w:p>
            <w:pPr>
              <w:widowControl/>
              <w:spacing w:line="300" w:lineRule="exact"/>
              <w:rPr>
                <w:rFonts w:hint="eastAsia" w:ascii="Times New Roman" w:hAnsi="Times New Roman" w:eastAsia="方正仿宋_GBK" w:cs="宋体"/>
                <w:color w:val="000000"/>
                <w:kern w:val="0"/>
                <w:sz w:val="24"/>
                <w:szCs w:val="24"/>
                <w:lang w:eastAsia="zh-CN"/>
              </w:rPr>
            </w:pPr>
            <w:r>
              <w:rPr>
                <w:rFonts w:hint="eastAsia" w:eastAsia="方正仿宋_GBK" w:cs="宋体"/>
                <w:color w:val="000000"/>
                <w:kern w:val="0"/>
                <w:sz w:val="24"/>
                <w:szCs w:val="24"/>
                <w:lang w:eastAsia="zh-CN"/>
              </w:rPr>
              <w:t>是</w:t>
            </w:r>
          </w:p>
        </w:tc>
      </w:tr>
      <w:tr>
        <w:tblPrEx>
          <w:tblCellMar>
            <w:top w:w="0" w:type="dxa"/>
            <w:left w:w="108" w:type="dxa"/>
            <w:bottom w:w="0" w:type="dxa"/>
            <w:right w:w="108" w:type="dxa"/>
          </w:tblCellMar>
        </w:tblPrEx>
        <w:trPr>
          <w:trHeight w:val="602" w:hRule="atLeast"/>
        </w:trPr>
        <w:tc>
          <w:tcPr>
            <w:tcW w:w="587" w:type="dxa"/>
            <w:tcBorders>
              <w:top w:val="nil"/>
              <w:left w:val="single" w:color="auto" w:sz="4" w:space="0"/>
              <w:bottom w:val="single" w:color="auto" w:sz="4" w:space="0"/>
              <w:right w:val="single" w:color="auto" w:sz="4" w:space="0"/>
            </w:tcBorders>
            <w:noWrap w:val="0"/>
            <w:vAlign w:val="center"/>
          </w:tcPr>
          <w:p>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说明</w:t>
            </w:r>
          </w:p>
        </w:tc>
        <w:tc>
          <w:tcPr>
            <w:tcW w:w="9474" w:type="dxa"/>
            <w:gridSpan w:val="15"/>
            <w:tcBorders>
              <w:top w:val="single" w:color="auto" w:sz="4" w:space="0"/>
              <w:left w:val="nil"/>
              <w:bottom w:val="single" w:color="auto" w:sz="4" w:space="0"/>
              <w:right w:val="single" w:color="auto" w:sz="4" w:space="0"/>
            </w:tcBorders>
            <w:noWrap w:val="0"/>
            <w:vAlign w:val="center"/>
          </w:tcPr>
          <w:p>
            <w:pPr>
              <w:widowControl/>
              <w:spacing w:line="300" w:lineRule="exact"/>
              <w:rPr>
                <w:rFonts w:hint="eastAsia" w:ascii="Times New Roman" w:hAnsi="Times New Roman" w:eastAsia="方正仿宋_GBK" w:cs="宋体"/>
                <w:color w:val="000000"/>
                <w:kern w:val="0"/>
                <w:sz w:val="24"/>
                <w:szCs w:val="24"/>
              </w:rPr>
            </w:pPr>
          </w:p>
        </w:tc>
      </w:tr>
    </w:tbl>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728"/>
        <w:jc w:val="both"/>
        <w:textAlignment w:val="auto"/>
        <w:rPr>
          <w:rFonts w:hint="eastAsia" w:ascii="方正楷体_GBK" w:hAnsi="方正楷体_GBK" w:eastAsia="方正楷体_GBK" w:cs="方正楷体_GBK"/>
          <w:sz w:val="32"/>
          <w:szCs w:val="32"/>
        </w:rPr>
      </w:pPr>
      <w:r>
        <w:rPr>
          <w:rFonts w:hint="eastAsia" w:ascii="Times New Roman" w:hAnsi="Times New Roman" w:eastAsia="方正仿宋_GBK" w:cs="宋体"/>
          <w:color w:val="000000"/>
          <w:kern w:val="0"/>
          <w:sz w:val="32"/>
          <w:szCs w:val="32"/>
        </w:rPr>
        <w:t>2.绩效自评报告或案例</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无</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仿宋_GBK" w:cs="宋体"/>
          <w:color w:val="000000"/>
          <w:kern w:val="0"/>
          <w:sz w:val="32"/>
          <w:szCs w:val="32"/>
        </w:rPr>
      </w:pPr>
      <w:r>
        <w:rPr>
          <w:rFonts w:hint="eastAsia" w:ascii="Times New Roman" w:hAnsi="Times New Roman" w:eastAsia="方正仿宋_GBK" w:cs="宋体"/>
          <w:color w:val="000000"/>
          <w:kern w:val="0"/>
          <w:sz w:val="32"/>
          <w:szCs w:val="32"/>
          <w:lang w:val="en-US" w:eastAsia="zh-CN"/>
        </w:rPr>
        <w:t>3.</w:t>
      </w:r>
      <w:r>
        <w:rPr>
          <w:rFonts w:hint="eastAsia" w:ascii="Times New Roman" w:hAnsi="Times New Roman" w:eastAsia="方正仿宋_GBK" w:cs="宋体"/>
          <w:color w:val="000000"/>
          <w:kern w:val="0"/>
          <w:sz w:val="32"/>
          <w:szCs w:val="32"/>
        </w:rPr>
        <w:t>关于绩效自评结果的说明</w:t>
      </w:r>
    </w:p>
    <w:p>
      <w:pPr>
        <w:pStyle w:val="4"/>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仿宋_GBK" w:cs="宋体"/>
          <w:color w:val="000000"/>
          <w:kern w:val="0"/>
          <w:sz w:val="32"/>
          <w:szCs w:val="32"/>
          <w:lang w:eastAsia="zh-CN"/>
        </w:rPr>
      </w:pPr>
      <w:r>
        <w:rPr>
          <w:rFonts w:hint="eastAsia" w:ascii="Times New Roman" w:hAnsi="Times New Roman" w:eastAsia="方正仿宋_GBK" w:cs="宋体"/>
          <w:color w:val="000000"/>
          <w:kern w:val="0"/>
          <w:sz w:val="32"/>
          <w:szCs w:val="32"/>
          <w:lang w:eastAsia="zh-CN"/>
        </w:rPr>
        <w:t>无</w:t>
      </w:r>
    </w:p>
    <w:p>
      <w:pPr>
        <w:pStyle w:val="10"/>
        <w:numPr>
          <w:ilvl w:val="0"/>
          <w:numId w:val="2"/>
        </w:numPr>
        <w:tabs>
          <w:tab w:val="center" w:pos="4153"/>
          <w:tab w:val="left" w:pos="7275"/>
        </w:tabs>
        <w:spacing w:line="600" w:lineRule="exact"/>
        <w:ind w:left="728" w:leftChars="0" w:firstLine="0" w:firstLineChars="0"/>
        <w:rPr>
          <w:rFonts w:hint="eastAsia" w:ascii="方正楷体_GBK" w:hAnsi="宋体" w:eastAsia="方正楷体_GBK" w:cs="宋体"/>
          <w:kern w:val="0"/>
          <w:sz w:val="32"/>
          <w:szCs w:val="32"/>
        </w:rPr>
      </w:pPr>
      <w:r>
        <w:rPr>
          <w:rFonts w:hint="eastAsia" w:ascii="方正楷体_GBK" w:hAnsi="宋体" w:eastAsia="方正楷体_GBK" w:cs="宋体"/>
          <w:kern w:val="0"/>
          <w:sz w:val="32"/>
          <w:szCs w:val="32"/>
        </w:rPr>
        <w:t>重点绩效评价结果</w:t>
      </w:r>
    </w:p>
    <w:p>
      <w:pPr>
        <w:pStyle w:val="4"/>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仿宋_GBK" w:cs="宋体"/>
          <w:color w:val="000000"/>
          <w:kern w:val="0"/>
          <w:sz w:val="32"/>
          <w:szCs w:val="32"/>
          <w:lang w:eastAsia="zh-CN"/>
        </w:rPr>
      </w:pPr>
      <w:r>
        <w:rPr>
          <w:rFonts w:hint="eastAsia" w:ascii="Times New Roman" w:hAnsi="Times New Roman" w:eastAsia="方正仿宋_GBK" w:cs="宋体"/>
          <w:color w:val="000000"/>
          <w:kern w:val="0"/>
          <w:sz w:val="32"/>
          <w:szCs w:val="32"/>
          <w:lang w:eastAsia="zh-CN"/>
        </w:rPr>
        <w:t>无</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sz w:val="32"/>
          <w:szCs w:val="32"/>
        </w:rPr>
      </w:pPr>
      <w:r>
        <w:rPr>
          <w:rStyle w:val="7"/>
          <w:rFonts w:hint="eastAsia" w:ascii="方正仿宋_GBK" w:hAnsi="方正仿宋_GBK" w:eastAsia="方正仿宋_GBK" w:cs="方正仿宋_GBK"/>
          <w:b w:val="0"/>
          <w:bCs w:val="0"/>
          <w:sz w:val="32"/>
          <w:szCs w:val="32"/>
        </w:rPr>
        <w:t> </w:t>
      </w:r>
      <w:r>
        <w:rPr>
          <w:rStyle w:val="7"/>
          <w:rFonts w:hint="eastAsia" w:ascii="方正黑体_GBK" w:hAnsi="方正黑体_GBK" w:eastAsia="方正黑体_GBK" w:cs="方正黑体_GBK"/>
          <w:b w:val="0"/>
          <w:bCs w:val="0"/>
          <w:sz w:val="32"/>
          <w:szCs w:val="32"/>
        </w:rPr>
        <w:t xml:space="preserve"> 六、专业名词解释</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sz w:val="32"/>
          <w:szCs w:val="32"/>
        </w:rPr>
      </w:pPr>
      <w:r>
        <w:rPr>
          <w:rStyle w:val="7"/>
          <w:rFonts w:hint="eastAsia" w:ascii="方正仿宋_GBK" w:hAnsi="方正仿宋_GBK" w:eastAsia="方正仿宋_GBK" w:cs="方正仿宋_GBK"/>
          <w:b w:val="0"/>
          <w:bCs w:val="0"/>
          <w:sz w:val="32"/>
          <w:szCs w:val="32"/>
        </w:rPr>
        <w:t xml:space="preserve">  </w:t>
      </w:r>
      <w:r>
        <w:rPr>
          <w:rStyle w:val="7"/>
          <w:rFonts w:hint="eastAsia" w:ascii="方正楷体_GBK" w:hAnsi="方正楷体_GBK" w:eastAsia="方正楷体_GBK" w:cs="方正楷体_GBK"/>
          <w:b w:val="0"/>
          <w:bCs w:val="0"/>
          <w:sz w:val="32"/>
          <w:szCs w:val="32"/>
        </w:rPr>
        <w:t>（一）财政拨款收入</w:t>
      </w:r>
      <w:r>
        <w:rPr>
          <w:rFonts w:hint="eastAsia" w:ascii="方正仿宋_GBK" w:hAnsi="方正仿宋_GBK" w:eastAsia="方正仿宋_GBK" w:cs="方正仿宋_GBK"/>
          <w:sz w:val="32"/>
          <w:szCs w:val="32"/>
        </w:rPr>
        <w:t xml:space="preserve">：指本年度从本级财政部门取得的财政拨款，包括一般公共预算财政拨款和政府性基金预算财政拨款。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sz w:val="32"/>
          <w:szCs w:val="32"/>
        </w:rPr>
      </w:pPr>
      <w:r>
        <w:rPr>
          <w:rStyle w:val="7"/>
          <w:rFonts w:hint="eastAsia" w:ascii="方正仿宋_GBK" w:hAnsi="方正仿宋_GBK" w:eastAsia="方正仿宋_GBK" w:cs="方正仿宋_GBK"/>
          <w:b w:val="0"/>
          <w:bCs w:val="0"/>
          <w:sz w:val="32"/>
          <w:szCs w:val="32"/>
        </w:rPr>
        <w:t xml:space="preserve">  </w:t>
      </w:r>
      <w:r>
        <w:rPr>
          <w:rStyle w:val="7"/>
          <w:rFonts w:hint="eastAsia" w:ascii="方正楷体_GBK" w:hAnsi="方正楷体_GBK" w:eastAsia="方正楷体_GBK" w:cs="方正楷体_GBK"/>
          <w:b w:val="0"/>
          <w:bCs w:val="0"/>
          <w:sz w:val="32"/>
          <w:szCs w:val="32"/>
        </w:rPr>
        <w:t>（二）事业收入</w:t>
      </w:r>
      <w:r>
        <w:rPr>
          <w:rFonts w:hint="eastAsia" w:ascii="方正仿宋_GBK" w:hAnsi="方正仿宋_GBK" w:eastAsia="方正仿宋_GBK" w:cs="方正仿宋_GBK"/>
          <w:sz w:val="32"/>
          <w:szCs w:val="32"/>
        </w:rPr>
        <w:t>：指事业单位开展专业业务活动及其辅助活动取得的现金流入；事业单位收到的财政专户实际核拨的教育收费等资金在此反映。</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sz w:val="32"/>
          <w:szCs w:val="32"/>
        </w:rPr>
      </w:pPr>
      <w:r>
        <w:rPr>
          <w:rStyle w:val="7"/>
          <w:rFonts w:hint="eastAsia" w:ascii="方正仿宋_GBK" w:hAnsi="方正仿宋_GBK" w:eastAsia="方正仿宋_GBK" w:cs="方正仿宋_GBK"/>
          <w:b w:val="0"/>
          <w:bCs w:val="0"/>
          <w:sz w:val="32"/>
          <w:szCs w:val="32"/>
        </w:rPr>
        <w:t xml:space="preserve">  </w:t>
      </w:r>
      <w:r>
        <w:rPr>
          <w:rStyle w:val="7"/>
          <w:rFonts w:hint="eastAsia" w:ascii="方正楷体_GBK" w:hAnsi="方正楷体_GBK" w:eastAsia="方正楷体_GBK" w:cs="方正楷体_GBK"/>
          <w:b w:val="0"/>
          <w:bCs w:val="0"/>
          <w:sz w:val="32"/>
          <w:szCs w:val="32"/>
        </w:rPr>
        <w:t>（三）经营收入</w:t>
      </w:r>
      <w:r>
        <w:rPr>
          <w:rFonts w:hint="eastAsia" w:ascii="方正仿宋_GBK" w:hAnsi="方正仿宋_GBK" w:eastAsia="方正仿宋_GBK" w:cs="方正仿宋_GBK"/>
          <w:sz w:val="32"/>
          <w:szCs w:val="32"/>
        </w:rPr>
        <w:t>：指事业单位在专业业务活动及其辅助活动之外开展非独立核算经营活动取得的现金流入。</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sz w:val="32"/>
          <w:szCs w:val="32"/>
        </w:rPr>
      </w:pPr>
      <w:r>
        <w:rPr>
          <w:rStyle w:val="7"/>
          <w:rFonts w:hint="eastAsia" w:ascii="方正楷体_GBK" w:hAnsi="方正楷体_GBK" w:eastAsia="方正楷体_GBK" w:cs="方正楷体_GBK"/>
          <w:b w:val="0"/>
          <w:bCs w:val="0"/>
          <w:sz w:val="32"/>
          <w:szCs w:val="32"/>
        </w:rPr>
        <w:t>  （四）其他收入</w:t>
      </w:r>
      <w:r>
        <w:rPr>
          <w:rFonts w:hint="eastAsia" w:ascii="方正仿宋_GBK" w:hAnsi="方正仿宋_GBK" w:eastAsia="方正仿宋_GBK" w:cs="方正仿宋_GBK"/>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sz w:val="32"/>
          <w:szCs w:val="32"/>
        </w:rPr>
      </w:pPr>
      <w:r>
        <w:rPr>
          <w:rStyle w:val="7"/>
          <w:rFonts w:hint="eastAsia" w:ascii="方正仿宋_GBK" w:hAnsi="方正仿宋_GBK" w:eastAsia="方正仿宋_GBK" w:cs="方正仿宋_GBK"/>
          <w:b w:val="0"/>
          <w:bCs w:val="0"/>
          <w:sz w:val="32"/>
          <w:szCs w:val="32"/>
        </w:rPr>
        <w:t xml:space="preserve">  </w:t>
      </w:r>
      <w:r>
        <w:rPr>
          <w:rStyle w:val="7"/>
          <w:rFonts w:hint="eastAsia" w:ascii="方正楷体_GBK" w:hAnsi="方正楷体_GBK" w:eastAsia="方正楷体_GBK" w:cs="方正楷体_GBK"/>
          <w:b w:val="0"/>
          <w:bCs w:val="0"/>
          <w:sz w:val="32"/>
          <w:szCs w:val="32"/>
        </w:rPr>
        <w:t>（五）用事业基金弥补收支差额</w:t>
      </w:r>
      <w:r>
        <w:rPr>
          <w:rFonts w:hint="eastAsia" w:ascii="方正仿宋_GBK" w:hAnsi="方正仿宋_GBK" w:eastAsia="方正仿宋_GBK" w:cs="方正仿宋_GBK"/>
          <w:sz w:val="32"/>
          <w:szCs w:val="32"/>
        </w:rPr>
        <w:t>：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sz w:val="32"/>
          <w:szCs w:val="32"/>
        </w:rPr>
      </w:pPr>
      <w:r>
        <w:rPr>
          <w:rStyle w:val="7"/>
          <w:rFonts w:hint="eastAsia" w:ascii="方正仿宋_GBK" w:hAnsi="方正仿宋_GBK" w:eastAsia="方正仿宋_GBK" w:cs="方正仿宋_GBK"/>
          <w:b w:val="0"/>
          <w:bCs w:val="0"/>
          <w:sz w:val="32"/>
          <w:szCs w:val="32"/>
        </w:rPr>
        <w:t xml:space="preserve">  </w:t>
      </w:r>
      <w:r>
        <w:rPr>
          <w:rStyle w:val="7"/>
          <w:rFonts w:hint="eastAsia" w:ascii="方正楷体_GBK" w:hAnsi="方正楷体_GBK" w:eastAsia="方正楷体_GBK" w:cs="方正楷体_GBK"/>
          <w:b w:val="0"/>
          <w:bCs w:val="0"/>
          <w:sz w:val="32"/>
          <w:szCs w:val="32"/>
        </w:rPr>
        <w:t>（六）年初结转和结余</w:t>
      </w:r>
      <w:r>
        <w:rPr>
          <w:rFonts w:hint="eastAsia" w:ascii="方正仿宋_GBK" w:hAnsi="方正仿宋_GBK" w:eastAsia="方正仿宋_GBK" w:cs="方正仿宋_GBK"/>
          <w:sz w:val="32"/>
          <w:szCs w:val="32"/>
        </w:rPr>
        <w:t>：指单位上年结转本年使用的基本支出结转、项目支出结转和结余、经营结余。</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sz w:val="32"/>
          <w:szCs w:val="32"/>
        </w:rPr>
      </w:pPr>
      <w:r>
        <w:rPr>
          <w:rStyle w:val="7"/>
          <w:rFonts w:hint="eastAsia" w:ascii="方正仿宋_GBK" w:hAnsi="方正仿宋_GBK" w:eastAsia="方正仿宋_GBK" w:cs="方正仿宋_GBK"/>
          <w:b w:val="0"/>
          <w:bCs w:val="0"/>
          <w:sz w:val="32"/>
          <w:szCs w:val="32"/>
        </w:rPr>
        <w:t xml:space="preserve">  </w:t>
      </w:r>
      <w:r>
        <w:rPr>
          <w:rStyle w:val="7"/>
          <w:rFonts w:hint="eastAsia" w:ascii="方正楷体_GBK" w:hAnsi="方正楷体_GBK" w:eastAsia="方正楷体_GBK" w:cs="方正楷体_GBK"/>
          <w:b w:val="0"/>
          <w:bCs w:val="0"/>
          <w:sz w:val="32"/>
          <w:szCs w:val="32"/>
        </w:rPr>
        <w:t>（七）结余分配</w:t>
      </w:r>
      <w:r>
        <w:rPr>
          <w:rFonts w:hint="eastAsia" w:ascii="方正仿宋_GBK" w:hAnsi="方正仿宋_GBK" w:eastAsia="方正仿宋_GBK" w:cs="方正仿宋_GBK"/>
          <w:sz w:val="32"/>
          <w:szCs w:val="32"/>
        </w:rPr>
        <w:t>：指单位按照国家有关规定，缴纳所得税、提取专用基金、转入事业基金等当年结余的分配情况。</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sz w:val="32"/>
          <w:szCs w:val="32"/>
        </w:rPr>
      </w:pPr>
      <w:r>
        <w:rPr>
          <w:rStyle w:val="7"/>
          <w:rFonts w:hint="eastAsia" w:ascii="方正仿宋_GBK" w:hAnsi="方正仿宋_GBK" w:eastAsia="方正仿宋_GBK" w:cs="方正仿宋_GBK"/>
          <w:b w:val="0"/>
          <w:bCs w:val="0"/>
          <w:sz w:val="32"/>
          <w:szCs w:val="32"/>
        </w:rPr>
        <w:t xml:space="preserve">  </w:t>
      </w:r>
      <w:r>
        <w:rPr>
          <w:rStyle w:val="7"/>
          <w:rFonts w:hint="eastAsia" w:ascii="方正楷体_GBK" w:hAnsi="方正楷体_GBK" w:eastAsia="方正楷体_GBK" w:cs="方正楷体_GBK"/>
          <w:b w:val="0"/>
          <w:bCs w:val="0"/>
          <w:sz w:val="32"/>
          <w:szCs w:val="32"/>
        </w:rPr>
        <w:t>（八）年末结转和结余</w:t>
      </w:r>
      <w:r>
        <w:rPr>
          <w:rFonts w:hint="eastAsia" w:ascii="方正仿宋_GBK" w:hAnsi="方正仿宋_GBK" w:eastAsia="方正仿宋_GBK" w:cs="方正仿宋_GBK"/>
          <w:sz w:val="32"/>
          <w:szCs w:val="32"/>
        </w:rPr>
        <w:t>：指单位结转下年的基本支出结转、项目支出结转和结余、经营结余。</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sz w:val="32"/>
          <w:szCs w:val="32"/>
        </w:rPr>
      </w:pPr>
      <w:r>
        <w:rPr>
          <w:rStyle w:val="7"/>
          <w:rFonts w:hint="eastAsia" w:ascii="方正仿宋_GBK" w:hAnsi="方正仿宋_GBK" w:eastAsia="方正仿宋_GBK" w:cs="方正仿宋_GBK"/>
          <w:b w:val="0"/>
          <w:bCs w:val="0"/>
          <w:sz w:val="32"/>
          <w:szCs w:val="32"/>
        </w:rPr>
        <w:t xml:space="preserve">  </w:t>
      </w:r>
      <w:r>
        <w:rPr>
          <w:rStyle w:val="7"/>
          <w:rFonts w:hint="eastAsia" w:ascii="方正楷体_GBK" w:hAnsi="方正楷体_GBK" w:eastAsia="方正楷体_GBK" w:cs="方正楷体_GBK"/>
          <w:b w:val="0"/>
          <w:bCs w:val="0"/>
          <w:sz w:val="32"/>
          <w:szCs w:val="32"/>
        </w:rPr>
        <w:t>（九）基本支出</w:t>
      </w:r>
      <w:r>
        <w:rPr>
          <w:rFonts w:hint="eastAsia" w:ascii="方正仿宋_GBK" w:hAnsi="方正仿宋_GBK" w:eastAsia="方正仿宋_GBK" w:cs="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sz w:val="32"/>
          <w:szCs w:val="32"/>
        </w:rPr>
      </w:pPr>
      <w:r>
        <w:rPr>
          <w:rStyle w:val="7"/>
          <w:rFonts w:hint="eastAsia" w:ascii="方正仿宋_GBK" w:hAnsi="方正仿宋_GBK" w:eastAsia="方正仿宋_GBK" w:cs="方正仿宋_GBK"/>
          <w:b w:val="0"/>
          <w:bCs w:val="0"/>
          <w:sz w:val="32"/>
          <w:szCs w:val="32"/>
        </w:rPr>
        <w:t xml:space="preserve">  </w:t>
      </w:r>
      <w:r>
        <w:rPr>
          <w:rStyle w:val="7"/>
          <w:rFonts w:hint="eastAsia" w:ascii="方正楷体_GBK" w:hAnsi="方正楷体_GBK" w:eastAsia="方正楷体_GBK" w:cs="方正楷体_GBK"/>
          <w:b w:val="0"/>
          <w:bCs w:val="0"/>
          <w:sz w:val="32"/>
          <w:szCs w:val="32"/>
        </w:rPr>
        <w:t>（十）项目支出</w:t>
      </w:r>
      <w:r>
        <w:rPr>
          <w:rFonts w:hint="eastAsia" w:ascii="方正仿宋_GBK" w:hAnsi="方正仿宋_GBK" w:eastAsia="方正仿宋_GBK" w:cs="方正仿宋_GBK"/>
          <w:sz w:val="32"/>
          <w:szCs w:val="32"/>
        </w:rPr>
        <w:t>：指在基本支出之外为完成特定行政任务和事业发展目标所发生的支出。</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sz w:val="32"/>
          <w:szCs w:val="32"/>
        </w:rPr>
      </w:pPr>
      <w:r>
        <w:rPr>
          <w:rStyle w:val="7"/>
          <w:rFonts w:hint="eastAsia" w:ascii="方正仿宋_GBK" w:hAnsi="方正仿宋_GBK" w:eastAsia="方正仿宋_GBK" w:cs="方正仿宋_GBK"/>
          <w:b w:val="0"/>
          <w:bCs w:val="0"/>
          <w:sz w:val="32"/>
          <w:szCs w:val="32"/>
        </w:rPr>
        <w:t xml:space="preserve">  </w:t>
      </w:r>
      <w:r>
        <w:rPr>
          <w:rStyle w:val="7"/>
          <w:rFonts w:hint="eastAsia" w:ascii="方正楷体_GBK" w:hAnsi="方正楷体_GBK" w:eastAsia="方正楷体_GBK" w:cs="方正楷体_GBK"/>
          <w:b w:val="0"/>
          <w:bCs w:val="0"/>
          <w:sz w:val="32"/>
          <w:szCs w:val="32"/>
        </w:rPr>
        <w:t>（十一）经营支出</w:t>
      </w:r>
      <w:r>
        <w:rPr>
          <w:rFonts w:hint="eastAsia" w:ascii="方正仿宋_GBK" w:hAnsi="方正仿宋_GBK" w:eastAsia="方正仿宋_GBK" w:cs="方正仿宋_GBK"/>
          <w:sz w:val="32"/>
          <w:szCs w:val="32"/>
        </w:rPr>
        <w:t>：指事业单位在专业业务活动及其辅助活动之外开展非独立核算经营活动发生的支出。</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sz w:val="32"/>
          <w:szCs w:val="32"/>
        </w:rPr>
      </w:pPr>
      <w:r>
        <w:rPr>
          <w:rStyle w:val="7"/>
          <w:rFonts w:hint="eastAsia" w:ascii="方正仿宋_GBK" w:hAnsi="方正仿宋_GBK" w:eastAsia="方正仿宋_GBK" w:cs="方正仿宋_GBK"/>
          <w:b w:val="0"/>
          <w:bCs w:val="0"/>
          <w:sz w:val="32"/>
          <w:szCs w:val="32"/>
        </w:rPr>
        <w:t> </w:t>
      </w:r>
      <w:r>
        <w:rPr>
          <w:rStyle w:val="7"/>
          <w:rFonts w:hint="eastAsia" w:ascii="方正楷体_GBK" w:hAnsi="方正楷体_GBK" w:eastAsia="方正楷体_GBK" w:cs="方正楷体_GBK"/>
          <w:b w:val="0"/>
          <w:bCs w:val="0"/>
          <w:sz w:val="32"/>
          <w:szCs w:val="32"/>
        </w:rPr>
        <w:t xml:space="preserve"> （十二）“三公”经费</w:t>
      </w:r>
      <w:r>
        <w:rPr>
          <w:rFonts w:hint="eastAsia" w:ascii="方正仿宋_GBK" w:hAnsi="方正仿宋_GBK" w:eastAsia="方正仿宋_GBK" w:cs="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sz w:val="32"/>
          <w:szCs w:val="32"/>
        </w:rPr>
      </w:pPr>
      <w:r>
        <w:rPr>
          <w:rStyle w:val="7"/>
          <w:rFonts w:hint="eastAsia" w:ascii="方正仿宋_GBK" w:hAnsi="方正仿宋_GBK" w:eastAsia="方正仿宋_GBK" w:cs="方正仿宋_GBK"/>
          <w:b w:val="0"/>
          <w:bCs w:val="0"/>
          <w:sz w:val="32"/>
          <w:szCs w:val="32"/>
        </w:rPr>
        <w:t xml:space="preserve">  </w:t>
      </w:r>
      <w:r>
        <w:rPr>
          <w:rStyle w:val="7"/>
          <w:rFonts w:hint="eastAsia" w:ascii="方正楷体_GBK" w:hAnsi="方正楷体_GBK" w:eastAsia="方正楷体_GBK" w:cs="方正楷体_GBK"/>
          <w:b w:val="0"/>
          <w:bCs w:val="0"/>
          <w:sz w:val="32"/>
          <w:szCs w:val="32"/>
        </w:rPr>
        <w:t>（十三）机关运行经费</w:t>
      </w:r>
      <w:r>
        <w:rPr>
          <w:rFonts w:hint="eastAsia" w:ascii="方正仿宋_GBK" w:hAnsi="方正仿宋_GBK" w:eastAsia="方正仿宋_GBK" w:cs="方正仿宋_GBK"/>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sz w:val="32"/>
          <w:szCs w:val="32"/>
        </w:rPr>
      </w:pPr>
      <w:r>
        <w:rPr>
          <w:rStyle w:val="7"/>
          <w:rFonts w:hint="eastAsia" w:ascii="方正仿宋_GBK" w:hAnsi="方正仿宋_GBK" w:eastAsia="方正仿宋_GBK" w:cs="方正仿宋_GBK"/>
          <w:b w:val="0"/>
          <w:bCs w:val="0"/>
          <w:sz w:val="32"/>
          <w:szCs w:val="32"/>
        </w:rPr>
        <w:t xml:space="preserve">  </w:t>
      </w:r>
      <w:r>
        <w:rPr>
          <w:rStyle w:val="7"/>
          <w:rFonts w:hint="eastAsia" w:ascii="方正楷体_GBK" w:hAnsi="方正楷体_GBK" w:eastAsia="方正楷体_GBK" w:cs="方正楷体_GBK"/>
          <w:b w:val="0"/>
          <w:bCs w:val="0"/>
          <w:sz w:val="32"/>
          <w:szCs w:val="32"/>
        </w:rPr>
        <w:t>（十四）工资福利支出（支出经济分类科目类级）</w:t>
      </w:r>
      <w:r>
        <w:rPr>
          <w:rFonts w:hint="eastAsia" w:ascii="方正仿宋_GBK" w:hAnsi="方正仿宋_GBK" w:eastAsia="方正仿宋_GBK" w:cs="方正仿宋_GBK"/>
          <w:sz w:val="32"/>
          <w:szCs w:val="32"/>
        </w:rPr>
        <w:t>：反映单位开支的在职职工和编制外长期聘用人员的各类劳动报酬，以及为上述人员缴纳的各项社会保险费等。</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sz w:val="32"/>
          <w:szCs w:val="32"/>
        </w:rPr>
      </w:pPr>
      <w:r>
        <w:rPr>
          <w:rStyle w:val="7"/>
          <w:rFonts w:hint="eastAsia" w:ascii="方正仿宋_GBK" w:hAnsi="方正仿宋_GBK" w:eastAsia="方正仿宋_GBK" w:cs="方正仿宋_GBK"/>
          <w:b w:val="0"/>
          <w:bCs w:val="0"/>
          <w:sz w:val="32"/>
          <w:szCs w:val="32"/>
        </w:rPr>
        <w:t xml:space="preserve">  </w:t>
      </w:r>
      <w:r>
        <w:rPr>
          <w:rStyle w:val="7"/>
          <w:rFonts w:hint="eastAsia" w:ascii="方正楷体_GBK" w:hAnsi="方正楷体_GBK" w:eastAsia="方正楷体_GBK" w:cs="方正楷体_GBK"/>
          <w:b w:val="0"/>
          <w:bCs w:val="0"/>
          <w:sz w:val="32"/>
          <w:szCs w:val="32"/>
        </w:rPr>
        <w:t>（十五）商品和服务支出（支出经济分类科目类级）</w:t>
      </w:r>
      <w:r>
        <w:rPr>
          <w:rFonts w:hint="eastAsia" w:ascii="方正仿宋_GBK" w:hAnsi="方正仿宋_GBK" w:eastAsia="方正仿宋_GBK" w:cs="方正仿宋_GBK"/>
          <w:sz w:val="32"/>
          <w:szCs w:val="32"/>
        </w:rPr>
        <w:t>：反映单位购买商品和服务的支出（不包括用于购置固定资产的支出、战略性和应急储备支出）。</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sz w:val="32"/>
          <w:szCs w:val="32"/>
        </w:rPr>
      </w:pPr>
      <w:r>
        <w:rPr>
          <w:rStyle w:val="7"/>
          <w:rFonts w:hint="eastAsia" w:ascii="方正楷体_GBK" w:hAnsi="方正楷体_GBK" w:eastAsia="方正楷体_GBK" w:cs="方正楷体_GBK"/>
          <w:b w:val="0"/>
          <w:bCs w:val="0"/>
          <w:sz w:val="32"/>
          <w:szCs w:val="32"/>
        </w:rPr>
        <w:t>  （十六）对个人和家庭的补助（支出经济分类科目类级）</w:t>
      </w:r>
      <w:r>
        <w:rPr>
          <w:rFonts w:hint="eastAsia" w:ascii="方正仿宋_GBK" w:hAnsi="方正仿宋_GBK" w:eastAsia="方正仿宋_GBK" w:cs="方正仿宋_GBK"/>
          <w:sz w:val="32"/>
          <w:szCs w:val="32"/>
        </w:rPr>
        <w:t>：反映用于对个人和家庭的补助支出。</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sz w:val="32"/>
          <w:szCs w:val="32"/>
        </w:rPr>
      </w:pPr>
      <w:r>
        <w:rPr>
          <w:rStyle w:val="7"/>
          <w:rFonts w:hint="eastAsia" w:ascii="方正仿宋_GBK" w:hAnsi="方正仿宋_GBK" w:eastAsia="方正仿宋_GBK" w:cs="方正仿宋_GBK"/>
          <w:b w:val="0"/>
          <w:bCs w:val="0"/>
          <w:sz w:val="32"/>
          <w:szCs w:val="32"/>
        </w:rPr>
        <w:t> </w:t>
      </w:r>
      <w:r>
        <w:rPr>
          <w:rStyle w:val="7"/>
          <w:rFonts w:hint="eastAsia" w:ascii="方正楷体_GBK" w:hAnsi="方正楷体_GBK" w:eastAsia="方正楷体_GBK" w:cs="方正楷体_GBK"/>
          <w:b w:val="0"/>
          <w:bCs w:val="0"/>
          <w:sz w:val="32"/>
          <w:szCs w:val="32"/>
        </w:rPr>
        <w:t xml:space="preserve"> （十七）其他资本性支出（支出经济分类科目类级）</w:t>
      </w:r>
      <w:r>
        <w:rPr>
          <w:rFonts w:hint="eastAsia" w:ascii="方正仿宋_GBK" w:hAnsi="方正仿宋_GBK" w:eastAsia="方正仿宋_GBK" w:cs="方正仿宋_GBK"/>
          <w:sz w:val="32"/>
          <w:szCs w:val="32"/>
        </w:rPr>
        <w:t>：反映非各级发展与改革部门集中安排的用于购置固定资产、战略性和应急性储备、土地和无形资产，以及构建基础设施、大型修缮和财政支持企业更新改造所发生的支出。</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7"/>
          <w:rFonts w:ascii="方正黑体_GBK" w:hAnsi="方正黑体_GBK" w:eastAsia="方正黑体_GBK" w:cs="方正黑体_GBK"/>
          <w:b w:val="0"/>
          <w:bCs w:val="0"/>
          <w:sz w:val="32"/>
          <w:szCs w:val="32"/>
        </w:rPr>
      </w:pPr>
      <w:r>
        <w:rPr>
          <w:rStyle w:val="7"/>
          <w:rFonts w:hint="eastAsia" w:ascii="方正仿宋_GBK" w:hAnsi="方正仿宋_GBK" w:eastAsia="方正仿宋_GBK" w:cs="方正仿宋_GBK"/>
          <w:b w:val="0"/>
          <w:bCs w:val="0"/>
          <w:sz w:val="32"/>
          <w:szCs w:val="32"/>
        </w:rPr>
        <w:t xml:space="preserve">  </w:t>
      </w:r>
      <w:r>
        <w:rPr>
          <w:rStyle w:val="7"/>
          <w:rFonts w:hint="eastAsia" w:ascii="方正黑体_GBK" w:hAnsi="方正黑体_GBK" w:eastAsia="方正黑体_GBK" w:cs="方正黑体_GBK"/>
          <w:b w:val="0"/>
          <w:bCs w:val="0"/>
          <w:sz w:val="32"/>
          <w:szCs w:val="32"/>
        </w:rPr>
        <w:t>七、决算公开联系方式</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本单位决算公开信息反馈和联系方式：023-59220200。</w:t>
      </w:r>
    </w:p>
    <w:p>
      <w:pPr>
        <w:spacing w:line="560" w:lineRule="exact"/>
        <w:ind w:firstLine="640" w:firstLineChars="200"/>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959497"/>
    <w:multiLevelType w:val="singleLevel"/>
    <w:tmpl w:val="88959497"/>
    <w:lvl w:ilvl="0" w:tentative="0">
      <w:start w:val="2"/>
      <w:numFmt w:val="chineseCounting"/>
      <w:suff w:val="nothing"/>
      <w:lvlText w:val="（%1）"/>
      <w:lvlJc w:val="left"/>
      <w:pPr>
        <w:ind w:left="728" w:firstLine="0"/>
      </w:pPr>
      <w:rPr>
        <w:rFonts w:hint="eastAsia"/>
      </w:rPr>
    </w:lvl>
  </w:abstractNum>
  <w:abstractNum w:abstractNumId="1">
    <w:nsid w:val="2CD7A65B"/>
    <w:multiLevelType w:val="singleLevel"/>
    <w:tmpl w:val="2CD7A65B"/>
    <w:lvl w:ilvl="0" w:tentative="0">
      <w:start w:val="5"/>
      <w:numFmt w:val="chineseCounting"/>
      <w:suff w:val="nothing"/>
      <w:lvlText w:val="（%1）"/>
      <w:lvlJc w:val="left"/>
      <w:pPr>
        <w:ind w:left="256"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RmYWFmZjI0YzM1NTA0ODQwMjViMGI4ODdkODg0MjkifQ=="/>
  </w:docVars>
  <w:rsids>
    <w:rsidRoot w:val="054D5CB6"/>
    <w:rsid w:val="00104BFB"/>
    <w:rsid w:val="00161F75"/>
    <w:rsid w:val="001F3744"/>
    <w:rsid w:val="001F65C7"/>
    <w:rsid w:val="0026147E"/>
    <w:rsid w:val="0027791C"/>
    <w:rsid w:val="00367DB7"/>
    <w:rsid w:val="004417C6"/>
    <w:rsid w:val="00525B82"/>
    <w:rsid w:val="0053309B"/>
    <w:rsid w:val="005716B8"/>
    <w:rsid w:val="00596E68"/>
    <w:rsid w:val="00696429"/>
    <w:rsid w:val="006D4F1E"/>
    <w:rsid w:val="00731DF6"/>
    <w:rsid w:val="00755ACF"/>
    <w:rsid w:val="007C69E2"/>
    <w:rsid w:val="008563B1"/>
    <w:rsid w:val="00866DD8"/>
    <w:rsid w:val="008A2683"/>
    <w:rsid w:val="00A30985"/>
    <w:rsid w:val="00B67882"/>
    <w:rsid w:val="00C763C8"/>
    <w:rsid w:val="00CF6C23"/>
    <w:rsid w:val="00D15088"/>
    <w:rsid w:val="00E320D2"/>
    <w:rsid w:val="03255192"/>
    <w:rsid w:val="035362C0"/>
    <w:rsid w:val="03A67041"/>
    <w:rsid w:val="03F44F06"/>
    <w:rsid w:val="054D5CB6"/>
    <w:rsid w:val="06C2007F"/>
    <w:rsid w:val="07993F17"/>
    <w:rsid w:val="0A2342D3"/>
    <w:rsid w:val="0B6465B3"/>
    <w:rsid w:val="0BA70E77"/>
    <w:rsid w:val="0CD73C3A"/>
    <w:rsid w:val="0DA973F9"/>
    <w:rsid w:val="11613487"/>
    <w:rsid w:val="11DF4538"/>
    <w:rsid w:val="156F0CAC"/>
    <w:rsid w:val="16572764"/>
    <w:rsid w:val="16F37B93"/>
    <w:rsid w:val="1B131297"/>
    <w:rsid w:val="1D005F61"/>
    <w:rsid w:val="232F47A1"/>
    <w:rsid w:val="23771376"/>
    <w:rsid w:val="253D3AFE"/>
    <w:rsid w:val="2C41533B"/>
    <w:rsid w:val="2E550BAA"/>
    <w:rsid w:val="302C625F"/>
    <w:rsid w:val="336F41E5"/>
    <w:rsid w:val="33C575CE"/>
    <w:rsid w:val="34F632B1"/>
    <w:rsid w:val="39227B06"/>
    <w:rsid w:val="39403BA2"/>
    <w:rsid w:val="3A902417"/>
    <w:rsid w:val="3BF96DF6"/>
    <w:rsid w:val="3F041826"/>
    <w:rsid w:val="417A09AE"/>
    <w:rsid w:val="43DF0D02"/>
    <w:rsid w:val="443D0F9C"/>
    <w:rsid w:val="449C254E"/>
    <w:rsid w:val="45A7708F"/>
    <w:rsid w:val="460A2BD6"/>
    <w:rsid w:val="48FF0804"/>
    <w:rsid w:val="4D7A5487"/>
    <w:rsid w:val="51F70450"/>
    <w:rsid w:val="52AB1D42"/>
    <w:rsid w:val="53E91EDB"/>
    <w:rsid w:val="551C5F9C"/>
    <w:rsid w:val="571352A7"/>
    <w:rsid w:val="58302C63"/>
    <w:rsid w:val="59203D18"/>
    <w:rsid w:val="594F7037"/>
    <w:rsid w:val="5B014780"/>
    <w:rsid w:val="5C217895"/>
    <w:rsid w:val="5C282D01"/>
    <w:rsid w:val="5DCE6BA2"/>
    <w:rsid w:val="5F2414B3"/>
    <w:rsid w:val="6602073F"/>
    <w:rsid w:val="6E7F06EB"/>
    <w:rsid w:val="70F924BD"/>
    <w:rsid w:val="712A5719"/>
    <w:rsid w:val="71EA0CEC"/>
    <w:rsid w:val="795069C7"/>
    <w:rsid w:val="7B5411F3"/>
    <w:rsid w:val="7EF01F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qFormat/>
    <w:uiPriority w:val="22"/>
    <w:rPr>
      <w:b/>
      <w:bCs/>
    </w:rPr>
  </w:style>
  <w:style w:type="character" w:customStyle="1" w:styleId="8">
    <w:name w:val="页眉 Char"/>
    <w:basedOn w:val="6"/>
    <w:link w:val="3"/>
    <w:qFormat/>
    <w:uiPriority w:val="0"/>
    <w:rPr>
      <w:kern w:val="2"/>
      <w:sz w:val="18"/>
      <w:szCs w:val="18"/>
    </w:rPr>
  </w:style>
  <w:style w:type="character" w:customStyle="1" w:styleId="9">
    <w:name w:val="页脚 Char"/>
    <w:basedOn w:val="6"/>
    <w:link w:val="2"/>
    <w:qFormat/>
    <w:uiPriority w:val="0"/>
    <w:rPr>
      <w:kern w:val="2"/>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11</Pages>
  <Words>5613</Words>
  <Characters>6153</Characters>
  <Lines>36</Lines>
  <Paragraphs>10</Paragraphs>
  <TotalTime>8</TotalTime>
  <ScaleCrop>false</ScaleCrop>
  <LinksUpToDate>false</LinksUpToDate>
  <CharactersWithSpaces>6267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2020-08-10T13:44:00Z</dcterms:created>
  <dc:creator>Administrator</dc:creator>
  <cp:lastModifiedBy>城口气象局</cp:lastModifiedBy>
  <dcterms:modified xsi:type="dcterms:W3CDTF">2022-10-24T03:17:08Z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0CAD9C32D50B4D4AB07634C8CF16DEF3</vt:lpwstr>
  </property>
</Properties>
</file>