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A99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1"/>
        <w:rPr>
          <w:rFonts w:hint="eastAsia" w:ascii="方正小标宋_GBK" w:hAnsi="方正小标宋_GBK" w:eastAsia="方正小标宋_GBK" w:cs="方正小标宋_GBK"/>
          <w:b w:val="0"/>
          <w:bCs w:val="0"/>
          <w:kern w:val="28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1-7月</w:t>
      </w:r>
      <w:r>
        <w:rPr>
          <w:rFonts w:hint="eastAsia" w:ascii="方正小标宋_GBK" w:hAnsi="方正小标宋_GBK" w:eastAsia="方正小标宋_GBK" w:cs="方正小标宋_GBK"/>
          <w:b w:val="0"/>
          <w:bCs w:val="0"/>
          <w:kern w:val="28"/>
          <w:sz w:val="44"/>
          <w:szCs w:val="44"/>
        </w:rPr>
        <w:t>县域经济运行简况</w:t>
      </w:r>
    </w:p>
    <w:p w14:paraId="3A542434">
      <w:pPr>
        <w:jc w:val="center"/>
        <w:rPr>
          <w:rFonts w:ascii="Times New Roman" w:hAnsi="Times New Roman" w:eastAsia="黑体" w:cs="Times New Roman"/>
          <w:sz w:val="44"/>
          <w:szCs w:val="44"/>
        </w:rPr>
      </w:pPr>
    </w:p>
    <w:p w14:paraId="48FDC22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规上工业</w:t>
      </w:r>
    </w:p>
    <w:p w14:paraId="4A0EDF4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color w:val="000000"/>
          <w:sz w:val="32"/>
          <w:szCs w:val="28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工业生产增速回落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eastAsia="zh-CN"/>
        </w:rPr>
        <w:t>1—7月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，全县规上工业增加值同比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下降5.7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低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于全市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11.1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个百分点，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低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于全国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12.0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个百分点。</w:t>
      </w:r>
    </w:p>
    <w:p w14:paraId="3799C4E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宋体" w:cs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eastAsia="zh-CN"/>
        </w:rPr>
        <w:t>1—7月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实现规上工业总产</w:t>
      </w:r>
      <w:bookmarkStart w:id="0" w:name="_GoBack"/>
      <w:bookmarkEnd w:id="0"/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值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9.72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亿元，同比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增长0.8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。采矿业和制造业分别实现总产值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1.88亿元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5.34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亿元，分别同比增长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7.3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0.6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%，电力、热力、燃气及水生产和供应业总产值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2.5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亿元，同比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下降3.1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其中，规上工业发电产值同比下降32.5%。</w:t>
      </w:r>
    </w:p>
    <w:p w14:paraId="212468CE">
      <w:pPr>
        <w:pStyle w:val="2"/>
      </w:pPr>
    </w:p>
    <w:p w14:paraId="0CD55CDD">
      <w:pPr>
        <w:pStyle w:val="2"/>
      </w:pPr>
      <w:r>
        <w:drawing>
          <wp:inline distT="0" distB="0" distL="114300" distR="114300">
            <wp:extent cx="5514340" cy="3676015"/>
            <wp:effectExtent l="4445" t="4445" r="5715" b="1524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0583C5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二、商品贸易</w:t>
      </w:r>
    </w:p>
    <w:p w14:paraId="44CB371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28"/>
          <w:lang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消费市场总体稳定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。</w:t>
      </w:r>
      <w:r>
        <w:rPr>
          <w:rFonts w:hint="eastAsia" w:ascii="Times New Roman" w:hAnsi="Times New Roman" w:eastAsia="方正仿宋_GBK" w:cs="Times New Roman"/>
          <w:sz w:val="32"/>
          <w:szCs w:val="28"/>
          <w:lang w:eastAsia="zh-CN"/>
        </w:rPr>
        <w:t>1—7月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限上批零住餐销售额（营业额）分别实现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2.51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亿元、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4.25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亿元、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0.12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亿元和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0.39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亿元，增速同比分别为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7.8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7.9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30.3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-10.0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eastAsia="zh-CN"/>
        </w:rPr>
        <w:t>。</w:t>
      </w:r>
    </w:p>
    <w:p w14:paraId="64F9262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方正小标宋_GBK" w:cs="Times New Roman"/>
          <w:sz w:val="28"/>
          <w:szCs w:val="28"/>
        </w:rPr>
      </w:pP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从主要商品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销售额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看，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烟酒类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、化工材料及制品类、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化妆品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类和通讯器材类分别增长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9.1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15.2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%、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2.4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8.2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服装、鞋帽、针纺织品类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日用品类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分别下降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16.2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1.5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%。</w:t>
      </w:r>
    </w:p>
    <w:p w14:paraId="4538B46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三、投资建设</w:t>
      </w:r>
    </w:p>
    <w:p w14:paraId="2B6E9DC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8"/>
        </w:rPr>
      </w:pPr>
      <w:r>
        <w:rPr>
          <w:rFonts w:hint="eastAsia" w:ascii="Times New Roman" w:hAnsi="Times New Roman" w:eastAsia="方正仿宋_GBK" w:cs="Times New Roman"/>
          <w:sz w:val="32"/>
          <w:szCs w:val="28"/>
        </w:rPr>
        <w:t>投资</w:t>
      </w:r>
      <w:r>
        <w:rPr>
          <w:rFonts w:hint="eastAsia" w:ascii="Times New Roman" w:hAnsi="Times New Roman" w:eastAsia="方正仿宋_GBK" w:cs="Times New Roman"/>
          <w:sz w:val="32"/>
          <w:szCs w:val="28"/>
          <w:lang w:val="en-US" w:eastAsia="zh-CN"/>
        </w:rPr>
        <w:t>高位增长</w:t>
      </w:r>
      <w:r>
        <w:rPr>
          <w:rFonts w:hint="eastAsia" w:ascii="Times New Roman" w:hAnsi="Times New Roman" w:eastAsia="方正仿宋_GBK" w:cs="Times New Roman"/>
          <w:sz w:val="32"/>
          <w:szCs w:val="28"/>
        </w:rPr>
        <w:t>。</w:t>
      </w:r>
      <w:r>
        <w:rPr>
          <w:rFonts w:hint="eastAsia" w:ascii="Times New Roman" w:hAnsi="Times New Roman" w:eastAsia="方正仿宋_GBK" w:cs="Times New Roman"/>
          <w:sz w:val="32"/>
          <w:szCs w:val="28"/>
          <w:lang w:eastAsia="zh-CN"/>
        </w:rPr>
        <w:t>1—7月</w:t>
      </w:r>
      <w:r>
        <w:rPr>
          <w:rFonts w:ascii="Times New Roman" w:hAnsi="Times New Roman" w:eastAsia="方正仿宋_GBK" w:cs="Times New Roman"/>
          <w:sz w:val="32"/>
          <w:szCs w:val="28"/>
        </w:rPr>
        <w:t>全县固定资产投资同比</w:t>
      </w:r>
      <w:r>
        <w:rPr>
          <w:rFonts w:hint="eastAsia" w:ascii="Times New Roman" w:hAnsi="Times New Roman" w:eastAsia="方正仿宋_GBK" w:cs="Times New Roman"/>
          <w:sz w:val="32"/>
          <w:szCs w:val="28"/>
        </w:rPr>
        <w:t>增长</w:t>
      </w:r>
      <w:r>
        <w:rPr>
          <w:rFonts w:hint="eastAsia" w:ascii="Times New Roman" w:hAnsi="Times New Roman" w:eastAsia="方正仿宋_GBK" w:cs="Times New Roman"/>
          <w:sz w:val="32"/>
          <w:szCs w:val="28"/>
          <w:lang w:val="en-US" w:eastAsia="zh-CN"/>
        </w:rPr>
        <w:t>18.0</w:t>
      </w:r>
      <w:r>
        <w:rPr>
          <w:rFonts w:ascii="Times New Roman" w:hAnsi="Times New Roman" w:eastAsia="方正仿宋_GBK" w:cs="Times New Roman"/>
          <w:sz w:val="32"/>
          <w:szCs w:val="28"/>
        </w:rPr>
        <w:t>%。</w:t>
      </w:r>
      <w:r>
        <w:rPr>
          <w:rFonts w:hint="eastAsia" w:ascii="Times New Roman" w:hAnsi="Times New Roman" w:eastAsia="方正仿宋_GBK" w:cs="Times New Roman"/>
          <w:sz w:val="32"/>
          <w:szCs w:val="28"/>
        </w:rPr>
        <w:t>其中</w:t>
      </w:r>
      <w:r>
        <w:rPr>
          <w:rFonts w:ascii="Times New Roman" w:hAnsi="Times New Roman" w:eastAsia="方正仿宋_GBK" w:cs="Times New Roman"/>
          <w:sz w:val="32"/>
          <w:szCs w:val="28"/>
        </w:rPr>
        <w:t>基础设施建设投资</w:t>
      </w:r>
      <w:r>
        <w:rPr>
          <w:rFonts w:hint="eastAsia" w:ascii="Times New Roman" w:hAnsi="Times New Roman" w:eastAsia="方正仿宋_GBK" w:cs="Times New Roman"/>
          <w:sz w:val="32"/>
          <w:szCs w:val="28"/>
        </w:rPr>
        <w:t>增长</w:t>
      </w:r>
      <w:r>
        <w:rPr>
          <w:rFonts w:hint="eastAsia" w:ascii="Times New Roman" w:hAnsi="Times New Roman" w:eastAsia="方正仿宋_GBK" w:cs="Times New Roman"/>
          <w:sz w:val="32"/>
          <w:szCs w:val="28"/>
          <w:lang w:val="en-US" w:eastAsia="zh-CN"/>
        </w:rPr>
        <w:t>51.9</w:t>
      </w:r>
      <w:r>
        <w:rPr>
          <w:rFonts w:ascii="Times New Roman" w:hAnsi="Times New Roman" w:eastAsia="方正仿宋_GBK" w:cs="Times New Roman"/>
          <w:sz w:val="32"/>
          <w:szCs w:val="28"/>
        </w:rPr>
        <w:t>%。</w:t>
      </w:r>
      <w:r>
        <w:rPr>
          <w:rFonts w:hint="eastAsia" w:ascii="Times New Roman" w:hAnsi="Times New Roman" w:eastAsia="方正仿宋_GBK" w:cs="Times New Roman"/>
          <w:sz w:val="32"/>
          <w:szCs w:val="28"/>
        </w:rPr>
        <w:t>从三次产业看，第一、二、三产业分别同比</w:t>
      </w:r>
      <w:r>
        <w:rPr>
          <w:rFonts w:hint="eastAsia" w:ascii="Times New Roman" w:hAnsi="Times New Roman" w:eastAsia="方正仿宋_GBK" w:cs="Times New Roman"/>
          <w:sz w:val="32"/>
          <w:szCs w:val="28"/>
          <w:lang w:val="en-US" w:eastAsia="zh-CN"/>
        </w:rPr>
        <w:t>增长22.7</w:t>
      </w:r>
      <w:r>
        <w:rPr>
          <w:rFonts w:hint="eastAsia" w:ascii="Times New Roman" w:hAnsi="Times New Roman" w:eastAsia="方正仿宋_GBK" w:cs="Times New Roman"/>
          <w:sz w:val="32"/>
          <w:szCs w:val="28"/>
        </w:rPr>
        <w:t>%</w:t>
      </w:r>
      <w:r>
        <w:rPr>
          <w:rFonts w:hint="eastAsia" w:ascii="Times New Roman" w:hAnsi="Times New Roman" w:eastAsia="方正仿宋_GBK" w:cs="Times New Roman"/>
          <w:sz w:val="32"/>
          <w:szCs w:val="28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sz w:val="32"/>
          <w:szCs w:val="28"/>
          <w:lang w:val="en-US" w:eastAsia="zh-CN"/>
        </w:rPr>
        <w:t>61.2</w:t>
      </w:r>
      <w:r>
        <w:rPr>
          <w:rFonts w:ascii="Times New Roman" w:hAnsi="Times New Roman" w:eastAsia="方正仿宋_GBK" w:cs="Times New Roman"/>
          <w:sz w:val="32"/>
          <w:szCs w:val="28"/>
        </w:rPr>
        <w:t>%</w:t>
      </w:r>
      <w:r>
        <w:rPr>
          <w:rFonts w:hint="eastAsia" w:ascii="Times New Roman" w:hAnsi="Times New Roman" w:eastAsia="方正仿宋_GBK" w:cs="Times New Roman"/>
          <w:sz w:val="32"/>
          <w:szCs w:val="28"/>
          <w:lang w:val="en-US" w:eastAsia="zh-CN"/>
        </w:rPr>
        <w:t>和5.5</w:t>
      </w:r>
      <w:r>
        <w:rPr>
          <w:rFonts w:ascii="Times New Roman" w:hAnsi="Times New Roman" w:eastAsia="方正仿宋_GBK" w:cs="Times New Roman"/>
          <w:sz w:val="32"/>
          <w:szCs w:val="28"/>
        </w:rPr>
        <w:t>%</w:t>
      </w:r>
      <w:r>
        <w:rPr>
          <w:rFonts w:hint="eastAsia" w:ascii="Times New Roman" w:hAnsi="Times New Roman" w:eastAsia="方正仿宋_GBK" w:cs="Times New Roman"/>
          <w:sz w:val="32"/>
          <w:szCs w:val="28"/>
        </w:rPr>
        <w:t>。</w:t>
      </w:r>
    </w:p>
    <w:p w14:paraId="4DA7AF8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房地产开发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回升向好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房地产开发投资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6892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万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元，同比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增长434.3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%。商品房销售面积为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3.73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万平方米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同比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下降4.1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%。</w:t>
      </w:r>
    </w:p>
    <w:p w14:paraId="350514B9">
      <w:pPr>
        <w:pStyle w:val="2"/>
      </w:pPr>
      <w:r>
        <w:drawing>
          <wp:inline distT="0" distB="0" distL="114300" distR="114300">
            <wp:extent cx="5516880" cy="3430270"/>
            <wp:effectExtent l="4445" t="4445" r="22225" b="1333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EF8D8C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财政收支</w:t>
      </w:r>
    </w:p>
    <w:p w14:paraId="4BA0D60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color w:val="000000"/>
          <w:sz w:val="32"/>
          <w:szCs w:val="28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财政收支保持增长。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eastAsia="zh-CN"/>
        </w:rPr>
        <w:t>1—7月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县本级财政一般公共预算收入同比增长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14.1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%，其中税收收入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增长17.0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%。财政一般公共预算支出同比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下降9.7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%，其中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科学技术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支出和卫生健康支出分别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增长146.4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33.8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%。</w:t>
      </w:r>
    </w:p>
    <w:p w14:paraId="7440C4C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金融信贷</w:t>
      </w:r>
    </w:p>
    <w:p w14:paraId="73CA037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Times New Roman" w:hAnsi="Times New Roman" w:eastAsia="方正仿宋_GBK" w:cs="Times New Roman"/>
          <w:sz w:val="32"/>
          <w:szCs w:val="24"/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金融存贷款余额持续增长。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191.0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亿元，同比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增长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10.4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139.79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12.2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24.54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亿元，同比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增长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22.4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%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；广义政府存款余额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26.64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亿元，同比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下降6.0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%。各项贷款余额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169.21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亿元，同比增长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16.3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%。其中，住户贷款余额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77.18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亿元，同比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</w:rPr>
        <w:t>增长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11.2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%；非金融企业及机关团体贷款余额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92.03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亿元，同比增长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28"/>
          <w:lang w:val="en-US" w:eastAsia="zh-CN"/>
        </w:rPr>
        <w:t>21.0</w:t>
      </w:r>
      <w:r>
        <w:rPr>
          <w:rFonts w:ascii="Times New Roman" w:hAnsi="Times New Roman" w:eastAsia="方正仿宋_GBK" w:cs="Times New Roman"/>
          <w:color w:val="000000"/>
          <w:sz w:val="32"/>
          <w:szCs w:val="28"/>
        </w:rPr>
        <w:t>%。</w:t>
      </w:r>
    </w:p>
    <w:p w14:paraId="27F50D0F">
      <w:pPr>
        <w:spacing w:line="360" w:lineRule="auto"/>
        <w:ind w:firstLine="548" w:firstLineChars="196"/>
        <w:rPr>
          <w:rFonts w:ascii="Times New Roman" w:hAnsi="Times New Roman" w:eastAsia="仿宋_GB2312" w:cs="Times New Roman"/>
          <w:bCs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797" w:bottom="1440" w:left="1418" w:header="851" w:footer="1361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8FD8C7-8249-4808-8E42-0963B30B9BF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E435545-20B6-4399-A502-8734DE87B6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B679BFE-9E3D-46D5-B953-9522EB40E82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18F4404-27AB-449E-8B34-043457CC96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2DFAE38-8BE6-4EED-A3C2-A846E32AACC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0F78653-03BD-4F83-B3C6-938C74A3FC8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7DB44DE-69D0-48D5-8500-35B01152781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A8C2BECD-9050-4632-A0CE-D024BD3C33D7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9" w:fontKey="{2273F543-FB36-4A12-A579-9F65D76A80C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9AAC0114-E55B-492E-9BC0-2F3F89DDDD91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3B743D0A-6012-4176-A6EC-31BA5F1907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39A04">
    <w:pPr>
      <w:pStyle w:val="4"/>
      <w:ind w:right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6DBAA1">
                          <w:pPr>
                            <w:pStyle w:val="4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6DBAA1">
                    <w:pPr>
                      <w:pStyle w:val="4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370779"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 w14:paraId="3A268573"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FA03D7"/>
    <w:multiLevelType w:val="singleLevel"/>
    <w:tmpl w:val="F9FA03D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8FF527"/>
    <w:multiLevelType w:val="singleLevel"/>
    <w:tmpl w:val="758FF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zNmRiMjA4NjU5N2UxY2U5ZTE4ZjA3NTAxYmRkNGE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95CCD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0504"/>
    <w:rsid w:val="00504C63"/>
    <w:rsid w:val="0050574B"/>
    <w:rsid w:val="00510308"/>
    <w:rsid w:val="00513F27"/>
    <w:rsid w:val="00522058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0088B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6C1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18BF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46A9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DF42FB"/>
    <w:rsid w:val="00E07A5E"/>
    <w:rsid w:val="00E13FFC"/>
    <w:rsid w:val="00E14182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7DA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2B6098E"/>
    <w:rsid w:val="03CE5197"/>
    <w:rsid w:val="05034E14"/>
    <w:rsid w:val="0571442E"/>
    <w:rsid w:val="061A1A83"/>
    <w:rsid w:val="06604761"/>
    <w:rsid w:val="06CE21BF"/>
    <w:rsid w:val="06E3642E"/>
    <w:rsid w:val="07112C54"/>
    <w:rsid w:val="07342A27"/>
    <w:rsid w:val="07D61DDF"/>
    <w:rsid w:val="08C51D75"/>
    <w:rsid w:val="08C61FD7"/>
    <w:rsid w:val="093D3223"/>
    <w:rsid w:val="094E0AD4"/>
    <w:rsid w:val="09EF5C9D"/>
    <w:rsid w:val="0A1A4D0E"/>
    <w:rsid w:val="0B28531B"/>
    <w:rsid w:val="0B661144"/>
    <w:rsid w:val="0C1368E9"/>
    <w:rsid w:val="0D444B80"/>
    <w:rsid w:val="0D6F3CE4"/>
    <w:rsid w:val="0D8366EA"/>
    <w:rsid w:val="0D915C1C"/>
    <w:rsid w:val="0D9E3FC3"/>
    <w:rsid w:val="0EB36327"/>
    <w:rsid w:val="0EE347FB"/>
    <w:rsid w:val="0EF46A3A"/>
    <w:rsid w:val="0F4F4AAE"/>
    <w:rsid w:val="0F640124"/>
    <w:rsid w:val="0FD8052D"/>
    <w:rsid w:val="103233BB"/>
    <w:rsid w:val="108F4F7C"/>
    <w:rsid w:val="10AD6CA7"/>
    <w:rsid w:val="11645962"/>
    <w:rsid w:val="119D65E9"/>
    <w:rsid w:val="119E03F7"/>
    <w:rsid w:val="11AB345B"/>
    <w:rsid w:val="12BB1869"/>
    <w:rsid w:val="1328209F"/>
    <w:rsid w:val="1396540D"/>
    <w:rsid w:val="149A1BC4"/>
    <w:rsid w:val="14B466DF"/>
    <w:rsid w:val="14E92EF2"/>
    <w:rsid w:val="14FE7D0A"/>
    <w:rsid w:val="15084D6A"/>
    <w:rsid w:val="150E446A"/>
    <w:rsid w:val="151338AA"/>
    <w:rsid w:val="154C6CC8"/>
    <w:rsid w:val="15577115"/>
    <w:rsid w:val="163A2A19"/>
    <w:rsid w:val="18800485"/>
    <w:rsid w:val="18B02811"/>
    <w:rsid w:val="18FF18CC"/>
    <w:rsid w:val="199A0F1C"/>
    <w:rsid w:val="19D03C99"/>
    <w:rsid w:val="19D119D0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DAB09BA"/>
    <w:rsid w:val="1EE6556C"/>
    <w:rsid w:val="1F610208"/>
    <w:rsid w:val="1FB913FE"/>
    <w:rsid w:val="20541DDF"/>
    <w:rsid w:val="20D2171B"/>
    <w:rsid w:val="212149AB"/>
    <w:rsid w:val="21AA2D95"/>
    <w:rsid w:val="21F8754A"/>
    <w:rsid w:val="228026A7"/>
    <w:rsid w:val="22CA380E"/>
    <w:rsid w:val="22E426C5"/>
    <w:rsid w:val="23591C97"/>
    <w:rsid w:val="24975A86"/>
    <w:rsid w:val="24C273CE"/>
    <w:rsid w:val="251867EC"/>
    <w:rsid w:val="26445799"/>
    <w:rsid w:val="26865238"/>
    <w:rsid w:val="26917C0D"/>
    <w:rsid w:val="26DF5122"/>
    <w:rsid w:val="27056A92"/>
    <w:rsid w:val="281713B7"/>
    <w:rsid w:val="28194775"/>
    <w:rsid w:val="285A2AD3"/>
    <w:rsid w:val="28D958C0"/>
    <w:rsid w:val="290F1861"/>
    <w:rsid w:val="29A5675B"/>
    <w:rsid w:val="2B4D3661"/>
    <w:rsid w:val="2C696DE5"/>
    <w:rsid w:val="2D5503F3"/>
    <w:rsid w:val="2E3D77FC"/>
    <w:rsid w:val="2F560A17"/>
    <w:rsid w:val="2F747966"/>
    <w:rsid w:val="2F952B95"/>
    <w:rsid w:val="305C1058"/>
    <w:rsid w:val="3078247B"/>
    <w:rsid w:val="30A42C4E"/>
    <w:rsid w:val="30AD51CD"/>
    <w:rsid w:val="313D685C"/>
    <w:rsid w:val="318F48A6"/>
    <w:rsid w:val="31A54783"/>
    <w:rsid w:val="320359A3"/>
    <w:rsid w:val="32C1598A"/>
    <w:rsid w:val="33242BDA"/>
    <w:rsid w:val="3355124E"/>
    <w:rsid w:val="33696EA5"/>
    <w:rsid w:val="339733AC"/>
    <w:rsid w:val="340B6D18"/>
    <w:rsid w:val="34503989"/>
    <w:rsid w:val="348602AC"/>
    <w:rsid w:val="349445BF"/>
    <w:rsid w:val="34D71A38"/>
    <w:rsid w:val="35903EE3"/>
    <w:rsid w:val="36AE6AE0"/>
    <w:rsid w:val="37422135"/>
    <w:rsid w:val="386628ED"/>
    <w:rsid w:val="386D7DA3"/>
    <w:rsid w:val="397924D0"/>
    <w:rsid w:val="39A00D1B"/>
    <w:rsid w:val="39D0586A"/>
    <w:rsid w:val="3A590E83"/>
    <w:rsid w:val="3A5A5B07"/>
    <w:rsid w:val="3AC8628E"/>
    <w:rsid w:val="3B04326A"/>
    <w:rsid w:val="3B062F49"/>
    <w:rsid w:val="3BA03B47"/>
    <w:rsid w:val="3BB040EE"/>
    <w:rsid w:val="3D251C6A"/>
    <w:rsid w:val="3D811933"/>
    <w:rsid w:val="3DFC5B48"/>
    <w:rsid w:val="3E270746"/>
    <w:rsid w:val="3E347DB9"/>
    <w:rsid w:val="3E9126E3"/>
    <w:rsid w:val="3F2D4047"/>
    <w:rsid w:val="3F9E4661"/>
    <w:rsid w:val="3FCC6B27"/>
    <w:rsid w:val="3FE64FAF"/>
    <w:rsid w:val="3FF761AA"/>
    <w:rsid w:val="40BE410B"/>
    <w:rsid w:val="410E330E"/>
    <w:rsid w:val="416D4B5E"/>
    <w:rsid w:val="41967A31"/>
    <w:rsid w:val="41B44B58"/>
    <w:rsid w:val="41B82C1B"/>
    <w:rsid w:val="42271042"/>
    <w:rsid w:val="42600A46"/>
    <w:rsid w:val="42965739"/>
    <w:rsid w:val="42DE6CF1"/>
    <w:rsid w:val="431A33A9"/>
    <w:rsid w:val="432A3C54"/>
    <w:rsid w:val="43677456"/>
    <w:rsid w:val="448E5865"/>
    <w:rsid w:val="449F596C"/>
    <w:rsid w:val="453C3DB3"/>
    <w:rsid w:val="46130471"/>
    <w:rsid w:val="46721A17"/>
    <w:rsid w:val="470F4E08"/>
    <w:rsid w:val="47466C1D"/>
    <w:rsid w:val="47CA59AD"/>
    <w:rsid w:val="48201B8F"/>
    <w:rsid w:val="4837245E"/>
    <w:rsid w:val="48AF1C94"/>
    <w:rsid w:val="48D15842"/>
    <w:rsid w:val="490F3E97"/>
    <w:rsid w:val="498E1437"/>
    <w:rsid w:val="4AA704DD"/>
    <w:rsid w:val="4B4C3059"/>
    <w:rsid w:val="4B8255B0"/>
    <w:rsid w:val="4B9A5865"/>
    <w:rsid w:val="4BB37ABD"/>
    <w:rsid w:val="4CD30155"/>
    <w:rsid w:val="4CF634D0"/>
    <w:rsid w:val="4D3630C3"/>
    <w:rsid w:val="4D4416C9"/>
    <w:rsid w:val="4DA4699A"/>
    <w:rsid w:val="4E4E56BD"/>
    <w:rsid w:val="4E6A0A71"/>
    <w:rsid w:val="4EF05D78"/>
    <w:rsid w:val="4F40677D"/>
    <w:rsid w:val="4F5165DF"/>
    <w:rsid w:val="4F5C1452"/>
    <w:rsid w:val="4F820463"/>
    <w:rsid w:val="5009470C"/>
    <w:rsid w:val="509D12E9"/>
    <w:rsid w:val="51E40DE8"/>
    <w:rsid w:val="520E4D2A"/>
    <w:rsid w:val="52AF1609"/>
    <w:rsid w:val="531475DD"/>
    <w:rsid w:val="53C13EED"/>
    <w:rsid w:val="54142DE9"/>
    <w:rsid w:val="54442C85"/>
    <w:rsid w:val="54AD5CDF"/>
    <w:rsid w:val="54F231AC"/>
    <w:rsid w:val="55722D80"/>
    <w:rsid w:val="569E316F"/>
    <w:rsid w:val="575E5E0B"/>
    <w:rsid w:val="578C6C6B"/>
    <w:rsid w:val="58A71D8F"/>
    <w:rsid w:val="59635AEB"/>
    <w:rsid w:val="59823A7D"/>
    <w:rsid w:val="5A3C4C38"/>
    <w:rsid w:val="5A7E718D"/>
    <w:rsid w:val="5AD13536"/>
    <w:rsid w:val="5AD94033"/>
    <w:rsid w:val="5B4A6DD2"/>
    <w:rsid w:val="5CA16E2B"/>
    <w:rsid w:val="5E777144"/>
    <w:rsid w:val="5F130A46"/>
    <w:rsid w:val="5F55744E"/>
    <w:rsid w:val="5F731C96"/>
    <w:rsid w:val="5FB10AC7"/>
    <w:rsid w:val="6012222A"/>
    <w:rsid w:val="60896044"/>
    <w:rsid w:val="60EB74AD"/>
    <w:rsid w:val="61BE179D"/>
    <w:rsid w:val="63014E7B"/>
    <w:rsid w:val="634C543F"/>
    <w:rsid w:val="63AC0EA9"/>
    <w:rsid w:val="6453742F"/>
    <w:rsid w:val="6467318F"/>
    <w:rsid w:val="648C653E"/>
    <w:rsid w:val="64E86973"/>
    <w:rsid w:val="654E2B59"/>
    <w:rsid w:val="659D4356"/>
    <w:rsid w:val="66107C15"/>
    <w:rsid w:val="667F1781"/>
    <w:rsid w:val="669A45F3"/>
    <w:rsid w:val="66EC7CD8"/>
    <w:rsid w:val="67573419"/>
    <w:rsid w:val="67C25F42"/>
    <w:rsid w:val="67E473FC"/>
    <w:rsid w:val="68342ED2"/>
    <w:rsid w:val="68457FA1"/>
    <w:rsid w:val="68606CAD"/>
    <w:rsid w:val="68B57855"/>
    <w:rsid w:val="691E291E"/>
    <w:rsid w:val="6A747663"/>
    <w:rsid w:val="6ADC394E"/>
    <w:rsid w:val="6B1A4D11"/>
    <w:rsid w:val="6B372DCF"/>
    <w:rsid w:val="6B5D7DF6"/>
    <w:rsid w:val="6BA954BC"/>
    <w:rsid w:val="6C557742"/>
    <w:rsid w:val="6CA83556"/>
    <w:rsid w:val="6D90415A"/>
    <w:rsid w:val="6DB041E6"/>
    <w:rsid w:val="6E900A15"/>
    <w:rsid w:val="6E901B80"/>
    <w:rsid w:val="6F151DAE"/>
    <w:rsid w:val="70206657"/>
    <w:rsid w:val="71447B3C"/>
    <w:rsid w:val="715942AA"/>
    <w:rsid w:val="71AC252F"/>
    <w:rsid w:val="72056B2B"/>
    <w:rsid w:val="727137F6"/>
    <w:rsid w:val="733C6C15"/>
    <w:rsid w:val="73BA1AA3"/>
    <w:rsid w:val="740352E5"/>
    <w:rsid w:val="74174400"/>
    <w:rsid w:val="74911673"/>
    <w:rsid w:val="751524A3"/>
    <w:rsid w:val="756756F0"/>
    <w:rsid w:val="75AE14DE"/>
    <w:rsid w:val="760F5CA2"/>
    <w:rsid w:val="772D5885"/>
    <w:rsid w:val="77923278"/>
    <w:rsid w:val="79B06159"/>
    <w:rsid w:val="79D40519"/>
    <w:rsid w:val="7A307EE3"/>
    <w:rsid w:val="7A3779CE"/>
    <w:rsid w:val="7A6B64E7"/>
    <w:rsid w:val="7A6D6E9C"/>
    <w:rsid w:val="7A766C64"/>
    <w:rsid w:val="7B154EDA"/>
    <w:rsid w:val="7B245AEE"/>
    <w:rsid w:val="7BA07A02"/>
    <w:rsid w:val="7D8A3207"/>
    <w:rsid w:val="7DF42BF7"/>
    <w:rsid w:val="7E6349ED"/>
    <w:rsid w:val="7E8B30DA"/>
    <w:rsid w:val="7EFFC18A"/>
    <w:rsid w:val="7F8166DE"/>
    <w:rsid w:val="BBDD599B"/>
    <w:rsid w:val="C9F7C246"/>
    <w:rsid w:val="F5EFEE00"/>
    <w:rsid w:val="F795CF8C"/>
    <w:rsid w:val="FBBBA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autoRedefine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autoRedefine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autoRedefine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autoRedefine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autoRedefine/>
    <w:qFormat/>
    <w:uiPriority w:val="99"/>
    <w:rPr>
      <w:rFonts w:cs="Times New Roman"/>
    </w:rPr>
  </w:style>
  <w:style w:type="character" w:customStyle="1" w:styleId="11">
    <w:name w:val="标题 3 字符"/>
    <w:basedOn w:val="9"/>
    <w:link w:val="3"/>
    <w:autoRedefine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3">
    <w:name w:val="页眉 字符"/>
    <w:basedOn w:val="9"/>
    <w:link w:val="5"/>
    <w:autoRedefine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字符"/>
    <w:basedOn w:val="9"/>
    <w:link w:val="4"/>
    <w:autoRedefine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字符"/>
    <w:basedOn w:val="9"/>
    <w:link w:val="6"/>
    <w:autoRedefine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E:\&#32508;&#21512;&#12289;&#26680;&#31639;&#12289;&#20154;&#21475;&#12289;&#21171;&#36164;&#12289;&#25991;&#21270;&#12289;&#22919;&#20799;&#30456;&#20851;&#24037;&#20316;\&#32479;&#35745;&#32508;&#21512;&#24037;&#20316;\2025&#24180;\2&#26376;\&#26376;&#25253;\&#22478;&#21475;&#19982;&#20840;&#24066;&#24037;&#19994;&#22686;&#21152;&#20540;&#22686;&#36895;&#19982;&#22266;&#23450;&#36164;&#20135;&#25237;&#36164;&#22686;&#36895;&#23545;&#27604;(1).20240320160957862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E:\&#32508;&#21512;&#12289;&#26680;&#31639;&#12289;&#20154;&#21475;&#12289;&#21171;&#36164;&#12289;&#25991;&#21270;&#12289;&#22919;&#20799;&#30456;&#20851;&#24037;&#20316;\&#32479;&#35745;&#32508;&#21512;&#24037;&#20316;\2025&#24180;\2&#26376;\&#26376;&#25253;\&#22478;&#21475;&#19982;&#20840;&#24066;&#24037;&#19994;&#22686;&#21152;&#20540;&#22686;&#36895;&#19982;&#22266;&#23450;&#36164;&#20135;&#25237;&#36164;&#22686;&#36895;&#23545;&#27604;(1).2024032016095786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 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2024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'[城口与全市工业增加值增速与固定资产投资增速对比(1).20240320160957862.xlsx]Sheet1'!$B$1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-0.0639423783624871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146986771190593"/>
                  <c:y val="-0.0573276495663678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0734933855952964"/>
                  <c:y val="-0.0639423783624871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293973542381186"/>
                  <c:y val="-0.017639276789651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.00587947084762371"/>
                  <c:y val="-0.0705571071586065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'[城口与全市工业增加值增速与固定资产投资增速对比(1).20240320160957862.xlsx]Sheet1'!$A$27:$A$38</c:f>
              <c:strCache>
                <c:ptCount val="12"/>
                <c:pt idx="0">
                  <c:v>7月</c:v>
                </c:pt>
                <c:pt idx="1">
                  <c:v>8月</c:v>
                </c:pt>
                <c:pt idx="2">
                  <c:v>9月</c:v>
                </c:pt>
                <c:pt idx="3">
                  <c:v>10月</c:v>
                </c:pt>
                <c:pt idx="4">
                  <c:v>11月</c:v>
                </c:pt>
                <c:pt idx="5">
                  <c:v>12月</c:v>
                </c:pt>
                <c:pt idx="6">
                  <c:v>2025年1-2月</c:v>
                </c:pt>
                <c:pt idx="7">
                  <c:v>3月</c:v>
                </c:pt>
                <c:pt idx="8">
                  <c:v>4月</c:v>
                </c:pt>
                <c:pt idx="9">
                  <c:v>5月</c:v>
                </c:pt>
                <c:pt idx="10">
                  <c:v>6月</c:v>
                </c:pt>
                <c:pt idx="11">
                  <c:v>7月</c:v>
                </c:pt>
              </c:strCache>
            </c:strRef>
          </c:cat>
          <c:val>
            <c:numRef>
              <c:f>'[城口与全市工业增加值增速与固定资产投资增速对比(1).20240320160957862.xlsx]Sheet1'!$B$27:$B$38</c:f>
              <c:numCache>
                <c:formatCode>0.0_ </c:formatCode>
                <c:ptCount val="12"/>
                <c:pt idx="0">
                  <c:v>8.7</c:v>
                </c:pt>
                <c:pt idx="1">
                  <c:v>8.1</c:v>
                </c:pt>
                <c:pt idx="2">
                  <c:v>6.4</c:v>
                </c:pt>
                <c:pt idx="3">
                  <c:v>2.9</c:v>
                </c:pt>
                <c:pt idx="4">
                  <c:v>2.3</c:v>
                </c:pt>
                <c:pt idx="5">
                  <c:v>4.6</c:v>
                </c:pt>
                <c:pt idx="6">
                  <c:v>1.6</c:v>
                </c:pt>
                <c:pt idx="7">
                  <c:v>9</c:v>
                </c:pt>
                <c:pt idx="8">
                  <c:v>9.1</c:v>
                </c:pt>
                <c:pt idx="9">
                  <c:v>1.1</c:v>
                </c:pt>
                <c:pt idx="10">
                  <c:v>4.6</c:v>
                </c:pt>
                <c:pt idx="11">
                  <c:v>-5.7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'[城口与全市工业增加值增速与固定资产投资增速对比(1).20240320160957862.xlsx]Sheet1'!$C$1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0440960313571779"/>
                  <c:y val="0.068352197559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'[城口与全市工业增加值增速与固定资产投资增速对比(1).20240320160957862.xlsx]Sheet1'!$A$27:$A$38</c:f>
              <c:strCache>
                <c:ptCount val="12"/>
                <c:pt idx="0">
                  <c:v>7月</c:v>
                </c:pt>
                <c:pt idx="1">
                  <c:v>8月</c:v>
                </c:pt>
                <c:pt idx="2">
                  <c:v>9月</c:v>
                </c:pt>
                <c:pt idx="3">
                  <c:v>10月</c:v>
                </c:pt>
                <c:pt idx="4">
                  <c:v>11月</c:v>
                </c:pt>
                <c:pt idx="5">
                  <c:v>12月</c:v>
                </c:pt>
                <c:pt idx="6">
                  <c:v>2025年1-2月</c:v>
                </c:pt>
                <c:pt idx="7">
                  <c:v>3月</c:v>
                </c:pt>
                <c:pt idx="8">
                  <c:v>4月</c:v>
                </c:pt>
                <c:pt idx="9">
                  <c:v>5月</c:v>
                </c:pt>
                <c:pt idx="10">
                  <c:v>6月</c:v>
                </c:pt>
                <c:pt idx="11">
                  <c:v>7月</c:v>
                </c:pt>
              </c:strCache>
            </c:strRef>
          </c:cat>
          <c:val>
            <c:numRef>
              <c:f>'[城口与全市工业增加值增速与固定资产投资增速对比(1).20240320160957862.xlsx]Sheet1'!$C$27:$C$38</c:f>
              <c:numCache>
                <c:formatCode>0.0_ </c:formatCode>
                <c:ptCount val="12"/>
                <c:pt idx="0">
                  <c:v>8.3</c:v>
                </c:pt>
                <c:pt idx="1">
                  <c:v>8.3</c:v>
                </c:pt>
                <c:pt idx="2">
                  <c:v>8.1</c:v>
                </c:pt>
                <c:pt idx="3">
                  <c:v>7.9</c:v>
                </c:pt>
                <c:pt idx="4">
                  <c:v>7.6</c:v>
                </c:pt>
                <c:pt idx="5">
                  <c:v>7.3</c:v>
                </c:pt>
                <c:pt idx="6">
                  <c:v>2.2</c:v>
                </c:pt>
                <c:pt idx="7">
                  <c:v>3.6</c:v>
                </c:pt>
                <c:pt idx="8">
                  <c:v>4.5</c:v>
                </c:pt>
                <c:pt idx="9">
                  <c:v>5.1</c:v>
                </c:pt>
                <c:pt idx="10">
                  <c:v>7.3</c:v>
                </c:pt>
                <c:pt idx="11">
                  <c:v>5.4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7e91d839-1d14-43d9-a12d-fbd7aa1d80fb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2024</a:t>
            </a: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年以来城口县与重庆市投资累计增速对比</a:t>
            </a:r>
            <a:endParaRPr lang="zh-CN"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8042269871"/>
          <c:y val="0.20772240773178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'[城口与全市工业增加值增速与固定资产投资增速对比(1).20240320160957862.xlsx]Sheet1'!$E$1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0.0115101289134438"/>
                  <c:y val="-0.015549796371714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619244935543278"/>
                      <c:h val="0.020918178452425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0054814544125708"/>
                  <c:y val="-0.028663824783183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0027407272062854"/>
                  <c:y val="-0.0330736439805968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0"/>
                  <c:y val="-0.046303101572835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'[城口与全市工业增加值增速与固定资产投资增速对比(1).20240320160957862.xlsx]Sheet1'!$D$27:$D$38</c:f>
              <c:strCache>
                <c:ptCount val="12"/>
                <c:pt idx="0">
                  <c:v>7月</c:v>
                </c:pt>
                <c:pt idx="1">
                  <c:v>8月</c:v>
                </c:pt>
                <c:pt idx="2">
                  <c:v>9月</c:v>
                </c:pt>
                <c:pt idx="3">
                  <c:v>10月</c:v>
                </c:pt>
                <c:pt idx="4">
                  <c:v>11月</c:v>
                </c:pt>
                <c:pt idx="5">
                  <c:v>12月</c:v>
                </c:pt>
                <c:pt idx="6">
                  <c:v>2025年1-2月</c:v>
                </c:pt>
                <c:pt idx="7">
                  <c:v>3月</c:v>
                </c:pt>
                <c:pt idx="8">
                  <c:v>4月</c:v>
                </c:pt>
                <c:pt idx="9">
                  <c:v>5月</c:v>
                </c:pt>
                <c:pt idx="10">
                  <c:v>6月</c:v>
                </c:pt>
                <c:pt idx="11">
                  <c:v>7月</c:v>
                </c:pt>
              </c:strCache>
            </c:strRef>
          </c:cat>
          <c:val>
            <c:numRef>
              <c:f>'[城口与全市工业增加值增速与固定资产投资增速对比(1).20240320160957862.xlsx]Sheet1'!$E$27:$E$38</c:f>
              <c:numCache>
                <c:formatCode>0.0_ </c:formatCode>
                <c:ptCount val="12"/>
                <c:pt idx="0">
                  <c:v>8.3</c:v>
                </c:pt>
                <c:pt idx="1">
                  <c:v>10.8</c:v>
                </c:pt>
                <c:pt idx="2">
                  <c:v>11.6</c:v>
                </c:pt>
                <c:pt idx="3">
                  <c:v>15.5</c:v>
                </c:pt>
                <c:pt idx="4">
                  <c:v>12.1</c:v>
                </c:pt>
                <c:pt idx="5">
                  <c:v>7.3</c:v>
                </c:pt>
                <c:pt idx="6">
                  <c:v>22.1</c:v>
                </c:pt>
                <c:pt idx="7">
                  <c:v>12.1</c:v>
                </c:pt>
                <c:pt idx="8">
                  <c:v>20.8</c:v>
                </c:pt>
                <c:pt idx="9">
                  <c:v>18.8</c:v>
                </c:pt>
                <c:pt idx="10">
                  <c:v>7.3</c:v>
                </c:pt>
                <c:pt idx="11">
                  <c:v>18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'[城口与全市工业增加值增速与固定资产投资增速对比(1).20240320160957862.xlsx]Sheet1'!$F$1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'[城口与全市工业增加值增速与固定资产投资增速对比(1).20240320160957862.xlsx]Sheet1'!$D$27:$D$38</c:f>
              <c:strCache>
                <c:ptCount val="12"/>
                <c:pt idx="0">
                  <c:v>7月</c:v>
                </c:pt>
                <c:pt idx="1">
                  <c:v>8月</c:v>
                </c:pt>
                <c:pt idx="2">
                  <c:v>9月</c:v>
                </c:pt>
                <c:pt idx="3">
                  <c:v>10月</c:v>
                </c:pt>
                <c:pt idx="4">
                  <c:v>11月</c:v>
                </c:pt>
                <c:pt idx="5">
                  <c:v>12月</c:v>
                </c:pt>
                <c:pt idx="6">
                  <c:v>2025年1-2月</c:v>
                </c:pt>
                <c:pt idx="7">
                  <c:v>3月</c:v>
                </c:pt>
                <c:pt idx="8">
                  <c:v>4月</c:v>
                </c:pt>
                <c:pt idx="9">
                  <c:v>5月</c:v>
                </c:pt>
                <c:pt idx="10">
                  <c:v>6月</c:v>
                </c:pt>
                <c:pt idx="11">
                  <c:v>7月</c:v>
                </c:pt>
              </c:strCache>
            </c:strRef>
          </c:cat>
          <c:val>
            <c:numRef>
              <c:f>'[城口与全市工业增加值增速与固定资产投资增速对比(1).20240320160957862.xlsx]Sheet1'!$F$27:$F$38</c:f>
              <c:numCache>
                <c:formatCode>0.0_ </c:formatCode>
                <c:ptCount val="12"/>
                <c:pt idx="0">
                  <c:v>1.1</c:v>
                </c:pt>
                <c:pt idx="1">
                  <c:v>1.3</c:v>
                </c:pt>
                <c:pt idx="2">
                  <c:v>1.8</c:v>
                </c:pt>
                <c:pt idx="3">
                  <c:v>1.2</c:v>
                </c:pt>
                <c:pt idx="4">
                  <c:v>0.1</c:v>
                </c:pt>
                <c:pt idx="5">
                  <c:v>0.1</c:v>
                </c:pt>
                <c:pt idx="6">
                  <c:v>3</c:v>
                </c:pt>
                <c:pt idx="7">
                  <c:v>3.5</c:v>
                </c:pt>
                <c:pt idx="8">
                  <c:v>3.9</c:v>
                </c:pt>
                <c:pt idx="9">
                  <c:v>3.9</c:v>
                </c:pt>
                <c:pt idx="10">
                  <c:v>0.1</c:v>
                </c:pt>
                <c:pt idx="11">
                  <c:v>3.3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05029926335175"/>
          <c:y val="0.916142169566827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7651fe2-b930-47ef-8c95-f86154ca47b8}"/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660</Words>
  <Characters>853</Characters>
  <Lines>6</Lines>
  <Paragraphs>1</Paragraphs>
  <TotalTime>3</TotalTime>
  <ScaleCrop>false</ScaleCrop>
  <LinksUpToDate>false</LinksUpToDate>
  <CharactersWithSpaces>853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2017-04-17T16:37:00Z</dcterms:created>
  <dc:creator>微软用户</dc:creator>
  <cp:lastModifiedBy>庞彬星</cp:lastModifiedBy>
  <cp:lastPrinted>2023-08-21T02:46:00Z</cp:lastPrinted>
  <dcterms:modified xsi:type="dcterms:W3CDTF">2025-08-26T07:19:43Z</dcterms:modified>
  <dc:title>经济发展亮点突显  蓄势前行力求突破 </dc:title>
  <cp:revision>135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5F02AD243090424ABBDE67B9495D14F0_13</vt:lpwstr>
  </property>
  <property fmtid="{D5CDD505-2E9C-101B-9397-08002B2CF9AE}" pid="4" name="KSOSaveFontToCloudKey">
    <vt:lpwstr>708156418_embed</vt:lpwstr>
  </property>
  <property fmtid="{D5CDD505-2E9C-101B-9397-08002B2CF9AE}" pid="5" name="KSOTemplateDocerSaveRecord">
    <vt:lpwstr>eyJoZGlkIjoiZGNiZTA0Y2U5MWU2Y2Q3NjExNDFlZTk4N2FjYTBhZjIiLCJ1c2VySWQiOiIxNjY1MDIxODQ2In0=</vt:lpwstr>
  </property>
</Properties>
</file>