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olors1.xml" ContentType="application/vnd.ms-office.chartcolorstyle+xml"/>
  <Override PartName="/word/charts/colors2.xml" ContentType="application/vnd.ms-office.chartcolorstyle+xml"/>
  <Override PartName="/word/charts/style1.xml" ContentType="application/vnd.ms-office.chartstyle+xml"/>
  <Override PartName="/word/charts/style2.xml" ContentType="application/vnd.ms-office.chartstyle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 w:val="0"/>
        <w:spacing w:before="240" w:after="60" w:line="560" w:lineRule="exact"/>
        <w:jc w:val="center"/>
        <w:outlineLvl w:val="1"/>
        <w:rPr>
          <w:rFonts w:ascii="仿宋_GB2312" w:hAnsi="Cambria" w:eastAsia="仿宋_GB2312" w:cs="Times New Roman"/>
          <w:b/>
          <w:bCs/>
          <w:kern w:val="28"/>
          <w:sz w:val="36"/>
          <w:szCs w:val="36"/>
          <w:lang w:val="en-US" w:eastAsia="zh-CN" w:bidi="ar-SA"/>
        </w:rPr>
      </w:pPr>
      <w:r>
        <w:rPr>
          <w:rFonts w:hint="eastAsia" w:ascii="仿宋_GB2312" w:hAnsi="Cambria" w:eastAsia="仿宋_GB2312" w:cs="Times New Roman"/>
          <w:b/>
          <w:bCs/>
          <w:kern w:val="28"/>
          <w:sz w:val="36"/>
          <w:szCs w:val="36"/>
          <w:lang w:val="en-US" w:eastAsia="zh-CN" w:bidi="ar-SA"/>
        </w:rPr>
        <w:t>1-8月县域经济运行简况</w:t>
      </w:r>
    </w:p>
    <w:p>
      <w:pPr>
        <w:jc w:val="center"/>
        <w:rPr>
          <w:rFonts w:hint="default" w:ascii="Times New Roman" w:hAnsi="Times New Roman" w:eastAsia="黑体" w:cs="Times New Roman"/>
          <w:b w:val="0"/>
          <w:bCs w:val="0"/>
          <w:sz w:val="44"/>
          <w:szCs w:val="44"/>
        </w:rPr>
      </w:pP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ind w:right="0" w:rightChars="0" w:firstLine="560" w:firstLineChars="200"/>
        <w:jc w:val="left"/>
        <w:textAlignment w:val="auto"/>
        <w:outlineLvl w:val="9"/>
        <w:rPr>
          <w:rFonts w:hint="eastAsia" w:ascii="方正小标宋_GBK" w:hAnsi="方正小标宋_GBK" w:eastAsia="方正小标宋_GBK" w:cs="方正小标宋_GBK"/>
          <w:b w:val="0"/>
          <w:bCs w:val="0"/>
          <w:color w:val="000000"/>
          <w:sz w:val="28"/>
          <w:szCs w:val="28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b w:val="0"/>
          <w:bCs w:val="0"/>
          <w:color w:val="000000"/>
          <w:sz w:val="28"/>
          <w:szCs w:val="28"/>
          <w:lang w:val="en-US" w:eastAsia="zh-CN"/>
        </w:rPr>
        <w:t>规上工业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ind w:right="0" w:rightChars="0" w:firstLine="560" w:firstLineChars="200"/>
        <w:jc w:val="both"/>
        <w:textAlignment w:val="auto"/>
        <w:outlineLvl w:val="9"/>
        <w:rPr>
          <w:rFonts w:hint="default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  <w:t>规上工业增长稳定。1-8月</w:t>
      </w:r>
      <w:r>
        <w:rPr>
          <w:rFonts w:hint="default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  <w:t>规模以上工业增加值</w:t>
      </w:r>
      <w:r>
        <w:rPr>
          <w:rFonts w:hint="eastAsia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  <w:t>同比</w:t>
      </w:r>
      <w:r>
        <w:rPr>
          <w:rFonts w:hint="default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  <w:t>增长</w:t>
      </w:r>
      <w:r>
        <w:rPr>
          <w:rFonts w:hint="eastAsia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  <w:t>16.3</w:t>
      </w:r>
      <w:r>
        <w:rPr>
          <w:rFonts w:hint="default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  <w:t>%，</w:t>
      </w:r>
      <w:r>
        <w:rPr>
          <w:rFonts w:hint="eastAsia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  <w:t>高于全市10个百分点，高于全国12.4个百分点，比去年同期回升13.6个百分点</w:t>
      </w:r>
      <w:r>
        <w:rPr>
          <w:rFonts w:hint="default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  <w:t>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ind w:right="0" w:rightChars="0" w:firstLine="560" w:firstLineChars="200"/>
        <w:jc w:val="left"/>
        <w:textAlignment w:val="auto"/>
        <w:outlineLvl w:val="9"/>
        <w:rPr>
          <w:rFonts w:hint="eastAsia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  <w:t>1-8月</w:t>
      </w:r>
      <w:r>
        <w:rPr>
          <w:rFonts w:hint="default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  <w:t>实现规上工业总产值</w:t>
      </w:r>
      <w:r>
        <w:rPr>
          <w:rFonts w:hint="eastAsia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  <w:t>8.58</w:t>
      </w:r>
      <w:r>
        <w:rPr>
          <w:rFonts w:hint="default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  <w:t>亿元，同比</w:t>
      </w:r>
      <w:r>
        <w:rPr>
          <w:rFonts w:hint="eastAsia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  <w:t>增长18.4</w:t>
      </w:r>
      <w:r>
        <w:rPr>
          <w:rFonts w:hint="default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  <w:t>%</w:t>
      </w:r>
      <w:r>
        <w:rPr>
          <w:rFonts w:hint="eastAsia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  <w:t>。制造业产值4.27亿元，同比增长5.6%，其中主要是中药材加工产值2.34亿元，同比下降3.7%。采矿业和电力、热力、燃气及水生产和供应业分别实现产值1.10和3.20亿元，同比增长34.2%和34.7%。</w:t>
      </w:r>
    </w:p>
    <w:p>
      <w:pPr>
        <w:pStyle w:val="2"/>
        <w:rPr>
          <w:rFonts w:hint="eastAsia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  <w:r>
        <w:drawing>
          <wp:inline distT="0" distB="0" distL="114300" distR="114300">
            <wp:extent cx="5514340" cy="3676015"/>
            <wp:effectExtent l="4445" t="4445" r="5715" b="15240"/>
            <wp:docPr id="2" name="图表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ind w:leftChars="200" w:right="0" w:rightChars="0"/>
        <w:jc w:val="left"/>
        <w:textAlignment w:val="auto"/>
        <w:outlineLvl w:val="9"/>
        <w:rPr>
          <w:rFonts w:hint="eastAsia" w:ascii="Times New Roman" w:hAnsi="Times New Roman" w:eastAsia="方正小标宋_GBK" w:cs="Times New Roman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Times New Roman" w:hAnsi="Times New Roman" w:eastAsia="方正小标宋_GBK" w:cs="Times New Roman"/>
          <w:b w:val="0"/>
          <w:bCs w:val="0"/>
          <w:sz w:val="28"/>
          <w:szCs w:val="28"/>
          <w:lang w:val="en-US" w:eastAsia="zh-CN"/>
        </w:rPr>
        <w:t>二、商品贸易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ind w:right="0" w:rightChars="0" w:firstLine="560" w:firstLineChars="200"/>
        <w:jc w:val="left"/>
        <w:textAlignment w:val="auto"/>
        <w:outlineLvl w:val="9"/>
        <w:rPr>
          <w:rFonts w:hint="eastAsia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  <w:t>商贸经济复苏缓慢。1-8月限额以上单位零售总额3.96亿元，同比下降25.6%。限额以上</w:t>
      </w:r>
      <w:r>
        <w:rPr>
          <w:rFonts w:hint="default" w:ascii="Times New Roman" w:hAnsi="Times New Roman" w:eastAsia="宋体" w:cs="Times New Roman"/>
          <w:b w:val="0"/>
          <w:bCs w:val="0"/>
          <w:color w:val="000000"/>
          <w:sz w:val="28"/>
          <w:szCs w:val="28"/>
          <w:lang w:val="en-US" w:eastAsia="zh-CN"/>
        </w:rPr>
        <w:t>批发业</w:t>
      </w:r>
      <w:r>
        <w:rPr>
          <w:rFonts w:hint="eastAsia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  <w:t>和</w:t>
      </w:r>
      <w:r>
        <w:rPr>
          <w:rFonts w:hint="default" w:ascii="Times New Roman" w:hAnsi="Times New Roman" w:eastAsia="宋体" w:cs="Times New Roman"/>
          <w:b w:val="0"/>
          <w:bCs w:val="0"/>
          <w:color w:val="000000"/>
          <w:sz w:val="28"/>
          <w:szCs w:val="28"/>
          <w:lang w:val="en-US" w:eastAsia="zh-CN"/>
        </w:rPr>
        <w:t>零售业</w:t>
      </w:r>
      <w:r>
        <w:rPr>
          <w:rFonts w:hint="eastAsia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  <w:t>销售额分别为2.28亿元和3.91亿元，同比分别增长0.4%和下降23.1%。限额以上</w:t>
      </w:r>
      <w:r>
        <w:rPr>
          <w:rFonts w:hint="default" w:ascii="Times New Roman" w:hAnsi="Times New Roman" w:eastAsia="宋体" w:cs="Times New Roman"/>
          <w:b w:val="0"/>
          <w:bCs w:val="0"/>
          <w:color w:val="000000"/>
          <w:sz w:val="28"/>
          <w:szCs w:val="28"/>
          <w:lang w:val="en-US" w:eastAsia="zh-CN"/>
        </w:rPr>
        <w:t>住宿</w:t>
      </w:r>
      <w:r>
        <w:rPr>
          <w:rFonts w:hint="eastAsia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  <w:t>和餐饮业营业</w:t>
      </w:r>
      <w:r>
        <w:rPr>
          <w:rFonts w:hint="default" w:ascii="Times New Roman" w:hAnsi="Times New Roman" w:eastAsia="宋体" w:cs="Times New Roman"/>
          <w:b w:val="0"/>
          <w:bCs w:val="0"/>
          <w:color w:val="000000"/>
          <w:sz w:val="28"/>
          <w:szCs w:val="28"/>
          <w:lang w:val="en-US" w:eastAsia="zh-CN"/>
        </w:rPr>
        <w:t>额</w:t>
      </w:r>
      <w:r>
        <w:rPr>
          <w:rFonts w:hint="eastAsia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  <w:t>分别为1065.2万元和4270.2万元，同比分别下降13.9%和8.4%。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ind w:right="0" w:rightChars="0" w:firstLine="560" w:firstLineChars="200"/>
        <w:jc w:val="left"/>
        <w:textAlignment w:val="auto"/>
        <w:outlineLvl w:val="9"/>
        <w:rPr>
          <w:rFonts w:hint="default" w:ascii="Times New Roman" w:hAnsi="Times New Roman" w:eastAsia="方正小标宋_GBK" w:cs="Times New Roman"/>
          <w:b w:val="0"/>
          <w:bCs w:val="0"/>
          <w:sz w:val="28"/>
          <w:szCs w:val="28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color w:val="000000"/>
          <w:sz w:val="28"/>
          <w:szCs w:val="28"/>
          <w:lang w:val="en-US" w:eastAsia="zh-CN"/>
        </w:rPr>
        <w:t>从主要商品</w:t>
      </w:r>
      <w:r>
        <w:rPr>
          <w:rFonts w:hint="eastAsia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  <w:t>销售额</w:t>
      </w:r>
      <w:r>
        <w:rPr>
          <w:rFonts w:hint="default" w:ascii="Times New Roman" w:hAnsi="Times New Roman" w:eastAsia="宋体" w:cs="Times New Roman"/>
          <w:b w:val="0"/>
          <w:bCs w:val="0"/>
          <w:color w:val="000000"/>
          <w:sz w:val="28"/>
          <w:szCs w:val="28"/>
          <w:lang w:val="en-US" w:eastAsia="zh-CN"/>
        </w:rPr>
        <w:t>看，粮油食品类、</w:t>
      </w:r>
      <w:r>
        <w:rPr>
          <w:rFonts w:hint="default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  <w:t>建筑及装潢材料类</w:t>
      </w:r>
      <w:r>
        <w:rPr>
          <w:rFonts w:hint="default" w:ascii="Times New Roman" w:hAnsi="Times New Roman" w:eastAsia="宋体" w:cs="Times New Roman"/>
          <w:b w:val="0"/>
          <w:bCs w:val="0"/>
          <w:color w:val="000000"/>
          <w:sz w:val="28"/>
          <w:szCs w:val="28"/>
          <w:lang w:val="en-US" w:eastAsia="zh-CN"/>
        </w:rPr>
        <w:t>、</w:t>
      </w:r>
      <w:r>
        <w:rPr>
          <w:rFonts w:hint="eastAsia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  <w:t>石油及制品</w:t>
      </w:r>
      <w:r>
        <w:rPr>
          <w:rFonts w:hint="default" w:ascii="Times New Roman" w:hAnsi="Times New Roman" w:eastAsia="宋体" w:cs="Times New Roman"/>
          <w:b w:val="0"/>
          <w:bCs w:val="0"/>
          <w:color w:val="000000"/>
          <w:sz w:val="28"/>
          <w:szCs w:val="28"/>
          <w:lang w:val="en-US" w:eastAsia="zh-CN"/>
        </w:rPr>
        <w:t>类和通讯器材类分别增长</w:t>
      </w:r>
      <w:r>
        <w:rPr>
          <w:rFonts w:hint="eastAsia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  <w:t>8.0%</w:t>
      </w:r>
      <w:r>
        <w:rPr>
          <w:rFonts w:hint="default" w:ascii="Times New Roman" w:hAnsi="Times New Roman" w:eastAsia="宋体" w:cs="Times New Roman"/>
          <w:b w:val="0"/>
          <w:bCs w:val="0"/>
          <w:color w:val="000000"/>
          <w:sz w:val="28"/>
          <w:szCs w:val="28"/>
          <w:lang w:val="en-US" w:eastAsia="zh-CN"/>
        </w:rPr>
        <w:t>、</w:t>
      </w:r>
      <w:r>
        <w:rPr>
          <w:rFonts w:hint="eastAsia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  <w:t>27.3</w:t>
      </w:r>
      <w:r>
        <w:rPr>
          <w:rFonts w:hint="default" w:ascii="Times New Roman" w:hAnsi="Times New Roman" w:eastAsia="宋体" w:cs="Times New Roman"/>
          <w:b w:val="0"/>
          <w:bCs w:val="0"/>
          <w:color w:val="000000"/>
          <w:sz w:val="28"/>
          <w:szCs w:val="28"/>
          <w:lang w:val="en-US" w:eastAsia="zh-CN"/>
        </w:rPr>
        <w:t>%、</w:t>
      </w:r>
      <w:r>
        <w:rPr>
          <w:rFonts w:hint="eastAsia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  <w:t>15.7</w:t>
      </w:r>
      <w:r>
        <w:rPr>
          <w:rFonts w:hint="default" w:ascii="Times New Roman" w:hAnsi="Times New Roman" w:eastAsia="宋体" w:cs="Times New Roman"/>
          <w:b w:val="0"/>
          <w:bCs w:val="0"/>
          <w:color w:val="000000"/>
          <w:sz w:val="28"/>
          <w:szCs w:val="28"/>
          <w:lang w:val="en-US" w:eastAsia="zh-CN"/>
        </w:rPr>
        <w:t>%和</w:t>
      </w:r>
      <w:r>
        <w:rPr>
          <w:rFonts w:hint="eastAsia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  <w:t>2.4</w:t>
      </w:r>
      <w:r>
        <w:rPr>
          <w:rFonts w:hint="default" w:ascii="Times New Roman" w:hAnsi="Times New Roman" w:eastAsia="宋体" w:cs="Times New Roman"/>
          <w:b w:val="0"/>
          <w:bCs w:val="0"/>
          <w:color w:val="000000"/>
          <w:sz w:val="28"/>
          <w:szCs w:val="28"/>
          <w:lang w:val="en-US" w:eastAsia="zh-CN"/>
        </w:rPr>
        <w:t>%，</w:t>
      </w:r>
      <w:r>
        <w:rPr>
          <w:rFonts w:hint="eastAsia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  <w:t>日用品</w:t>
      </w:r>
      <w:r>
        <w:rPr>
          <w:rFonts w:hint="default" w:ascii="Times New Roman" w:hAnsi="Times New Roman" w:eastAsia="宋体" w:cs="Times New Roman"/>
          <w:b w:val="0"/>
          <w:bCs w:val="0"/>
          <w:color w:val="000000"/>
          <w:sz w:val="28"/>
          <w:szCs w:val="28"/>
          <w:lang w:val="en-US" w:eastAsia="zh-CN"/>
        </w:rPr>
        <w:t>类</w:t>
      </w:r>
      <w:r>
        <w:rPr>
          <w:rFonts w:hint="default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  <w:t>和</w:t>
      </w:r>
      <w:r>
        <w:rPr>
          <w:rFonts w:hint="eastAsia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  <w:t>文化办公用品类</w:t>
      </w:r>
      <w:r>
        <w:rPr>
          <w:rFonts w:hint="default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  <w:t>分别</w:t>
      </w:r>
      <w:r>
        <w:rPr>
          <w:rFonts w:hint="default" w:ascii="Times New Roman" w:hAnsi="Times New Roman" w:eastAsia="宋体" w:cs="Times New Roman"/>
          <w:b w:val="0"/>
          <w:bCs w:val="0"/>
          <w:color w:val="000000"/>
          <w:sz w:val="28"/>
          <w:szCs w:val="28"/>
          <w:lang w:val="en-US" w:eastAsia="zh-CN"/>
        </w:rPr>
        <w:t>下降</w:t>
      </w:r>
      <w:r>
        <w:rPr>
          <w:rFonts w:hint="eastAsia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  <w:t>31.4</w:t>
      </w:r>
      <w:r>
        <w:rPr>
          <w:rFonts w:hint="default" w:ascii="Times New Roman" w:hAnsi="Times New Roman" w:eastAsia="宋体" w:cs="Times New Roman"/>
          <w:b w:val="0"/>
          <w:bCs w:val="0"/>
          <w:color w:val="000000"/>
          <w:sz w:val="28"/>
          <w:szCs w:val="28"/>
          <w:lang w:val="en-US" w:eastAsia="zh-CN"/>
        </w:rPr>
        <w:t>%</w:t>
      </w:r>
      <w:r>
        <w:rPr>
          <w:rFonts w:hint="default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  <w:t>和</w:t>
      </w:r>
      <w:r>
        <w:rPr>
          <w:rFonts w:hint="eastAsia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  <w:t>25.1</w:t>
      </w:r>
      <w:r>
        <w:rPr>
          <w:rFonts w:hint="default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  <w:t>%</w:t>
      </w:r>
      <w:r>
        <w:rPr>
          <w:rFonts w:hint="default" w:ascii="Times New Roman" w:hAnsi="Times New Roman" w:eastAsia="宋体" w:cs="Times New Roman"/>
          <w:b w:val="0"/>
          <w:bCs w:val="0"/>
          <w:color w:val="000000"/>
          <w:sz w:val="28"/>
          <w:szCs w:val="28"/>
          <w:lang w:val="en-US" w:eastAsia="zh-CN"/>
        </w:rPr>
        <w:t>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ind w:leftChars="200" w:right="0" w:rightChars="0"/>
        <w:jc w:val="left"/>
        <w:textAlignment w:val="auto"/>
        <w:outlineLvl w:val="9"/>
        <w:rPr>
          <w:rFonts w:hint="default" w:ascii="Times New Roman" w:hAnsi="Times New Roman" w:eastAsia="方正小标宋_GBK" w:cs="Times New Roman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Times New Roman" w:hAnsi="Times New Roman" w:eastAsia="方正小标宋_GBK" w:cs="Times New Roman"/>
          <w:b w:val="0"/>
          <w:bCs w:val="0"/>
          <w:sz w:val="28"/>
          <w:szCs w:val="28"/>
          <w:lang w:val="en-US" w:eastAsia="zh-CN"/>
        </w:rPr>
        <w:t>三、</w:t>
      </w:r>
      <w:r>
        <w:rPr>
          <w:rFonts w:hint="default" w:ascii="Times New Roman" w:hAnsi="Times New Roman" w:eastAsia="方正小标宋_GBK" w:cs="Times New Roman"/>
          <w:b w:val="0"/>
          <w:bCs w:val="0"/>
          <w:sz w:val="28"/>
          <w:szCs w:val="28"/>
          <w:lang w:val="en-US" w:eastAsia="zh-CN"/>
        </w:rPr>
        <w:t>投资建设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ind w:right="0" w:rightChars="0" w:firstLine="560" w:firstLineChars="200"/>
        <w:jc w:val="left"/>
        <w:textAlignment w:val="auto"/>
        <w:outlineLvl w:val="9"/>
        <w:rPr>
          <w:rFonts w:hint="eastAsia" w:ascii="Times New Roman" w:hAnsi="Times New Roman" w:cs="Times New Roman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固定资产增速回升。1-8月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全县固定资产投资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22.42亿元，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同比增长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7.8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%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，较1-7月回升7.7个百分点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。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其中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基础设施建设投资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和民间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投资分别增长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22.5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%和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下降24.8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%。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从三次产业看，第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一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三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产业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投资分别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下降24.2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%、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6.1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%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，第二产业投资同比增长135.0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%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ind w:right="0" w:rightChars="0" w:firstLine="560" w:firstLineChars="200"/>
        <w:jc w:val="left"/>
        <w:textAlignment w:val="auto"/>
        <w:outlineLvl w:val="9"/>
        <w:rPr>
          <w:rFonts w:hint="default" w:ascii="Times New Roman" w:hAnsi="Times New Roman" w:cs="Times New Roman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房地产开发降幅持续扩大。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房地产开发投资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1.29亿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元，同比下降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66.5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%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，降幅较1-7月扩大5.1个百分点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。商品房销售面积为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4.15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万平方米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同比下降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61.5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%。商品房销售额为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2.52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亿元，同比下降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57.9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%。</w:t>
      </w:r>
    </w:p>
    <w:p>
      <w:pPr>
        <w:pStyle w:val="2"/>
        <w:rPr>
          <w:rFonts w:hint="default"/>
          <w:lang w:val="en-US" w:eastAsia="zh-CN"/>
        </w:rPr>
      </w:pPr>
      <w:r>
        <w:drawing>
          <wp:inline distT="0" distB="0" distL="114300" distR="114300">
            <wp:extent cx="5517515" cy="3602990"/>
            <wp:effectExtent l="4445" t="4445" r="21590" b="12065"/>
            <wp:docPr id="3" name="图表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2"/>
        </w:numPr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ind w:right="0" w:rightChars="0" w:firstLine="560" w:firstLineChars="200"/>
        <w:jc w:val="left"/>
        <w:textAlignment w:val="auto"/>
        <w:outlineLvl w:val="9"/>
        <w:rPr>
          <w:rFonts w:hint="default" w:ascii="Times New Roman" w:hAnsi="Times New Roman" w:eastAsia="方正小标宋_GBK" w:cs="Times New Roman"/>
          <w:b w:val="0"/>
          <w:bCs w:val="0"/>
          <w:sz w:val="28"/>
          <w:szCs w:val="28"/>
          <w:lang w:val="en-US" w:eastAsia="zh-CN"/>
        </w:rPr>
      </w:pPr>
      <w:r>
        <w:rPr>
          <w:rFonts w:hint="default" w:ascii="Times New Roman" w:hAnsi="Times New Roman" w:eastAsia="方正小标宋_GBK" w:cs="Times New Roman"/>
          <w:b w:val="0"/>
          <w:bCs w:val="0"/>
          <w:sz w:val="28"/>
          <w:szCs w:val="28"/>
          <w:lang w:val="en-US" w:eastAsia="zh-CN"/>
        </w:rPr>
        <w:t>财政收支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ind w:right="0" w:rightChars="0" w:firstLine="560" w:firstLineChars="200"/>
        <w:jc w:val="both"/>
        <w:textAlignment w:val="auto"/>
        <w:outlineLvl w:val="9"/>
        <w:rPr>
          <w:rFonts w:hint="default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  <w:t>财政收支延续高增长态势。1-8月县本级财政一般公共预算收入同比增长26.3%，其中税收收入同比增长55.5%；政府基金收入同比下降48.6%。财政一般公共预算支出同比增长14.4%，其中社会保障和就业支出、教育支出和一般公共服务支出分别增长7.2%、37.1%和37.0%。</w:t>
      </w:r>
    </w:p>
    <w:p>
      <w:pPr>
        <w:keepNext w:val="0"/>
        <w:keepLines w:val="0"/>
        <w:pageBreakBefore w:val="0"/>
        <w:numPr>
          <w:ilvl w:val="0"/>
          <w:numId w:val="2"/>
        </w:numPr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560" w:firstLineChars="200"/>
        <w:jc w:val="left"/>
        <w:textAlignment w:val="auto"/>
        <w:outlineLvl w:val="9"/>
        <w:rPr>
          <w:rFonts w:hint="default" w:ascii="Times New Roman" w:hAnsi="Times New Roman" w:eastAsia="方正小标宋_GBK" w:cs="Times New Roman"/>
          <w:b w:val="0"/>
          <w:bCs w:val="0"/>
          <w:sz w:val="28"/>
          <w:szCs w:val="28"/>
          <w:lang w:val="en-US" w:eastAsia="zh-CN"/>
        </w:rPr>
      </w:pPr>
      <w:r>
        <w:rPr>
          <w:rFonts w:hint="default" w:ascii="Times New Roman" w:hAnsi="Times New Roman" w:eastAsia="方正小标宋_GBK" w:cs="Times New Roman"/>
          <w:b w:val="0"/>
          <w:bCs w:val="0"/>
          <w:sz w:val="28"/>
          <w:szCs w:val="28"/>
          <w:lang w:val="en-US" w:eastAsia="zh-CN"/>
        </w:rPr>
        <w:t>金融信贷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ind w:right="0" w:rightChars="0" w:firstLine="560" w:firstLineChars="200"/>
        <w:jc w:val="both"/>
        <w:textAlignment w:val="auto"/>
        <w:outlineLvl w:val="9"/>
        <w:rPr>
          <w:rFonts w:hint="default" w:ascii="Times New Roman" w:hAnsi="Times New Roman" w:eastAsia="方正小标宋_GBK" w:cs="Times New Roman"/>
          <w:b w:val="0"/>
          <w:bCs w:val="0"/>
          <w:sz w:val="24"/>
          <w:szCs w:val="24"/>
          <w:lang w:eastAsia="zh-CN"/>
        </w:rPr>
      </w:pP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金融存贷款余额持续增长。8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月末，全县金融机构各项存款余额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164.29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亿元，同比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增长18.3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%。其中，住户存款余额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110.65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亿元，同比增长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18.4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%；非金融企业存款余额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19.34</w:t>
      </w:r>
      <w:r>
        <w:rPr>
          <w:rFonts w:hint="default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  <w:t>亿元，同比</w:t>
      </w:r>
      <w:r>
        <w:rPr>
          <w:rFonts w:hint="eastAsia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  <w:t>下降14.9</w:t>
      </w:r>
      <w:r>
        <w:rPr>
          <w:rFonts w:hint="default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  <w:t>%；广义政府存款余额</w:t>
      </w:r>
      <w:r>
        <w:rPr>
          <w:rFonts w:hint="eastAsia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  <w:t>34.27</w:t>
      </w:r>
      <w:r>
        <w:rPr>
          <w:rFonts w:hint="default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  <w:t>亿元，同比</w:t>
      </w:r>
      <w:r>
        <w:rPr>
          <w:rFonts w:hint="eastAsia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  <w:t>增长51.1</w:t>
      </w:r>
      <w:r>
        <w:rPr>
          <w:rFonts w:hint="default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  <w:t>%。各项贷款余额</w:t>
      </w:r>
      <w:r>
        <w:rPr>
          <w:rFonts w:hint="eastAsia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  <w:t>135.17</w:t>
      </w:r>
      <w:r>
        <w:rPr>
          <w:rFonts w:hint="default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  <w:t>亿元，同比增长</w:t>
      </w:r>
      <w:r>
        <w:rPr>
          <w:rFonts w:hint="eastAsia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  <w:t>18.1</w:t>
      </w:r>
      <w:r>
        <w:rPr>
          <w:rFonts w:hint="default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  <w:t>%。其中，住户贷款余额</w:t>
      </w:r>
      <w:r>
        <w:rPr>
          <w:rFonts w:hint="eastAsia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  <w:t>68.88</w:t>
      </w:r>
      <w:r>
        <w:rPr>
          <w:rFonts w:hint="default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  <w:t>亿元，同比增长</w:t>
      </w:r>
      <w:r>
        <w:rPr>
          <w:rFonts w:hint="eastAsia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  <w:t>9.0</w:t>
      </w:r>
      <w:r>
        <w:rPr>
          <w:rFonts w:hint="default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  <w:t>%；非金融企业及机关团体贷款余额</w:t>
      </w:r>
      <w:r>
        <w:rPr>
          <w:rFonts w:hint="eastAsia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  <w:t>66.29</w:t>
      </w:r>
      <w:r>
        <w:rPr>
          <w:rFonts w:hint="default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  <w:t>亿元，同比增长</w:t>
      </w:r>
      <w:r>
        <w:rPr>
          <w:rFonts w:hint="eastAsia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  <w:t>29.4</w:t>
      </w:r>
      <w:r>
        <w:rPr>
          <w:rFonts w:hint="default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  <w:t>%。</w:t>
      </w:r>
    </w:p>
    <w:p>
      <w:pPr>
        <w:spacing w:line="360" w:lineRule="auto"/>
        <w:ind w:firstLine="548" w:firstLineChars="196"/>
        <w:rPr>
          <w:rFonts w:hint="default" w:ascii="Times New Roman" w:hAnsi="Times New Roman" w:eastAsia="仿宋_GB2312" w:cs="Times New Roman"/>
          <w:b w:val="0"/>
          <w:bCs/>
          <w:sz w:val="28"/>
          <w:szCs w:val="28"/>
          <w:lang w:val="en-US" w:eastAsia="zh-CN"/>
        </w:rPr>
      </w:pPr>
      <w:bookmarkStart w:id="0" w:name="_GoBack"/>
      <w:bookmarkEnd w:id="0"/>
    </w:p>
    <w:sectPr>
      <w:footerReference r:id="rId3" w:type="default"/>
      <w:footerReference r:id="rId4" w:type="even"/>
      <w:pgSz w:w="11906" w:h="16838"/>
      <w:pgMar w:top="1440" w:right="1797" w:bottom="1440" w:left="141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043B35B8-75A7-4AA5-BE59-F2E235D3ED6B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D214FFBA-4DE2-40EE-AD9F-86D1829F53F2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225C843F-6FB9-4A98-A828-32A27577E6B7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D01343ED-D714-4396-B96F-8307F26501EA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AB954433-BE40-47E6-B9BD-84B04037821C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42FE60E2-4B43-4720-91F2-288EA09D4018}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  <w:embedRegular r:id="rId7" w:fontKey="{39CFB6A9-E21E-455F-ACF2-461A7701F419}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  <w:embedRegular r:id="rId8" w:fontKey="{1D422A5E-973F-4140-8551-C636E84EA0FF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9" w:fontKey="{B73730E2-A2C4-427C-B246-4D2EFC634D83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framePr w:wrap="around" w:vAnchor="text" w:hAnchor="margin" w:xAlign="right" w:y="1"/>
      <w:rPr>
        <w:rStyle w:val="10"/>
        <w:rFonts w:cs="Calibri"/>
      </w:rPr>
    </w:pPr>
    <w:r>
      <w:rPr>
        <w:rStyle w:val="10"/>
        <w:rFonts w:cs="Calibri"/>
      </w:rPr>
      <w:fldChar w:fldCharType="begin"/>
    </w:r>
    <w:r>
      <w:rPr>
        <w:rStyle w:val="10"/>
        <w:rFonts w:cs="Calibri"/>
      </w:rPr>
      <w:instrText xml:space="preserve">PAGE  </w:instrText>
    </w:r>
    <w:r>
      <w:rPr>
        <w:rStyle w:val="10"/>
        <w:rFonts w:cs="Calibri"/>
      </w:rPr>
      <w:fldChar w:fldCharType="separate"/>
    </w:r>
    <w:r>
      <w:rPr>
        <w:rStyle w:val="10"/>
        <w:rFonts w:cs="Calibri"/>
      </w:rPr>
      <w:t>1</w:t>
    </w:r>
    <w:r>
      <w:rPr>
        <w:rStyle w:val="10"/>
        <w:rFonts w:cs="Calibri"/>
      </w:rPr>
      <w:fldChar w:fldCharType="end"/>
    </w:r>
  </w:p>
  <w:p>
    <w:pPr>
      <w:pStyle w:val="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framePr w:wrap="around" w:vAnchor="text" w:hAnchor="margin" w:xAlign="right" w:y="1"/>
      <w:rPr>
        <w:rStyle w:val="10"/>
        <w:rFonts w:cs="Calibri"/>
      </w:rPr>
    </w:pPr>
    <w:r>
      <w:rPr>
        <w:rStyle w:val="10"/>
        <w:rFonts w:cs="Calibri"/>
      </w:rPr>
      <w:fldChar w:fldCharType="begin"/>
    </w:r>
    <w:r>
      <w:rPr>
        <w:rStyle w:val="10"/>
        <w:rFonts w:cs="Calibri"/>
      </w:rPr>
      <w:instrText xml:space="preserve">PAGE  </w:instrText>
    </w:r>
    <w:r>
      <w:rPr>
        <w:rStyle w:val="10"/>
        <w:rFonts w:cs="Calibri"/>
      </w:rPr>
      <w:fldChar w:fldCharType="end"/>
    </w:r>
  </w:p>
  <w:p>
    <w:pPr>
      <w:pStyle w:val="4"/>
      <w:ind w:right="360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9FA03D7"/>
    <w:multiLevelType w:val="singleLevel"/>
    <w:tmpl w:val="F9FA03D7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758FF527"/>
    <w:multiLevelType w:val="singleLevel"/>
    <w:tmpl w:val="758FF527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YyNTE3NDRiYzA1ZWM2ZDVlYTFmZmYxYzQ3NzJlNTMifQ=="/>
  </w:docVars>
  <w:rsids>
    <w:rsidRoot w:val="004D6ADA"/>
    <w:rsid w:val="000009E2"/>
    <w:rsid w:val="00001ECA"/>
    <w:rsid w:val="00003395"/>
    <w:rsid w:val="00005369"/>
    <w:rsid w:val="00012CEA"/>
    <w:rsid w:val="00016FE4"/>
    <w:rsid w:val="0001704A"/>
    <w:rsid w:val="00022459"/>
    <w:rsid w:val="00024A57"/>
    <w:rsid w:val="00032561"/>
    <w:rsid w:val="00033A75"/>
    <w:rsid w:val="00034114"/>
    <w:rsid w:val="0003418B"/>
    <w:rsid w:val="00036C5A"/>
    <w:rsid w:val="000431BB"/>
    <w:rsid w:val="000438EA"/>
    <w:rsid w:val="00056527"/>
    <w:rsid w:val="00061950"/>
    <w:rsid w:val="00070E7B"/>
    <w:rsid w:val="00077CD9"/>
    <w:rsid w:val="00085114"/>
    <w:rsid w:val="00087587"/>
    <w:rsid w:val="00091AEF"/>
    <w:rsid w:val="000A3C1D"/>
    <w:rsid w:val="000A705F"/>
    <w:rsid w:val="000B0C09"/>
    <w:rsid w:val="000B2CDC"/>
    <w:rsid w:val="000B4D82"/>
    <w:rsid w:val="000B600E"/>
    <w:rsid w:val="000B63BE"/>
    <w:rsid w:val="000C00FB"/>
    <w:rsid w:val="000C46EE"/>
    <w:rsid w:val="000C55B3"/>
    <w:rsid w:val="000D0D18"/>
    <w:rsid w:val="000D21AF"/>
    <w:rsid w:val="000E0279"/>
    <w:rsid w:val="000F13F9"/>
    <w:rsid w:val="000F5B05"/>
    <w:rsid w:val="001009F7"/>
    <w:rsid w:val="00104503"/>
    <w:rsid w:val="00106A7A"/>
    <w:rsid w:val="001131D5"/>
    <w:rsid w:val="0011524A"/>
    <w:rsid w:val="0012403B"/>
    <w:rsid w:val="001260E9"/>
    <w:rsid w:val="00127A71"/>
    <w:rsid w:val="001432E6"/>
    <w:rsid w:val="00145A33"/>
    <w:rsid w:val="00147FC3"/>
    <w:rsid w:val="0016593A"/>
    <w:rsid w:val="00165EB1"/>
    <w:rsid w:val="0016640E"/>
    <w:rsid w:val="00170535"/>
    <w:rsid w:val="001708BF"/>
    <w:rsid w:val="00176EFB"/>
    <w:rsid w:val="00183F9B"/>
    <w:rsid w:val="00191BCE"/>
    <w:rsid w:val="001940F7"/>
    <w:rsid w:val="001959A0"/>
    <w:rsid w:val="001A23FA"/>
    <w:rsid w:val="001B159E"/>
    <w:rsid w:val="001B5D5A"/>
    <w:rsid w:val="001B6723"/>
    <w:rsid w:val="001B6C15"/>
    <w:rsid w:val="001C2C64"/>
    <w:rsid w:val="001C4A99"/>
    <w:rsid w:val="001C4C5A"/>
    <w:rsid w:val="001C5501"/>
    <w:rsid w:val="001D06B6"/>
    <w:rsid w:val="001D4D12"/>
    <w:rsid w:val="001D7053"/>
    <w:rsid w:val="001F3A35"/>
    <w:rsid w:val="001F3EE3"/>
    <w:rsid w:val="001F440F"/>
    <w:rsid w:val="001F513A"/>
    <w:rsid w:val="001F7BCC"/>
    <w:rsid w:val="002037CE"/>
    <w:rsid w:val="00205C67"/>
    <w:rsid w:val="00214A1D"/>
    <w:rsid w:val="0022193D"/>
    <w:rsid w:val="00242FA6"/>
    <w:rsid w:val="00246D8F"/>
    <w:rsid w:val="002A0305"/>
    <w:rsid w:val="002A0880"/>
    <w:rsid w:val="002A13DF"/>
    <w:rsid w:val="002A2D11"/>
    <w:rsid w:val="002A7B9D"/>
    <w:rsid w:val="002B03C9"/>
    <w:rsid w:val="002B57AB"/>
    <w:rsid w:val="002B5DD2"/>
    <w:rsid w:val="002B6A85"/>
    <w:rsid w:val="002B7F95"/>
    <w:rsid w:val="002C149B"/>
    <w:rsid w:val="002C2DE2"/>
    <w:rsid w:val="002C3B41"/>
    <w:rsid w:val="002D0882"/>
    <w:rsid w:val="002D3383"/>
    <w:rsid w:val="002D6E04"/>
    <w:rsid w:val="002E44A1"/>
    <w:rsid w:val="002E54A6"/>
    <w:rsid w:val="002E571F"/>
    <w:rsid w:val="0030155D"/>
    <w:rsid w:val="00303726"/>
    <w:rsid w:val="00314E37"/>
    <w:rsid w:val="00316CE4"/>
    <w:rsid w:val="00333510"/>
    <w:rsid w:val="00334535"/>
    <w:rsid w:val="003420C5"/>
    <w:rsid w:val="00344321"/>
    <w:rsid w:val="00356AC4"/>
    <w:rsid w:val="00367054"/>
    <w:rsid w:val="003767A1"/>
    <w:rsid w:val="00395CBB"/>
    <w:rsid w:val="003A4546"/>
    <w:rsid w:val="003B0A5E"/>
    <w:rsid w:val="003B2C05"/>
    <w:rsid w:val="003C39CC"/>
    <w:rsid w:val="003D2AD4"/>
    <w:rsid w:val="003E1CDE"/>
    <w:rsid w:val="003F24B2"/>
    <w:rsid w:val="00417C1D"/>
    <w:rsid w:val="00421282"/>
    <w:rsid w:val="00422200"/>
    <w:rsid w:val="00427143"/>
    <w:rsid w:val="004322AB"/>
    <w:rsid w:val="00434505"/>
    <w:rsid w:val="0044146F"/>
    <w:rsid w:val="00441A16"/>
    <w:rsid w:val="00445B20"/>
    <w:rsid w:val="004475B3"/>
    <w:rsid w:val="0045244B"/>
    <w:rsid w:val="004555B7"/>
    <w:rsid w:val="00464C2C"/>
    <w:rsid w:val="00465D6A"/>
    <w:rsid w:val="00465F74"/>
    <w:rsid w:val="00470EA5"/>
    <w:rsid w:val="00474CFA"/>
    <w:rsid w:val="00475087"/>
    <w:rsid w:val="00481597"/>
    <w:rsid w:val="004A0E02"/>
    <w:rsid w:val="004A3A3E"/>
    <w:rsid w:val="004A4A71"/>
    <w:rsid w:val="004A5266"/>
    <w:rsid w:val="004B0917"/>
    <w:rsid w:val="004C29E2"/>
    <w:rsid w:val="004C4B9B"/>
    <w:rsid w:val="004D4590"/>
    <w:rsid w:val="004D4EA0"/>
    <w:rsid w:val="004D6ADA"/>
    <w:rsid w:val="004D718E"/>
    <w:rsid w:val="004E0C6B"/>
    <w:rsid w:val="004E54B5"/>
    <w:rsid w:val="00504C63"/>
    <w:rsid w:val="0050574B"/>
    <w:rsid w:val="00510308"/>
    <w:rsid w:val="00513F27"/>
    <w:rsid w:val="005267D1"/>
    <w:rsid w:val="00530243"/>
    <w:rsid w:val="00532FFC"/>
    <w:rsid w:val="0053578C"/>
    <w:rsid w:val="0054074A"/>
    <w:rsid w:val="00545295"/>
    <w:rsid w:val="00546373"/>
    <w:rsid w:val="00547387"/>
    <w:rsid w:val="00547D02"/>
    <w:rsid w:val="00561173"/>
    <w:rsid w:val="005702E2"/>
    <w:rsid w:val="00572521"/>
    <w:rsid w:val="0057452A"/>
    <w:rsid w:val="00576221"/>
    <w:rsid w:val="0057744A"/>
    <w:rsid w:val="00580BC3"/>
    <w:rsid w:val="005856E2"/>
    <w:rsid w:val="005B0183"/>
    <w:rsid w:val="005B0BA5"/>
    <w:rsid w:val="005B5955"/>
    <w:rsid w:val="005C3D16"/>
    <w:rsid w:val="005C6613"/>
    <w:rsid w:val="005D6C9C"/>
    <w:rsid w:val="005E06D8"/>
    <w:rsid w:val="005F1CCB"/>
    <w:rsid w:val="005F63CE"/>
    <w:rsid w:val="00614AA3"/>
    <w:rsid w:val="006168CA"/>
    <w:rsid w:val="00627889"/>
    <w:rsid w:val="006312D3"/>
    <w:rsid w:val="00631E0B"/>
    <w:rsid w:val="00635DE1"/>
    <w:rsid w:val="0064062E"/>
    <w:rsid w:val="00642BBF"/>
    <w:rsid w:val="00644BDA"/>
    <w:rsid w:val="00651A8D"/>
    <w:rsid w:val="00654985"/>
    <w:rsid w:val="00655816"/>
    <w:rsid w:val="0066113D"/>
    <w:rsid w:val="00662062"/>
    <w:rsid w:val="0067081A"/>
    <w:rsid w:val="006744D7"/>
    <w:rsid w:val="006847B5"/>
    <w:rsid w:val="00694083"/>
    <w:rsid w:val="00697235"/>
    <w:rsid w:val="006A72FE"/>
    <w:rsid w:val="006B0A18"/>
    <w:rsid w:val="006B2E8A"/>
    <w:rsid w:val="006B7913"/>
    <w:rsid w:val="006C7698"/>
    <w:rsid w:val="006D0C77"/>
    <w:rsid w:val="006D4515"/>
    <w:rsid w:val="006D6D62"/>
    <w:rsid w:val="006D7EE9"/>
    <w:rsid w:val="006E7C2E"/>
    <w:rsid w:val="00700DA0"/>
    <w:rsid w:val="00707E15"/>
    <w:rsid w:val="00711864"/>
    <w:rsid w:val="00716417"/>
    <w:rsid w:val="00723582"/>
    <w:rsid w:val="00730EFA"/>
    <w:rsid w:val="00741D6F"/>
    <w:rsid w:val="007467B9"/>
    <w:rsid w:val="007553ED"/>
    <w:rsid w:val="00760B49"/>
    <w:rsid w:val="0076191A"/>
    <w:rsid w:val="00765CEE"/>
    <w:rsid w:val="007762C2"/>
    <w:rsid w:val="00777AAB"/>
    <w:rsid w:val="00791C34"/>
    <w:rsid w:val="007942AC"/>
    <w:rsid w:val="00794BEE"/>
    <w:rsid w:val="00797908"/>
    <w:rsid w:val="007A4567"/>
    <w:rsid w:val="007A7DD5"/>
    <w:rsid w:val="007C523F"/>
    <w:rsid w:val="007C5E2B"/>
    <w:rsid w:val="007D53D0"/>
    <w:rsid w:val="007E1D3A"/>
    <w:rsid w:val="007E2F54"/>
    <w:rsid w:val="007E5747"/>
    <w:rsid w:val="007F3F0E"/>
    <w:rsid w:val="008023F2"/>
    <w:rsid w:val="00806A6E"/>
    <w:rsid w:val="00823078"/>
    <w:rsid w:val="0082405C"/>
    <w:rsid w:val="00824586"/>
    <w:rsid w:val="00833DF8"/>
    <w:rsid w:val="008355FA"/>
    <w:rsid w:val="00841C9C"/>
    <w:rsid w:val="0084296F"/>
    <w:rsid w:val="00843853"/>
    <w:rsid w:val="0084672F"/>
    <w:rsid w:val="00854DA4"/>
    <w:rsid w:val="0086597A"/>
    <w:rsid w:val="008706DC"/>
    <w:rsid w:val="00871F4B"/>
    <w:rsid w:val="00876874"/>
    <w:rsid w:val="00880532"/>
    <w:rsid w:val="008826AF"/>
    <w:rsid w:val="0088559E"/>
    <w:rsid w:val="00891018"/>
    <w:rsid w:val="00897969"/>
    <w:rsid w:val="008A4116"/>
    <w:rsid w:val="008A4A23"/>
    <w:rsid w:val="008B61AA"/>
    <w:rsid w:val="008B76ED"/>
    <w:rsid w:val="008B7D0D"/>
    <w:rsid w:val="008C0218"/>
    <w:rsid w:val="008D10F5"/>
    <w:rsid w:val="008D1651"/>
    <w:rsid w:val="008D23C4"/>
    <w:rsid w:val="008D6E59"/>
    <w:rsid w:val="008E62EB"/>
    <w:rsid w:val="008F35C1"/>
    <w:rsid w:val="0090541A"/>
    <w:rsid w:val="0090763B"/>
    <w:rsid w:val="0091336E"/>
    <w:rsid w:val="009143D9"/>
    <w:rsid w:val="00915315"/>
    <w:rsid w:val="00916237"/>
    <w:rsid w:val="00932BA9"/>
    <w:rsid w:val="0093542E"/>
    <w:rsid w:val="00942DC6"/>
    <w:rsid w:val="009456EF"/>
    <w:rsid w:val="00950006"/>
    <w:rsid w:val="00962389"/>
    <w:rsid w:val="009735A2"/>
    <w:rsid w:val="009862BD"/>
    <w:rsid w:val="00990CBE"/>
    <w:rsid w:val="009976C6"/>
    <w:rsid w:val="009A2FBC"/>
    <w:rsid w:val="009B1320"/>
    <w:rsid w:val="009B4828"/>
    <w:rsid w:val="009C0D8D"/>
    <w:rsid w:val="009D44D2"/>
    <w:rsid w:val="009E10B6"/>
    <w:rsid w:val="009E1798"/>
    <w:rsid w:val="009E6578"/>
    <w:rsid w:val="009F2DF2"/>
    <w:rsid w:val="00A0185A"/>
    <w:rsid w:val="00A02F8F"/>
    <w:rsid w:val="00A14379"/>
    <w:rsid w:val="00A20E92"/>
    <w:rsid w:val="00A218D6"/>
    <w:rsid w:val="00A37F6A"/>
    <w:rsid w:val="00A40BC0"/>
    <w:rsid w:val="00A47961"/>
    <w:rsid w:val="00A526E7"/>
    <w:rsid w:val="00A64D1F"/>
    <w:rsid w:val="00A64FF3"/>
    <w:rsid w:val="00A65165"/>
    <w:rsid w:val="00A7429E"/>
    <w:rsid w:val="00A74A44"/>
    <w:rsid w:val="00A74B09"/>
    <w:rsid w:val="00A76C37"/>
    <w:rsid w:val="00A82F60"/>
    <w:rsid w:val="00A964FA"/>
    <w:rsid w:val="00AA135A"/>
    <w:rsid w:val="00AB1A95"/>
    <w:rsid w:val="00AB483D"/>
    <w:rsid w:val="00AD1319"/>
    <w:rsid w:val="00AD3016"/>
    <w:rsid w:val="00AD62DF"/>
    <w:rsid w:val="00AE13B4"/>
    <w:rsid w:val="00AF24CC"/>
    <w:rsid w:val="00AF4E0A"/>
    <w:rsid w:val="00AF77BD"/>
    <w:rsid w:val="00B00AE4"/>
    <w:rsid w:val="00B05F1E"/>
    <w:rsid w:val="00B06551"/>
    <w:rsid w:val="00B105C8"/>
    <w:rsid w:val="00B12552"/>
    <w:rsid w:val="00B21B85"/>
    <w:rsid w:val="00B230D7"/>
    <w:rsid w:val="00B31B85"/>
    <w:rsid w:val="00B3399D"/>
    <w:rsid w:val="00B35D34"/>
    <w:rsid w:val="00B36A6C"/>
    <w:rsid w:val="00B4082F"/>
    <w:rsid w:val="00B46004"/>
    <w:rsid w:val="00B46325"/>
    <w:rsid w:val="00B508F7"/>
    <w:rsid w:val="00B64386"/>
    <w:rsid w:val="00B673D9"/>
    <w:rsid w:val="00B7170D"/>
    <w:rsid w:val="00B76E14"/>
    <w:rsid w:val="00B840D0"/>
    <w:rsid w:val="00B9179E"/>
    <w:rsid w:val="00BA17DC"/>
    <w:rsid w:val="00BA2C70"/>
    <w:rsid w:val="00BB6ED4"/>
    <w:rsid w:val="00BC1AC0"/>
    <w:rsid w:val="00BC38AF"/>
    <w:rsid w:val="00BD0A5F"/>
    <w:rsid w:val="00BE5AB5"/>
    <w:rsid w:val="00C00BCB"/>
    <w:rsid w:val="00C01556"/>
    <w:rsid w:val="00C22C1A"/>
    <w:rsid w:val="00C25440"/>
    <w:rsid w:val="00C26958"/>
    <w:rsid w:val="00C362B4"/>
    <w:rsid w:val="00C36CF7"/>
    <w:rsid w:val="00C40B01"/>
    <w:rsid w:val="00C41414"/>
    <w:rsid w:val="00C44BE9"/>
    <w:rsid w:val="00C50F55"/>
    <w:rsid w:val="00C56F17"/>
    <w:rsid w:val="00C61D73"/>
    <w:rsid w:val="00C65CE6"/>
    <w:rsid w:val="00C67A8B"/>
    <w:rsid w:val="00C767D6"/>
    <w:rsid w:val="00C80B11"/>
    <w:rsid w:val="00CA240F"/>
    <w:rsid w:val="00CA5B53"/>
    <w:rsid w:val="00CA6BED"/>
    <w:rsid w:val="00CB11AF"/>
    <w:rsid w:val="00CB2511"/>
    <w:rsid w:val="00CB61C4"/>
    <w:rsid w:val="00CC2EF4"/>
    <w:rsid w:val="00CD4A29"/>
    <w:rsid w:val="00CD4B25"/>
    <w:rsid w:val="00CD746C"/>
    <w:rsid w:val="00CE3187"/>
    <w:rsid w:val="00CE61B5"/>
    <w:rsid w:val="00CF1C88"/>
    <w:rsid w:val="00D011CA"/>
    <w:rsid w:val="00D05387"/>
    <w:rsid w:val="00D0594E"/>
    <w:rsid w:val="00D11222"/>
    <w:rsid w:val="00D11B83"/>
    <w:rsid w:val="00D20D2D"/>
    <w:rsid w:val="00D27B12"/>
    <w:rsid w:val="00D33CE6"/>
    <w:rsid w:val="00D44925"/>
    <w:rsid w:val="00D66190"/>
    <w:rsid w:val="00D7253C"/>
    <w:rsid w:val="00D7502D"/>
    <w:rsid w:val="00D756BB"/>
    <w:rsid w:val="00D7619C"/>
    <w:rsid w:val="00D8643D"/>
    <w:rsid w:val="00D86E38"/>
    <w:rsid w:val="00D87AEC"/>
    <w:rsid w:val="00D912DE"/>
    <w:rsid w:val="00DC72A4"/>
    <w:rsid w:val="00DD6423"/>
    <w:rsid w:val="00DE1549"/>
    <w:rsid w:val="00DE3DF5"/>
    <w:rsid w:val="00DE4D80"/>
    <w:rsid w:val="00E07A5E"/>
    <w:rsid w:val="00E13FFC"/>
    <w:rsid w:val="00E21077"/>
    <w:rsid w:val="00E235CC"/>
    <w:rsid w:val="00E4288A"/>
    <w:rsid w:val="00E47635"/>
    <w:rsid w:val="00E5064D"/>
    <w:rsid w:val="00E5606F"/>
    <w:rsid w:val="00E57D69"/>
    <w:rsid w:val="00E65AF1"/>
    <w:rsid w:val="00E65C3C"/>
    <w:rsid w:val="00E67B15"/>
    <w:rsid w:val="00E8184C"/>
    <w:rsid w:val="00E84836"/>
    <w:rsid w:val="00E91A16"/>
    <w:rsid w:val="00E935FA"/>
    <w:rsid w:val="00E9476F"/>
    <w:rsid w:val="00E95412"/>
    <w:rsid w:val="00E960EE"/>
    <w:rsid w:val="00EA275B"/>
    <w:rsid w:val="00EB1B2D"/>
    <w:rsid w:val="00EB7A2A"/>
    <w:rsid w:val="00EC0DEE"/>
    <w:rsid w:val="00ED1432"/>
    <w:rsid w:val="00ED1FD6"/>
    <w:rsid w:val="00ED4FE3"/>
    <w:rsid w:val="00EE38D6"/>
    <w:rsid w:val="00EF182F"/>
    <w:rsid w:val="00EF1C48"/>
    <w:rsid w:val="00EF4CA9"/>
    <w:rsid w:val="00F04BDC"/>
    <w:rsid w:val="00F05090"/>
    <w:rsid w:val="00F066B0"/>
    <w:rsid w:val="00F17BD5"/>
    <w:rsid w:val="00F32F5A"/>
    <w:rsid w:val="00F359B1"/>
    <w:rsid w:val="00F41E03"/>
    <w:rsid w:val="00F539CE"/>
    <w:rsid w:val="00F733D5"/>
    <w:rsid w:val="00F80F8A"/>
    <w:rsid w:val="00F9020E"/>
    <w:rsid w:val="00F90B08"/>
    <w:rsid w:val="00F931C3"/>
    <w:rsid w:val="00F947EC"/>
    <w:rsid w:val="00F95F35"/>
    <w:rsid w:val="00FB0DD1"/>
    <w:rsid w:val="00FC373D"/>
    <w:rsid w:val="00FC44DA"/>
    <w:rsid w:val="00FC6531"/>
    <w:rsid w:val="00FD0DB6"/>
    <w:rsid w:val="00FD7D37"/>
    <w:rsid w:val="00FE16F2"/>
    <w:rsid w:val="00FE3E1A"/>
    <w:rsid w:val="00FE41F1"/>
    <w:rsid w:val="00FE574D"/>
    <w:rsid w:val="00FF1344"/>
    <w:rsid w:val="00FF6F0F"/>
    <w:rsid w:val="012F0F40"/>
    <w:rsid w:val="02090994"/>
    <w:rsid w:val="03CE5197"/>
    <w:rsid w:val="05034E14"/>
    <w:rsid w:val="0571442E"/>
    <w:rsid w:val="061A1A83"/>
    <w:rsid w:val="06CE21BF"/>
    <w:rsid w:val="07112C54"/>
    <w:rsid w:val="07342A27"/>
    <w:rsid w:val="08C51D75"/>
    <w:rsid w:val="08C61FD7"/>
    <w:rsid w:val="09EF5C9D"/>
    <w:rsid w:val="0A1A4D0E"/>
    <w:rsid w:val="0D444B80"/>
    <w:rsid w:val="0D915C1C"/>
    <w:rsid w:val="0D9E3FC3"/>
    <w:rsid w:val="0EB36327"/>
    <w:rsid w:val="0EE347FB"/>
    <w:rsid w:val="0EF46A3A"/>
    <w:rsid w:val="0F640124"/>
    <w:rsid w:val="0FD8052D"/>
    <w:rsid w:val="103233BB"/>
    <w:rsid w:val="10AD6CA7"/>
    <w:rsid w:val="11645962"/>
    <w:rsid w:val="11AB345B"/>
    <w:rsid w:val="12BB1869"/>
    <w:rsid w:val="1396540D"/>
    <w:rsid w:val="149A1BC4"/>
    <w:rsid w:val="14B466DF"/>
    <w:rsid w:val="14E92EF2"/>
    <w:rsid w:val="15577115"/>
    <w:rsid w:val="163A2A19"/>
    <w:rsid w:val="18800485"/>
    <w:rsid w:val="199A0F1C"/>
    <w:rsid w:val="19D03C99"/>
    <w:rsid w:val="1A272E26"/>
    <w:rsid w:val="1A347786"/>
    <w:rsid w:val="1A6B5543"/>
    <w:rsid w:val="1AE211F8"/>
    <w:rsid w:val="1BCD6CC0"/>
    <w:rsid w:val="1C404189"/>
    <w:rsid w:val="1C99076E"/>
    <w:rsid w:val="1CB051A0"/>
    <w:rsid w:val="1CB17D58"/>
    <w:rsid w:val="1D5D17D9"/>
    <w:rsid w:val="1F610208"/>
    <w:rsid w:val="20541DDF"/>
    <w:rsid w:val="20D2171B"/>
    <w:rsid w:val="212149AB"/>
    <w:rsid w:val="22CA380E"/>
    <w:rsid w:val="22E426C5"/>
    <w:rsid w:val="24C273CE"/>
    <w:rsid w:val="251867EC"/>
    <w:rsid w:val="26865238"/>
    <w:rsid w:val="26917C0D"/>
    <w:rsid w:val="27056A92"/>
    <w:rsid w:val="28194775"/>
    <w:rsid w:val="285A2AD3"/>
    <w:rsid w:val="28D958C0"/>
    <w:rsid w:val="290F1861"/>
    <w:rsid w:val="29A5675B"/>
    <w:rsid w:val="2C696DE5"/>
    <w:rsid w:val="2D5503F3"/>
    <w:rsid w:val="2E3D77FC"/>
    <w:rsid w:val="305C1058"/>
    <w:rsid w:val="3078247B"/>
    <w:rsid w:val="30A42C4E"/>
    <w:rsid w:val="31A54783"/>
    <w:rsid w:val="320359A3"/>
    <w:rsid w:val="32C1598A"/>
    <w:rsid w:val="3355124E"/>
    <w:rsid w:val="33696EA5"/>
    <w:rsid w:val="339733AC"/>
    <w:rsid w:val="349445BF"/>
    <w:rsid w:val="36AE6AE0"/>
    <w:rsid w:val="39D0586A"/>
    <w:rsid w:val="3A5A5B07"/>
    <w:rsid w:val="3B04326A"/>
    <w:rsid w:val="3B062F49"/>
    <w:rsid w:val="3BA03B47"/>
    <w:rsid w:val="3BB040EE"/>
    <w:rsid w:val="3DFC5B48"/>
    <w:rsid w:val="3E347DB9"/>
    <w:rsid w:val="3E9126E3"/>
    <w:rsid w:val="3F2D4047"/>
    <w:rsid w:val="3F9E4661"/>
    <w:rsid w:val="3FE64FAF"/>
    <w:rsid w:val="3FF761AA"/>
    <w:rsid w:val="410E330E"/>
    <w:rsid w:val="416D4B5E"/>
    <w:rsid w:val="42271042"/>
    <w:rsid w:val="42965739"/>
    <w:rsid w:val="42DE6CF1"/>
    <w:rsid w:val="431A33A9"/>
    <w:rsid w:val="448E5865"/>
    <w:rsid w:val="449F596C"/>
    <w:rsid w:val="46130471"/>
    <w:rsid w:val="470F4E08"/>
    <w:rsid w:val="47466C1D"/>
    <w:rsid w:val="48201B8F"/>
    <w:rsid w:val="4837245E"/>
    <w:rsid w:val="48AF1C94"/>
    <w:rsid w:val="48D15842"/>
    <w:rsid w:val="498E1437"/>
    <w:rsid w:val="4AA704DD"/>
    <w:rsid w:val="4B4C3059"/>
    <w:rsid w:val="4B8255B0"/>
    <w:rsid w:val="4B9A5865"/>
    <w:rsid w:val="4BB37ABD"/>
    <w:rsid w:val="4CD30155"/>
    <w:rsid w:val="4CF634D0"/>
    <w:rsid w:val="4DA4699A"/>
    <w:rsid w:val="4EF05D78"/>
    <w:rsid w:val="4F5C1452"/>
    <w:rsid w:val="4F820463"/>
    <w:rsid w:val="5009470C"/>
    <w:rsid w:val="509D12E9"/>
    <w:rsid w:val="520E4D2A"/>
    <w:rsid w:val="52AF1609"/>
    <w:rsid w:val="531475DD"/>
    <w:rsid w:val="53C13EED"/>
    <w:rsid w:val="54142DE9"/>
    <w:rsid w:val="54AD5CDF"/>
    <w:rsid w:val="54F231AC"/>
    <w:rsid w:val="55722D80"/>
    <w:rsid w:val="569E316F"/>
    <w:rsid w:val="578C6C6B"/>
    <w:rsid w:val="58A71D8F"/>
    <w:rsid w:val="59635AEB"/>
    <w:rsid w:val="5A3C4C38"/>
    <w:rsid w:val="5A7E718D"/>
    <w:rsid w:val="5AD13536"/>
    <w:rsid w:val="5AD94033"/>
    <w:rsid w:val="5F130A46"/>
    <w:rsid w:val="5F55744E"/>
    <w:rsid w:val="5FB10AC7"/>
    <w:rsid w:val="6012222A"/>
    <w:rsid w:val="60896044"/>
    <w:rsid w:val="61BE179D"/>
    <w:rsid w:val="634C543F"/>
    <w:rsid w:val="63AC0EA9"/>
    <w:rsid w:val="6453742F"/>
    <w:rsid w:val="6467318F"/>
    <w:rsid w:val="648C653E"/>
    <w:rsid w:val="64E86973"/>
    <w:rsid w:val="654E2B59"/>
    <w:rsid w:val="659D4356"/>
    <w:rsid w:val="667F1781"/>
    <w:rsid w:val="669A45F3"/>
    <w:rsid w:val="66EC7CD8"/>
    <w:rsid w:val="67573419"/>
    <w:rsid w:val="67E473FC"/>
    <w:rsid w:val="68342ED2"/>
    <w:rsid w:val="68B57855"/>
    <w:rsid w:val="691E291E"/>
    <w:rsid w:val="6ADC394E"/>
    <w:rsid w:val="6B1A4D11"/>
    <w:rsid w:val="6B372DCF"/>
    <w:rsid w:val="6B5D7DF6"/>
    <w:rsid w:val="6BA954BC"/>
    <w:rsid w:val="6C557742"/>
    <w:rsid w:val="6CA83556"/>
    <w:rsid w:val="6D90415A"/>
    <w:rsid w:val="6DB041E6"/>
    <w:rsid w:val="6E901B80"/>
    <w:rsid w:val="6F151DAE"/>
    <w:rsid w:val="71447B3C"/>
    <w:rsid w:val="715942AA"/>
    <w:rsid w:val="71AC252F"/>
    <w:rsid w:val="727137F6"/>
    <w:rsid w:val="733C6C15"/>
    <w:rsid w:val="73BA1AA3"/>
    <w:rsid w:val="740352E5"/>
    <w:rsid w:val="74174400"/>
    <w:rsid w:val="772D5885"/>
    <w:rsid w:val="7A307EE3"/>
    <w:rsid w:val="7A6B64E7"/>
    <w:rsid w:val="7A6D6E9C"/>
    <w:rsid w:val="7B154EDA"/>
    <w:rsid w:val="7BA07A02"/>
    <w:rsid w:val="7D8A3207"/>
    <w:rsid w:val="7DF42BF7"/>
    <w:rsid w:val="7E6349ED"/>
    <w:rsid w:val="7E8B30DA"/>
    <w:rsid w:val="7EFFC18A"/>
    <w:rsid w:val="BBDD599B"/>
    <w:rsid w:val="C9F7C246"/>
    <w:rsid w:val="F5EFEE00"/>
    <w:rsid w:val="F795CF8C"/>
    <w:rsid w:val="FBBBAF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nhideWhenUsed="0" w:uiPriority="99" w:semiHidden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name="header"/>
    <w:lsdException w:qFormat="1" w:unhideWhenUsed="0"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99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99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nhideWhenUsed="0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Calibri"/>
      <w:kern w:val="2"/>
      <w:sz w:val="21"/>
      <w:szCs w:val="21"/>
      <w:lang w:val="en-US" w:eastAsia="zh-CN" w:bidi="ar-SA"/>
    </w:rPr>
  </w:style>
  <w:style w:type="paragraph" w:styleId="3">
    <w:name w:val="heading 3"/>
    <w:basedOn w:val="1"/>
    <w:next w:val="1"/>
    <w:link w:val="11"/>
    <w:qFormat/>
    <w:locked/>
    <w:uiPriority w:val="99"/>
    <w:pPr>
      <w:widowControl/>
      <w:spacing w:before="100" w:beforeAutospacing="1" w:after="100" w:afterAutospacing="1"/>
      <w:jc w:val="left"/>
      <w:outlineLvl w:val="2"/>
    </w:pPr>
    <w:rPr>
      <w:rFonts w:ascii="宋体" w:hAnsi="宋体" w:cs="Times New Roman"/>
      <w:b/>
      <w:bCs/>
      <w:color w:val="000000"/>
      <w:kern w:val="0"/>
      <w:sz w:val="27"/>
      <w:szCs w:val="27"/>
    </w:rPr>
  </w:style>
  <w:style w:type="character" w:default="1" w:styleId="9">
    <w:name w:val="Default Paragraph Font"/>
    <w:unhideWhenUsed/>
    <w:qFormat/>
    <w:uiPriority w:val="1"/>
  </w:style>
  <w:style w:type="table" w:default="1" w:styleId="8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Default"/>
    <w:qFormat/>
    <w:uiPriority w:val="0"/>
    <w:pPr>
      <w:widowControl w:val="0"/>
      <w:autoSpaceDE w:val="0"/>
      <w:autoSpaceDN w:val="0"/>
      <w:adjustRightInd w:val="0"/>
    </w:pPr>
    <w:rPr>
      <w:rFonts w:ascii="仿宋_GB2312" w:hAnsi="Calibri" w:eastAsia="仿宋_GB2312" w:cs="仿宋_GB2312"/>
      <w:color w:val="000000"/>
      <w:sz w:val="24"/>
      <w:szCs w:val="24"/>
      <w:lang w:val="en-US" w:eastAsia="zh-CN" w:bidi="ar-SA"/>
    </w:rPr>
  </w:style>
  <w:style w:type="paragraph" w:styleId="4">
    <w:name w:val="footer"/>
    <w:basedOn w:val="1"/>
    <w:link w:val="14"/>
    <w:semiHidden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3"/>
    <w:semiHidden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15"/>
    <w:qFormat/>
    <w:locked/>
    <w:uiPriority w:val="99"/>
    <w:pPr>
      <w:spacing w:before="240" w:after="60" w:line="312" w:lineRule="auto"/>
      <w:jc w:val="center"/>
      <w:outlineLvl w:val="1"/>
    </w:pPr>
    <w:rPr>
      <w:rFonts w:ascii="Cambria" w:hAnsi="Cambria" w:cs="Times New Roman"/>
      <w:b/>
      <w:bCs/>
      <w:kern w:val="28"/>
      <w:sz w:val="32"/>
      <w:szCs w:val="32"/>
    </w:rPr>
  </w:style>
  <w:style w:type="paragraph" w:styleId="7">
    <w:name w:val="Normal (Web)"/>
    <w:basedOn w:val="1"/>
    <w:semiHidden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Times New Roman"/>
      <w:color w:val="000000"/>
      <w:kern w:val="0"/>
      <w:sz w:val="24"/>
      <w:szCs w:val="24"/>
    </w:rPr>
  </w:style>
  <w:style w:type="character" w:styleId="10">
    <w:name w:val="page number"/>
    <w:basedOn w:val="9"/>
    <w:qFormat/>
    <w:uiPriority w:val="99"/>
    <w:rPr>
      <w:rFonts w:cs="Times New Roman"/>
    </w:rPr>
  </w:style>
  <w:style w:type="character" w:customStyle="1" w:styleId="11">
    <w:name w:val="标题 3 Char"/>
    <w:basedOn w:val="9"/>
    <w:link w:val="3"/>
    <w:qFormat/>
    <w:locked/>
    <w:uiPriority w:val="99"/>
    <w:rPr>
      <w:rFonts w:ascii="宋体" w:eastAsia="宋体" w:cs="Times New Roman"/>
      <w:b/>
      <w:bCs/>
      <w:color w:val="000000"/>
      <w:kern w:val="0"/>
      <w:sz w:val="27"/>
      <w:szCs w:val="27"/>
    </w:rPr>
  </w:style>
  <w:style w:type="paragraph" w:styleId="12">
    <w:name w:val="List Paragraph"/>
    <w:basedOn w:val="1"/>
    <w:qFormat/>
    <w:uiPriority w:val="99"/>
    <w:pPr>
      <w:ind w:firstLine="420" w:firstLineChars="200"/>
    </w:pPr>
  </w:style>
  <w:style w:type="character" w:customStyle="1" w:styleId="13">
    <w:name w:val="页眉 Char"/>
    <w:basedOn w:val="9"/>
    <w:link w:val="5"/>
    <w:semiHidden/>
    <w:qFormat/>
    <w:locked/>
    <w:uiPriority w:val="99"/>
    <w:rPr>
      <w:rFonts w:ascii="Calibri" w:hAnsi="Calibri" w:eastAsia="宋体" w:cs="Calibri"/>
      <w:sz w:val="18"/>
      <w:szCs w:val="18"/>
    </w:rPr>
  </w:style>
  <w:style w:type="character" w:customStyle="1" w:styleId="14">
    <w:name w:val="页脚 Char"/>
    <w:basedOn w:val="9"/>
    <w:link w:val="4"/>
    <w:semiHidden/>
    <w:qFormat/>
    <w:locked/>
    <w:uiPriority w:val="99"/>
    <w:rPr>
      <w:rFonts w:ascii="Calibri" w:hAnsi="Calibri" w:eastAsia="宋体" w:cs="Calibri"/>
      <w:sz w:val="18"/>
      <w:szCs w:val="18"/>
    </w:rPr>
  </w:style>
  <w:style w:type="character" w:customStyle="1" w:styleId="15">
    <w:name w:val="副标题 Char"/>
    <w:basedOn w:val="9"/>
    <w:link w:val="6"/>
    <w:qFormat/>
    <w:locked/>
    <w:uiPriority w:val="99"/>
    <w:rPr>
      <w:rFonts w:ascii="Cambria" w:hAnsi="Cambria" w:cs="Times New Roman"/>
      <w:b/>
      <w:bCs/>
      <w:kern w:val="28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hart" Target="charts/chart2.xml"/><Relationship Id="rId6" Type="http://schemas.openxmlformats.org/officeDocument/2006/relationships/chart" Target="charts/chart1.xml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charts/_rels/chart1.xml.rels><?xml version="1.0" encoding="UTF-8" standalone="yes"?>
<Relationships xmlns="http://schemas.openxmlformats.org/package/2006/relationships"><Relationship Id="rId3" Type="http://schemas.microsoft.com/office/2011/relationships/chartColorStyle" Target="colors1.xml"/><Relationship Id="rId2" Type="http://schemas.microsoft.com/office/2011/relationships/chartStyle" Target="style1.xml"/><Relationship Id="rId1" Type="http://schemas.openxmlformats.org/officeDocument/2006/relationships/oleObject" Target="file:///F:\&#32508;&#21512;&#12289;&#26680;&#31639;&#30456;&#20851;&#24037;&#20316;\&#32479;&#35745;&#32508;&#21512;&#24037;&#20316;\2023&#24180;\1-5&#26376;\&#22478;&#21475;&#19982;&#20840;&#24066;&#24037;&#19994;&#22686;&#21152;&#20540;&#22686;&#36895;&#19982;&#22266;&#23450;&#36164;&#20135;&#25237;&#36164;&#22686;&#36895;&#23545;&#27604;(1).xlsx" TargetMode="External"/></Relationships>
</file>

<file path=word/charts/_rels/chart2.xml.rels><?xml version="1.0" encoding="UTF-8" standalone="yes"?>
<Relationships xmlns="http://schemas.openxmlformats.org/package/2006/relationships"><Relationship Id="rId3" Type="http://schemas.microsoft.com/office/2011/relationships/chartColorStyle" Target="colors2.xml"/><Relationship Id="rId2" Type="http://schemas.microsoft.com/office/2011/relationships/chartStyle" Target="style2.xml"/><Relationship Id="rId1" Type="http://schemas.openxmlformats.org/officeDocument/2006/relationships/oleObject" Target="file:///F:\&#32508;&#21512;&#12289;&#26680;&#31639;&#30456;&#20851;&#24037;&#20316;\&#32479;&#35745;&#32508;&#21512;&#24037;&#20316;\2023&#24180;\1-5&#26376;\&#22478;&#21475;&#19982;&#20840;&#24066;&#24037;&#19994;&#22686;&#21152;&#20540;&#22686;&#36895;&#19982;&#22266;&#23450;&#36164;&#20135;&#25237;&#36164;&#22686;&#36895;&#23545;&#27604;(1)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0" vertOverflow="ellipsis" vert="horz" wrap="square" anchor="ctr" anchorCtr="1"/>
          <a:lstStyle/>
          <a:p>
            <a:pPr defTabSz="914400">
              <a:defRPr lang="zh-CN"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sz="1200">
                <a:latin typeface="Times New Roman" panose="02020603050405020304" charset="0"/>
                <a:ea typeface="方正小标宋_GBK" panose="03000509000000000000" charset="-122"/>
                <a:cs typeface="Times New Roman" panose="02020603050405020304" charset="0"/>
              </a:rPr>
              <a:t>图</a:t>
            </a:r>
            <a:r>
              <a:rPr lang="en-US" altLang="zh-CN" sz="1200">
                <a:latin typeface="Times New Roman" panose="02020603050405020304" charset="0"/>
                <a:ea typeface="方正小标宋_GBK" panose="03000509000000000000" charset="-122"/>
                <a:cs typeface="Times New Roman" panose="02020603050405020304" charset="0"/>
              </a:rPr>
              <a:t>1</a:t>
            </a:r>
            <a:r>
              <a:rPr altLang="en-US" sz="1200">
                <a:latin typeface="Times New Roman" panose="02020603050405020304" charset="0"/>
                <a:ea typeface="方正小标宋_GBK" panose="03000509000000000000" charset="-122"/>
                <a:cs typeface="Times New Roman" panose="02020603050405020304" charset="0"/>
              </a:rPr>
              <a:t>：</a:t>
            </a:r>
            <a:r>
              <a:rPr lang="en-US" altLang="zh-CN" sz="1200">
                <a:latin typeface="Times New Roman" panose="02020603050405020304" charset="0"/>
                <a:ea typeface="方正小标宋_GBK" panose="03000509000000000000" charset="-122"/>
                <a:cs typeface="Times New Roman" panose="02020603050405020304" charset="0"/>
              </a:rPr>
              <a:t> 2022</a:t>
            </a:r>
            <a:r>
              <a:rPr altLang="en-US" sz="1200">
                <a:latin typeface="Times New Roman" panose="02020603050405020304" charset="0"/>
                <a:ea typeface="方正小标宋_GBK" panose="03000509000000000000" charset="-122"/>
                <a:cs typeface="Times New Roman" panose="02020603050405020304" charset="0"/>
              </a:rPr>
              <a:t>年以来城口县与重庆市规上工业增加值累计增速对比</a:t>
            </a:r>
            <a:endParaRPr altLang="en-US" sz="1200">
              <a:latin typeface="Times New Roman" panose="02020603050405020304" charset="0"/>
              <a:ea typeface="方正小标宋_GBK" panose="03000509000000000000" charset="-122"/>
              <a:cs typeface="Times New Roman" panose="02020603050405020304" charset="0"/>
            </a:endParaRPr>
          </a:p>
          <a:p>
            <a:pPr defTabSz="914400">
              <a:defRPr lang="zh-CN"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altLang="en-US" sz="1200">
                <a:latin typeface="Times New Roman" panose="02020603050405020304" charset="0"/>
                <a:ea typeface="方正小标宋_GBK" panose="03000509000000000000" charset="-122"/>
                <a:cs typeface="Times New Roman" panose="02020603050405020304" charset="0"/>
              </a:rPr>
              <a:t>单位：</a:t>
            </a:r>
            <a:r>
              <a:rPr lang="en-US" altLang="zh-CN" sz="1200">
                <a:latin typeface="Times New Roman" panose="02020603050405020304" charset="0"/>
                <a:ea typeface="方正小标宋_GBK" panose="03000509000000000000" charset="-122"/>
                <a:cs typeface="Times New Roman" panose="02020603050405020304" charset="0"/>
              </a:rPr>
              <a:t>%</a:t>
            </a:r>
            <a:endParaRPr lang="en-US" altLang="zh-CN" sz="1200">
              <a:latin typeface="Times New Roman" panose="02020603050405020304" charset="0"/>
              <a:ea typeface="方正小标宋_GBK" panose="03000509000000000000" charset="-122"/>
              <a:cs typeface="Times New Roman" panose="02020603050405020304" charset="0"/>
            </a:endParaRPr>
          </a:p>
        </c:rich>
      </c:tx>
      <c:layout>
        <c:manualLayout>
          <c:xMode val="edge"/>
          <c:yMode val="edge"/>
          <c:x val="0.175264314161032"/>
          <c:y val="0.0198538535778299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'[城口与全市工业增加值增速与固定资产投资增速对比(1).xlsx]Sheet1'!$B$1</c:f>
              <c:strCache>
                <c:ptCount val="1"/>
                <c:pt idx="0">
                  <c:v>城口县</c:v>
                </c:pt>
              </c:strCache>
            </c:strRef>
          </c:tx>
          <c:spPr>
            <a:ln w="25400" cap="rnd" cmpd="sng">
              <a:solidFill>
                <a:schemeClr val="accent1"/>
              </a:solidFill>
              <a:prstDash val="sysDash"/>
              <a:round/>
            </a:ln>
            <a:effectLst/>
          </c:spPr>
          <c:marker>
            <c:symbol val="circle"/>
            <c:size val="3"/>
            <c:spPr>
              <a:solidFill>
                <a:schemeClr val="tx1"/>
              </a:solidFill>
              <a:ln w="9525">
                <a:solidFill>
                  <a:schemeClr val="tx1"/>
                </a:solidFill>
              </a:ln>
              <a:effectLst/>
            </c:spPr>
          </c:marker>
          <c:dLbls>
            <c:dLbl>
              <c:idx val="1"/>
              <c:layout>
                <c:manualLayout>
                  <c:x val="0.0161685448309652"/>
                  <c:y val="-0.00220490959870645"/>
                </c:manualLayout>
              </c:layout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-0.0146986771190593"/>
                  <c:y val="0"/>
                </c:manualLayout>
              </c:layout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-0.0161685448309652"/>
                  <c:y val="0.00220490959870645"/>
                </c:manualLayout>
              </c:layout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9"/>
              <c:layout>
                <c:manualLayout>
                  <c:x val="-0.00554275516951585"/>
                  <c:y val="0.0146698979785609"/>
                </c:manualLayout>
              </c:layout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zh-CN"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charset="0"/>
                    <a:ea typeface="Times New Roman" panose="02020603050405020304" charset="0"/>
                    <a:cs typeface="Times New Roman" panose="02020603050405020304" charset="0"/>
                    <a:sym typeface="Times New Roman" panose="02020603050405020304" charset="0"/>
                  </a:defRPr>
                </a:pPr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'[城口与全市工业增加值增速与固定资产投资增速对比(1).xlsx]Sheet1'!$A$6:$A$17</c:f>
              <c:strCache>
                <c:ptCount val="12"/>
                <c:pt idx="0">
                  <c:v>8月</c:v>
                </c:pt>
                <c:pt idx="1">
                  <c:v>9月</c:v>
                </c:pt>
                <c:pt idx="2">
                  <c:v>10月</c:v>
                </c:pt>
                <c:pt idx="3">
                  <c:v>11月</c:v>
                </c:pt>
                <c:pt idx="4">
                  <c:v>12月</c:v>
                </c:pt>
                <c:pt idx="5">
                  <c:v>2023年1-2月</c:v>
                </c:pt>
                <c:pt idx="6">
                  <c:v>3月</c:v>
                </c:pt>
                <c:pt idx="7">
                  <c:v>4月</c:v>
                </c:pt>
                <c:pt idx="8">
                  <c:v>5月</c:v>
                </c:pt>
                <c:pt idx="9">
                  <c:v>6月</c:v>
                </c:pt>
                <c:pt idx="10">
                  <c:v>7月</c:v>
                </c:pt>
                <c:pt idx="11">
                  <c:v>8月</c:v>
                </c:pt>
              </c:strCache>
            </c:strRef>
          </c:cat>
          <c:val>
            <c:numRef>
              <c:f>'[城口与全市工业增加值增速与固定资产投资增速对比(1).xlsx]Sheet1'!$B$6:$B$17</c:f>
              <c:numCache>
                <c:formatCode>0.0_ </c:formatCode>
                <c:ptCount val="12"/>
                <c:pt idx="0">
                  <c:v>-15.2</c:v>
                </c:pt>
                <c:pt idx="1">
                  <c:v>-17.5</c:v>
                </c:pt>
                <c:pt idx="2">
                  <c:v>-15.5</c:v>
                </c:pt>
                <c:pt idx="3">
                  <c:v>-13.4</c:v>
                </c:pt>
                <c:pt idx="4">
                  <c:v>-8.2</c:v>
                </c:pt>
                <c:pt idx="5">
                  <c:v>9.5</c:v>
                </c:pt>
                <c:pt idx="6">
                  <c:v>11</c:v>
                </c:pt>
                <c:pt idx="7">
                  <c:v>10.8</c:v>
                </c:pt>
                <c:pt idx="8">
                  <c:v>9.6</c:v>
                </c:pt>
                <c:pt idx="9">
                  <c:v>10.9</c:v>
                </c:pt>
                <c:pt idx="10">
                  <c:v>11.7</c:v>
                </c:pt>
                <c:pt idx="11">
                  <c:v>16.3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'[城口与全市工业增加值增速与固定资产投资增速对比(1).xlsx]Sheet1'!$C$1</c:f>
              <c:strCache>
                <c:ptCount val="1"/>
                <c:pt idx="0">
                  <c:v>重庆市</c:v>
                </c:pt>
              </c:strCache>
            </c:strRef>
          </c:tx>
          <c:spPr>
            <a:ln w="2540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3"/>
            <c:spPr>
              <a:solidFill>
                <a:schemeClr val="tx1"/>
              </a:solidFill>
              <a:ln w="9525">
                <a:solidFill>
                  <a:schemeClr val="tx1"/>
                </a:solidFill>
              </a:ln>
              <a:effectLst/>
            </c:spPr>
          </c:marker>
          <c:dLbls>
            <c:dLbl>
              <c:idx val="5"/>
              <c:layout>
                <c:manualLayout>
                  <c:x val="0.0117589416952474"/>
                  <c:y val="0.0727620167573129"/>
                </c:manualLayout>
              </c:layout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6"/>
              <c:layout>
                <c:manualLayout>
                  <c:x val="0.00587947084762371"/>
                  <c:y val="0.0749669263560194"/>
                </c:manualLayout>
              </c:layout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7"/>
              <c:layout>
                <c:manualLayout>
                  <c:x val="0.00734933855952964"/>
                  <c:y val="0.00440981919741294"/>
                </c:manualLayout>
              </c:layout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8"/>
              <c:layout>
                <c:manualLayout>
                  <c:x val="0.00524418223533268"/>
                  <c:y val="0.067833999724252"/>
                </c:manualLayout>
              </c:layout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9"/>
              <c:layout>
                <c:manualLayout>
                  <c:x val="0.00969609556655788"/>
                  <c:y val="0.00819181411812032"/>
                </c:manualLayout>
              </c:layout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0"/>
              <c:layout>
                <c:manualLayout>
                  <c:x val="-0.0116996438535691"/>
                  <c:y val="0.00514646120370108"/>
                </c:manualLayout>
              </c:layout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zh-CN"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charset="0"/>
                    <a:ea typeface="Times New Roman" panose="02020603050405020304" charset="0"/>
                    <a:cs typeface="Times New Roman" panose="02020603050405020304" charset="0"/>
                    <a:sym typeface="Times New Roman" panose="02020603050405020304" charset="0"/>
                  </a:defRPr>
                </a:pPr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'[城口与全市工业增加值增速与固定资产投资增速对比(1).xlsx]Sheet1'!$A$6:$A$17</c:f>
              <c:strCache>
                <c:ptCount val="12"/>
                <c:pt idx="0">
                  <c:v>8月</c:v>
                </c:pt>
                <c:pt idx="1">
                  <c:v>9月</c:v>
                </c:pt>
                <c:pt idx="2">
                  <c:v>10月</c:v>
                </c:pt>
                <c:pt idx="3">
                  <c:v>11月</c:v>
                </c:pt>
                <c:pt idx="4">
                  <c:v>12月</c:v>
                </c:pt>
                <c:pt idx="5">
                  <c:v>2023年1-2月</c:v>
                </c:pt>
                <c:pt idx="6">
                  <c:v>3月</c:v>
                </c:pt>
                <c:pt idx="7">
                  <c:v>4月</c:v>
                </c:pt>
                <c:pt idx="8">
                  <c:v>5月</c:v>
                </c:pt>
                <c:pt idx="9">
                  <c:v>6月</c:v>
                </c:pt>
                <c:pt idx="10">
                  <c:v>7月</c:v>
                </c:pt>
                <c:pt idx="11">
                  <c:v>8月</c:v>
                </c:pt>
              </c:strCache>
            </c:strRef>
          </c:cat>
          <c:val>
            <c:numRef>
              <c:f>'[城口与全市工业增加值增速与固定资产投资增速对比(1).xlsx]Sheet1'!$C$6:$C$17</c:f>
              <c:numCache>
                <c:formatCode>0.0_ </c:formatCode>
                <c:ptCount val="12"/>
                <c:pt idx="0">
                  <c:v>2.7</c:v>
                </c:pt>
                <c:pt idx="1">
                  <c:v>4</c:v>
                </c:pt>
                <c:pt idx="2">
                  <c:v>4.5</c:v>
                </c:pt>
                <c:pt idx="3">
                  <c:v>3.8</c:v>
                </c:pt>
                <c:pt idx="4">
                  <c:v>3.6</c:v>
                </c:pt>
                <c:pt idx="5">
                  <c:v>6.5</c:v>
                </c:pt>
                <c:pt idx="6">
                  <c:v>6</c:v>
                </c:pt>
                <c:pt idx="7">
                  <c:v>1.9</c:v>
                </c:pt>
                <c:pt idx="8">
                  <c:v>2.8</c:v>
                </c:pt>
                <c:pt idx="9">
                  <c:v>3.5</c:v>
                </c:pt>
                <c:pt idx="10">
                  <c:v>4.2</c:v>
                </c:pt>
                <c:pt idx="11">
                  <c:v>6.3</c:v>
                </c:pt>
              </c:numCache>
            </c:numRef>
          </c:val>
          <c:smooth val="0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99856702"/>
        <c:axId val="126319363"/>
      </c:lineChart>
      <c:catAx>
        <c:axId val="499856702"/>
        <c:scaling>
          <c:orientation val="minMax"/>
        </c:scaling>
        <c:delete val="0"/>
        <c:axPos val="b"/>
        <c:numFmt formatCode="_ &quot;￥&quot;* #,##0.00_ ;_ &quot;￥&quot;* \-#,##0.00_ ;_ &quot;￥&quot;* &quot;-&quot;??_ ;_ @_ " sourceLinked="0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charset="0"/>
                <a:ea typeface="Times New Roman" panose="02020603050405020304" charset="0"/>
                <a:cs typeface="Times New Roman" panose="02020603050405020304" charset="0"/>
                <a:sym typeface="Times New Roman" panose="02020603050405020304" charset="0"/>
              </a:defRPr>
            </a:pPr>
          </a:p>
        </c:txPr>
        <c:crossAx val="126319363"/>
        <c:crosses val="autoZero"/>
        <c:auto val="1"/>
        <c:lblAlgn val="ctr"/>
        <c:lblOffset val="100"/>
        <c:noMultiLvlLbl val="0"/>
      </c:catAx>
      <c:valAx>
        <c:axId val="12631936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_ 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charset="0"/>
                <a:ea typeface="Times New Roman" panose="02020603050405020304" charset="0"/>
                <a:cs typeface="Times New Roman" panose="02020603050405020304" charset="0"/>
                <a:sym typeface="Times New Roman" panose="02020603050405020304" charset="0"/>
              </a:defRPr>
            </a:pPr>
          </a:p>
        </c:txPr>
        <c:crossAx val="49985670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0" vertOverflow="ellipsis" vert="horz" wrap="square" anchor="ctr" anchorCtr="1"/>
        <a:lstStyle/>
        <a:p>
          <a:pPr>
            <a:defRPr lang="zh-CN"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</a:p>
      </c:txPr>
    </c:legend>
    <c:plotVisOnly val="1"/>
    <c:dispBlanksAs val="gap"/>
    <c:showDLblsOverMax val="0"/>
  </c:chart>
  <c:spPr>
    <a:noFill/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lang="zh-CN"/>
      </a:pPr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0" vertOverflow="ellipsis" vert="horz" wrap="square" anchor="ctr" anchorCtr="1"/>
          <a:lstStyle/>
          <a:p>
            <a:pPr defTabSz="914400">
              <a:defRPr lang="zh-CN"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sz="1200">
                <a:latin typeface="Times New Roman" panose="02020603050405020304" charset="0"/>
                <a:ea typeface="方正小标宋_GBK" panose="03000509000000000000" charset="-122"/>
                <a:cs typeface="Times New Roman" panose="02020603050405020304" charset="0"/>
              </a:rPr>
              <a:t>图</a:t>
            </a:r>
            <a:r>
              <a:rPr lang="en-US" altLang="zh-CN" sz="1200">
                <a:latin typeface="Times New Roman" panose="02020603050405020304" charset="0"/>
                <a:ea typeface="方正小标宋_GBK" panose="03000509000000000000" charset="-122"/>
                <a:cs typeface="Times New Roman" panose="02020603050405020304" charset="0"/>
              </a:rPr>
              <a:t>2</a:t>
            </a:r>
            <a:r>
              <a:rPr altLang="en-US" sz="1200">
                <a:latin typeface="Times New Roman" panose="02020603050405020304" charset="0"/>
                <a:ea typeface="方正小标宋_GBK" panose="03000509000000000000" charset="-122"/>
                <a:cs typeface="Times New Roman" panose="02020603050405020304" charset="0"/>
              </a:rPr>
              <a:t>：</a:t>
            </a:r>
            <a:r>
              <a:rPr sz="1200">
                <a:latin typeface="Times New Roman" panose="02020603050405020304" charset="0"/>
                <a:ea typeface="方正小标宋_GBK" panose="03000509000000000000" charset="-122"/>
                <a:cs typeface="Times New Roman" panose="02020603050405020304" charset="0"/>
              </a:rPr>
              <a:t>2022年以来城口县与重庆市投资累计增速对比单位：%</a:t>
            </a:r>
            <a:endParaRPr sz="1200">
              <a:latin typeface="Times New Roman" panose="02020603050405020304" charset="0"/>
              <a:ea typeface="方正小标宋_GBK" panose="03000509000000000000" charset="-122"/>
              <a:cs typeface="Times New Roman" panose="02020603050405020304" charset="0"/>
            </a:endParaRPr>
          </a:p>
        </c:rich>
      </c:tx>
      <c:layout>
        <c:manualLayout>
          <c:xMode val="edge"/>
          <c:yMode val="edge"/>
          <c:x val="0.237076324241929"/>
          <c:y val="0.0326837816459236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0686667388714394"/>
          <c:y val="0.139666344960706"/>
          <c:w val="0.907505686125853"/>
          <c:h val="0.624293395836206"/>
        </c:manualLayout>
      </c:layout>
      <c:lineChart>
        <c:grouping val="standard"/>
        <c:varyColors val="0"/>
        <c:ser>
          <c:idx val="0"/>
          <c:order val="0"/>
          <c:tx>
            <c:strRef>
              <c:f>'[城口与全市工业增加值增速与固定资产投资增速对比(1).xlsx]Sheet1'!$E$1</c:f>
              <c:strCache>
                <c:ptCount val="1"/>
                <c:pt idx="0">
                  <c:v>城口县</c:v>
                </c:pt>
              </c:strCache>
            </c:strRef>
          </c:tx>
          <c:spPr>
            <a:ln w="25400" cap="rnd" cmpd="sng">
              <a:solidFill>
                <a:schemeClr val="accent1"/>
              </a:solidFill>
              <a:prstDash val="sysDash"/>
              <a:round/>
            </a:ln>
            <a:effectLst/>
          </c:spPr>
          <c:marker>
            <c:symbol val="circle"/>
            <c:size val="3"/>
            <c:spPr>
              <a:solidFill>
                <a:schemeClr val="tx1"/>
              </a:solidFill>
              <a:ln w="6350">
                <a:solidFill>
                  <a:schemeClr val="tx1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0.0072011521843495"/>
                  <c:y val="-0.0132294575922387"/>
                </c:manualLayout>
              </c:layout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-0.0014402304368699"/>
                  <c:y val="0.048508011171542"/>
                </c:manualLayout>
              </c:layout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-0.0158425348055689"/>
                  <c:y val="-0.0617374687637807"/>
                </c:manualLayout>
              </c:layout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6"/>
              <c:layout>
                <c:manualLayout>
                  <c:x val="-0.0345655304848776"/>
                  <c:y val="-0.0418932823754226"/>
                </c:manualLayout>
              </c:layout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7"/>
              <c:layout>
                <c:manualLayout>
                  <c:x val="0.0187229956793087"/>
                  <c:y val="-0.0683521975599"/>
                </c:manualLayout>
              </c:layout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8"/>
              <c:layout>
                <c:manualLayout>
                  <c:x val="0.028804608737398"/>
                  <c:y val="-0.0418932823754226"/>
                </c:manualLayout>
              </c:layout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9"/>
              <c:layout>
                <c:manualLayout>
                  <c:x val="0.00864138262121939"/>
                  <c:y val="-0.0110245479935323"/>
                </c:manualLayout>
              </c:layout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0"/>
              <c:layout>
                <c:manualLayout>
                  <c:x val="0.0172827652424388"/>
                  <c:y val="-0.0132294575922387"/>
                </c:manualLayout>
              </c:layout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1"/>
              <c:layout>
                <c:manualLayout>
                  <c:x val="0.0187229956793087"/>
                  <c:y val="-0.0220490959870645"/>
                </c:manualLayout>
              </c:layout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zh-CN"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charset="0"/>
                    <a:ea typeface="Times New Roman" panose="02020603050405020304" charset="0"/>
                    <a:cs typeface="Times New Roman" panose="02020603050405020304" charset="0"/>
                    <a:sym typeface="Times New Roman" panose="02020603050405020304" charset="0"/>
                  </a:defRPr>
                </a:pPr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'[城口与全市工业增加值增速与固定资产投资增速对比(1).xlsx]Sheet1'!$D$6:$D$17</c:f>
              <c:strCache>
                <c:ptCount val="12"/>
                <c:pt idx="0">
                  <c:v>8月</c:v>
                </c:pt>
                <c:pt idx="1">
                  <c:v>9月</c:v>
                </c:pt>
                <c:pt idx="2">
                  <c:v>10月</c:v>
                </c:pt>
                <c:pt idx="3">
                  <c:v>11月</c:v>
                </c:pt>
                <c:pt idx="4">
                  <c:v>12月</c:v>
                </c:pt>
                <c:pt idx="5">
                  <c:v>2023年1-2月</c:v>
                </c:pt>
                <c:pt idx="6">
                  <c:v>3月</c:v>
                </c:pt>
                <c:pt idx="7">
                  <c:v>4月</c:v>
                </c:pt>
                <c:pt idx="8" c:formatCode="0.0_ ">
                  <c:v>5月</c:v>
                </c:pt>
                <c:pt idx="9">
                  <c:v>6月</c:v>
                </c:pt>
                <c:pt idx="10" c:formatCode="0.0_ ">
                  <c:v>7月</c:v>
                </c:pt>
                <c:pt idx="11" c:formatCode="0.0_ ">
                  <c:v>8月</c:v>
                </c:pt>
              </c:strCache>
            </c:strRef>
          </c:cat>
          <c:val>
            <c:numRef>
              <c:f>'[城口与全市工业增加值增速与固定资产投资增速对比(1).xlsx]Sheet1'!$E$6:$E$17</c:f>
              <c:numCache>
                <c:formatCode>0.0_ </c:formatCode>
                <c:ptCount val="12"/>
                <c:pt idx="0">
                  <c:v>1.2</c:v>
                </c:pt>
                <c:pt idx="1">
                  <c:v>4.4</c:v>
                </c:pt>
                <c:pt idx="2">
                  <c:v>2.6</c:v>
                </c:pt>
                <c:pt idx="3">
                  <c:v>5.4</c:v>
                </c:pt>
                <c:pt idx="4">
                  <c:v>9.3</c:v>
                </c:pt>
                <c:pt idx="5">
                  <c:v>16.4</c:v>
                </c:pt>
                <c:pt idx="6">
                  <c:v>26.5</c:v>
                </c:pt>
                <c:pt idx="7">
                  <c:v>17.7</c:v>
                </c:pt>
                <c:pt idx="8">
                  <c:v>9.3</c:v>
                </c:pt>
                <c:pt idx="9">
                  <c:v>-10.3</c:v>
                </c:pt>
                <c:pt idx="10">
                  <c:v>0.1</c:v>
                </c:pt>
                <c:pt idx="11">
                  <c:v>3.2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'[城口与全市工业增加值增速与固定资产投资增速对比(1).xlsx]Sheet1'!$F$1</c:f>
              <c:strCache>
                <c:ptCount val="1"/>
                <c:pt idx="0">
                  <c:v>重庆市</c:v>
                </c:pt>
              </c:strCache>
            </c:strRef>
          </c:tx>
          <c:spPr>
            <a:ln w="25400" cap="rnd">
              <a:solidFill>
                <a:schemeClr val="accent1"/>
              </a:solidFill>
              <a:round/>
            </a:ln>
            <a:effectLst/>
            <a:sp3d contourW="25400"/>
          </c:spPr>
          <c:marker>
            <c:symbol val="circle"/>
            <c:size val="3"/>
            <c:spPr>
              <a:solidFill>
                <a:schemeClr val="tx1"/>
              </a:solidFill>
              <a:ln w="9525">
                <a:solidFill>
                  <a:schemeClr val="tx1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0"/>
                  <c:y val="0.00881963839482581"/>
                </c:manualLayout>
              </c:layout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-0.0043206913106097"/>
                  <c:y val="-0.0463031015728355"/>
                </c:manualLayout>
              </c:layout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0.0043206913106097"/>
                  <c:y val="0.0705571071586065"/>
                </c:manualLayout>
              </c:layout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6"/>
              <c:layout>
                <c:manualLayout>
                  <c:x val="0.0014402304368699"/>
                  <c:y val="0.00220490959870645"/>
                </c:manualLayout>
              </c:layout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7"/>
              <c:layout>
                <c:manualLayout>
                  <c:x val="0.0014402304368699"/>
                  <c:y val="0.0132294575922387"/>
                </c:manualLayout>
              </c:layout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8"/>
              <c:layout>
                <c:manualLayout>
                  <c:x val="0.0014402304368699"/>
                  <c:y val="0.0154343671909452"/>
                </c:manualLayout>
              </c:layout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9"/>
              <c:layout>
                <c:manualLayout>
                  <c:x val="0.0043206913106097"/>
                  <c:y val="0.0154343671909452"/>
                </c:manualLayout>
              </c:layout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zh-CN"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charset="0"/>
                    <a:ea typeface="Times New Roman" panose="02020603050405020304" charset="0"/>
                    <a:cs typeface="Times New Roman" panose="02020603050405020304" charset="0"/>
                    <a:sym typeface="Times New Roman" panose="02020603050405020304" charset="0"/>
                  </a:defRPr>
                </a:pPr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'[城口与全市工业增加值增速与固定资产投资增速对比(1).xlsx]Sheet1'!$D$6:$D$17</c:f>
              <c:strCache>
                <c:ptCount val="12"/>
                <c:pt idx="0">
                  <c:v>8月</c:v>
                </c:pt>
                <c:pt idx="1">
                  <c:v>9月</c:v>
                </c:pt>
                <c:pt idx="2">
                  <c:v>10月</c:v>
                </c:pt>
                <c:pt idx="3">
                  <c:v>11月</c:v>
                </c:pt>
                <c:pt idx="4">
                  <c:v>12月</c:v>
                </c:pt>
                <c:pt idx="5">
                  <c:v>2023年1-2月</c:v>
                </c:pt>
                <c:pt idx="6">
                  <c:v>3月</c:v>
                </c:pt>
                <c:pt idx="7">
                  <c:v>4月</c:v>
                </c:pt>
                <c:pt idx="8" c:formatCode="0.0_ ">
                  <c:v>5月</c:v>
                </c:pt>
                <c:pt idx="9">
                  <c:v>6月</c:v>
                </c:pt>
                <c:pt idx="10" c:formatCode="0.0_ ">
                  <c:v>7月</c:v>
                </c:pt>
                <c:pt idx="11" c:formatCode="0.0_ ">
                  <c:v>8月</c:v>
                </c:pt>
              </c:strCache>
            </c:strRef>
          </c:cat>
          <c:val>
            <c:numRef>
              <c:f>'[城口与全市工业增加值增速与固定资产投资增速对比(1).xlsx]Sheet1'!$F$6:$F$17</c:f>
              <c:numCache>
                <c:formatCode>0.0_ </c:formatCode>
                <c:ptCount val="12"/>
                <c:pt idx="0">
                  <c:v>5.8</c:v>
                </c:pt>
                <c:pt idx="1">
                  <c:v>5.9</c:v>
                </c:pt>
                <c:pt idx="2">
                  <c:v>5.8</c:v>
                </c:pt>
                <c:pt idx="3">
                  <c:v>5.3</c:v>
                </c:pt>
                <c:pt idx="4">
                  <c:v>5.1</c:v>
                </c:pt>
                <c:pt idx="5">
                  <c:v>6.8</c:v>
                </c:pt>
                <c:pt idx="6">
                  <c:v>7.6</c:v>
                </c:pt>
                <c:pt idx="7">
                  <c:v>3.5</c:v>
                </c:pt>
                <c:pt idx="8">
                  <c:v>0.3</c:v>
                </c:pt>
                <c:pt idx="9">
                  <c:v>1.4</c:v>
                </c:pt>
                <c:pt idx="10">
                  <c:v>1.7</c:v>
                </c:pt>
                <c:pt idx="11">
                  <c:v>7.8</c:v>
                </c:pt>
              </c:numCache>
            </c:numRef>
          </c:val>
          <c:smooth val="0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259712040"/>
        <c:axId val="867268873"/>
      </c:lineChart>
      <c:catAx>
        <c:axId val="259712040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charset="0"/>
                <a:ea typeface="Times New Roman" panose="02020603050405020304" charset="0"/>
                <a:cs typeface="Times New Roman" panose="02020603050405020304" charset="0"/>
                <a:sym typeface="Times New Roman" panose="02020603050405020304" charset="0"/>
              </a:defRPr>
            </a:pPr>
          </a:p>
        </c:txPr>
        <c:crossAx val="867268873"/>
        <c:crosses val="autoZero"/>
        <c:auto val="1"/>
        <c:lblAlgn val="ctr"/>
        <c:lblOffset val="100"/>
        <c:noMultiLvlLbl val="0"/>
      </c:catAx>
      <c:valAx>
        <c:axId val="86726887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_ 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charset="0"/>
                <a:ea typeface="Times New Roman" panose="02020603050405020304" charset="0"/>
                <a:cs typeface="Times New Roman" panose="02020603050405020304" charset="0"/>
                <a:sym typeface="Times New Roman" panose="02020603050405020304" charset="0"/>
              </a:defRPr>
            </a:pPr>
          </a:p>
        </c:txPr>
        <c:crossAx val="2597120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0" vertOverflow="ellipsis" vert="horz" wrap="square" anchor="ctr" anchorCtr="1"/>
        <a:lstStyle/>
        <a:p>
          <a:pPr>
            <a:defRPr lang="zh-CN"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</a:p>
      </c:txPr>
    </c:legend>
    <c:plotVisOnly val="1"/>
    <c:dispBlanksAs val="gap"/>
    <c:showDLblsOverMax val="0"/>
  </c:chart>
  <c:spPr>
    <a:noFill/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lang="zh-CN"/>
      </a:pPr>
    </a:p>
  </c:txPr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3</Pages>
  <Words>808</Words>
  <Characters>1058</Characters>
  <Lines>13</Lines>
  <Paragraphs>3</Paragraphs>
  <TotalTime>986</TotalTime>
  <ScaleCrop>false</ScaleCrop>
  <LinksUpToDate>false</LinksUpToDate>
  <CharactersWithSpaces>1058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2017-04-17T16:37:00Z</dcterms:created>
  <dc:creator>微软用户</dc:creator>
  <cp:lastModifiedBy>1988</cp:lastModifiedBy>
  <cp:lastPrinted>2023-08-21T02:46:00Z</cp:lastPrinted>
  <dcterms:modified xsi:type="dcterms:W3CDTF">2023-09-26T03:19:05Z</dcterms:modified>
  <dc:title>经济发展亮点突显  蓄势前行力求突破 </dc:title>
  <cp:revision>131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21D4473278E849CA9691203C96D65835_13</vt:lpwstr>
  </property>
  <property fmtid="{D5CDD505-2E9C-101B-9397-08002B2CF9AE}" pid="4" name="KSOSaveFontToCloudKey">
    <vt:lpwstr>708156418_embed</vt:lpwstr>
  </property>
</Properties>
</file>