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520" w:lineRule="exact"/>
        <w:jc w:val="center"/>
        <w:rPr>
          <w:rFonts w:ascii="Times New Roman" w:hAnsi="Times New Roman" w:eastAsia="方正小标宋_GBK"/>
          <w:color w:val="000000"/>
          <w:kern w:val="0"/>
          <w:sz w:val="44"/>
          <w:szCs w:val="44"/>
        </w:rPr>
      </w:pPr>
      <w:bookmarkStart w:id="3116" w:name="_GoBack"/>
      <w:bookmarkEnd w:id="3116"/>
    </w:p>
    <w:p>
      <w:pPr>
        <w:widowControl/>
        <w:overflowPunct w:val="0"/>
        <w:spacing w:line="520" w:lineRule="exact"/>
        <w:jc w:val="center"/>
        <w:rPr>
          <w:rFonts w:ascii="Times New Roman" w:hAnsi="Times New Roman" w:eastAsia="方正小标宋_GBK"/>
          <w:color w:val="000000"/>
          <w:kern w:val="0"/>
          <w:sz w:val="44"/>
          <w:szCs w:val="44"/>
        </w:rPr>
      </w:pPr>
    </w:p>
    <w:p>
      <w:pPr>
        <w:rPr>
          <w:rFonts w:ascii="Times New Roman" w:hAnsi="Times New Roman"/>
          <w:szCs w:val="32"/>
        </w:rPr>
      </w:pPr>
    </w:p>
    <w:p>
      <w:pPr>
        <w:jc w:val="center"/>
        <w:rPr>
          <w:rFonts w:ascii="Times New Roman" w:hAnsi="Times New Roman" w:eastAsia="方正仿宋_GBK"/>
          <w:sz w:val="32"/>
          <w:szCs w:val="32"/>
        </w:rPr>
      </w:pPr>
      <w:r>
        <w:rPr>
          <w:rFonts w:ascii="Times New Roman" w:hAnsi="Times New Roman" w:eastAsia="方正仿宋_GBK"/>
          <w:sz w:val="32"/>
          <w:szCs w:val="32"/>
        </w:rPr>
        <w:t>城府发〔2021〕4号</w:t>
      </w:r>
    </w:p>
    <w:p>
      <w:pPr>
        <w:widowControl/>
        <w:overflowPunct w:val="0"/>
        <w:spacing w:line="560" w:lineRule="exact"/>
        <w:jc w:val="center"/>
        <w:rPr>
          <w:rFonts w:ascii="Times New Roman" w:hAnsi="Times New Roman" w:eastAsia="方正小标宋_GBK"/>
          <w:color w:val="000000"/>
          <w:kern w:val="0"/>
          <w:sz w:val="44"/>
          <w:szCs w:val="44"/>
        </w:rPr>
      </w:pPr>
    </w:p>
    <w:p>
      <w:pPr>
        <w:pStyle w:val="2"/>
      </w:pPr>
    </w:p>
    <w:p>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城口县人民政府</w:t>
      </w:r>
    </w:p>
    <w:p>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关于印发《城口县国民经济和社会发展</w:t>
      </w:r>
    </w:p>
    <w:p>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第十四个五年规划和二〇三五年</w:t>
      </w:r>
    </w:p>
    <w:p>
      <w:pPr>
        <w:widowControl/>
        <w:overflowPunct w:val="0"/>
        <w:spacing w:line="52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远景目标纲要》的通知</w:t>
      </w:r>
    </w:p>
    <w:p>
      <w:pPr>
        <w:widowControl/>
        <w:overflowPunct w:val="0"/>
        <w:spacing w:line="520" w:lineRule="exact"/>
        <w:jc w:val="center"/>
        <w:rPr>
          <w:rFonts w:ascii="Times New Roman" w:hAnsi="Times New Roman" w:eastAsia="方正小标宋_GBK"/>
          <w:color w:val="000000"/>
          <w:kern w:val="0"/>
          <w:sz w:val="44"/>
          <w:szCs w:val="44"/>
        </w:rPr>
      </w:pPr>
    </w:p>
    <w:p>
      <w:pPr>
        <w:widowControl/>
        <w:overflowPunct w:val="0"/>
        <w:spacing w:line="520" w:lineRule="exact"/>
        <w:jc w:val="left"/>
        <w:rPr>
          <w:rFonts w:ascii="Times New Roman" w:hAnsi="Times New Roman" w:eastAsia="方正仿宋_GBK"/>
          <w:sz w:val="32"/>
          <w:szCs w:val="32"/>
        </w:rPr>
      </w:pPr>
      <w:r>
        <w:rPr>
          <w:rFonts w:ascii="Times New Roman" w:hAnsi="Times New Roman" w:eastAsia="方正仿宋_GBK"/>
          <w:color w:val="000000"/>
          <w:kern w:val="0"/>
          <w:sz w:val="32"/>
          <w:szCs w:val="32"/>
        </w:rPr>
        <w:t>各乡镇人民政府（街道办事处），县政府各部门，有关单位：</w:t>
      </w:r>
    </w:p>
    <w:p>
      <w:pPr>
        <w:widowControl/>
        <w:overflowPunct w:val="0"/>
        <w:spacing w:line="52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《城口县</w:t>
      </w:r>
      <w:r>
        <w:rPr>
          <w:rFonts w:ascii="Times New Roman" w:hAnsi="Times New Roman" w:eastAsia="方正仿宋_GBK"/>
          <w:color w:val="000000"/>
          <w:sz w:val="32"/>
          <w:szCs w:val="32"/>
        </w:rPr>
        <w:t>国民经济和社会发展第十四个五年规划和二〇三五年远景目标纲要</w:t>
      </w:r>
      <w:r>
        <w:rPr>
          <w:rFonts w:ascii="Times New Roman" w:hAnsi="Times New Roman" w:eastAsia="方正仿宋_GBK"/>
          <w:color w:val="000000"/>
          <w:kern w:val="0"/>
          <w:sz w:val="32"/>
          <w:szCs w:val="32"/>
        </w:rPr>
        <w:t>》已经县</w:t>
      </w:r>
      <w:r>
        <w:rPr>
          <w:rFonts w:ascii="Times New Roman" w:hAnsi="Times New Roman" w:eastAsia="方正仿宋_GBK"/>
          <w:sz w:val="32"/>
          <w:szCs w:val="32"/>
        </w:rPr>
        <w:t>第十七届人民代表大会第五次会议批准，现印发给你们，请认真贯彻执行。</w:t>
      </w:r>
    </w:p>
    <w:p>
      <w:pPr>
        <w:widowControl/>
        <w:overflowPunct w:val="0"/>
        <w:spacing w:line="520" w:lineRule="exact"/>
        <w:jc w:val="left"/>
        <w:rPr>
          <w:rFonts w:ascii="Times New Roman" w:hAnsi="Times New Roman" w:eastAsia="方正仿宋_GBK"/>
          <w:color w:val="000000"/>
          <w:kern w:val="0"/>
          <w:sz w:val="32"/>
          <w:szCs w:val="32"/>
        </w:rPr>
      </w:pPr>
    </w:p>
    <w:p>
      <w:pPr>
        <w:pStyle w:val="2"/>
        <w:spacing w:line="520" w:lineRule="exact"/>
        <w:rPr>
          <w:rFonts w:ascii="Times New Roman" w:hAnsi="Times New Roman" w:cs="Times New Roman"/>
        </w:rPr>
      </w:pPr>
    </w:p>
    <w:p>
      <w:pPr>
        <w:widowControl/>
        <w:overflowPunct w:val="0"/>
        <w:spacing w:line="520" w:lineRule="exact"/>
        <w:ind w:firstLine="5120" w:firstLineChars="16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城口县人民政府</w:t>
      </w:r>
    </w:p>
    <w:p>
      <w:pPr>
        <w:widowControl/>
        <w:overflowPunct w:val="0"/>
        <w:spacing w:line="520" w:lineRule="exact"/>
        <w:ind w:firstLine="4960" w:firstLineChars="1550"/>
        <w:jc w:val="left"/>
        <w:rPr>
          <w:rFonts w:ascii="Times New Roman" w:hAnsi="Times New Roman" w:eastAsia="方正仿宋_GBK"/>
          <w:sz w:val="32"/>
          <w:szCs w:val="32"/>
        </w:rPr>
      </w:pPr>
      <w:r>
        <w:rPr>
          <w:rFonts w:ascii="Times New Roman" w:hAnsi="Times New Roman" w:eastAsia="方正仿宋_GBK"/>
          <w:color w:val="000000"/>
          <w:kern w:val="0"/>
          <w:sz w:val="32"/>
          <w:szCs w:val="32"/>
        </w:rPr>
        <w:t>2021年4月16日</w:t>
      </w:r>
    </w:p>
    <w:p>
      <w:pPr>
        <w:pStyle w:val="25"/>
        <w:overflowPunct w:val="0"/>
        <w:adjustRightInd w:val="0"/>
        <w:snapToGrid w:val="0"/>
        <w:spacing w:after="0" w:line="520" w:lineRule="exact"/>
        <w:ind w:firstLine="320"/>
        <w:rPr>
          <w:rFonts w:ascii="Times New Roman" w:hAnsi="Times New Roman"/>
          <w:sz w:val="32"/>
          <w:szCs w:val="32"/>
        </w:rPr>
      </w:pPr>
    </w:p>
    <w:p>
      <w:pPr>
        <w:pStyle w:val="25"/>
        <w:overflowPunct w:val="0"/>
        <w:adjustRightInd w:val="0"/>
        <w:snapToGrid w:val="0"/>
        <w:spacing w:after="0" w:line="560" w:lineRule="exact"/>
        <w:ind w:firstLine="320"/>
        <w:rPr>
          <w:rFonts w:ascii="Times New Roman" w:hAnsi="Times New Roman"/>
          <w:sz w:val="32"/>
          <w:szCs w:val="32"/>
        </w:rPr>
      </w:pPr>
    </w:p>
    <w:p>
      <w:pPr>
        <w:pStyle w:val="25"/>
        <w:overflowPunct w:val="0"/>
        <w:adjustRightInd w:val="0"/>
        <w:snapToGrid w:val="0"/>
        <w:spacing w:after="0" w:line="560" w:lineRule="exact"/>
        <w:ind w:firstLine="0" w:firstLineChars="0"/>
        <w:rPr>
          <w:rFonts w:ascii="Times New Roman" w:hAnsi="Times New Roman"/>
          <w:sz w:val="32"/>
          <w:szCs w:val="32"/>
        </w:rPr>
      </w:pPr>
    </w:p>
    <w:p>
      <w:pPr>
        <w:pStyle w:val="25"/>
        <w:overflowPunct w:val="0"/>
        <w:adjustRightInd w:val="0"/>
        <w:snapToGrid w:val="0"/>
        <w:spacing w:after="0" w:line="560" w:lineRule="exact"/>
        <w:ind w:firstLine="0" w:firstLineChars="0"/>
        <w:rPr>
          <w:rFonts w:ascii="Times New Roman" w:hAnsi="Times New Roman"/>
          <w:sz w:val="32"/>
          <w:szCs w:val="32"/>
        </w:rPr>
      </w:pPr>
    </w:p>
    <w:p>
      <w:pPr>
        <w:overflowPunct w:val="0"/>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城口县国民经济和社会发展</w:t>
      </w:r>
    </w:p>
    <w:p>
      <w:pPr>
        <w:overflowPunct w:val="0"/>
        <w:adjustRightInd w:val="0"/>
        <w:snapToGrid w:val="0"/>
        <w:spacing w:line="560" w:lineRule="exact"/>
        <w:jc w:val="center"/>
        <w:rPr>
          <w:rFonts w:ascii="Times New Roman" w:hAnsi="Times New Roman" w:eastAsia="方正小标宋_GBK"/>
          <w:sz w:val="32"/>
          <w:szCs w:val="32"/>
        </w:rPr>
      </w:pPr>
      <w:r>
        <w:rPr>
          <w:rFonts w:ascii="Times New Roman" w:hAnsi="Times New Roman" w:eastAsia="方正小标宋_GBK"/>
          <w:sz w:val="44"/>
          <w:szCs w:val="44"/>
        </w:rPr>
        <w:t>第十四个五年规划和二〇三五年远景目标纲要</w:t>
      </w: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32"/>
          <w:szCs w:val="32"/>
        </w:rPr>
      </w:pPr>
    </w:p>
    <w:p>
      <w:pPr>
        <w:pStyle w:val="2"/>
        <w:overflowPunct w:val="0"/>
        <w:rPr>
          <w:rFonts w:ascii="Times New Roman" w:hAnsi="Times New Roman" w:eastAsia="方正楷体_GBK" w:cs="Times New Roman"/>
        </w:rPr>
      </w:pPr>
    </w:p>
    <w:p>
      <w:pPr>
        <w:pStyle w:val="2"/>
        <w:overflowPunct w:val="0"/>
        <w:rPr>
          <w:rFonts w:ascii="Times New Roman" w:hAnsi="Times New Roman" w:cs="Times New Roman"/>
        </w:rPr>
      </w:pPr>
    </w:p>
    <w:p>
      <w:pPr>
        <w:overflowPunct w:val="0"/>
        <w:adjustRightInd w:val="0"/>
        <w:snapToGrid w:val="0"/>
        <w:spacing w:line="560" w:lineRule="exact"/>
        <w:jc w:val="center"/>
        <w:rPr>
          <w:rFonts w:ascii="Times New Roman" w:hAnsi="Times New Roman" w:eastAsia="方正楷体_GBK"/>
          <w:sz w:val="32"/>
          <w:szCs w:val="32"/>
        </w:rPr>
      </w:pPr>
    </w:p>
    <w:p>
      <w:pPr>
        <w:overflowPunct w:val="0"/>
        <w:adjustRightInd w:val="0"/>
        <w:snapToGrid w:val="0"/>
        <w:spacing w:line="560" w:lineRule="exact"/>
        <w:jc w:val="center"/>
        <w:rPr>
          <w:rFonts w:ascii="Times New Roman" w:hAnsi="Times New Roman" w:eastAsia="方正楷体_GBK"/>
          <w:sz w:val="44"/>
          <w:szCs w:val="44"/>
        </w:rPr>
      </w:pPr>
      <w:r>
        <w:rPr>
          <w:rFonts w:ascii="Times New Roman" w:hAnsi="Times New Roman" w:eastAsia="方正楷体_GBK"/>
          <w:sz w:val="44"/>
          <w:szCs w:val="44"/>
        </w:rPr>
        <w:t>2021年4月</w:t>
      </w:r>
    </w:p>
    <w:p>
      <w:pPr>
        <w:widowControl/>
        <w:jc w:val="left"/>
        <w:rPr>
          <w:rFonts w:ascii="Times New Roman" w:hAnsi="Times New Roman" w:eastAsia="方正楷体_GBK"/>
          <w:sz w:val="44"/>
          <w:szCs w:val="44"/>
        </w:rPr>
        <w:sectPr>
          <w:footerReference r:id="rId3" w:type="default"/>
          <w:footerReference r:id="rId4" w:type="even"/>
          <w:pgSz w:w="11906" w:h="16838"/>
          <w:pgMar w:top="2098" w:right="1474" w:bottom="1984" w:left="1587" w:header="851" w:footer="992" w:gutter="0"/>
          <w:cols w:space="720" w:num="1"/>
          <w:docGrid w:type="lines" w:linePitch="312" w:charSpace="0"/>
        </w:sectPr>
      </w:pPr>
    </w:p>
    <w:p>
      <w:pPr>
        <w:overflowPunct w:val="0"/>
        <w:jc w:val="center"/>
        <w:rPr>
          <w:rFonts w:ascii="Times New Roman" w:hAnsi="Times New Roman" w:eastAsia="方正仿宋_GBK"/>
          <w:sz w:val="28"/>
          <w:szCs w:val="28"/>
        </w:rPr>
      </w:pPr>
      <w:bookmarkStart w:id="0" w:name="_Toc7155"/>
      <w:bookmarkStart w:id="1" w:name="_Toc11938"/>
      <w:bookmarkStart w:id="2" w:name="_Toc7770"/>
      <w:bookmarkStart w:id="3" w:name="_Toc27143"/>
      <w:bookmarkStart w:id="4" w:name="_Toc22973"/>
      <w:bookmarkStart w:id="5" w:name="_Toc59949171"/>
      <w:bookmarkStart w:id="6" w:name="_Toc2568"/>
      <w:bookmarkStart w:id="7" w:name="_Toc29252"/>
      <w:bookmarkStart w:id="8" w:name="_Toc24979"/>
      <w:bookmarkStart w:id="9" w:name="_Toc5841"/>
      <w:bookmarkStart w:id="10" w:name="_Toc28196"/>
      <w:bookmarkStart w:id="11" w:name="_Toc20675"/>
      <w:bookmarkStart w:id="12" w:name="_Toc1061"/>
      <w:bookmarkStart w:id="13" w:name="_Toc30482"/>
      <w:bookmarkStart w:id="14" w:name="_Toc11298"/>
      <w:bookmarkStart w:id="15" w:name="_Toc31671"/>
      <w:bookmarkStart w:id="16" w:name="_Toc21104"/>
      <w:bookmarkStart w:id="17" w:name="_Toc30156"/>
      <w:bookmarkStart w:id="18" w:name="_Toc20805"/>
      <w:bookmarkStart w:id="19" w:name="_Toc13640"/>
      <w:bookmarkStart w:id="20" w:name="_Toc59885268"/>
      <w:bookmarkStart w:id="21" w:name="_Toc16881"/>
      <w:bookmarkStart w:id="22" w:name="_Toc4879"/>
      <w:r>
        <w:rPr>
          <w:rFonts w:ascii="Times New Roman" w:hAnsi="Times New Roman" w:eastAsia="方正小标宋_GBK"/>
          <w:sz w:val="44"/>
          <w:szCs w:val="44"/>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18"/>
        <w:tabs>
          <w:tab w:val="right" w:leader="dot" w:pos="8306"/>
        </w:tabs>
        <w:overflowPunct w:val="0"/>
        <w:rPr>
          <w:rFonts w:ascii="Times New Roman" w:hAnsi="Times New Roman" w:eastAsia="方正仿宋_GBK"/>
          <w:sz w:val="28"/>
          <w:szCs w:val="28"/>
        </w:rPr>
      </w:pPr>
    </w:p>
    <w:p>
      <w:pPr>
        <w:pStyle w:val="18"/>
        <w:tabs>
          <w:tab w:val="right" w:leader="dot" w:pos="8306"/>
        </w:tabs>
        <w:overflowPunct w:val="0"/>
        <w:rPr>
          <w:rFonts w:ascii="Times New Roman" w:hAnsi="Times New Roman" w:eastAsia="方正仿宋_GBK"/>
          <w:sz w:val="32"/>
          <w:szCs w:val="32"/>
        </w:rPr>
      </w:pP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 TOC \o "1-3" \h \z \u </w:instrText>
      </w:r>
      <w:r>
        <w:rPr>
          <w:rFonts w:ascii="Times New Roman" w:hAnsi="Times New Roman" w:eastAsia="方正仿宋_GBK"/>
          <w:sz w:val="28"/>
          <w:szCs w:val="28"/>
        </w:rPr>
        <w:fldChar w:fldCharType="separate"/>
      </w:r>
      <w:r>
        <w:fldChar w:fldCharType="begin"/>
      </w:r>
      <w:r>
        <w:instrText xml:space="preserve"> HYPERLINK "file:///C:\\Users\\Administrator\\Documents\\My%20RTX%20Files\\xuexx\\城府发〔2021〕4号关于印发《城口县国民经济和社会发展第十四个五年规划和二〇三五年远景目标纲要》的通知.doc" \l "_Toc6529" </w:instrText>
      </w:r>
      <w:r>
        <w:fldChar w:fldCharType="separate"/>
      </w:r>
      <w:r>
        <w:rPr>
          <w:rStyle w:val="32"/>
          <w:rFonts w:ascii="Times New Roman" w:hAnsi="Times New Roman" w:eastAsia="方正黑体_GBK"/>
          <w:bCs/>
          <w:kern w:val="44"/>
          <w:sz w:val="32"/>
          <w:szCs w:val="32"/>
        </w:rPr>
        <w:t>第一篇  开启社会主义现代化新征程</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_Toc6529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10</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"_Toc30019" </w:instrText>
      </w:r>
      <w:r>
        <w:fldChar w:fldCharType="separate"/>
      </w:r>
      <w:r>
        <w:rPr>
          <w:rStyle w:val="32"/>
          <w:rFonts w:ascii="Times New Roman" w:hAnsi="Times New Roman" w:eastAsia="方正楷体_GBK"/>
          <w:bCs/>
          <w:kern w:val="44"/>
          <w:sz w:val="32"/>
          <w:szCs w:val="32"/>
        </w:rPr>
        <w:t>第一章  发展环境</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_Toc30019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"_Toc4466" </w:instrText>
      </w:r>
      <w:r>
        <w:fldChar w:fldCharType="separate"/>
      </w:r>
      <w:r>
        <w:rPr>
          <w:rStyle w:val="32"/>
          <w:rFonts w:ascii="Times New Roman" w:hAnsi="Times New Roman" w:eastAsia="方正仿宋_GBK"/>
          <w:sz w:val="32"/>
          <w:szCs w:val="32"/>
        </w:rPr>
        <w:t>第一节  决胜全面建成小康社会取得决定性成就</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_Toc4466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"_Toc15027" </w:instrText>
      </w:r>
      <w:r>
        <w:fldChar w:fldCharType="separate"/>
      </w:r>
      <w:r>
        <w:rPr>
          <w:rStyle w:val="32"/>
          <w:rFonts w:ascii="Times New Roman" w:hAnsi="Times New Roman" w:eastAsia="方正仿宋_GBK"/>
          <w:sz w:val="32"/>
          <w:szCs w:val="32"/>
        </w:rPr>
        <w:t>第二节  机遇和挑战</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_Toc15027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"_Toc24815" </w:instrText>
      </w:r>
      <w:r>
        <w:fldChar w:fldCharType="separate"/>
      </w:r>
      <w:r>
        <w:rPr>
          <w:rStyle w:val="32"/>
          <w:rFonts w:ascii="Times New Roman" w:hAnsi="Times New Roman" w:eastAsia="方正楷体_GBK"/>
          <w:bCs/>
          <w:kern w:val="44"/>
          <w:sz w:val="32"/>
          <w:szCs w:val="32"/>
        </w:rPr>
        <w:t>第二章  指导方针</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_Toc24815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"_Toc30189" </w:instrText>
      </w:r>
      <w:r>
        <w:fldChar w:fldCharType="separate"/>
      </w:r>
      <w:r>
        <w:rPr>
          <w:rStyle w:val="32"/>
          <w:rFonts w:ascii="Times New Roman" w:hAnsi="Times New Roman" w:eastAsia="方正仿宋_GBK"/>
          <w:sz w:val="32"/>
          <w:szCs w:val="32"/>
        </w:rPr>
        <w:t>第一节指导思想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_Toc30189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"_Toc5842" </w:instrText>
      </w:r>
      <w:r>
        <w:fldChar w:fldCharType="separate"/>
      </w:r>
      <w:r>
        <w:rPr>
          <w:rStyle w:val="32"/>
          <w:rFonts w:ascii="Times New Roman" w:hAnsi="Times New Roman" w:eastAsia="方正仿宋_GBK"/>
          <w:sz w:val="32"/>
          <w:szCs w:val="32"/>
        </w:rPr>
        <w:t>第二节  基本原则</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_Toc5842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"_Toc28604" </w:instrText>
      </w:r>
      <w:r>
        <w:fldChar w:fldCharType="separate"/>
      </w:r>
      <w:r>
        <w:rPr>
          <w:rStyle w:val="32"/>
          <w:rFonts w:ascii="Times New Roman" w:hAnsi="Times New Roman" w:eastAsia="方正楷体_GBK"/>
          <w:bCs/>
          <w:kern w:val="44"/>
          <w:sz w:val="32"/>
          <w:szCs w:val="32"/>
        </w:rPr>
        <w:t>第三章发展目标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_Toc28604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960" w:firstLineChars="300"/>
        <w:rPr>
          <w:rFonts w:ascii="Times New Roman" w:hAnsi="Times New Roman" w:eastAsia="方正仿宋_GBK"/>
          <w:sz w:val="32"/>
          <w:szCs w:val="32"/>
        </w:rPr>
      </w:pPr>
      <w:r>
        <w:rPr>
          <w:rFonts w:ascii="Times New Roman" w:hAnsi="Times New Roman" w:eastAsia="方正仿宋_GBK"/>
          <w:sz w:val="32"/>
          <w:szCs w:val="32"/>
        </w:rPr>
        <w:t>第一节  “十四五”发展主要目标</w:t>
      </w:r>
      <w:r>
        <w:rPr>
          <w:rFonts w:ascii="Times New Roman" w:hAnsi="Times New Roman" w:eastAsia="方正仿宋_GBK"/>
          <w:sz w:val="32"/>
          <w:szCs w:val="32"/>
        </w:rPr>
        <w:tab/>
      </w:r>
      <w:r>
        <w:rPr>
          <w:rFonts w:ascii="Times New Roman" w:hAnsi="Times New Roman" w:eastAsia="方正仿宋_GBK"/>
          <w:sz w:val="32"/>
          <w:szCs w:val="32"/>
        </w:rPr>
        <w:t>-10-</w:t>
      </w:r>
    </w:p>
    <w:p>
      <w:pPr>
        <w:pStyle w:val="21"/>
        <w:tabs>
          <w:tab w:val="right" w:leader="dot" w:pos="8306"/>
        </w:tabs>
        <w:overflowPunct w:val="0"/>
        <w:ind w:firstLine="960" w:firstLineChars="300"/>
        <w:rPr>
          <w:rFonts w:ascii="Times New Roman" w:hAnsi="Times New Roman" w:eastAsia="仿宋"/>
          <w:b/>
          <w:sz w:val="32"/>
          <w:szCs w:val="32"/>
        </w:rPr>
      </w:pPr>
      <w:r>
        <w:rPr>
          <w:rFonts w:ascii="Times New Roman" w:hAnsi="Times New Roman" w:eastAsia="方正仿宋_GBK"/>
          <w:sz w:val="32"/>
          <w:szCs w:val="32"/>
        </w:rPr>
        <w:t>第二节  二〇三五年远景目标</w:t>
      </w:r>
      <w:r>
        <w:rPr>
          <w:rFonts w:ascii="Times New Roman" w:hAnsi="Times New Roman" w:eastAsia="方正仿宋_GBK"/>
          <w:sz w:val="32"/>
          <w:szCs w:val="32"/>
        </w:rPr>
        <w:tab/>
      </w:r>
      <w:r>
        <w:rPr>
          <w:rFonts w:ascii="Times New Roman" w:hAnsi="Times New Roman" w:eastAsia="方正仿宋_GBK"/>
          <w:sz w:val="32"/>
          <w:szCs w:val="32"/>
        </w:rPr>
        <w:t>-14-</w:t>
      </w:r>
    </w:p>
    <w:p>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"_Toc24739" </w:instrText>
      </w:r>
      <w:r>
        <w:fldChar w:fldCharType="separate"/>
      </w:r>
      <w:r>
        <w:rPr>
          <w:rStyle w:val="32"/>
          <w:rFonts w:ascii="Times New Roman" w:hAnsi="Times New Roman" w:eastAsia="方正黑体_GBK"/>
          <w:sz w:val="32"/>
          <w:szCs w:val="32"/>
        </w:rPr>
        <w:t>第二篇  坚持生态优先绿色发展  加快建设山清水秀美丽之地</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_Toc24739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25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"_Toc20396" </w:instrText>
      </w:r>
      <w:r>
        <w:fldChar w:fldCharType="separate"/>
      </w:r>
      <w:r>
        <w:rPr>
          <w:rStyle w:val="32"/>
          <w:rFonts w:ascii="Times New Roman" w:hAnsi="Times New Roman" w:eastAsia="方正楷体_GBK"/>
          <w:bCs/>
          <w:kern w:val="44"/>
          <w:sz w:val="32"/>
          <w:szCs w:val="32"/>
        </w:rPr>
        <w:t>第四章  筑牢长江上游和大巴山重要生态屏障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_Toc20396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"_Toc24386" </w:instrText>
      </w:r>
      <w:r>
        <w:fldChar w:fldCharType="separate"/>
      </w:r>
      <w:r>
        <w:rPr>
          <w:rStyle w:val="32"/>
          <w:rFonts w:ascii="Times New Roman" w:hAnsi="Times New Roman" w:eastAsia="方正仿宋_GBK"/>
          <w:sz w:val="32"/>
          <w:szCs w:val="32"/>
        </w:rPr>
        <w:t>第一节  优化生态安全格局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_Toc24386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"_Toc29854" </w:instrText>
      </w:r>
      <w:r>
        <w:fldChar w:fldCharType="separate"/>
      </w:r>
      <w:r>
        <w:rPr>
          <w:rStyle w:val="32"/>
          <w:rFonts w:ascii="Times New Roman" w:hAnsi="Times New Roman" w:eastAsia="方正仿宋_GBK"/>
          <w:sz w:val="32"/>
          <w:szCs w:val="32"/>
        </w:rPr>
        <w:t>第二节  加强生态系统整体保护</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_Toc29854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"_Toc6561" </w:instrText>
      </w:r>
      <w:r>
        <w:fldChar w:fldCharType="separate"/>
      </w:r>
      <w:r>
        <w:rPr>
          <w:rStyle w:val="32"/>
          <w:rFonts w:ascii="Times New Roman" w:hAnsi="Times New Roman" w:eastAsia="方正仿宋_GBK"/>
          <w:sz w:val="32"/>
          <w:szCs w:val="32"/>
        </w:rPr>
        <w:t>第三节  推进生态系统修复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_Toc6561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"_Toc9987" </w:instrText>
      </w:r>
      <w:r>
        <w:fldChar w:fldCharType="separate"/>
      </w:r>
      <w:r>
        <w:rPr>
          <w:rStyle w:val="32"/>
          <w:rFonts w:ascii="Times New Roman" w:hAnsi="Times New Roman" w:eastAsia="方正楷体_GBK"/>
          <w:bCs/>
          <w:kern w:val="44"/>
          <w:sz w:val="32"/>
          <w:szCs w:val="32"/>
        </w:rPr>
        <w:t>第五章  持续改善生态环境质量</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_Toc9987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"_Toc18061" </w:instrText>
      </w:r>
      <w:r>
        <w:fldChar w:fldCharType="separate"/>
      </w:r>
      <w:r>
        <w:rPr>
          <w:rStyle w:val="32"/>
          <w:rFonts w:ascii="Times New Roman" w:hAnsi="Times New Roman" w:eastAsia="方正仿宋_GBK"/>
          <w:sz w:val="32"/>
          <w:szCs w:val="32"/>
        </w:rPr>
        <w:t>第一节  深入打好污染防治攻坚战</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_Toc18061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"_Toc6670" </w:instrText>
      </w:r>
      <w:r>
        <w:fldChar w:fldCharType="separate"/>
      </w:r>
      <w:r>
        <w:rPr>
          <w:rStyle w:val="32"/>
          <w:rFonts w:ascii="Times New Roman" w:hAnsi="Times New Roman" w:eastAsia="方正仿宋_GBK"/>
          <w:sz w:val="32"/>
          <w:szCs w:val="32"/>
        </w:rPr>
        <w:t>第二节  严密防控环境风险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_Toc6670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"_Toc11680" </w:instrText>
      </w:r>
      <w:r>
        <w:fldChar w:fldCharType="separate"/>
      </w:r>
      <w:r>
        <w:rPr>
          <w:rStyle w:val="32"/>
          <w:rFonts w:ascii="Times New Roman" w:hAnsi="Times New Roman" w:eastAsia="方正仿宋_GBK"/>
          <w:sz w:val="32"/>
          <w:szCs w:val="32"/>
        </w:rPr>
        <w:t>第三节  健全环境治理机制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_Toc11680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29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"_Toc7002" </w:instrText>
      </w:r>
      <w:r>
        <w:fldChar w:fldCharType="separate"/>
      </w:r>
      <w:r>
        <w:rPr>
          <w:rStyle w:val="32"/>
          <w:rFonts w:ascii="Times New Roman" w:hAnsi="Times New Roman" w:eastAsia="方正楷体_GBK"/>
          <w:bCs/>
          <w:kern w:val="44"/>
          <w:sz w:val="32"/>
          <w:szCs w:val="32"/>
        </w:rPr>
        <w:t>第六章  加快推动绿色低碳发展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_Toc7002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"_Toc8394" </w:instrText>
      </w:r>
      <w:r>
        <w:fldChar w:fldCharType="separate"/>
      </w:r>
      <w:r>
        <w:rPr>
          <w:rStyle w:val="32"/>
          <w:rFonts w:ascii="Times New Roman" w:hAnsi="Times New Roman" w:eastAsia="方正仿宋_GBK"/>
          <w:sz w:val="32"/>
          <w:szCs w:val="32"/>
        </w:rPr>
        <w:t>第一节  构建绿色低碳产业体系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_Toc8394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"_Toc3285" </w:instrText>
      </w:r>
      <w:r>
        <w:fldChar w:fldCharType="separate"/>
      </w:r>
      <w:r>
        <w:rPr>
          <w:rStyle w:val="32"/>
          <w:rFonts w:ascii="Times New Roman" w:hAnsi="Times New Roman" w:eastAsia="方正仿宋_GBK"/>
          <w:sz w:val="32"/>
          <w:szCs w:val="32"/>
        </w:rPr>
        <w:t>第二节  积极应对气候变化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_Toc3285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"_Toc23313" </w:instrText>
      </w:r>
      <w:r>
        <w:fldChar w:fldCharType="separate"/>
      </w:r>
      <w:r>
        <w:rPr>
          <w:rStyle w:val="32"/>
          <w:rFonts w:ascii="Times New Roman" w:hAnsi="Times New Roman" w:eastAsia="方正仿宋_GBK"/>
          <w:sz w:val="32"/>
          <w:szCs w:val="32"/>
        </w:rPr>
        <w:t>第三节  提升生态文明素养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_Toc23313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"_Toc13952" </w:instrText>
      </w:r>
      <w:r>
        <w:fldChar w:fldCharType="separate"/>
      </w:r>
      <w:r>
        <w:rPr>
          <w:rStyle w:val="32"/>
          <w:rFonts w:ascii="Times New Roman" w:hAnsi="Times New Roman" w:eastAsia="方正仿宋_GBK"/>
          <w:sz w:val="32"/>
          <w:szCs w:val="32"/>
        </w:rPr>
        <w:t>第四节  倡导绿色生活方式</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_Toc13952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"_Toc29036" </w:instrText>
      </w:r>
      <w:r>
        <w:fldChar w:fldCharType="separate"/>
      </w:r>
      <w:r>
        <w:rPr>
          <w:rStyle w:val="32"/>
          <w:rFonts w:ascii="Times New Roman" w:hAnsi="Times New Roman" w:eastAsia="方正楷体_GBK"/>
          <w:bCs/>
          <w:kern w:val="44"/>
          <w:sz w:val="32"/>
          <w:szCs w:val="32"/>
        </w:rPr>
        <w:t>第七章  推进生态资源价值转换</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_Toc29036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"_Toc25375" </w:instrText>
      </w:r>
      <w:r>
        <w:fldChar w:fldCharType="separate"/>
      </w:r>
      <w:r>
        <w:rPr>
          <w:rStyle w:val="32"/>
          <w:rFonts w:ascii="Times New Roman" w:hAnsi="Times New Roman" w:eastAsia="方正仿宋_GBK"/>
          <w:sz w:val="32"/>
          <w:szCs w:val="32"/>
        </w:rPr>
        <w:t>第一节  建立生态产品价值实现机制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_Toc25375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"_Toc19470" </w:instrText>
      </w:r>
      <w:r>
        <w:fldChar w:fldCharType="separate"/>
      </w:r>
      <w:r>
        <w:rPr>
          <w:rStyle w:val="32"/>
          <w:rFonts w:ascii="Times New Roman" w:hAnsi="Times New Roman" w:eastAsia="方正仿宋_GBK"/>
          <w:sz w:val="32"/>
          <w:szCs w:val="32"/>
        </w:rPr>
        <w:t>第二节  推动生态产品价值实现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_Toc19470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"_Toc24010" </w:instrText>
      </w:r>
      <w:r>
        <w:fldChar w:fldCharType="separate"/>
      </w:r>
      <w:r>
        <w:rPr>
          <w:rStyle w:val="32"/>
          <w:rFonts w:ascii="Times New Roman" w:hAnsi="Times New Roman" w:eastAsia="方正仿宋_GBK"/>
          <w:sz w:val="32"/>
          <w:szCs w:val="32"/>
        </w:rPr>
        <w:t>第三节  创新发展绿色金融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_Toc24010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"_Toc24685" </w:instrText>
      </w:r>
      <w:r>
        <w:fldChar w:fldCharType="separate"/>
      </w:r>
      <w:r>
        <w:rPr>
          <w:rStyle w:val="32"/>
          <w:rFonts w:ascii="Times New Roman" w:hAnsi="Times New Roman" w:eastAsia="方正楷体_GBK"/>
          <w:bCs/>
          <w:kern w:val="44"/>
          <w:sz w:val="32"/>
          <w:szCs w:val="32"/>
        </w:rPr>
        <w:t>第八章  全面提高资源利用效率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_Toc24685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"_Toc6322" </w:instrText>
      </w:r>
      <w:r>
        <w:fldChar w:fldCharType="separate"/>
      </w:r>
      <w:r>
        <w:rPr>
          <w:rStyle w:val="32"/>
          <w:rFonts w:ascii="Times New Roman" w:hAnsi="Times New Roman" w:eastAsia="方正仿宋_GBK"/>
          <w:sz w:val="32"/>
          <w:szCs w:val="32"/>
        </w:rPr>
        <w:t>第一节  强化土地节约集约利用</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_Toc6322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"_Toc9594" </w:instrText>
      </w:r>
      <w:r>
        <w:fldChar w:fldCharType="separate"/>
      </w:r>
      <w:r>
        <w:rPr>
          <w:rStyle w:val="32"/>
          <w:rFonts w:ascii="Times New Roman" w:hAnsi="Times New Roman" w:eastAsia="方正仿宋_GBK"/>
          <w:sz w:val="32"/>
          <w:szCs w:val="32"/>
        </w:rPr>
        <w:t>第二节  提高水资源利用效率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_Toc9594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"_Toc19055" </w:instrText>
      </w:r>
      <w:r>
        <w:fldChar w:fldCharType="separate"/>
      </w:r>
      <w:r>
        <w:rPr>
          <w:rStyle w:val="32"/>
          <w:rFonts w:ascii="Times New Roman" w:hAnsi="Times New Roman" w:eastAsia="方正仿宋_GBK"/>
          <w:sz w:val="32"/>
          <w:szCs w:val="32"/>
        </w:rPr>
        <w:t>第三节  提升能源利用效率</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_Toc19055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"_Toc25780" </w:instrText>
      </w:r>
      <w:r>
        <w:fldChar w:fldCharType="separate"/>
      </w:r>
      <w:r>
        <w:rPr>
          <w:rStyle w:val="32"/>
          <w:rFonts w:ascii="Times New Roman" w:hAnsi="Times New Roman" w:eastAsia="方正仿宋_GBK"/>
          <w:sz w:val="32"/>
          <w:szCs w:val="32"/>
        </w:rPr>
        <w:t>第四节  完善循环经济体系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_Toc25780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"_Toc20073" </w:instrText>
      </w:r>
      <w:r>
        <w:fldChar w:fldCharType="separate"/>
      </w:r>
      <w:r>
        <w:rPr>
          <w:rStyle w:val="32"/>
          <w:rFonts w:ascii="Times New Roman" w:hAnsi="Times New Roman" w:eastAsia="方正黑体_GBK"/>
          <w:sz w:val="32"/>
          <w:szCs w:val="32"/>
        </w:rPr>
        <w:t>第三篇  抢抓战略新机遇  主动深度融入新发展格局</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_Toc20073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37</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"_Toc11248" </w:instrText>
      </w:r>
      <w:r>
        <w:fldChar w:fldCharType="separate"/>
      </w:r>
      <w:r>
        <w:rPr>
          <w:rStyle w:val="32"/>
          <w:rFonts w:ascii="Times New Roman" w:hAnsi="Times New Roman" w:eastAsia="方正楷体_GBK"/>
          <w:bCs/>
          <w:kern w:val="44"/>
          <w:sz w:val="32"/>
          <w:szCs w:val="32"/>
        </w:rPr>
        <w:t>第九章  积极融入国内国际双循环</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_Toc11248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"_Toc14039" </w:instrText>
      </w:r>
      <w:r>
        <w:fldChar w:fldCharType="separate"/>
      </w:r>
      <w:r>
        <w:rPr>
          <w:rStyle w:val="32"/>
          <w:rFonts w:ascii="Times New Roman" w:hAnsi="Times New Roman" w:eastAsia="方正仿宋_GBK"/>
          <w:sz w:val="32"/>
          <w:szCs w:val="32"/>
        </w:rPr>
        <w:t>第一节  用好国内国际市场与资源</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_Toc14039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"_Toc4441" </w:instrText>
      </w:r>
      <w:r>
        <w:fldChar w:fldCharType="separate"/>
      </w:r>
      <w:r>
        <w:rPr>
          <w:rStyle w:val="32"/>
          <w:rFonts w:ascii="Times New Roman" w:hAnsi="Times New Roman" w:eastAsia="方正仿宋_GBK"/>
          <w:sz w:val="32"/>
          <w:szCs w:val="32"/>
        </w:rPr>
        <w:t>第二节  拓展投资空间</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_Toc4441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"_Toc7967" </w:instrText>
      </w:r>
      <w:r>
        <w:fldChar w:fldCharType="separate"/>
      </w:r>
      <w:r>
        <w:rPr>
          <w:rStyle w:val="32"/>
          <w:rFonts w:ascii="Times New Roman" w:hAnsi="Times New Roman" w:eastAsia="方正仿宋_GBK"/>
          <w:sz w:val="32"/>
          <w:szCs w:val="32"/>
        </w:rPr>
        <w:t>第三节  全面促进消费</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_Toc7967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39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"_Toc12573" </w:instrText>
      </w:r>
      <w:r>
        <w:fldChar w:fldCharType="separate"/>
      </w:r>
      <w:r>
        <w:rPr>
          <w:rStyle w:val="32"/>
          <w:rFonts w:ascii="Times New Roman" w:hAnsi="Times New Roman" w:eastAsia="方正楷体_GBK"/>
          <w:bCs/>
          <w:kern w:val="44"/>
          <w:sz w:val="32"/>
          <w:szCs w:val="32"/>
        </w:rPr>
        <w:t>第十章  推进成渝地区双城经济圈和渝东北三峡库区城镇群建设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_Toc12573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"_Toc20389" </w:instrText>
      </w:r>
      <w:r>
        <w:fldChar w:fldCharType="separate"/>
      </w:r>
      <w:r>
        <w:rPr>
          <w:rStyle w:val="32"/>
          <w:rFonts w:ascii="Times New Roman" w:hAnsi="Times New Roman" w:eastAsia="方正仿宋_GBK"/>
          <w:sz w:val="32"/>
          <w:szCs w:val="32"/>
        </w:rPr>
        <w:t>第一节  合力推进基础设施建设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_Toc20389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"_Toc9011" </w:instrText>
      </w:r>
      <w:r>
        <w:fldChar w:fldCharType="separate"/>
      </w:r>
      <w:r>
        <w:rPr>
          <w:rStyle w:val="32"/>
          <w:rFonts w:ascii="Times New Roman" w:hAnsi="Times New Roman" w:eastAsia="方正仿宋_GBK"/>
          <w:sz w:val="32"/>
          <w:szCs w:val="32"/>
        </w:rPr>
        <w:t>第二节  合力推进产业互融互补</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_Toc9011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"_Toc19521" </w:instrText>
      </w:r>
      <w:r>
        <w:fldChar w:fldCharType="separate"/>
      </w:r>
      <w:r>
        <w:rPr>
          <w:rStyle w:val="32"/>
          <w:rFonts w:ascii="Times New Roman" w:hAnsi="Times New Roman" w:eastAsia="方正仿宋_GBK"/>
          <w:sz w:val="32"/>
          <w:szCs w:val="32"/>
        </w:rPr>
        <w:t>第三节  合力推进生态环境共建共保</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_Toc19521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"_Toc18918" </w:instrText>
      </w:r>
      <w:r>
        <w:fldChar w:fldCharType="separate"/>
      </w:r>
      <w:r>
        <w:rPr>
          <w:rStyle w:val="32"/>
          <w:rFonts w:ascii="Times New Roman" w:hAnsi="Times New Roman" w:eastAsia="方正仿宋_GBK"/>
          <w:sz w:val="32"/>
          <w:szCs w:val="32"/>
        </w:rPr>
        <w:t>第四节  合力推进公共服务共建共享</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_Toc18918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"_Toc19111" </w:instrText>
      </w:r>
      <w:r>
        <w:fldChar w:fldCharType="separate"/>
      </w:r>
      <w:r>
        <w:rPr>
          <w:rStyle w:val="32"/>
          <w:rFonts w:ascii="Times New Roman" w:hAnsi="Times New Roman" w:eastAsia="方正仿宋_GBK"/>
          <w:sz w:val="32"/>
          <w:szCs w:val="32"/>
        </w:rPr>
        <w:t>第五节  合力深化战略合作机制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_Toc19111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"_Toc12356" </w:instrText>
      </w:r>
      <w:r>
        <w:fldChar w:fldCharType="separate"/>
      </w:r>
      <w:r>
        <w:rPr>
          <w:rStyle w:val="32"/>
          <w:rFonts w:ascii="Times New Roman" w:hAnsi="Times New Roman" w:eastAsia="方正楷体_GBK"/>
          <w:bCs/>
          <w:kern w:val="44"/>
          <w:sz w:val="32"/>
          <w:szCs w:val="32"/>
        </w:rPr>
        <w:t>第十一章  实施更高水平开放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"_Toc2305" </w:instrText>
      </w:r>
      <w:r>
        <w:fldChar w:fldCharType="separate"/>
      </w:r>
      <w:r>
        <w:rPr>
          <w:rStyle w:val="32"/>
          <w:rFonts w:ascii="Times New Roman" w:hAnsi="Times New Roman" w:eastAsia="方正仿宋_GBK"/>
          <w:sz w:val="32"/>
          <w:szCs w:val="32"/>
        </w:rPr>
        <w:t>第一节  加快开放通道建设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"_Toc24190" </w:instrText>
      </w:r>
      <w:r>
        <w:fldChar w:fldCharType="separate"/>
      </w:r>
      <w:r>
        <w:rPr>
          <w:rStyle w:val="32"/>
          <w:rFonts w:ascii="Times New Roman" w:hAnsi="Times New Roman" w:eastAsia="方正仿宋_GBK"/>
          <w:sz w:val="32"/>
          <w:szCs w:val="32"/>
        </w:rPr>
        <w:t>第二节  加快开放平台建设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_Toc24190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"_Toc2462" </w:instrText>
      </w:r>
      <w:r>
        <w:fldChar w:fldCharType="separate"/>
      </w:r>
      <w:r>
        <w:rPr>
          <w:rStyle w:val="32"/>
          <w:rFonts w:ascii="Times New Roman" w:hAnsi="Times New Roman" w:eastAsia="方正仿宋_GBK"/>
          <w:sz w:val="32"/>
          <w:szCs w:val="32"/>
        </w:rPr>
        <w:t>第三节  提升开放型经济发展水平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"_Toc23225" </w:instrText>
      </w:r>
      <w:r>
        <w:fldChar w:fldCharType="separate"/>
      </w:r>
      <w:r>
        <w:rPr>
          <w:rStyle w:val="32"/>
          <w:rFonts w:ascii="Times New Roman" w:hAnsi="Times New Roman" w:eastAsia="方正黑体_GBK"/>
          <w:sz w:val="32"/>
          <w:szCs w:val="32"/>
        </w:rPr>
        <w:t>第四篇  全力推进基础设施建设 夯实高质量发展基础</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_Toc23225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45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"_Toc16420" </w:instrText>
      </w:r>
      <w:r>
        <w:fldChar w:fldCharType="separate"/>
      </w:r>
      <w:r>
        <w:rPr>
          <w:rStyle w:val="32"/>
          <w:rFonts w:ascii="Times New Roman" w:hAnsi="Times New Roman" w:eastAsia="方正楷体_GBK"/>
          <w:bCs/>
          <w:kern w:val="44"/>
          <w:sz w:val="32"/>
          <w:szCs w:val="32"/>
        </w:rPr>
        <w:t>第十二章  建设渝川陕毗邻区县综合交通枢纽</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_Toc16420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"_Toc24956" </w:instrText>
      </w:r>
      <w:r>
        <w:fldChar w:fldCharType="separate"/>
      </w:r>
      <w:r>
        <w:rPr>
          <w:rStyle w:val="32"/>
          <w:rFonts w:ascii="Times New Roman" w:hAnsi="Times New Roman" w:eastAsia="方正仿宋_GBK"/>
          <w:sz w:val="32"/>
          <w:szCs w:val="32"/>
        </w:rPr>
        <w:t>第一节  加快畅通对外通道</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_Toc24956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"_Toc25494" </w:instrText>
      </w:r>
      <w:r>
        <w:fldChar w:fldCharType="separate"/>
      </w:r>
      <w:r>
        <w:rPr>
          <w:rStyle w:val="32"/>
          <w:rFonts w:ascii="Times New Roman" w:hAnsi="Times New Roman" w:eastAsia="方正仿宋_GBK"/>
          <w:sz w:val="32"/>
          <w:szCs w:val="32"/>
        </w:rPr>
        <w:t>第二节  加快完善内部网络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_Toc25494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"_Toc23059" </w:instrText>
      </w:r>
      <w:r>
        <w:fldChar w:fldCharType="separate"/>
      </w:r>
      <w:r>
        <w:rPr>
          <w:rStyle w:val="32"/>
          <w:rFonts w:ascii="Times New Roman" w:hAnsi="Times New Roman" w:eastAsia="方正仿宋_GBK"/>
          <w:sz w:val="32"/>
          <w:szCs w:val="32"/>
        </w:rPr>
        <w:t>第三节  强化运输服务能力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_Toc23059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"_Toc12974" </w:instrText>
      </w:r>
      <w:r>
        <w:fldChar w:fldCharType="separate"/>
      </w:r>
      <w:r>
        <w:rPr>
          <w:rStyle w:val="32"/>
          <w:rFonts w:ascii="Times New Roman" w:hAnsi="Times New Roman" w:eastAsia="方正仿宋_GBK"/>
          <w:sz w:val="32"/>
          <w:szCs w:val="32"/>
        </w:rPr>
        <w:t>第四节  提升养护管理水平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_Toc12974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"_Toc7510" </w:instrText>
      </w:r>
      <w:r>
        <w:fldChar w:fldCharType="separate"/>
      </w:r>
      <w:r>
        <w:rPr>
          <w:rStyle w:val="32"/>
          <w:rFonts w:ascii="Times New Roman" w:hAnsi="Times New Roman" w:eastAsia="方正楷体_GBK"/>
          <w:bCs/>
          <w:kern w:val="44"/>
          <w:sz w:val="32"/>
          <w:szCs w:val="32"/>
        </w:rPr>
        <w:t>第十三章  提升水安全保障能力</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_Toc7510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"_Toc17892" </w:instrText>
      </w:r>
      <w:r>
        <w:fldChar w:fldCharType="separate"/>
      </w:r>
      <w:r>
        <w:rPr>
          <w:rStyle w:val="32"/>
          <w:rFonts w:ascii="Times New Roman" w:hAnsi="Times New Roman" w:eastAsia="方正仿宋_GBK"/>
          <w:sz w:val="32"/>
          <w:szCs w:val="32"/>
        </w:rPr>
        <w:t>第一节  优化水资源配置</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_Toc17892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"_Toc217" </w:instrText>
      </w:r>
      <w:r>
        <w:fldChar w:fldCharType="separate"/>
      </w:r>
      <w:r>
        <w:rPr>
          <w:rStyle w:val="32"/>
          <w:rFonts w:ascii="Times New Roman" w:hAnsi="Times New Roman" w:eastAsia="方正仿宋_GBK"/>
          <w:sz w:val="32"/>
          <w:szCs w:val="32"/>
        </w:rPr>
        <w:t>第二节  提升监督管理能力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_Toc217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48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"_Toc10127" </w:instrText>
      </w:r>
      <w:r>
        <w:fldChar w:fldCharType="separate"/>
      </w:r>
      <w:r>
        <w:rPr>
          <w:rStyle w:val="32"/>
          <w:rFonts w:ascii="Times New Roman" w:hAnsi="Times New Roman" w:eastAsia="方正楷体_GBK"/>
          <w:bCs/>
          <w:kern w:val="44"/>
          <w:sz w:val="32"/>
          <w:szCs w:val="32"/>
        </w:rPr>
        <w:t>第十四章  构建能源保障体系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_Toc10127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49</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"_Toc3168" </w:instrText>
      </w:r>
      <w:r>
        <w:fldChar w:fldCharType="separate"/>
      </w:r>
      <w:r>
        <w:rPr>
          <w:rStyle w:val="32"/>
          <w:rFonts w:ascii="Times New Roman" w:hAnsi="Times New Roman" w:eastAsia="方正楷体_GBK"/>
          <w:bCs/>
          <w:kern w:val="44"/>
          <w:sz w:val="32"/>
          <w:szCs w:val="32"/>
        </w:rPr>
        <w:t>第十五章  加快布局新型基础设施</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_Toc3168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50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"_Toc29699" </w:instrText>
      </w:r>
      <w:r>
        <w:fldChar w:fldCharType="separate"/>
      </w:r>
      <w:r>
        <w:rPr>
          <w:rStyle w:val="32"/>
          <w:rFonts w:ascii="Times New Roman" w:hAnsi="Times New Roman" w:eastAsia="方正黑体_GBK"/>
          <w:sz w:val="32"/>
          <w:szCs w:val="32"/>
        </w:rPr>
        <w:t>第五篇  发展现代产业体系  推动经济体系优化升级</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_Toc29699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50</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"_Toc22535" </w:instrText>
      </w:r>
      <w:r>
        <w:fldChar w:fldCharType="separate"/>
      </w:r>
      <w:r>
        <w:rPr>
          <w:rStyle w:val="32"/>
          <w:rFonts w:ascii="Times New Roman" w:hAnsi="Times New Roman" w:eastAsia="方正楷体_GBK"/>
          <w:bCs/>
          <w:kern w:val="44"/>
          <w:sz w:val="32"/>
          <w:szCs w:val="32"/>
        </w:rPr>
        <w:t>第十六章  推动农文旅深度融合发展</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_Toc22535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"_Toc926" </w:instrText>
      </w:r>
      <w:r>
        <w:fldChar w:fldCharType="separate"/>
      </w:r>
      <w:r>
        <w:rPr>
          <w:rStyle w:val="32"/>
          <w:rFonts w:ascii="Times New Roman" w:hAnsi="Times New Roman" w:eastAsia="方正仿宋_GBK"/>
          <w:sz w:val="32"/>
          <w:szCs w:val="32"/>
        </w:rPr>
        <w:t>第一节  农文旅融合引领产业发展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"_Toc16548" </w:instrText>
      </w:r>
      <w:r>
        <w:fldChar w:fldCharType="separate"/>
      </w:r>
      <w:r>
        <w:rPr>
          <w:rStyle w:val="32"/>
          <w:rFonts w:ascii="Times New Roman" w:hAnsi="Times New Roman" w:eastAsia="方正仿宋_GBK"/>
          <w:sz w:val="32"/>
          <w:szCs w:val="32"/>
        </w:rPr>
        <w:t>第二节  优化农文旅融合总体布局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_Toc16548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"_Toc19493" </w:instrText>
      </w:r>
      <w:r>
        <w:fldChar w:fldCharType="separate"/>
      </w:r>
      <w:r>
        <w:rPr>
          <w:rStyle w:val="32"/>
          <w:rFonts w:ascii="Times New Roman" w:hAnsi="Times New Roman" w:eastAsia="方正仿宋_GBK"/>
          <w:sz w:val="32"/>
          <w:szCs w:val="32"/>
        </w:rPr>
        <w:t>第三节  健全农文旅融合支撑体系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_Toc19493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"_Toc29209" </w:instrText>
      </w:r>
      <w:r>
        <w:fldChar w:fldCharType="separate"/>
      </w:r>
      <w:r>
        <w:rPr>
          <w:rStyle w:val="32"/>
          <w:rFonts w:ascii="Times New Roman" w:hAnsi="Times New Roman" w:eastAsia="方正仿宋_GBK"/>
          <w:sz w:val="32"/>
          <w:szCs w:val="32"/>
        </w:rPr>
        <w:t>第四节  培育发展“农文旅+”</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_Toc29209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"_Toc9722" </w:instrText>
      </w:r>
      <w:r>
        <w:fldChar w:fldCharType="separate"/>
      </w:r>
      <w:r>
        <w:rPr>
          <w:rStyle w:val="32"/>
          <w:rFonts w:ascii="Times New Roman" w:hAnsi="Times New Roman" w:eastAsia="方正仿宋_GBK"/>
          <w:sz w:val="32"/>
          <w:szCs w:val="32"/>
        </w:rPr>
        <w:t>第五节  加大农文旅品牌宣传推广</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_Toc9722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"_Toc16399" </w:instrText>
      </w:r>
      <w:r>
        <w:fldChar w:fldCharType="separate"/>
      </w:r>
      <w:r>
        <w:rPr>
          <w:rStyle w:val="32"/>
          <w:rFonts w:ascii="Times New Roman" w:hAnsi="Times New Roman" w:eastAsia="方正楷体_GBK"/>
          <w:bCs/>
          <w:kern w:val="44"/>
          <w:sz w:val="32"/>
          <w:szCs w:val="32"/>
        </w:rPr>
        <w:t>第十七章  提质发展现代山地特色生态农业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_Toc16399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"_Toc7123" </w:instrText>
      </w:r>
      <w:r>
        <w:fldChar w:fldCharType="separate"/>
      </w:r>
      <w:r>
        <w:rPr>
          <w:rStyle w:val="32"/>
          <w:rFonts w:ascii="Times New Roman" w:hAnsi="Times New Roman" w:eastAsia="方正仿宋_GBK"/>
          <w:sz w:val="32"/>
          <w:szCs w:val="32"/>
        </w:rPr>
        <w:t>第一节  优化乡村产业布局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_Toc7123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"_Toc26857" </w:instrText>
      </w:r>
      <w:r>
        <w:fldChar w:fldCharType="separate"/>
      </w:r>
      <w:r>
        <w:rPr>
          <w:rStyle w:val="32"/>
          <w:rFonts w:ascii="Times New Roman" w:hAnsi="Times New Roman" w:eastAsia="方正仿宋_GBK"/>
          <w:sz w:val="32"/>
          <w:szCs w:val="32"/>
        </w:rPr>
        <w:t>第二节  推动农业品牌建设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_Toc26857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59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"_Toc1332" </w:instrText>
      </w:r>
      <w:r>
        <w:fldChar w:fldCharType="separate"/>
      </w:r>
      <w:r>
        <w:rPr>
          <w:rStyle w:val="32"/>
          <w:rFonts w:ascii="Times New Roman" w:hAnsi="Times New Roman" w:eastAsia="方正楷体_GBK"/>
          <w:bCs/>
          <w:kern w:val="44"/>
          <w:sz w:val="32"/>
          <w:szCs w:val="32"/>
        </w:rPr>
        <w:t>第十八章  大力发展绿色工业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_Toc1332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"_Toc5286" </w:instrText>
      </w:r>
      <w:r>
        <w:fldChar w:fldCharType="separate"/>
      </w:r>
      <w:r>
        <w:rPr>
          <w:rStyle w:val="32"/>
          <w:rFonts w:ascii="Times New Roman" w:hAnsi="Times New Roman" w:eastAsia="方正仿宋_GBK"/>
          <w:sz w:val="32"/>
          <w:szCs w:val="32"/>
        </w:rPr>
        <w:t>第一节  推动锰钡产业转型升级</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_Toc5286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"_Toc16935" </w:instrText>
      </w:r>
      <w:r>
        <w:fldChar w:fldCharType="separate"/>
      </w:r>
      <w:r>
        <w:rPr>
          <w:rStyle w:val="32"/>
          <w:rFonts w:ascii="Times New Roman" w:hAnsi="Times New Roman" w:eastAsia="方正仿宋_GBK"/>
          <w:sz w:val="32"/>
          <w:szCs w:val="32"/>
        </w:rPr>
        <w:t>第二节  加快发展新型绿色建筑材料产业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_Toc16935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"_Toc18329" </w:instrText>
      </w:r>
      <w:r>
        <w:fldChar w:fldCharType="separate"/>
      </w:r>
      <w:r>
        <w:rPr>
          <w:rStyle w:val="32"/>
          <w:rFonts w:ascii="Times New Roman" w:hAnsi="Times New Roman" w:eastAsia="方正仿宋_GBK"/>
          <w:sz w:val="32"/>
          <w:szCs w:val="32"/>
        </w:rPr>
        <w:t>第三节  大力发展消费品工业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_Toc18329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"_Toc4658" </w:instrText>
      </w:r>
      <w:r>
        <w:fldChar w:fldCharType="separate"/>
      </w:r>
      <w:r>
        <w:rPr>
          <w:rStyle w:val="32"/>
          <w:rFonts w:ascii="Times New Roman" w:hAnsi="Times New Roman" w:eastAsia="方正楷体_GBK"/>
          <w:bCs/>
          <w:kern w:val="44"/>
          <w:sz w:val="32"/>
          <w:szCs w:val="32"/>
        </w:rPr>
        <w:t>第十九章  加快发展现代服务业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_Toc4658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"_Toc3808" </w:instrText>
      </w:r>
      <w:r>
        <w:fldChar w:fldCharType="separate"/>
      </w:r>
      <w:r>
        <w:rPr>
          <w:rStyle w:val="32"/>
          <w:rFonts w:ascii="Times New Roman" w:hAnsi="Times New Roman" w:eastAsia="方正仿宋_GBK"/>
          <w:sz w:val="32"/>
          <w:szCs w:val="32"/>
        </w:rPr>
        <w:t>第一节  大力发展康养服务业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_Toc3808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"_Toc3733" </w:instrText>
      </w:r>
      <w:r>
        <w:fldChar w:fldCharType="separate"/>
      </w:r>
      <w:r>
        <w:rPr>
          <w:rStyle w:val="32"/>
          <w:rFonts w:ascii="Times New Roman" w:hAnsi="Times New Roman" w:eastAsia="方正仿宋_GBK"/>
          <w:sz w:val="32"/>
          <w:szCs w:val="32"/>
        </w:rPr>
        <w:t>第二节  大力发展现代边贸物流</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_Toc3733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"_Toc9774" </w:instrText>
      </w:r>
      <w:r>
        <w:fldChar w:fldCharType="separate"/>
      </w:r>
      <w:r>
        <w:rPr>
          <w:rStyle w:val="32"/>
          <w:rFonts w:ascii="Times New Roman" w:hAnsi="Times New Roman" w:eastAsia="方正仿宋_GBK"/>
          <w:sz w:val="32"/>
          <w:szCs w:val="32"/>
        </w:rPr>
        <w:t>第三节  大力发展专业服务业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_Toc9774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"_Toc29544" </w:instrText>
      </w:r>
      <w:r>
        <w:fldChar w:fldCharType="separate"/>
      </w:r>
      <w:r>
        <w:rPr>
          <w:rStyle w:val="32"/>
          <w:rFonts w:ascii="Times New Roman" w:hAnsi="Times New Roman" w:eastAsia="方正仿宋_GBK"/>
          <w:sz w:val="32"/>
          <w:szCs w:val="32"/>
        </w:rPr>
        <w:t>第四节  升级发展生活性服务业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_Toc29544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Style w:val="32"/>
          <w:rFonts w:ascii="Times New Roman" w:hAnsi="Times New Roman" w:eastAsia="方正黑体_GBK"/>
          <w:color w:val="auto"/>
          <w:u w:val="none"/>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"_Toc1813" </w:instrText>
      </w:r>
      <w:r>
        <w:fldChar w:fldCharType="separate"/>
      </w:r>
      <w:r>
        <w:rPr>
          <w:rStyle w:val="32"/>
          <w:rFonts w:ascii="Times New Roman" w:hAnsi="Times New Roman" w:eastAsia="方正黑体_GBK"/>
          <w:sz w:val="32"/>
          <w:szCs w:val="32"/>
        </w:rPr>
        <w:t>第六篇  统筹乡村振兴和城市提升 全力推进城乡融合发展</w:t>
      </w:r>
      <w:r>
        <w:rPr>
          <w:rStyle w:val="32"/>
          <w:rFonts w:ascii="Times New Roman" w:hAnsi="Times New Roman" w:eastAsia="方正黑体_GBK"/>
          <w:sz w:val="32"/>
          <w:szCs w:val="32"/>
        </w:rPr>
        <w:fldChar w:fldCharType="end"/>
      </w:r>
    </w:p>
    <w:p>
      <w:pPr>
        <w:pStyle w:val="18"/>
        <w:tabs>
          <w:tab w:val="right" w:leader="dot" w:pos="8306"/>
        </w:tabs>
        <w:overflowPunct w:val="0"/>
        <w:rPr>
          <w:rFonts w:ascii="Times New Roman" w:hAnsi="Times New Roman"/>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"_Toc1813" </w:instrText>
      </w:r>
      <w:r>
        <w:fldChar w:fldCharType="separate"/>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_Toc1813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65</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"_Toc29614" </w:instrText>
      </w:r>
      <w:r>
        <w:fldChar w:fldCharType="separate"/>
      </w:r>
      <w:r>
        <w:rPr>
          <w:rStyle w:val="32"/>
          <w:rFonts w:ascii="Times New Roman" w:hAnsi="Times New Roman" w:eastAsia="方正楷体_GBK"/>
          <w:bCs/>
          <w:kern w:val="44"/>
          <w:sz w:val="32"/>
          <w:szCs w:val="32"/>
        </w:rPr>
        <w:t>第二十章 优化城乡发展格局</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_Toc29614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"_Toc10740" </w:instrText>
      </w:r>
      <w:r>
        <w:fldChar w:fldCharType="separate"/>
      </w:r>
      <w:r>
        <w:rPr>
          <w:rStyle w:val="32"/>
          <w:rFonts w:ascii="Times New Roman" w:hAnsi="Times New Roman" w:eastAsia="方正楷体_GBK"/>
          <w:bCs/>
          <w:kern w:val="44"/>
          <w:sz w:val="32"/>
          <w:szCs w:val="32"/>
        </w:rPr>
        <w:t>第二十一章  全面推进乡村振兴</w:t>
      </w:r>
      <w:r>
        <w:rPr>
          <w:rStyle w:val="32"/>
          <w:rFonts w:ascii="Times New Roman" w:hAnsi="Times New Roman" w:eastAsia="方正楷体_GBK"/>
          <w:bCs/>
          <w:kern w:val="44"/>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_Toc10740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"_Toc15110" </w:instrText>
      </w:r>
      <w:r>
        <w:fldChar w:fldCharType="separate"/>
      </w:r>
      <w:r>
        <w:rPr>
          <w:rStyle w:val="32"/>
          <w:rFonts w:ascii="Times New Roman" w:hAnsi="Times New Roman" w:eastAsia="方正仿宋_GBK"/>
          <w:sz w:val="32"/>
          <w:szCs w:val="32"/>
        </w:rPr>
        <w:t>第一节  提高农业质量效益</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_Toc15110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"_Toc1210" </w:instrText>
      </w:r>
      <w:r>
        <w:fldChar w:fldCharType="separate"/>
      </w:r>
      <w:r>
        <w:rPr>
          <w:rStyle w:val="32"/>
          <w:rFonts w:ascii="Times New Roman" w:hAnsi="Times New Roman" w:eastAsia="方正仿宋_GBK"/>
          <w:sz w:val="32"/>
          <w:szCs w:val="32"/>
        </w:rPr>
        <w:t>第二节  实施乡村建设行动</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Style w:val="32"/>
          <w:rFonts w:ascii="Times New Roman" w:hAnsi="Times New Roman"/>
          <w:color w:val="auto"/>
          <w:u w:val="none"/>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"_Toc24691" </w:instrText>
      </w:r>
      <w:r>
        <w:fldChar w:fldCharType="separate"/>
      </w:r>
      <w:r>
        <w:rPr>
          <w:rStyle w:val="32"/>
          <w:rFonts w:ascii="Times New Roman" w:hAnsi="Times New Roman" w:eastAsia="方正仿宋_GBK"/>
          <w:sz w:val="32"/>
          <w:szCs w:val="32"/>
        </w:rPr>
        <w:t>第三节  巩固拓展脱贫攻坚成果同乡村振兴有效衔接</w:t>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"_Toc24691" </w:instrText>
      </w:r>
      <w:r>
        <w:fldChar w:fldCharType="separate"/>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_Toc24691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69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"_Toc20559" </w:instrText>
      </w:r>
      <w:r>
        <w:fldChar w:fldCharType="separate"/>
      </w:r>
      <w:r>
        <w:rPr>
          <w:rStyle w:val="32"/>
          <w:rFonts w:ascii="Times New Roman" w:hAnsi="Times New Roman" w:eastAsia="方正楷体_GBK"/>
          <w:bCs/>
          <w:kern w:val="44"/>
          <w:sz w:val="32"/>
          <w:szCs w:val="32"/>
        </w:rPr>
        <w:t>第二十二章  推进以人为核心的新型城镇化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_Toc20559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"_Toc31542" </w:instrText>
      </w:r>
      <w:r>
        <w:fldChar w:fldCharType="separate"/>
      </w:r>
      <w:r>
        <w:rPr>
          <w:rStyle w:val="32"/>
          <w:rFonts w:ascii="Times New Roman" w:hAnsi="Times New Roman" w:eastAsia="方正仿宋_GBK"/>
          <w:sz w:val="32"/>
          <w:szCs w:val="32"/>
        </w:rPr>
        <w:t>第一节  推进以县城为载体的新型城镇化建设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_Toc31542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"_Toc29543" </w:instrText>
      </w:r>
      <w:r>
        <w:fldChar w:fldCharType="separate"/>
      </w:r>
      <w:r>
        <w:rPr>
          <w:rStyle w:val="32"/>
          <w:rFonts w:ascii="Times New Roman" w:hAnsi="Times New Roman" w:eastAsia="方正仿宋_GBK"/>
          <w:sz w:val="32"/>
          <w:szCs w:val="32"/>
        </w:rPr>
        <w:t>第二节  高质量实施城市更新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_Toc29543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"_Toc5756" </w:instrText>
      </w:r>
      <w:r>
        <w:fldChar w:fldCharType="separate"/>
      </w:r>
      <w:r>
        <w:rPr>
          <w:rStyle w:val="32"/>
          <w:rFonts w:ascii="Times New Roman" w:hAnsi="Times New Roman" w:eastAsia="方正仿宋_GBK"/>
          <w:sz w:val="32"/>
          <w:szCs w:val="32"/>
        </w:rPr>
        <w:t>第三节  提升县城管理水平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_Toc5756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"_Toc16486" </w:instrText>
      </w:r>
      <w:r>
        <w:fldChar w:fldCharType="separate"/>
      </w:r>
      <w:r>
        <w:rPr>
          <w:rStyle w:val="32"/>
          <w:rFonts w:ascii="Times New Roman" w:hAnsi="Times New Roman" w:eastAsia="方正仿宋_GBK"/>
          <w:sz w:val="32"/>
          <w:szCs w:val="32"/>
        </w:rPr>
        <w:t>第四节  推动农业转移人口在城镇稳业安居</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_Toc16486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"_Toc21497" </w:instrText>
      </w:r>
      <w:r>
        <w:fldChar w:fldCharType="separate"/>
      </w:r>
      <w:r>
        <w:rPr>
          <w:rStyle w:val="32"/>
          <w:rFonts w:ascii="Times New Roman" w:hAnsi="Times New Roman" w:eastAsia="方正楷体_GBK"/>
          <w:bCs/>
          <w:kern w:val="44"/>
          <w:sz w:val="32"/>
          <w:szCs w:val="32"/>
        </w:rPr>
        <w:t>第二十三章  构建城乡融合发展新机制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_Toc21497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"_Toc2235" </w:instrText>
      </w:r>
      <w:r>
        <w:fldChar w:fldCharType="separate"/>
      </w:r>
      <w:r>
        <w:rPr>
          <w:rStyle w:val="32"/>
          <w:rFonts w:ascii="Times New Roman" w:hAnsi="Times New Roman" w:eastAsia="方正仿宋_GBK"/>
          <w:sz w:val="32"/>
          <w:szCs w:val="32"/>
        </w:rPr>
        <w:t>第一节  全面深化农业农村改革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"_Toc29110" </w:instrText>
      </w:r>
      <w:r>
        <w:fldChar w:fldCharType="separate"/>
      </w:r>
      <w:r>
        <w:rPr>
          <w:rStyle w:val="32"/>
          <w:rFonts w:ascii="Times New Roman" w:hAnsi="Times New Roman" w:eastAsia="方正仿宋_GBK"/>
          <w:sz w:val="32"/>
          <w:szCs w:val="32"/>
        </w:rPr>
        <w:t>第二节  加强农业农村发展要素保障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_Toc29110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"_Toc24556" </w:instrText>
      </w:r>
      <w:r>
        <w:fldChar w:fldCharType="separate"/>
      </w:r>
      <w:r>
        <w:rPr>
          <w:rStyle w:val="32"/>
          <w:rFonts w:ascii="Times New Roman" w:hAnsi="Times New Roman" w:eastAsia="方正黑体_GBK"/>
          <w:sz w:val="32"/>
          <w:szCs w:val="32"/>
        </w:rPr>
        <w:t>第七篇  落实创新驱动发展战略  持续增强经济社会发展动力</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_Toc24556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77</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"_Toc1271" </w:instrText>
      </w:r>
      <w:r>
        <w:fldChar w:fldCharType="separate"/>
      </w:r>
      <w:r>
        <w:rPr>
          <w:rStyle w:val="32"/>
          <w:rFonts w:ascii="Times New Roman" w:hAnsi="Times New Roman" w:eastAsia="方正楷体_GBK"/>
          <w:bCs/>
          <w:kern w:val="44"/>
          <w:sz w:val="32"/>
          <w:szCs w:val="32"/>
        </w:rPr>
        <w:t>第二十四章  加快培育创新力量</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_Toc1271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"_Toc3093" </w:instrText>
      </w:r>
      <w:r>
        <w:fldChar w:fldCharType="separate"/>
      </w:r>
      <w:r>
        <w:rPr>
          <w:rStyle w:val="32"/>
          <w:rFonts w:ascii="Times New Roman" w:hAnsi="Times New Roman" w:eastAsia="方正仿宋_GBK"/>
          <w:sz w:val="32"/>
          <w:szCs w:val="32"/>
        </w:rPr>
        <w:t>第一节  强化企业创新主体地位</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"_Toc9174" </w:instrText>
      </w:r>
      <w:r>
        <w:fldChar w:fldCharType="separate"/>
      </w:r>
      <w:r>
        <w:rPr>
          <w:rStyle w:val="32"/>
          <w:rFonts w:ascii="Times New Roman" w:hAnsi="Times New Roman" w:eastAsia="方正仿宋_GBK"/>
          <w:sz w:val="32"/>
          <w:szCs w:val="32"/>
        </w:rPr>
        <w:t>第二节  加强产学研创新平台建设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_Toc9174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"_Toc22388" </w:instrText>
      </w:r>
      <w:r>
        <w:fldChar w:fldCharType="separate"/>
      </w:r>
      <w:r>
        <w:rPr>
          <w:rStyle w:val="32"/>
          <w:rFonts w:ascii="Times New Roman" w:hAnsi="Times New Roman" w:eastAsia="方正楷体_GBK"/>
          <w:bCs/>
          <w:kern w:val="44"/>
          <w:sz w:val="32"/>
          <w:szCs w:val="32"/>
        </w:rPr>
        <w:t>第二十五章  激发人才创新活力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_Toc22388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79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"_Toc1388" </w:instrText>
      </w:r>
      <w:r>
        <w:fldChar w:fldCharType="separate"/>
      </w:r>
      <w:r>
        <w:rPr>
          <w:rStyle w:val="32"/>
          <w:rFonts w:ascii="Times New Roman" w:hAnsi="Times New Roman" w:eastAsia="方正楷体_GBK"/>
          <w:bCs/>
          <w:kern w:val="44"/>
          <w:sz w:val="32"/>
          <w:szCs w:val="32"/>
        </w:rPr>
        <w:t>第二十六章  完善科技创新机制</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_Toc1388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"_Toc13505" </w:instrText>
      </w:r>
      <w:r>
        <w:fldChar w:fldCharType="separate"/>
      </w:r>
      <w:r>
        <w:rPr>
          <w:rStyle w:val="32"/>
          <w:rFonts w:ascii="Times New Roman" w:hAnsi="Times New Roman" w:eastAsia="方正仿宋_GBK"/>
          <w:sz w:val="32"/>
          <w:szCs w:val="32"/>
        </w:rPr>
        <w:t>第一节  深化科技创新机制改革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_Toc13505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"_Toc32764" </w:instrText>
      </w:r>
      <w:r>
        <w:fldChar w:fldCharType="separate"/>
      </w:r>
      <w:r>
        <w:rPr>
          <w:rStyle w:val="32"/>
          <w:rFonts w:ascii="Times New Roman" w:hAnsi="Times New Roman" w:eastAsia="方正仿宋_GBK"/>
          <w:sz w:val="32"/>
          <w:szCs w:val="32"/>
        </w:rPr>
        <w:t>第二节  完善协同创新机制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_Toc32764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"_Toc17354" </w:instrText>
      </w:r>
      <w:r>
        <w:fldChar w:fldCharType="separate"/>
      </w:r>
      <w:r>
        <w:rPr>
          <w:rStyle w:val="32"/>
          <w:rFonts w:ascii="Times New Roman" w:hAnsi="Times New Roman" w:eastAsia="方正仿宋_GBK"/>
          <w:sz w:val="32"/>
          <w:szCs w:val="32"/>
        </w:rPr>
        <w:t>第三节  健全科技投融资体系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_Toc17354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"_Toc13390" </w:instrText>
      </w:r>
      <w:r>
        <w:fldChar w:fldCharType="separate"/>
      </w:r>
      <w:r>
        <w:rPr>
          <w:rStyle w:val="32"/>
          <w:rFonts w:ascii="Times New Roman" w:hAnsi="Times New Roman" w:eastAsia="方正仿宋_GBK"/>
          <w:sz w:val="32"/>
          <w:szCs w:val="32"/>
        </w:rPr>
        <w:t>第四节  优化创新创业创造生态</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_Toc13390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"_Toc27047" </w:instrText>
      </w:r>
      <w:r>
        <w:fldChar w:fldCharType="separate"/>
      </w:r>
      <w:r>
        <w:rPr>
          <w:rStyle w:val="32"/>
          <w:rFonts w:ascii="Times New Roman" w:hAnsi="Times New Roman" w:eastAsia="方正黑体_GBK"/>
          <w:sz w:val="32"/>
          <w:szCs w:val="32"/>
        </w:rPr>
        <w:t>第八篇 在更高起点推进全面深化改革  构建规范</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_Toc27047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82</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"_Toc17635" </w:instrText>
      </w:r>
      <w:r>
        <w:fldChar w:fldCharType="separate"/>
      </w:r>
      <w:r>
        <w:rPr>
          <w:rStyle w:val="32"/>
          <w:rFonts w:ascii="Times New Roman" w:hAnsi="Times New Roman" w:eastAsia="方正黑体_GBK"/>
          <w:bCs/>
          <w:kern w:val="44"/>
          <w:sz w:val="32"/>
          <w:szCs w:val="32"/>
        </w:rPr>
        <w:t>有序的社会主义市场经济体制</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_Toc17635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82</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"_Toc20875" </w:instrText>
      </w:r>
      <w:r>
        <w:fldChar w:fldCharType="separate"/>
      </w:r>
      <w:r>
        <w:rPr>
          <w:rStyle w:val="32"/>
          <w:rFonts w:ascii="Times New Roman" w:hAnsi="Times New Roman" w:eastAsia="方正楷体_GBK"/>
          <w:bCs/>
          <w:kern w:val="44"/>
          <w:sz w:val="32"/>
          <w:szCs w:val="32"/>
        </w:rPr>
        <w:t>第二十七章  激发各类市场主体活力</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_Toc20875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"_Toc10608" </w:instrText>
      </w:r>
      <w:r>
        <w:fldChar w:fldCharType="separate"/>
      </w:r>
      <w:r>
        <w:rPr>
          <w:rStyle w:val="32"/>
          <w:rFonts w:ascii="Times New Roman" w:hAnsi="Times New Roman" w:eastAsia="方正仿宋_GBK"/>
          <w:sz w:val="32"/>
          <w:szCs w:val="32"/>
        </w:rPr>
        <w:t>第一节  深化国资国企改革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_Toc10608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"_Toc31201" </w:instrText>
      </w:r>
      <w:r>
        <w:fldChar w:fldCharType="separate"/>
      </w:r>
      <w:r>
        <w:rPr>
          <w:rStyle w:val="32"/>
          <w:rFonts w:ascii="Times New Roman" w:hAnsi="Times New Roman" w:eastAsia="方正仿宋_GBK"/>
          <w:sz w:val="32"/>
          <w:szCs w:val="32"/>
        </w:rPr>
        <w:t>第二节  推动民营经济加快发展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_Toc31201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"_Toc8387" </w:instrText>
      </w:r>
      <w:r>
        <w:fldChar w:fldCharType="separate"/>
      </w:r>
      <w:r>
        <w:rPr>
          <w:rStyle w:val="32"/>
          <w:rFonts w:ascii="Times New Roman" w:hAnsi="Times New Roman" w:eastAsia="方正楷体_GBK"/>
          <w:bCs/>
          <w:kern w:val="44"/>
          <w:sz w:val="32"/>
          <w:szCs w:val="32"/>
        </w:rPr>
        <w:t>第二十八章  落实高质量发展政策体系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_Toc8387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"_Toc17901" </w:instrText>
      </w:r>
      <w:r>
        <w:fldChar w:fldCharType="separate"/>
      </w:r>
      <w:r>
        <w:rPr>
          <w:rStyle w:val="32"/>
          <w:rFonts w:ascii="Times New Roman" w:hAnsi="Times New Roman" w:eastAsia="方正楷体_GBK"/>
          <w:bCs/>
          <w:kern w:val="44"/>
          <w:sz w:val="32"/>
          <w:szCs w:val="32"/>
        </w:rPr>
        <w:t>第二十九章  落实现代财税金融体制</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_Toc17901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"_Toc8627" </w:instrText>
      </w:r>
      <w:r>
        <w:fldChar w:fldCharType="separate"/>
      </w:r>
      <w:r>
        <w:rPr>
          <w:rStyle w:val="32"/>
          <w:rFonts w:ascii="Times New Roman" w:hAnsi="Times New Roman" w:eastAsia="方正楷体_GBK"/>
          <w:bCs/>
          <w:kern w:val="44"/>
          <w:sz w:val="32"/>
          <w:szCs w:val="32"/>
        </w:rPr>
        <w:t>第三十章  建设高标准市场体系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_Toc8627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"_Toc8834" </w:instrText>
      </w:r>
      <w:r>
        <w:fldChar w:fldCharType="separate"/>
      </w:r>
      <w:r>
        <w:rPr>
          <w:rStyle w:val="32"/>
          <w:rFonts w:ascii="Times New Roman" w:hAnsi="Times New Roman" w:eastAsia="方正仿宋_GBK"/>
          <w:sz w:val="32"/>
          <w:szCs w:val="32"/>
        </w:rPr>
        <w:t>第一节  夯实市场经济基础性制度</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_Toc8834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"_Toc16863" </w:instrText>
      </w:r>
      <w:r>
        <w:fldChar w:fldCharType="separate"/>
      </w:r>
      <w:r>
        <w:rPr>
          <w:rStyle w:val="32"/>
          <w:rFonts w:ascii="Times New Roman" w:hAnsi="Times New Roman" w:eastAsia="方正仿宋_GBK"/>
          <w:sz w:val="32"/>
          <w:szCs w:val="32"/>
        </w:rPr>
        <w:t>第二节  完善市场化要素配置机制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_Toc16863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"_Toc9177" </w:instrText>
      </w:r>
      <w:r>
        <w:fldChar w:fldCharType="separate"/>
      </w:r>
      <w:r>
        <w:rPr>
          <w:rStyle w:val="32"/>
          <w:rFonts w:ascii="Times New Roman" w:hAnsi="Times New Roman" w:eastAsia="方正楷体_GBK"/>
          <w:bCs/>
          <w:kern w:val="44"/>
          <w:sz w:val="32"/>
          <w:szCs w:val="32"/>
        </w:rPr>
        <w:t>第三十一章  持续优化营商环境</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_Toc9177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"_Toc3433" </w:instrText>
      </w:r>
      <w:r>
        <w:fldChar w:fldCharType="separate"/>
      </w:r>
      <w:r>
        <w:rPr>
          <w:rStyle w:val="32"/>
          <w:rFonts w:ascii="Times New Roman" w:hAnsi="Times New Roman" w:eastAsia="方正仿宋_GBK"/>
          <w:sz w:val="32"/>
          <w:szCs w:val="32"/>
        </w:rPr>
        <w:t>第一节  加快转变政府职能</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_Toc3433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"_Toc29483" </w:instrText>
      </w:r>
      <w:r>
        <w:fldChar w:fldCharType="separate"/>
      </w:r>
      <w:r>
        <w:rPr>
          <w:rStyle w:val="32"/>
          <w:rFonts w:ascii="Times New Roman" w:hAnsi="Times New Roman" w:eastAsia="方正仿宋_GBK"/>
          <w:sz w:val="32"/>
          <w:szCs w:val="32"/>
        </w:rPr>
        <w:t>第二节  优化涉企公共服务</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_Toc29483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"_Toc10177" </w:instrText>
      </w:r>
      <w:r>
        <w:fldChar w:fldCharType="separate"/>
      </w:r>
      <w:r>
        <w:rPr>
          <w:rStyle w:val="32"/>
          <w:rFonts w:ascii="Times New Roman" w:hAnsi="Times New Roman" w:eastAsia="方正仿宋_GBK"/>
          <w:sz w:val="32"/>
          <w:szCs w:val="32"/>
        </w:rPr>
        <w:t>第三节  完善社会信用体系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_Toc10177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"_Toc12508" </w:instrText>
      </w:r>
      <w:r>
        <w:fldChar w:fldCharType="separate"/>
      </w:r>
      <w:r>
        <w:rPr>
          <w:rStyle w:val="32"/>
          <w:rFonts w:ascii="Times New Roman" w:hAnsi="Times New Roman" w:eastAsia="方正黑体_GBK"/>
          <w:sz w:val="32"/>
          <w:szCs w:val="32"/>
        </w:rPr>
        <w:t>第九篇  大力发展文化事业和文化产业  提高社会文明程度</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_Toc12508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88</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"_Toc22434" </w:instrText>
      </w:r>
      <w:r>
        <w:fldChar w:fldCharType="separate"/>
      </w:r>
      <w:r>
        <w:rPr>
          <w:rStyle w:val="32"/>
          <w:rFonts w:ascii="Times New Roman" w:hAnsi="Times New Roman" w:eastAsia="方正楷体_GBK"/>
          <w:bCs/>
          <w:kern w:val="44"/>
          <w:sz w:val="32"/>
          <w:szCs w:val="32"/>
        </w:rPr>
        <w:t>第三十二章  提高社会文明程度</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_Toc22434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88</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"_Toc14589" </w:instrText>
      </w:r>
      <w:r>
        <w:fldChar w:fldCharType="separate"/>
      </w:r>
      <w:r>
        <w:rPr>
          <w:rStyle w:val="32"/>
          <w:rFonts w:ascii="Times New Roman" w:hAnsi="Times New Roman" w:eastAsia="方正仿宋_GBK"/>
          <w:sz w:val="32"/>
          <w:szCs w:val="32"/>
        </w:rPr>
        <w:t>第一节  践行社会主义核心价值观</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_Toc14589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"_Toc20" </w:instrText>
      </w:r>
      <w:r>
        <w:fldChar w:fldCharType="separate"/>
      </w:r>
      <w:r>
        <w:rPr>
          <w:rStyle w:val="32"/>
          <w:rFonts w:ascii="Times New Roman" w:hAnsi="Times New Roman" w:eastAsia="方正仿宋_GBK"/>
          <w:sz w:val="32"/>
          <w:szCs w:val="32"/>
        </w:rPr>
        <w:t>第二节  加强社会主义精神文明建设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89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"_Toc25799" </w:instrText>
      </w:r>
      <w:r>
        <w:fldChar w:fldCharType="separate"/>
      </w:r>
      <w:r>
        <w:rPr>
          <w:rStyle w:val="32"/>
          <w:rFonts w:ascii="Times New Roman" w:hAnsi="Times New Roman" w:eastAsia="方正楷体_GBK"/>
          <w:bCs/>
          <w:kern w:val="44"/>
          <w:sz w:val="32"/>
          <w:szCs w:val="32"/>
        </w:rPr>
        <w:t>第三十三章  提升公共文化服务水平</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_Toc25799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"_Toc22135" </w:instrText>
      </w:r>
      <w:r>
        <w:fldChar w:fldCharType="separate"/>
      </w:r>
      <w:r>
        <w:rPr>
          <w:rStyle w:val="32"/>
          <w:rFonts w:ascii="Times New Roman" w:hAnsi="Times New Roman" w:eastAsia="方正仿宋_GBK"/>
          <w:sz w:val="32"/>
          <w:szCs w:val="32"/>
        </w:rPr>
        <w:t>第一节  推进文艺事业繁荣发展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_Toc22135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"_Toc30972" </w:instrText>
      </w:r>
      <w:r>
        <w:fldChar w:fldCharType="separate"/>
      </w:r>
      <w:r>
        <w:rPr>
          <w:rStyle w:val="32"/>
          <w:rFonts w:ascii="Times New Roman" w:hAnsi="Times New Roman" w:eastAsia="方正仿宋_GBK"/>
          <w:sz w:val="32"/>
          <w:szCs w:val="32"/>
        </w:rPr>
        <w:t>第二节  推进公共文化服务体系建设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_Toc30972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"_Toc26077" </w:instrText>
      </w:r>
      <w:r>
        <w:fldChar w:fldCharType="separate"/>
      </w:r>
      <w:r>
        <w:rPr>
          <w:rStyle w:val="32"/>
          <w:rFonts w:ascii="Times New Roman" w:hAnsi="Times New Roman" w:eastAsia="方正仿宋_GBK"/>
          <w:sz w:val="32"/>
          <w:szCs w:val="32"/>
        </w:rPr>
        <w:t>第三节  加强优秀传统文化传承弘扬</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_Toc26077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"_Toc12376" </w:instrText>
      </w:r>
      <w:r>
        <w:fldChar w:fldCharType="separate"/>
      </w:r>
      <w:r>
        <w:rPr>
          <w:rStyle w:val="32"/>
          <w:rFonts w:ascii="Times New Roman" w:hAnsi="Times New Roman" w:eastAsia="方正仿宋_GBK"/>
          <w:sz w:val="32"/>
          <w:szCs w:val="32"/>
        </w:rPr>
        <w:t>第四节  建设长征国家文化公园</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_Toc12376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"_Toc12864" </w:instrText>
      </w:r>
      <w:r>
        <w:fldChar w:fldCharType="separate"/>
      </w:r>
      <w:r>
        <w:rPr>
          <w:rStyle w:val="32"/>
          <w:rFonts w:ascii="Times New Roman" w:hAnsi="Times New Roman" w:eastAsia="方正楷体_GBK"/>
          <w:bCs/>
          <w:kern w:val="44"/>
          <w:sz w:val="32"/>
          <w:szCs w:val="32"/>
        </w:rPr>
        <w:t>第三十四章  健全文化产业体系</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_Toc12864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"_Toc2673" </w:instrText>
      </w:r>
      <w:r>
        <w:fldChar w:fldCharType="separate"/>
      </w:r>
      <w:r>
        <w:rPr>
          <w:rStyle w:val="32"/>
          <w:rFonts w:ascii="Times New Roman" w:hAnsi="Times New Roman" w:eastAsia="方正仿宋_GBK"/>
          <w:sz w:val="32"/>
          <w:szCs w:val="32"/>
        </w:rPr>
        <w:t>第一节  推动文化产业创新发展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_Toc2673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"_Toc8787" </w:instrText>
      </w:r>
      <w:r>
        <w:fldChar w:fldCharType="separate"/>
      </w:r>
      <w:r>
        <w:rPr>
          <w:rStyle w:val="32"/>
          <w:rFonts w:ascii="Times New Roman" w:hAnsi="Times New Roman" w:eastAsia="方正仿宋_GBK"/>
          <w:sz w:val="32"/>
          <w:szCs w:val="32"/>
        </w:rPr>
        <w:t>第二节  推动文化产业集聚协同发展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_Toc8787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"_Toc2747" </w:instrText>
      </w:r>
      <w:r>
        <w:fldChar w:fldCharType="separate"/>
      </w:r>
      <w:r>
        <w:rPr>
          <w:rStyle w:val="32"/>
          <w:rFonts w:ascii="Times New Roman" w:hAnsi="Times New Roman" w:eastAsia="方正仿宋_GBK"/>
          <w:sz w:val="32"/>
          <w:szCs w:val="32"/>
        </w:rPr>
        <w:t>第三节  大力打造文化品牌</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_Toc2747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94</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"_Toc19719" </w:instrText>
      </w:r>
      <w:r>
        <w:fldChar w:fldCharType="separate"/>
      </w:r>
      <w:r>
        <w:rPr>
          <w:rStyle w:val="32"/>
          <w:rFonts w:ascii="Times New Roman" w:hAnsi="Times New Roman" w:eastAsia="方正黑体_GBK"/>
          <w:sz w:val="32"/>
          <w:szCs w:val="32"/>
        </w:rPr>
        <w:t>第十篇  努力创造高品质生活，提高社会建设水平</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_Toc19719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94</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"_Toc12429" </w:instrText>
      </w:r>
      <w:r>
        <w:fldChar w:fldCharType="separate"/>
      </w:r>
      <w:r>
        <w:rPr>
          <w:rStyle w:val="32"/>
          <w:rFonts w:ascii="Times New Roman" w:hAnsi="Times New Roman" w:eastAsia="方正楷体_GBK"/>
          <w:bCs/>
          <w:kern w:val="44"/>
          <w:sz w:val="32"/>
          <w:szCs w:val="32"/>
        </w:rPr>
        <w:t>第三十五章  提高人民收入水平</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_Toc12429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"_Toc28657" </w:instrText>
      </w:r>
      <w:r>
        <w:fldChar w:fldCharType="separate"/>
      </w:r>
      <w:r>
        <w:rPr>
          <w:rStyle w:val="32"/>
          <w:rFonts w:ascii="Times New Roman" w:hAnsi="Times New Roman" w:eastAsia="方正楷体_GBK"/>
          <w:bCs/>
          <w:kern w:val="44"/>
          <w:sz w:val="32"/>
          <w:szCs w:val="32"/>
        </w:rPr>
        <w:t>第三十六章  促进更加充分更高质量就业</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_Toc28657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"_Toc30800" </w:instrText>
      </w:r>
      <w:r>
        <w:fldChar w:fldCharType="separate"/>
      </w:r>
      <w:r>
        <w:rPr>
          <w:rStyle w:val="32"/>
          <w:rFonts w:ascii="Times New Roman" w:hAnsi="Times New Roman" w:eastAsia="方正仿宋_GBK"/>
          <w:sz w:val="32"/>
          <w:szCs w:val="32"/>
        </w:rPr>
        <w:t>第一节  健全就业创业服务体系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_Toc30800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"_Toc15932" </w:instrText>
      </w:r>
      <w:r>
        <w:fldChar w:fldCharType="separate"/>
      </w:r>
      <w:r>
        <w:rPr>
          <w:rStyle w:val="32"/>
          <w:rFonts w:ascii="Times New Roman" w:hAnsi="Times New Roman" w:eastAsia="方正仿宋_GBK"/>
          <w:sz w:val="32"/>
          <w:szCs w:val="32"/>
        </w:rPr>
        <w:t>第二节  促进重点群体就业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_Toc15932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"_Toc30542" </w:instrText>
      </w:r>
      <w:r>
        <w:fldChar w:fldCharType="separate"/>
      </w:r>
      <w:r>
        <w:rPr>
          <w:rStyle w:val="32"/>
          <w:rFonts w:ascii="Times New Roman" w:hAnsi="Times New Roman" w:eastAsia="方正楷体_GBK"/>
          <w:bCs/>
          <w:kern w:val="44"/>
          <w:sz w:val="32"/>
          <w:szCs w:val="32"/>
        </w:rPr>
        <w:t>第三十七章  优先发展教育事业</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_Toc30542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"_Toc29641" </w:instrText>
      </w:r>
      <w:r>
        <w:fldChar w:fldCharType="separate"/>
      </w:r>
      <w:r>
        <w:rPr>
          <w:rStyle w:val="32"/>
          <w:rFonts w:ascii="Times New Roman" w:hAnsi="Times New Roman" w:eastAsia="方正仿宋_GBK"/>
          <w:sz w:val="32"/>
          <w:szCs w:val="32"/>
        </w:rPr>
        <w:t>第一节  推进基本公共教育优质发展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_Toc29641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"_Toc13993" </w:instrText>
      </w:r>
      <w:r>
        <w:fldChar w:fldCharType="separate"/>
      </w:r>
      <w:r>
        <w:rPr>
          <w:rStyle w:val="32"/>
          <w:rFonts w:ascii="Times New Roman" w:hAnsi="Times New Roman" w:eastAsia="方正仿宋_GBK"/>
          <w:sz w:val="32"/>
          <w:szCs w:val="32"/>
        </w:rPr>
        <w:t>第二节 增强教育服务支撑高质量发展能力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_Toc13993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"_Toc22439" </w:instrText>
      </w:r>
      <w:r>
        <w:fldChar w:fldCharType="separate"/>
      </w:r>
      <w:r>
        <w:rPr>
          <w:rStyle w:val="32"/>
          <w:rFonts w:ascii="Times New Roman" w:hAnsi="Times New Roman" w:eastAsia="方正仿宋_GBK"/>
          <w:sz w:val="32"/>
          <w:szCs w:val="32"/>
        </w:rPr>
        <w:t>第三节  加快完善现代教育治理体系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_Toc22439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"_Toc24859" </w:instrText>
      </w:r>
      <w:r>
        <w:fldChar w:fldCharType="separate"/>
      </w:r>
      <w:r>
        <w:rPr>
          <w:rStyle w:val="32"/>
          <w:rFonts w:ascii="Times New Roman" w:hAnsi="Times New Roman" w:eastAsia="方正楷体_GBK"/>
          <w:bCs/>
          <w:kern w:val="44"/>
          <w:sz w:val="32"/>
          <w:szCs w:val="32"/>
        </w:rPr>
        <w:t>第三十八章  实施健康中国城口行动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_Toc24859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98</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"_Toc14826" </w:instrText>
      </w:r>
      <w:r>
        <w:fldChar w:fldCharType="separate"/>
      </w:r>
      <w:r>
        <w:rPr>
          <w:rStyle w:val="32"/>
          <w:rFonts w:ascii="Times New Roman" w:hAnsi="Times New Roman" w:eastAsia="方正仿宋_GBK"/>
          <w:sz w:val="32"/>
          <w:szCs w:val="32"/>
        </w:rPr>
        <w:t>第一节  全面加强公共卫生服务体系建设</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_Toc14826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"_Toc24745" </w:instrText>
      </w:r>
      <w:r>
        <w:fldChar w:fldCharType="separate"/>
      </w:r>
      <w:r>
        <w:rPr>
          <w:rStyle w:val="32"/>
          <w:rFonts w:ascii="Times New Roman" w:hAnsi="Times New Roman" w:eastAsia="方正仿宋_GBK"/>
          <w:sz w:val="32"/>
          <w:szCs w:val="32"/>
        </w:rPr>
        <w:t>第二节 全面提高医疗卫生服务水平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_Toc24745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"_Toc26331" </w:instrText>
      </w:r>
      <w:r>
        <w:fldChar w:fldCharType="separate"/>
      </w:r>
      <w:r>
        <w:rPr>
          <w:rStyle w:val="32"/>
          <w:rFonts w:ascii="Times New Roman" w:hAnsi="Times New Roman" w:eastAsia="方正仿宋_GBK"/>
          <w:sz w:val="32"/>
          <w:szCs w:val="32"/>
        </w:rPr>
        <w:t>第三节  加强全方位全生命周期健康保障</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_Toc26331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99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"_Toc31526" </w:instrText>
      </w:r>
      <w:r>
        <w:fldChar w:fldCharType="separate"/>
      </w:r>
      <w:r>
        <w:rPr>
          <w:rStyle w:val="32"/>
          <w:rFonts w:ascii="Times New Roman" w:hAnsi="Times New Roman" w:eastAsia="方正仿宋_GBK"/>
          <w:sz w:val="32"/>
          <w:szCs w:val="32"/>
        </w:rPr>
        <w:t>第四节  促进中医药传承与创新</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_Toc31526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"_Toc18194" </w:instrText>
      </w:r>
      <w:r>
        <w:fldChar w:fldCharType="separate"/>
      </w:r>
      <w:r>
        <w:rPr>
          <w:rStyle w:val="32"/>
          <w:rFonts w:ascii="Times New Roman" w:hAnsi="Times New Roman" w:eastAsia="方正仿宋_GBK"/>
          <w:sz w:val="32"/>
          <w:szCs w:val="32"/>
        </w:rPr>
        <w:t>第五节  推进体育事业发展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_Toc18194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100</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"_Toc4245" </w:instrText>
      </w:r>
      <w:r>
        <w:fldChar w:fldCharType="separate"/>
      </w:r>
      <w:r>
        <w:rPr>
          <w:rStyle w:val="32"/>
          <w:rFonts w:ascii="Times New Roman" w:hAnsi="Times New Roman" w:eastAsia="方正楷体_GBK"/>
          <w:bCs/>
          <w:kern w:val="44"/>
          <w:sz w:val="32"/>
          <w:szCs w:val="32"/>
        </w:rPr>
        <w:t>第三十九章  加强社会保障体系建设</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_Toc4245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"_Toc26942" </w:instrText>
      </w:r>
      <w:r>
        <w:fldChar w:fldCharType="separate"/>
      </w:r>
      <w:r>
        <w:rPr>
          <w:rStyle w:val="32"/>
          <w:rFonts w:ascii="Times New Roman" w:hAnsi="Times New Roman" w:eastAsia="方正仿宋_GBK"/>
          <w:sz w:val="32"/>
          <w:szCs w:val="32"/>
        </w:rPr>
        <w:t>第一节  完善社会保险和医疗保障体系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_Toc26942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"_Toc30716" </w:instrText>
      </w:r>
      <w:r>
        <w:fldChar w:fldCharType="separate"/>
      </w:r>
      <w:r>
        <w:rPr>
          <w:rStyle w:val="32"/>
          <w:rFonts w:ascii="Times New Roman" w:hAnsi="Times New Roman" w:eastAsia="方正仿宋_GBK"/>
          <w:sz w:val="32"/>
          <w:szCs w:val="32"/>
        </w:rPr>
        <w:t>第二节  健全社会救助体系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_Toc30716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"_Toc22912" </w:instrText>
      </w:r>
      <w:r>
        <w:fldChar w:fldCharType="separate"/>
      </w:r>
      <w:r>
        <w:rPr>
          <w:rStyle w:val="32"/>
          <w:rFonts w:ascii="Times New Roman" w:hAnsi="Times New Roman" w:eastAsia="方正仿宋_GBK"/>
          <w:sz w:val="32"/>
          <w:szCs w:val="32"/>
        </w:rPr>
        <w:t>第三节  完善住房保障体系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_Toc22912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"_Toc16303" </w:instrText>
      </w:r>
      <w:r>
        <w:fldChar w:fldCharType="separate"/>
      </w:r>
      <w:r>
        <w:rPr>
          <w:rStyle w:val="32"/>
          <w:rFonts w:ascii="Times New Roman" w:hAnsi="Times New Roman" w:eastAsia="方正仿宋_GBK"/>
          <w:sz w:val="32"/>
          <w:szCs w:val="32"/>
        </w:rPr>
        <w:t>第四节  健全退役军人服务和保障体系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_Toc16303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"_Toc4383" </w:instrText>
      </w:r>
      <w:r>
        <w:fldChar w:fldCharType="separate"/>
      </w:r>
      <w:r>
        <w:rPr>
          <w:rStyle w:val="32"/>
          <w:rFonts w:ascii="Times New Roman" w:hAnsi="Times New Roman" w:eastAsia="方正楷体_GBK"/>
          <w:bCs/>
          <w:kern w:val="44"/>
          <w:sz w:val="32"/>
          <w:szCs w:val="32"/>
        </w:rPr>
        <w:t>第四十章  落实积极应对人口老龄化国家战略</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_Toc4383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103</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"_Toc25668" </w:instrText>
      </w:r>
      <w:r>
        <w:fldChar w:fldCharType="separate"/>
      </w:r>
      <w:r>
        <w:rPr>
          <w:rStyle w:val="32"/>
          <w:rFonts w:ascii="Times New Roman" w:hAnsi="Times New Roman" w:eastAsia="方正仿宋_GBK"/>
          <w:sz w:val="32"/>
          <w:szCs w:val="32"/>
        </w:rPr>
        <w:t>第一节  提高生育托育服务水平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_Toc25668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"_Toc23076" </w:instrText>
      </w:r>
      <w:r>
        <w:fldChar w:fldCharType="separate"/>
      </w:r>
      <w:r>
        <w:rPr>
          <w:rStyle w:val="32"/>
          <w:rFonts w:ascii="Times New Roman" w:hAnsi="Times New Roman" w:eastAsia="方正仿宋_GBK"/>
          <w:sz w:val="32"/>
          <w:szCs w:val="32"/>
        </w:rPr>
        <w:t>第二节  推动养老事业和养老产业协同发展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_Toc23076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"_Toc6537" </w:instrText>
      </w:r>
      <w:r>
        <w:fldChar w:fldCharType="separate"/>
      </w:r>
      <w:r>
        <w:rPr>
          <w:rStyle w:val="32"/>
          <w:rFonts w:ascii="Times New Roman" w:hAnsi="Times New Roman" w:eastAsia="方正楷体_GBK"/>
          <w:bCs/>
          <w:kern w:val="44"/>
          <w:sz w:val="32"/>
          <w:szCs w:val="32"/>
        </w:rPr>
        <w:t>第四十一章  关心关爱重点群体发展</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_Toc6537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"_Toc27521" </w:instrText>
      </w:r>
      <w:r>
        <w:fldChar w:fldCharType="separate"/>
      </w:r>
      <w:r>
        <w:rPr>
          <w:rStyle w:val="32"/>
          <w:rFonts w:ascii="Times New Roman" w:hAnsi="Times New Roman" w:eastAsia="方正仿宋_GBK"/>
          <w:sz w:val="32"/>
          <w:szCs w:val="32"/>
        </w:rPr>
        <w:t>第一节  促进妇女全面发展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_Toc27521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"_Toc11155" </w:instrText>
      </w:r>
      <w:r>
        <w:fldChar w:fldCharType="separate"/>
      </w:r>
      <w:r>
        <w:rPr>
          <w:rStyle w:val="32"/>
          <w:rFonts w:ascii="Times New Roman" w:hAnsi="Times New Roman" w:eastAsia="方正仿宋_GBK"/>
          <w:sz w:val="32"/>
          <w:szCs w:val="32"/>
        </w:rPr>
        <w:t>第二节  保障儿童健康发展</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_Toc11155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105</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"_Toc22043" </w:instrText>
      </w:r>
      <w:r>
        <w:fldChar w:fldCharType="separate"/>
      </w:r>
      <w:r>
        <w:rPr>
          <w:rStyle w:val="32"/>
          <w:rFonts w:ascii="Times New Roman" w:hAnsi="Times New Roman" w:eastAsia="方正仿宋_GBK"/>
          <w:sz w:val="32"/>
          <w:szCs w:val="32"/>
        </w:rPr>
        <w:t>第三节  高质量推动青少年发展事业</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_Toc22043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rPr>
          <w:rFonts w:ascii="Times New Roman" w:hAnsi="Times New Roman" w:eastAsia="方正仿宋_GBK"/>
          <w:sz w:val="32"/>
          <w:szCs w:val="32"/>
        </w:rPr>
        <w:t>第四节  加强家庭建设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_Toc12345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106</w:t>
      </w:r>
      <w:r>
        <w:rPr>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"_Toc12345" </w:instrText>
      </w:r>
      <w:r>
        <w:fldChar w:fldCharType="separate"/>
      </w:r>
      <w:r>
        <w:rPr>
          <w:rStyle w:val="32"/>
          <w:rFonts w:ascii="Times New Roman" w:hAnsi="Times New Roman" w:eastAsia="方正仿宋_GBK"/>
          <w:sz w:val="32"/>
          <w:szCs w:val="32"/>
        </w:rPr>
        <w:t>第五节  提升残疾人服务保障水平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_Toc12345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106</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"_Toc1773" </w:instrText>
      </w:r>
      <w:r>
        <w:fldChar w:fldCharType="separate"/>
      </w:r>
      <w:r>
        <w:rPr>
          <w:rStyle w:val="32"/>
          <w:rFonts w:ascii="Times New Roman" w:hAnsi="Times New Roman" w:eastAsia="方正楷体_GBK"/>
          <w:bCs/>
          <w:kern w:val="44"/>
          <w:sz w:val="32"/>
          <w:szCs w:val="32"/>
        </w:rPr>
        <w:t>第四十二章  加强和创新社会治理</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_Toc1773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107</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"_Toc15646" </w:instrText>
      </w:r>
      <w:r>
        <w:fldChar w:fldCharType="separate"/>
      </w:r>
      <w:r>
        <w:rPr>
          <w:rStyle w:val="32"/>
          <w:rFonts w:ascii="Times New Roman" w:hAnsi="Times New Roman" w:eastAsia="方正仿宋_GBK"/>
          <w:sz w:val="32"/>
          <w:szCs w:val="32"/>
        </w:rPr>
        <w:t>第一节  完善社会治理体系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_Toc15646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107</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"_Toc28499" </w:instrText>
      </w:r>
      <w:r>
        <w:fldChar w:fldCharType="separate"/>
      </w:r>
      <w:r>
        <w:rPr>
          <w:rStyle w:val="32"/>
          <w:rFonts w:ascii="Times New Roman" w:hAnsi="Times New Roman" w:eastAsia="方正仿宋_GBK"/>
          <w:sz w:val="32"/>
          <w:szCs w:val="32"/>
        </w:rPr>
        <w:t>第二节  加强基层社会治理</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_Toc28499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108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"_Toc3915" </w:instrText>
      </w:r>
      <w:r>
        <w:fldChar w:fldCharType="separate"/>
      </w:r>
      <w:r>
        <w:rPr>
          <w:rStyle w:val="32"/>
          <w:rFonts w:ascii="Times New Roman" w:hAnsi="Times New Roman" w:eastAsia="方正黑体_GBK"/>
          <w:sz w:val="32"/>
          <w:szCs w:val="32"/>
        </w:rPr>
        <w:t>第十一篇  统筹发展和安全  守住安全发展底线</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_Toc3915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109</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"_Toc11470" </w:instrText>
      </w:r>
      <w:r>
        <w:fldChar w:fldCharType="separate"/>
      </w:r>
      <w:r>
        <w:rPr>
          <w:rStyle w:val="32"/>
          <w:rFonts w:ascii="Times New Roman" w:hAnsi="Times New Roman" w:eastAsia="方正楷体_GBK"/>
          <w:bCs/>
          <w:kern w:val="44"/>
          <w:sz w:val="32"/>
          <w:szCs w:val="32"/>
        </w:rPr>
        <w:t>第四十三章  全力维护国家安全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_Toc11470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109</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"_Toc14447" </w:instrText>
      </w:r>
      <w:r>
        <w:fldChar w:fldCharType="separate"/>
      </w:r>
      <w:r>
        <w:rPr>
          <w:rStyle w:val="32"/>
          <w:rFonts w:ascii="Times New Roman" w:hAnsi="Times New Roman" w:eastAsia="方正楷体_GBK"/>
          <w:bCs/>
          <w:kern w:val="44"/>
          <w:sz w:val="32"/>
          <w:szCs w:val="32"/>
        </w:rPr>
        <w:t>第四十四章  突出抓好经济安全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_Toc14447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110</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"_Toc5052" </w:instrText>
      </w:r>
      <w:r>
        <w:fldChar w:fldCharType="separate"/>
      </w:r>
      <w:r>
        <w:rPr>
          <w:rStyle w:val="32"/>
          <w:rFonts w:ascii="Times New Roman" w:hAnsi="Times New Roman" w:eastAsia="方正楷体_GBK"/>
          <w:bCs/>
          <w:kern w:val="44"/>
          <w:sz w:val="32"/>
          <w:szCs w:val="32"/>
        </w:rPr>
        <w:t>第四十五章  切实保障公共安全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_Toc5052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111</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"_Toc18233" </w:instrText>
      </w:r>
      <w:r>
        <w:fldChar w:fldCharType="separate"/>
      </w:r>
      <w:r>
        <w:rPr>
          <w:rStyle w:val="32"/>
          <w:rFonts w:ascii="Times New Roman" w:hAnsi="Times New Roman" w:eastAsia="方正仿宋_GBK"/>
          <w:sz w:val="32"/>
          <w:szCs w:val="32"/>
        </w:rPr>
        <w:t>第一节  全面提升安全生产水平</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_Toc18233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"_Toc23755" </w:instrText>
      </w:r>
      <w:r>
        <w:fldChar w:fldCharType="separate"/>
      </w:r>
      <w:r>
        <w:rPr>
          <w:rStyle w:val="32"/>
          <w:rFonts w:ascii="Times New Roman" w:hAnsi="Times New Roman" w:eastAsia="方正仿宋_GBK"/>
          <w:sz w:val="32"/>
          <w:szCs w:val="32"/>
        </w:rPr>
        <w:t>第二节  严格食品药品安全监管</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_Toc23755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111</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"_Toc19304" </w:instrText>
      </w:r>
      <w:r>
        <w:fldChar w:fldCharType="separate"/>
      </w:r>
      <w:r>
        <w:rPr>
          <w:rStyle w:val="32"/>
          <w:rFonts w:ascii="Times New Roman" w:hAnsi="Times New Roman" w:eastAsia="方正仿宋_GBK"/>
          <w:sz w:val="32"/>
          <w:szCs w:val="32"/>
        </w:rPr>
        <w:t>第三节  提高事故灾害防范应对能力</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_Toc19304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112</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"_Toc29507" </w:instrText>
      </w:r>
      <w:r>
        <w:fldChar w:fldCharType="separate"/>
      </w:r>
      <w:r>
        <w:rPr>
          <w:rStyle w:val="32"/>
          <w:rFonts w:ascii="Times New Roman" w:hAnsi="Times New Roman" w:eastAsia="方正楷体_GBK"/>
          <w:bCs/>
          <w:kern w:val="44"/>
          <w:sz w:val="32"/>
          <w:szCs w:val="32"/>
        </w:rPr>
        <w:t>第四十六章  维护社会稳定和安全</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_Toc29507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112</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"_Toc23436" </w:instrText>
      </w:r>
      <w:r>
        <w:fldChar w:fldCharType="separate"/>
      </w:r>
      <w:r>
        <w:rPr>
          <w:rStyle w:val="32"/>
          <w:rFonts w:ascii="Times New Roman" w:hAnsi="Times New Roman" w:eastAsia="方正仿宋_GBK"/>
          <w:sz w:val="32"/>
          <w:szCs w:val="32"/>
        </w:rPr>
        <w:t>第一节  防范化解社会矛盾风险</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_Toc23436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"_Toc4692" </w:instrText>
      </w:r>
      <w:r>
        <w:fldChar w:fldCharType="separate"/>
      </w:r>
      <w:r>
        <w:rPr>
          <w:rStyle w:val="32"/>
          <w:rFonts w:ascii="Times New Roman" w:hAnsi="Times New Roman" w:eastAsia="方正仿宋_GBK"/>
          <w:sz w:val="32"/>
          <w:szCs w:val="32"/>
        </w:rPr>
        <w:t>第二节  推进社会治安防控体系现代化</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_Toc4692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113</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8"/>
        <w:tabs>
          <w:tab w:val="right" w:leader="dot" w:pos="8306"/>
        </w:tabs>
        <w:overflowPunct w:val="0"/>
        <w:rPr>
          <w:rFonts w:ascii="Times New Roman" w:hAnsi="Times New Roman" w:eastAsia="方正黑体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"_Toc12677" </w:instrText>
      </w:r>
      <w:r>
        <w:fldChar w:fldCharType="separate"/>
      </w:r>
      <w:r>
        <w:rPr>
          <w:rStyle w:val="32"/>
          <w:rFonts w:ascii="Times New Roman" w:hAnsi="Times New Roman" w:eastAsia="方正黑体_GBK"/>
          <w:sz w:val="32"/>
          <w:szCs w:val="32"/>
        </w:rPr>
        <w:t>第十二篇  健全规划的领导和保障机制</w:t>
      </w:r>
      <w:r>
        <w:rPr>
          <w:rStyle w:val="32"/>
          <w:rFonts w:ascii="Times New Roman" w:hAnsi="Times New Roman" w:eastAsia="方正黑体_GBK"/>
          <w:sz w:val="32"/>
          <w:szCs w:val="32"/>
        </w:rPr>
        <w:tab/>
      </w:r>
      <w:r>
        <w:rPr>
          <w:rStyle w:val="32"/>
          <w:rFonts w:ascii="Times New Roman" w:hAnsi="Times New Roman" w:eastAsia="方正黑体_GBK"/>
          <w:sz w:val="32"/>
          <w:szCs w:val="32"/>
        </w:rPr>
        <w:fldChar w:fldCharType="begin"/>
      </w:r>
      <w:r>
        <w:rPr>
          <w:rStyle w:val="32"/>
          <w:rFonts w:ascii="Times New Roman" w:hAnsi="Times New Roman" w:eastAsia="方正黑体_GBK"/>
          <w:sz w:val="32"/>
          <w:szCs w:val="32"/>
        </w:rPr>
        <w:instrText xml:space="preserve"> PAGEREF _Toc12677 \h </w:instrText>
      </w:r>
      <w:r>
        <w:rPr>
          <w:rStyle w:val="32"/>
          <w:rFonts w:ascii="Times New Roman" w:hAnsi="Times New Roman" w:eastAsia="方正黑体_GBK"/>
          <w:sz w:val="32"/>
          <w:szCs w:val="32"/>
        </w:rPr>
        <w:fldChar w:fldCharType="separate"/>
      </w:r>
      <w:r>
        <w:rPr>
          <w:rStyle w:val="32"/>
          <w:rFonts w:ascii="Times New Roman" w:hAnsi="Times New Roman" w:eastAsia="方正黑体_GBK"/>
          <w:sz w:val="32"/>
          <w:szCs w:val="32"/>
        </w:rPr>
        <w:t>113</w:t>
      </w:r>
      <w:r>
        <w:rPr>
          <w:rStyle w:val="32"/>
          <w:rFonts w:ascii="Times New Roman" w:hAnsi="Times New Roman" w:eastAsia="方正黑体_GBK"/>
          <w:sz w:val="32"/>
          <w:szCs w:val="32"/>
        </w:rPr>
        <w:fldChar w:fldCharType="end"/>
      </w:r>
      <w:r>
        <w:rPr>
          <w:rStyle w:val="32"/>
          <w:rFonts w:ascii="Times New Roman" w:hAnsi="Times New Roman" w:eastAsia="方正黑体_GBK"/>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"_Toc4612" </w:instrText>
      </w:r>
      <w:r>
        <w:fldChar w:fldCharType="separate"/>
      </w:r>
      <w:r>
        <w:rPr>
          <w:rStyle w:val="32"/>
          <w:rFonts w:ascii="Times New Roman" w:hAnsi="Times New Roman" w:eastAsia="方正楷体_GBK"/>
          <w:bCs/>
          <w:kern w:val="44"/>
          <w:sz w:val="32"/>
          <w:szCs w:val="32"/>
        </w:rPr>
        <w:t>第四十七章  坚持党对经济社会发展的领导</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_Toc4612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"_Toc2171" </w:instrText>
      </w:r>
      <w:r>
        <w:fldChar w:fldCharType="separate"/>
      </w:r>
      <w:r>
        <w:rPr>
          <w:rStyle w:val="32"/>
          <w:rFonts w:ascii="Times New Roman" w:hAnsi="Times New Roman" w:eastAsia="方正楷体_GBK"/>
          <w:bCs/>
          <w:kern w:val="44"/>
          <w:sz w:val="32"/>
          <w:szCs w:val="32"/>
        </w:rPr>
        <w:t>第四十八章  持续营造风清气正良好政治生态</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_Toc2171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114</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"_Toc14433" </w:instrText>
      </w:r>
      <w:r>
        <w:fldChar w:fldCharType="separate"/>
      </w:r>
      <w:r>
        <w:rPr>
          <w:rStyle w:val="32"/>
          <w:rFonts w:ascii="Times New Roman" w:hAnsi="Times New Roman" w:eastAsia="方正楷体_GBK"/>
          <w:bCs/>
          <w:kern w:val="44"/>
          <w:sz w:val="32"/>
          <w:szCs w:val="32"/>
        </w:rPr>
        <w:t>第四十九章  建设高素质专业化干部队伍</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_Toc14433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115</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楷体_GBK"/>
          <w:bCs/>
          <w:kern w:val="44"/>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"_Toc19131" </w:instrText>
      </w:r>
      <w:r>
        <w:fldChar w:fldCharType="separate"/>
      </w:r>
      <w:r>
        <w:rPr>
          <w:rStyle w:val="32"/>
          <w:rFonts w:ascii="Times New Roman" w:hAnsi="Times New Roman" w:eastAsia="方正楷体_GBK"/>
          <w:bCs/>
          <w:kern w:val="44"/>
          <w:sz w:val="32"/>
          <w:szCs w:val="32"/>
        </w:rPr>
        <w:t>第五十章  凝聚全社会力量共同奋斗</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_Toc19131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116</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"_Toc11898" </w:instrText>
      </w:r>
      <w:r>
        <w:fldChar w:fldCharType="separate"/>
      </w:r>
      <w:r>
        <w:rPr>
          <w:rStyle w:val="32"/>
          <w:rFonts w:ascii="Times New Roman" w:hAnsi="Times New Roman" w:eastAsia="方正楷体_GBK"/>
          <w:bCs/>
          <w:kern w:val="44"/>
          <w:sz w:val="32"/>
          <w:szCs w:val="32"/>
        </w:rPr>
        <w:t>第五十一章  推进全面依法治县</w:t>
      </w:r>
      <w:r>
        <w:rPr>
          <w:rStyle w:val="32"/>
          <w:rFonts w:ascii="Times New Roman" w:hAnsi="Times New Roman" w:eastAsia="方正楷体_GBK"/>
          <w:bCs/>
          <w:kern w:val="44"/>
          <w:sz w:val="32"/>
          <w:szCs w:val="32"/>
        </w:rPr>
        <w:tab/>
      </w:r>
      <w:r>
        <w:rPr>
          <w:rStyle w:val="32"/>
          <w:rFonts w:ascii="Times New Roman" w:hAnsi="Times New Roman" w:eastAsia="方正楷体_GBK"/>
          <w:bCs/>
          <w:kern w:val="44"/>
          <w:sz w:val="32"/>
          <w:szCs w:val="32"/>
        </w:rPr>
        <w:fldChar w:fldCharType="begin"/>
      </w:r>
      <w:r>
        <w:rPr>
          <w:rStyle w:val="32"/>
          <w:rFonts w:ascii="Times New Roman" w:hAnsi="Times New Roman" w:eastAsia="方正楷体_GBK"/>
          <w:bCs/>
          <w:kern w:val="44"/>
          <w:sz w:val="32"/>
          <w:szCs w:val="32"/>
        </w:rPr>
        <w:instrText xml:space="preserve"> PAGEREF _Toc11898 \h </w:instrText>
      </w:r>
      <w:r>
        <w:rPr>
          <w:rStyle w:val="32"/>
          <w:rFonts w:ascii="Times New Roman" w:hAnsi="Times New Roman" w:eastAsia="方正楷体_GBK"/>
          <w:bCs/>
          <w:kern w:val="44"/>
          <w:sz w:val="32"/>
          <w:szCs w:val="32"/>
        </w:rPr>
        <w:fldChar w:fldCharType="separate"/>
      </w:r>
      <w:r>
        <w:rPr>
          <w:rStyle w:val="32"/>
          <w:rFonts w:ascii="Times New Roman" w:hAnsi="Times New Roman" w:eastAsia="方正楷体_GBK"/>
          <w:bCs/>
          <w:kern w:val="44"/>
          <w:sz w:val="32"/>
          <w:szCs w:val="32"/>
        </w:rPr>
        <w:t>117</w:t>
      </w:r>
      <w:r>
        <w:rPr>
          <w:rStyle w:val="32"/>
          <w:rFonts w:ascii="Times New Roman" w:hAnsi="Times New Roman" w:eastAsia="方正楷体_GBK"/>
          <w:bCs/>
          <w:kern w:val="44"/>
          <w:sz w:val="32"/>
          <w:szCs w:val="32"/>
        </w:rPr>
        <w:fldChar w:fldCharType="end"/>
      </w:r>
      <w:r>
        <w:rPr>
          <w:rStyle w:val="32"/>
          <w:rFonts w:ascii="Times New Roman" w:hAnsi="Times New Roman" w:eastAsia="方正楷体_GBK"/>
          <w:bCs/>
          <w:kern w:val="44"/>
          <w:sz w:val="32"/>
          <w:szCs w:val="32"/>
        </w:rPr>
        <w:fldChar w:fldCharType="end"/>
      </w:r>
    </w:p>
    <w:p>
      <w:pPr>
        <w:pStyle w:val="21"/>
        <w:tabs>
          <w:tab w:val="right" w:leader="dot" w:pos="8306"/>
        </w:tabs>
        <w:overflowPunct w:val="0"/>
        <w:ind w:firstLine="210" w:firstLineChars="10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"_Toc28678" </w:instrText>
      </w:r>
      <w:r>
        <w:fldChar w:fldCharType="separate"/>
      </w:r>
      <w:r>
        <w:rPr>
          <w:rStyle w:val="32"/>
          <w:rFonts w:ascii="Times New Roman" w:hAnsi="Times New Roman" w:eastAsia="方正楷体_GBK"/>
          <w:bCs/>
          <w:kern w:val="44"/>
          <w:sz w:val="32"/>
          <w:szCs w:val="32"/>
        </w:rPr>
        <w:t>第五十二章  加强规划实施和管理</w:t>
      </w:r>
      <w:r>
        <w:rPr>
          <w:rStyle w:val="32"/>
          <w:rFonts w:ascii="Times New Roman" w:hAnsi="Times New Roman" w:eastAsia="方正楷体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_Toc28678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"_Toc28028" </w:instrText>
      </w:r>
      <w:r>
        <w:fldChar w:fldCharType="separate"/>
      </w:r>
      <w:r>
        <w:rPr>
          <w:rStyle w:val="32"/>
          <w:rFonts w:ascii="Times New Roman" w:hAnsi="Times New Roman" w:eastAsia="方正仿宋_GBK"/>
          <w:sz w:val="32"/>
          <w:szCs w:val="32"/>
        </w:rPr>
        <w:t>第一节  建立统一规划体系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_Toc28028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"_Toc18500" </w:instrText>
      </w:r>
      <w:r>
        <w:fldChar w:fldCharType="separate"/>
      </w:r>
      <w:r>
        <w:rPr>
          <w:rStyle w:val="32"/>
          <w:rFonts w:ascii="Times New Roman" w:hAnsi="Times New Roman" w:eastAsia="方正仿宋_GBK"/>
          <w:sz w:val="32"/>
          <w:szCs w:val="32"/>
        </w:rPr>
        <w:t>第二节  落实规划实施主体责任</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_Toc18500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118</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sz w:val="32"/>
          <w:szCs w:val="32"/>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"_Toc19394" </w:instrText>
      </w:r>
      <w:r>
        <w:fldChar w:fldCharType="separate"/>
      </w:r>
      <w:r>
        <w:rPr>
          <w:rStyle w:val="32"/>
          <w:rFonts w:ascii="Times New Roman" w:hAnsi="Times New Roman" w:eastAsia="方正仿宋_GBK"/>
          <w:sz w:val="32"/>
          <w:szCs w:val="32"/>
        </w:rPr>
        <w:t>第三节 强化项目支撑</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_Toc19394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pStyle w:val="13"/>
        <w:tabs>
          <w:tab w:val="right" w:leader="dot" w:pos="8306"/>
        </w:tabs>
        <w:overflowPunct w:val="0"/>
        <w:rPr>
          <w:rFonts w:ascii="Times New Roman" w:hAnsi="Times New Roman" w:eastAsia="方正仿宋_GBK"/>
        </w:rPr>
      </w:pPr>
      <w:r>
        <w:fldChar w:fldCharType="begin"/>
      </w:r>
      <w:r>
        <w:instrText xml:space="preserve"> HYPERLINK "file:///C:\\Users\\Administrator\\Documents\\My%20RTX%20Files\\xuexx\\城府发〔2021〕4号关于印发《城口县国民经济和社会发展第十四个五年规划和二〇三五年远景目标纲要》的通知.doc" \l "_Toc22843" </w:instrText>
      </w:r>
      <w:r>
        <w:fldChar w:fldCharType="separate"/>
      </w:r>
      <w:r>
        <w:rPr>
          <w:rStyle w:val="32"/>
          <w:rFonts w:ascii="Times New Roman" w:hAnsi="Times New Roman" w:eastAsia="方正仿宋_GBK"/>
          <w:sz w:val="32"/>
          <w:szCs w:val="32"/>
        </w:rPr>
        <w:t>第四节  完善规划评估监督机制</w:t>
      </w:r>
      <w:r>
        <w:rPr>
          <w:rStyle w:val="32"/>
          <w:rFonts w:ascii="Times New Roman" w:hAnsi="Times New Roman" w:eastAsia="方正仿宋_GBK"/>
          <w:sz w:val="32"/>
          <w:szCs w:val="32"/>
        </w:rPr>
        <w:tab/>
      </w:r>
      <w:r>
        <w:rPr>
          <w:rStyle w:val="32"/>
          <w:rFonts w:ascii="Times New Roman" w:hAnsi="Times New Roman" w:eastAsia="方正仿宋_GBK"/>
          <w:sz w:val="32"/>
          <w:szCs w:val="32"/>
        </w:rPr>
        <w:fldChar w:fldCharType="begin"/>
      </w:r>
      <w:r>
        <w:rPr>
          <w:rStyle w:val="32"/>
          <w:rFonts w:ascii="Times New Roman" w:hAnsi="Times New Roman" w:eastAsia="方正仿宋_GBK"/>
          <w:sz w:val="32"/>
          <w:szCs w:val="32"/>
        </w:rPr>
        <w:instrText xml:space="preserve"> PAGEREF _Toc22843 \h </w:instrText>
      </w:r>
      <w:r>
        <w:rPr>
          <w:rStyle w:val="32"/>
          <w:rFonts w:ascii="Times New Roman" w:hAnsi="Times New Roman" w:eastAsia="方正仿宋_GBK"/>
          <w:sz w:val="32"/>
          <w:szCs w:val="32"/>
        </w:rPr>
        <w:fldChar w:fldCharType="separate"/>
      </w:r>
      <w:r>
        <w:rPr>
          <w:rStyle w:val="32"/>
          <w:rFonts w:ascii="Times New Roman" w:hAnsi="Times New Roman" w:eastAsia="方正仿宋_GBK"/>
          <w:sz w:val="32"/>
          <w:szCs w:val="32"/>
        </w:rPr>
        <w:t>119</w:t>
      </w:r>
      <w:r>
        <w:rPr>
          <w:rStyle w:val="32"/>
          <w:rFonts w:ascii="Times New Roman" w:hAnsi="Times New Roman" w:eastAsia="方正仿宋_GBK"/>
          <w:sz w:val="32"/>
          <w:szCs w:val="32"/>
        </w:rPr>
        <w:fldChar w:fldCharType="end"/>
      </w:r>
      <w:r>
        <w:rPr>
          <w:rStyle w:val="32"/>
          <w:rFonts w:ascii="Times New Roman" w:hAnsi="Times New Roman" w:eastAsia="方正仿宋_GBK"/>
          <w:sz w:val="32"/>
          <w:szCs w:val="32"/>
        </w:rPr>
        <w:fldChar w:fldCharType="end"/>
      </w:r>
    </w:p>
    <w:p>
      <w:pPr>
        <w:overflowPunct w:val="0"/>
        <w:adjustRightInd w:val="0"/>
        <w:snapToGrid w:val="0"/>
        <w:spacing w:line="560" w:lineRule="exact"/>
        <w:rPr>
          <w:rFonts w:ascii="Times New Roman" w:hAnsi="Times New Roman"/>
          <w:sz w:val="28"/>
          <w:szCs w:val="28"/>
        </w:rPr>
      </w:pPr>
      <w:r>
        <w:rPr>
          <w:rFonts w:ascii="Times New Roman" w:hAnsi="Times New Roman" w:eastAsia="方正仿宋_GBK"/>
          <w:szCs w:val="28"/>
        </w:rPr>
        <w:fldChar w:fldCharType="end"/>
      </w:r>
    </w:p>
    <w:p>
      <w:pPr>
        <w:overflowPunct w:val="0"/>
        <w:adjustRightInd w:val="0"/>
        <w:snapToGrid w:val="0"/>
        <w:spacing w:line="560" w:lineRule="exact"/>
        <w:rPr>
          <w:rFonts w:ascii="Times New Roman" w:hAnsi="Times New Roman"/>
        </w:rPr>
      </w:pPr>
    </w:p>
    <w:p>
      <w:pPr>
        <w:overflowPunct w:val="0"/>
        <w:adjustRightInd w:val="0"/>
        <w:snapToGrid w:val="0"/>
        <w:spacing w:line="560" w:lineRule="exact"/>
        <w:rPr>
          <w:rFonts w:ascii="Times New Roman" w:hAnsi="Times New Roman"/>
        </w:rPr>
      </w:pPr>
    </w:p>
    <w:p>
      <w:pPr>
        <w:overflowPunct w:val="0"/>
        <w:adjustRightInd w:val="0"/>
        <w:snapToGrid w:val="0"/>
        <w:spacing w:line="560" w:lineRule="exact"/>
        <w:rPr>
          <w:rFonts w:ascii="Times New Roman" w:hAnsi="Times New Roman"/>
        </w:rPr>
      </w:pPr>
    </w:p>
    <w:p>
      <w:pPr>
        <w:overflowPunct w:val="0"/>
        <w:adjustRightInd w:val="0"/>
        <w:snapToGrid w:val="0"/>
        <w:spacing w:line="560" w:lineRule="exact"/>
        <w:rPr>
          <w:rFonts w:ascii="Times New Roman" w:hAnsi="Times New Roman"/>
        </w:rPr>
      </w:pPr>
    </w:p>
    <w:p>
      <w:pPr>
        <w:overflowPunct w:val="0"/>
        <w:adjustRightInd w:val="0"/>
        <w:snapToGrid w:val="0"/>
        <w:spacing w:line="560" w:lineRule="exact"/>
        <w:rPr>
          <w:rFonts w:ascii="Times New Roman" w:hAnsi="Times New Roman"/>
        </w:rPr>
      </w:pPr>
    </w:p>
    <w:p>
      <w:pPr>
        <w:overflowPunct w:val="0"/>
        <w:adjustRightInd w:val="0"/>
        <w:snapToGrid w:val="0"/>
        <w:spacing w:line="560" w:lineRule="exact"/>
        <w:rPr>
          <w:rFonts w:ascii="Times New Roman" w:hAnsi="Times New Roman"/>
        </w:rPr>
      </w:pPr>
    </w:p>
    <w:p>
      <w:pPr>
        <w:widowControl/>
        <w:spacing w:beforeAutospacing="1" w:afterAutospacing="1"/>
        <w:jc w:val="left"/>
        <w:rPr>
          <w:rFonts w:ascii="Times New Roman" w:hAnsi="Times New Roman"/>
        </w:rPr>
        <w:sectPr>
          <w:pgSz w:w="11906" w:h="16838"/>
          <w:pgMar w:top="1440" w:right="1800" w:bottom="1440" w:left="1800" w:header="851" w:footer="992" w:gutter="0"/>
          <w:pgNumType w:fmt="upperRoman" w:start="1"/>
          <w:cols w:space="720" w:num="1"/>
          <w:docGrid w:type="lines" w:linePitch="312" w:charSpace="0"/>
        </w:sectPr>
      </w:pPr>
    </w:p>
    <w:p>
      <w:pPr>
        <w:overflowPunct w:val="0"/>
        <w:adjustRightInd w:val="0"/>
        <w:snapToGrid w:val="0"/>
        <w:spacing w:line="560" w:lineRule="exact"/>
        <w:ind w:firstLine="960" w:firstLineChars="300"/>
        <w:rPr>
          <w:rFonts w:ascii="Times New Roman" w:hAnsi="Times New Roman" w:eastAsia="方正仿宋_GBK"/>
        </w:rPr>
      </w:pPr>
      <w:r>
        <w:rPr>
          <w:rFonts w:ascii="Times New Roman" w:hAnsi="Times New Roman" w:eastAsia="方正仿宋_GBK"/>
          <w:sz w:val="32"/>
          <w:szCs w:val="32"/>
        </w:rPr>
        <w:t>城口县国民经济和社会发展第十四个五年（2021—2025年）规划和二〇三五年远景目标纲要，深入贯彻《中共重庆市委关于制定重庆市国民经济和社会发展第十四个五年规划和二〇三五年远景目标的建议》和习近平总书记对重庆提出的系列重要指示要求，根据《中共城口县委关于制定城口县国民经济和社会发展第十四个五年规划和二〇三五年远景目标的建议》编制，主要阐明战略意图和工作重点、引导规范市场主体行为，是未来十五年全县经济社会发展的宏伟蓝图，是全县人民共同奋斗的行动路线，是履行经济调节、市场监管、社会治理、公共服务和环境保护职责的重要依据。</w:t>
      </w: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3" w:name="_Toc17265"/>
      <w:bookmarkStart w:id="24" w:name="_Toc294"/>
      <w:bookmarkStart w:id="25" w:name="_Toc7939"/>
      <w:bookmarkStart w:id="26" w:name="_Toc15508"/>
      <w:bookmarkStart w:id="27" w:name="_Toc6052"/>
      <w:bookmarkStart w:id="28" w:name="_Toc2852"/>
      <w:bookmarkStart w:id="29" w:name="_Toc22796"/>
      <w:bookmarkStart w:id="30" w:name="_Toc25280"/>
      <w:bookmarkStart w:id="31" w:name="_Toc896"/>
      <w:bookmarkStart w:id="32" w:name="_Toc17823"/>
      <w:bookmarkStart w:id="33" w:name="_Toc2647"/>
      <w:bookmarkStart w:id="34" w:name="_Toc11721"/>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35" w:name="_Toc6529"/>
      <w:bookmarkStart w:id="36" w:name="_Toc2117"/>
      <w:bookmarkStart w:id="37" w:name="_Toc32025"/>
      <w:bookmarkStart w:id="38" w:name="_Toc23189"/>
      <w:bookmarkStart w:id="39" w:name="_Toc30624"/>
      <w:bookmarkStart w:id="40" w:name="_Toc22149"/>
      <w:r>
        <w:rPr>
          <w:rFonts w:ascii="Times New Roman" w:hAnsi="Times New Roman" w:eastAsia="方正小标宋_GBK"/>
          <w:b/>
          <w:bCs/>
          <w:kern w:val="44"/>
          <w:sz w:val="36"/>
          <w:szCs w:val="36"/>
        </w:rPr>
        <w:t>第一篇  开启社会主义现代化新征程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是全县推动高质量发展、开启社会主义现代化建设新征程的关键时期，是固根基、夯基础、扬优势、增动力、抓重点、补短板、强弱项的攻坚时期，要深入贯彻习近平总书记对重庆作出的重要指示要求，全面落实市委市政府决策部署，着眼长远，把握大势，在战略上布好局，在关键处落好子，奋力谱写高质量发展新篇章。</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41" w:name="_Toc7430"/>
      <w:bookmarkStart w:id="42" w:name="_Toc1435"/>
      <w:bookmarkStart w:id="43" w:name="_Toc11282"/>
      <w:bookmarkStart w:id="44" w:name="_Toc1823"/>
      <w:bookmarkStart w:id="45" w:name="_Toc30019"/>
      <w:bookmarkStart w:id="46" w:name="_Toc15854"/>
      <w:bookmarkStart w:id="47" w:name="_Toc23503"/>
      <w:bookmarkStart w:id="48" w:name="_Toc28206"/>
      <w:bookmarkStart w:id="49" w:name="_Toc27086"/>
      <w:bookmarkStart w:id="50" w:name="_Toc15663"/>
      <w:bookmarkStart w:id="51" w:name="_Toc23200"/>
      <w:bookmarkStart w:id="52" w:name="_Toc2651"/>
      <w:bookmarkStart w:id="53" w:name="_Toc24282"/>
      <w:bookmarkStart w:id="54" w:name="_Toc32608"/>
      <w:bookmarkStart w:id="55" w:name="_Toc18560"/>
      <w:bookmarkStart w:id="56" w:name="_Toc22224"/>
      <w:bookmarkStart w:id="57" w:name="_Toc30950"/>
      <w:bookmarkStart w:id="58" w:name="_Toc31771"/>
      <w:r>
        <w:rPr>
          <w:rFonts w:ascii="Times New Roman" w:hAnsi="Times New Roman" w:eastAsia="方正黑体_GBK"/>
          <w:b/>
          <w:bCs/>
          <w:kern w:val="44"/>
          <w:sz w:val="32"/>
          <w:szCs w:val="32"/>
        </w:rPr>
        <w:t>第一章  发展环境</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“十四五”时期，我县发展环境和条件都有新的深刻复杂变化，要立足全面建成小康社会的发展基础，在复杂多变的环境中找准前行方向，把握发展主动权。</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59" w:name="_Toc20523"/>
      <w:bookmarkStart w:id="60" w:name="_Toc3002"/>
      <w:bookmarkStart w:id="61" w:name="_Toc16006"/>
      <w:bookmarkStart w:id="62" w:name="_Toc1898"/>
      <w:bookmarkStart w:id="63" w:name="_Toc12956"/>
      <w:bookmarkStart w:id="64" w:name="_Toc26520"/>
      <w:bookmarkStart w:id="65" w:name="_Toc31492"/>
      <w:bookmarkStart w:id="66" w:name="_Toc11777"/>
      <w:bookmarkStart w:id="67" w:name="_Toc27355"/>
      <w:bookmarkStart w:id="68" w:name="_Toc4466"/>
      <w:bookmarkStart w:id="69" w:name="_Toc22845"/>
      <w:bookmarkStart w:id="70" w:name="_Toc12477"/>
      <w:bookmarkStart w:id="71" w:name="_Toc16852"/>
      <w:bookmarkStart w:id="72" w:name="_Toc11442"/>
      <w:bookmarkStart w:id="73" w:name="_Toc3535"/>
      <w:bookmarkStart w:id="74" w:name="_Toc27788"/>
      <w:bookmarkStart w:id="75" w:name="_Toc16249"/>
      <w:bookmarkStart w:id="76" w:name="_Toc22023"/>
      <w:r>
        <w:rPr>
          <w:rFonts w:ascii="Times New Roman" w:hAnsi="Times New Roman" w:eastAsia="方正楷体_GBK"/>
          <w:b/>
          <w:sz w:val="32"/>
          <w:szCs w:val="32"/>
        </w:rPr>
        <w:t>第一节  决胜全面建成小康社会取得决定性成就</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“十三五”时期是我县发展进程中极不平凡的五年。</w:t>
      </w:r>
      <w:r>
        <w:rPr>
          <w:rFonts w:ascii="Times New Roman" w:hAnsi="Times New Roman" w:eastAsia="方正黑体_GBK"/>
          <w:bCs/>
          <w:kern w:val="44"/>
          <w:sz w:val="32"/>
          <w:szCs w:val="32"/>
        </w:rPr>
        <w:t>最具战略指引意义的是，</w:t>
      </w:r>
      <w:r>
        <w:rPr>
          <w:rFonts w:ascii="Times New Roman" w:hAnsi="Times New Roman" w:eastAsia="方正仿宋_GBK"/>
          <w:sz w:val="32"/>
          <w:szCs w:val="32"/>
        </w:rPr>
        <w:t>习近平总书记两次亲临重庆视察并对重庆提出系列重要指示要求，为我们指明了前进方向、注入了</w:t>
      </w:r>
      <w:r>
        <w:rPr>
          <w:rFonts w:ascii="Times New Roman" w:hAnsi="Times New Roman" w:eastAsia="方正仿宋_GBK"/>
          <w:kern w:val="0"/>
          <w:sz w:val="32"/>
          <w:szCs w:val="32"/>
        </w:rPr>
        <w:t>强大动力；</w:t>
      </w:r>
      <w:r>
        <w:rPr>
          <w:rFonts w:ascii="Times New Roman" w:hAnsi="Times New Roman" w:eastAsia="方正黑体_GBK"/>
          <w:bCs/>
          <w:kern w:val="44"/>
          <w:sz w:val="32"/>
          <w:szCs w:val="32"/>
        </w:rPr>
        <w:t>最具开创性意义的是，</w:t>
      </w:r>
      <w:r>
        <w:rPr>
          <w:rFonts w:ascii="Times New Roman" w:hAnsi="Times New Roman" w:eastAsia="方正仿宋_GBK"/>
          <w:kern w:val="0"/>
          <w:sz w:val="32"/>
          <w:szCs w:val="32"/>
        </w:rPr>
        <w:t>党中央作出推动成渝地区双城经济圈建设的重大决策部署和市委、市政府作出“一区两群”协调发展布局，为城口赋予了战略使命、带来了重大机遇；</w:t>
      </w:r>
      <w:r>
        <w:rPr>
          <w:rFonts w:ascii="Times New Roman" w:hAnsi="Times New Roman" w:eastAsia="方正黑体_GBK"/>
          <w:bCs/>
          <w:kern w:val="44"/>
          <w:sz w:val="32"/>
          <w:szCs w:val="32"/>
        </w:rPr>
        <w:t>最具里程碑意义的是，</w:t>
      </w:r>
      <w:r>
        <w:rPr>
          <w:rFonts w:ascii="Times New Roman" w:hAnsi="Times New Roman" w:eastAsia="方正仿宋_GBK"/>
          <w:kern w:val="0"/>
          <w:sz w:val="32"/>
          <w:szCs w:val="32"/>
        </w:rPr>
        <w:t>决战脱贫攻坚取得全面胜利，告别延续千年的绝对贫困；</w:t>
      </w:r>
      <w:r>
        <w:rPr>
          <w:rFonts w:ascii="Times New Roman" w:hAnsi="Times New Roman" w:eastAsia="方正黑体_GBK"/>
          <w:bCs/>
          <w:kern w:val="44"/>
          <w:sz w:val="32"/>
          <w:szCs w:val="32"/>
        </w:rPr>
        <w:t>最具划时代意义的是，</w:t>
      </w:r>
      <w:r>
        <w:rPr>
          <w:rFonts w:ascii="Times New Roman" w:hAnsi="Times New Roman" w:eastAsia="方正仿宋_GBK"/>
          <w:kern w:val="0"/>
          <w:sz w:val="32"/>
          <w:szCs w:val="32"/>
        </w:rPr>
        <w:t>高速公路加快建设，高速铁路即将开工，“困守大巴山、孤悬渝东北”的交通制约将得到根本突破；</w:t>
      </w:r>
      <w:r>
        <w:rPr>
          <w:rFonts w:ascii="Times New Roman" w:hAnsi="Times New Roman" w:eastAsia="方正黑体_GBK"/>
          <w:bCs/>
          <w:kern w:val="44"/>
          <w:sz w:val="32"/>
          <w:szCs w:val="32"/>
        </w:rPr>
        <w:t>最具根本性意义的是，</w:t>
      </w:r>
      <w:r>
        <w:rPr>
          <w:rFonts w:ascii="Times New Roman" w:hAnsi="Times New Roman" w:eastAsia="方正仿宋_GBK"/>
          <w:kern w:val="0"/>
          <w:sz w:val="32"/>
          <w:szCs w:val="32"/>
        </w:rPr>
        <w:t>城乡面貌发生显著变化，人民生活水平大幅提高，人民的自信心、自豪感空前激发，生态优先、绿色发展的动能不断积蓄。</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年来特别是党的十九大以来，面对严峻复杂的国际形势、艰巨繁重的改革发展稳定任务，在以习近平同志为核心的党中央坚强领导下，在市委、市政府的正确领导下，县委、县政府坚持以脱贫攻坚统揽经济社会发展全局，从全局谋划一域、以一域服务全局，统筹推进“五位一体”总体布局、协调推进“四个全面”战略布局，持续打好“五大攻坚战”，深入实施“八项行动计划”，扎实推进稳增长、促改革、调结构、惠民生、防风险、保稳定各项工作，坚决肃清孙政才恶劣影响和薄熙来、王立军流毒，推动经济社会发展各项事业迈上新台阶。</w:t>
      </w:r>
    </w:p>
    <w:p>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脱贫攻坚取得历史性成就</w:t>
      </w:r>
      <w:r>
        <w:rPr>
          <w:rFonts w:ascii="Times New Roman" w:hAnsi="Times New Roman" w:eastAsia="方正仿宋_GBK"/>
          <w:sz w:val="32"/>
          <w:szCs w:val="32"/>
        </w:rPr>
        <w:t>，90个贫困村脱贫销号，11596户44719人全部脱贫，以攻坚之初贫困程度全市最深、决胜之时群众满意度全市最高的成效，实现高质量整体脱贫“摘帽”。</w:t>
      </w:r>
      <w:r>
        <w:rPr>
          <w:rFonts w:ascii="Times New Roman" w:hAnsi="Times New Roman" w:eastAsia="方正黑体_GBK"/>
          <w:sz w:val="32"/>
          <w:szCs w:val="32"/>
        </w:rPr>
        <w:t>城市攻坚取得决定性成果，</w:t>
      </w:r>
      <w:r>
        <w:rPr>
          <w:rFonts w:ascii="Times New Roman" w:hAnsi="Times New Roman" w:eastAsia="方正仿宋_GBK"/>
          <w:sz w:val="32"/>
          <w:szCs w:val="32"/>
        </w:rPr>
        <w:t>“一滨河一片区一环道”格局初步形成，滨河公园南北两岸初显新颜，土城老街成为网红打卡点，东北南大街改造如期完成，“清洁家园·美丽乡村”建设行动深入推进，城市与乡村各美其美、美美与共更加彰显。</w:t>
      </w:r>
      <w:r>
        <w:rPr>
          <w:rFonts w:ascii="Times New Roman" w:hAnsi="Times New Roman" w:eastAsia="方正黑体_GBK"/>
          <w:sz w:val="32"/>
          <w:szCs w:val="32"/>
        </w:rPr>
        <w:t>旅游攻坚取得突破性成效，</w:t>
      </w:r>
      <w:r>
        <w:rPr>
          <w:rFonts w:ascii="Times New Roman" w:hAnsi="Times New Roman" w:eastAsia="方正仿宋_GBK"/>
          <w:sz w:val="32"/>
          <w:szCs w:val="32"/>
        </w:rPr>
        <w:t>成功创建全国森林旅游示范县、亢谷国家4A级旅游景区，亢家寨5A级旅游景区和土城老街4A级景区加快建设，建成大巴山森林人家2000余家、集群片区3个，重点景区和集群片区互补发展的全域旅游格局正在形成。</w:t>
      </w:r>
      <w:r>
        <w:rPr>
          <w:rFonts w:ascii="Times New Roman" w:hAnsi="Times New Roman" w:eastAsia="方正黑体_GBK"/>
          <w:sz w:val="32"/>
          <w:szCs w:val="32"/>
        </w:rPr>
        <w:t>改善交通取得重大进展，</w:t>
      </w:r>
      <w:r>
        <w:rPr>
          <w:rFonts w:ascii="Times New Roman" w:hAnsi="Times New Roman" w:eastAsia="方正仿宋_GBK"/>
          <w:sz w:val="32"/>
          <w:szCs w:val="32"/>
        </w:rPr>
        <w:t>G69银百高速公路和渝西高铁成功落地城口，城开段高速公路加快建设，县内路网密度从2015年的94公里/百平方公里提高到2020年的136公里/百平方公里。</w:t>
      </w:r>
      <w:r>
        <w:rPr>
          <w:rFonts w:ascii="Times New Roman" w:hAnsi="Times New Roman" w:eastAsia="方正黑体_GBK"/>
          <w:sz w:val="32"/>
          <w:szCs w:val="32"/>
        </w:rPr>
        <w:t>生态优势全面巩固，</w:t>
      </w:r>
      <w:r>
        <w:rPr>
          <w:rFonts w:ascii="Times New Roman" w:hAnsi="Times New Roman" w:eastAsia="方正仿宋_GBK"/>
          <w:sz w:val="32"/>
          <w:szCs w:val="32"/>
        </w:rPr>
        <w:t>成功创建重庆市生态文明建设示范县，森林覆盖率居全市第一，生态环境质量指数连续位列全市10个生态功能重点县第一。</w:t>
      </w:r>
      <w:r>
        <w:rPr>
          <w:rFonts w:ascii="Times New Roman" w:hAnsi="Times New Roman" w:eastAsia="方正黑体_GBK"/>
          <w:sz w:val="32"/>
          <w:szCs w:val="32"/>
        </w:rPr>
        <w:t>产业结构不断优化，</w:t>
      </w:r>
      <w:r>
        <w:rPr>
          <w:rFonts w:ascii="Times New Roman" w:hAnsi="Times New Roman" w:eastAsia="方正仿宋_GBK"/>
          <w:sz w:val="32"/>
          <w:szCs w:val="32"/>
        </w:rPr>
        <w:t>农文旅融合潜力持续释放，生态资源价值转化步伐加快，“山上中药材、林下山地鸡、坡上核桃树、百花中蜂蜜、香菌巴掌田、杂粮鸡窝地、火炕老腊肉、冷水生态鱼”的生态产业格局基本形成。</w:t>
      </w:r>
      <w:r>
        <w:rPr>
          <w:rFonts w:ascii="Times New Roman" w:hAnsi="Times New Roman" w:eastAsia="方正黑体_GBK"/>
          <w:sz w:val="32"/>
          <w:szCs w:val="32"/>
        </w:rPr>
        <w:t>发展活力持续增强，</w:t>
      </w:r>
      <w:r>
        <w:rPr>
          <w:rFonts w:ascii="Times New Roman" w:hAnsi="Times New Roman" w:eastAsia="方正仿宋_GBK"/>
          <w:sz w:val="32"/>
          <w:szCs w:val="32"/>
        </w:rPr>
        <w:t>以大数据智能化为引领的创新驱动发展战略强力推进，重点领域改革扎实推进，营商环境大幅改善。</w:t>
      </w:r>
      <w:r>
        <w:rPr>
          <w:rFonts w:ascii="Times New Roman" w:hAnsi="Times New Roman" w:eastAsia="方正黑体_GBK"/>
          <w:sz w:val="32"/>
          <w:szCs w:val="32"/>
        </w:rPr>
        <w:t>社会事业全面发展，</w:t>
      </w:r>
      <w:r>
        <w:rPr>
          <w:rFonts w:ascii="Times New Roman" w:hAnsi="Times New Roman" w:eastAsia="方正仿宋_GBK"/>
          <w:sz w:val="32"/>
          <w:szCs w:val="32"/>
        </w:rPr>
        <w:t>建成重师大附属实验中学，县人民医院成功创“二甲”，就业、社保、养老等社会保障能力持续加强，统筹疫情防控和经济社会发展取得重大战略成果，人民生活水平显著提高，人民群众获得感幸福感安全感进一步增强。</w:t>
      </w:r>
      <w:r>
        <w:rPr>
          <w:rFonts w:ascii="Times New Roman" w:hAnsi="Times New Roman" w:eastAsia="方正黑体_GBK"/>
          <w:sz w:val="32"/>
          <w:szCs w:val="32"/>
        </w:rPr>
        <w:t>社会治理能力明显增强，</w:t>
      </w:r>
      <w:r>
        <w:rPr>
          <w:rFonts w:ascii="Times New Roman" w:hAnsi="Times New Roman" w:eastAsia="方正仿宋_GBK"/>
          <w:sz w:val="32"/>
          <w:szCs w:val="32"/>
        </w:rPr>
        <w:t>“党建+三治”融合推进，党建工作、脱贫攻坚、基层治理、新时代文明实践中心建设实现“一网管理”，社会治理水平加快提升。</w:t>
      </w:r>
      <w:r>
        <w:rPr>
          <w:rFonts w:ascii="Times New Roman" w:hAnsi="Times New Roman" w:eastAsia="方正黑体_GBK"/>
          <w:sz w:val="32"/>
          <w:szCs w:val="32"/>
        </w:rPr>
        <w:t>全面从严治党纵深推进，</w:t>
      </w:r>
      <w:r>
        <w:rPr>
          <w:rFonts w:ascii="Times New Roman" w:hAnsi="Times New Roman" w:eastAsia="方正仿宋_GBK"/>
          <w:sz w:val="32"/>
          <w:szCs w:val="32"/>
        </w:rPr>
        <w:t>党的建设全面加强，干部作风全面改善，党建促脱贫全面发力，风清气正政治生态全面形成。</w:t>
      </w:r>
    </w:p>
    <w:p>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前，全县政治生态持续向好，干部群众精神面貌持续向上，绿色发展动能持续释放，社会和谐稳定局面持续巩固，成渝地区双城经济圈和渝东北三峡库区城镇群建设开局良好，“十三五”规划主要目标总体完成，全面建成小康社会取得历史性成就，为开启社会主义现代化建设新征程奠定了坚实基础。</w:t>
      </w:r>
    </w:p>
    <w:p>
      <w:pPr>
        <w:pStyle w:val="25"/>
        <w:overflowPunct w:val="0"/>
        <w:adjustRightInd w:val="0"/>
        <w:snapToGrid w:val="0"/>
        <w:spacing w:after="0" w:line="560" w:lineRule="exact"/>
        <w:ind w:firstLine="560" w:firstLineChars="200"/>
        <w:jc w:val="center"/>
        <w:rPr>
          <w:rFonts w:ascii="Times New Roman" w:hAnsi="Times New Roman" w:eastAsia="方正黑体_GBK"/>
          <w:bCs/>
          <w:sz w:val="28"/>
          <w:szCs w:val="28"/>
        </w:rPr>
      </w:pPr>
      <w:bookmarkStart w:id="77" w:name="_Toc28323419"/>
      <w:bookmarkStart w:id="78" w:name="_Toc20566"/>
      <w:bookmarkStart w:id="79" w:name="_Toc58827896"/>
      <w:bookmarkStart w:id="80" w:name="_Toc50985940"/>
      <w:bookmarkStart w:id="81" w:name="_Toc52219895"/>
      <w:r>
        <w:rPr>
          <w:rFonts w:ascii="Times New Roman" w:hAnsi="Times New Roman" w:eastAsia="方正黑体_GBK"/>
          <w:bCs/>
          <w:sz w:val="28"/>
          <w:szCs w:val="28"/>
        </w:rPr>
        <w:t>专栏1  “十三五”规划主要发展指标完成情况表</w:t>
      </w:r>
    </w:p>
    <w:tbl>
      <w:tblPr>
        <w:tblStyle w:val="27"/>
        <w:tblW w:w="48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3982"/>
        <w:gridCol w:w="1182"/>
        <w:gridCol w:w="1142"/>
        <w:gridCol w:w="1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序号</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指标名称</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指标属性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2020年</w:t>
            </w:r>
          </w:p>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规划目标</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2020年</w:t>
            </w:r>
          </w:p>
          <w:p>
            <w:pPr>
              <w:pStyle w:val="25"/>
              <w:overflowPunct w:val="0"/>
              <w:adjustRightInd w:val="0"/>
              <w:snapToGrid w:val="0"/>
              <w:spacing w:after="0" w:line="440" w:lineRule="exact"/>
              <w:ind w:firstLine="0" w:firstLineChars="0"/>
              <w:jc w:val="center"/>
              <w:rPr>
                <w:rFonts w:ascii="Times New Roman" w:hAnsi="Times New Roman" w:eastAsia="方正仿宋_GBK"/>
                <w:b/>
                <w:bCs/>
                <w:sz w:val="24"/>
              </w:rPr>
            </w:pPr>
            <w:r>
              <w:rPr>
                <w:rFonts w:ascii="Times New Roman" w:hAnsi="Times New Roman" w:eastAsia="方正仿宋_GBK"/>
                <w:b/>
                <w:bCs/>
                <w:sz w:val="24"/>
              </w:rPr>
              <w:t>实现情况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地区生产总值年均增速（%）</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常住居民人均可支配收入年均增速（%）</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全社会完成固定资产投资增速（%）</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社会消费品零售总额增速（%）</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服务业增加值占GDP比重（%）</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45</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59.9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新型产业产值占工业总产值比重（%）</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互联网普及率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常住人口城镇化率（%）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39</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城乡居民人均可支配收入比</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2.67:1</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2.71:1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文化产业增加值占GDP比重（%）</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11</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森林增长</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#森林覆盖率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70.0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#森林蓄积量</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1630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空气质量</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#城区细颗粒（PM2.5）浓度下降率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&gt;[9]</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&gt;[9]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#城区空气质量优良天数（天）</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≥340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13</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主要次级河流水质达标率（%）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14</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单位地区生产总值二氧化碳排放降低率（%）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vMerge w:val="restar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主要污染物排放总量减少率（%）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#化学需氧量</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[6.48]</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#二氧化硫</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[8.9]</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#氨氮</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[3.63]</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#氮氧化物</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16</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单位地区生产总值能耗减低率（%）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单位地区生产总值用水量降低（%）</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18</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净增建设用地总量（公顷）</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招商引资到位资金</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25</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农村贫困人口脱贫（人）</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[24049]</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[44719]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21</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城镇新增就业人数（人）</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[8000]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[14396]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22</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劳动年龄人口平均受教育年限（年）</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12</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23</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人口平均预期寿命（岁）</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预期性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76</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24</w:t>
            </w:r>
          </w:p>
        </w:tc>
        <w:tc>
          <w:tcPr>
            <w:tcW w:w="2433"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rPr>
                <w:rFonts w:ascii="Times New Roman" w:hAnsi="Times New Roman" w:eastAsia="方正仿宋_GBK"/>
                <w:sz w:val="24"/>
              </w:rPr>
            </w:pPr>
            <w:r>
              <w:rPr>
                <w:rFonts w:ascii="Times New Roman" w:hAnsi="Times New Roman" w:eastAsia="方正仿宋_GBK"/>
                <w:sz w:val="24"/>
              </w:rPr>
              <w:t>城镇常住人口住房保障覆盖率</w:t>
            </w:r>
          </w:p>
        </w:tc>
        <w:tc>
          <w:tcPr>
            <w:tcW w:w="72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约束性</w:t>
            </w:r>
          </w:p>
        </w:tc>
        <w:tc>
          <w:tcPr>
            <w:tcW w:w="698"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c>
          <w:tcPr>
            <w:tcW w:w="712" w:type="pct"/>
            <w:tcBorders>
              <w:top w:val="single" w:color="auto" w:sz="4" w:space="0"/>
              <w:left w:val="single" w:color="auto" w:sz="4" w:space="0"/>
              <w:bottom w:val="single" w:color="auto" w:sz="4" w:space="0"/>
              <w:right w:val="single" w:color="auto" w:sz="4" w:space="0"/>
            </w:tcBorders>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20</w:t>
            </w:r>
          </w:p>
        </w:tc>
      </w:tr>
    </w:tbl>
    <w:p>
      <w:pPr>
        <w:pStyle w:val="26"/>
        <w:overflowPunct w:val="0"/>
        <w:adjustRightInd w:val="0"/>
        <w:snapToGrid w:val="0"/>
        <w:spacing w:line="400" w:lineRule="exact"/>
        <w:ind w:left="210" w:leftChars="0"/>
        <w:rPr>
          <w:rFonts w:ascii="Times New Roman" w:hAnsi="Times New Roman" w:eastAsia="方正黑体_GBK"/>
          <w:sz w:val="24"/>
          <w:szCs w:val="24"/>
        </w:rPr>
      </w:pPr>
      <w:r>
        <w:rPr>
          <w:rFonts w:ascii="Times New Roman" w:hAnsi="Times New Roman" w:eastAsia="方正黑体_GBK"/>
          <w:sz w:val="24"/>
          <w:szCs w:val="24"/>
        </w:rPr>
        <w:t>注明：带*为规划期平均数，带[  ]为五年累积数，未带任何符号的为年度数据。</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82" w:name="_Toc12660"/>
      <w:bookmarkStart w:id="83" w:name="_Toc15027"/>
      <w:bookmarkStart w:id="84" w:name="_Toc6854"/>
      <w:bookmarkStart w:id="85" w:name="_Toc6866"/>
      <w:bookmarkStart w:id="86" w:name="_Toc11934"/>
      <w:bookmarkStart w:id="87" w:name="_Toc9199"/>
      <w:bookmarkStart w:id="88" w:name="_Toc21346"/>
      <w:bookmarkStart w:id="89" w:name="_Toc20105"/>
      <w:bookmarkStart w:id="90" w:name="_Toc22751"/>
      <w:bookmarkStart w:id="91" w:name="_Toc334"/>
      <w:bookmarkStart w:id="92" w:name="_Toc21242"/>
      <w:bookmarkStart w:id="93" w:name="_Toc24105"/>
      <w:bookmarkStart w:id="94" w:name="_Toc4521"/>
      <w:bookmarkStart w:id="95" w:name="_Toc8815"/>
      <w:bookmarkStart w:id="96" w:name="_Toc12346"/>
      <w:bookmarkStart w:id="97" w:name="_Toc22833"/>
      <w:bookmarkStart w:id="98" w:name="_Toc9657"/>
      <w:bookmarkStart w:id="99" w:name="_Toc15976"/>
    </w:p>
    <w:p>
      <w:pPr>
        <w:overflowPunct w:val="0"/>
        <w:adjustRightInd w:val="0"/>
        <w:snapToGrid w:val="0"/>
        <w:spacing w:line="560" w:lineRule="exact"/>
        <w:jc w:val="center"/>
        <w:outlineLvl w:val="2"/>
        <w:rPr>
          <w:rFonts w:ascii="Times New Roman" w:hAnsi="Times New Roman" w:eastAsia="方正楷体_GBK"/>
          <w:b/>
          <w:sz w:val="32"/>
          <w:szCs w:val="32"/>
        </w:rPr>
      </w:pPr>
      <w:r>
        <w:rPr>
          <w:rFonts w:ascii="Times New Roman" w:hAnsi="Times New Roman" w:eastAsia="方正楷体_GBK"/>
          <w:b/>
          <w:sz w:val="32"/>
          <w:szCs w:val="32"/>
        </w:rPr>
        <w:t>第二节  机遇和挑战</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77"/>
    <w:bookmarkEnd w:id="78"/>
    <w:bookmarkEnd w:id="79"/>
    <w:bookmarkEnd w:id="80"/>
    <w:bookmarkEnd w:id="81"/>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当今世界正经历百年未有之大变局，新冠肺炎疫情影响广泛深远，经济全球化遭遇逆流，世界进入动荡变革期，贸易单边主义、保护主义、霸权主义对世界和平与发展构成威胁，不稳定性不确定性明显增加。当前，我国发展已转向高质量发展阶段，发展不平衡不充分的问题是社会主要矛盾。我县综合实力和竞争力与全市多数区县相比仍存在较大差距，特别是交通制约仍然突出，产业结构和效能还不够高，民生保障还存在短板，生态价值转化任务艰巨等。“十四五”期间，我县面临统筹区域整体发展与缩小发展差距“双目标”、加快产业转型升级与培育新的经济增长点“双压力”、</w:t>
      </w:r>
      <w:r>
        <w:rPr>
          <w:rFonts w:hint="eastAsia" w:ascii="Times New Roman" w:hAnsi="Times New Roman" w:eastAsia="方正仿宋_GBK"/>
          <w:sz w:val="32"/>
          <w:szCs w:val="32"/>
          <w:lang w:eastAsia="zh-CN"/>
        </w:rPr>
        <w:t>巩固拓展脱贫攻坚成果</w:t>
      </w:r>
      <w:r>
        <w:rPr>
          <w:rFonts w:ascii="Times New Roman" w:hAnsi="Times New Roman" w:eastAsia="方正仿宋_GBK"/>
          <w:sz w:val="32"/>
          <w:szCs w:val="32"/>
        </w:rPr>
        <w:t>与推动乡村全面振兴“双任务”，做好经济社会发展工作任重道远，必须高度重视、切实解决。</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当前和今后一个时期，我国发展仍处于重要战略机遇期，推动高质量发展具备多方面优势和有利条件。</w:t>
      </w:r>
      <w:r>
        <w:rPr>
          <w:rFonts w:ascii="Times New Roman" w:hAnsi="Times New Roman" w:eastAsia="方正黑体_GBK"/>
          <w:sz w:val="32"/>
          <w:szCs w:val="32"/>
        </w:rPr>
        <w:t>国家宏观政策带来新机遇。</w:t>
      </w:r>
      <w:r>
        <w:rPr>
          <w:rFonts w:ascii="Times New Roman" w:hAnsi="Times New Roman" w:eastAsia="方正仿宋_GBK"/>
          <w:sz w:val="32"/>
          <w:szCs w:val="32"/>
        </w:rPr>
        <w:t>党中央作出构建以国内大循环为主、国内国际双循环相互促进的新发展格局重大决策，共建“一带一路”、长江经济带发展、新时代西部大开发、革命老区振兴发展等重大战略深入实施，供给侧结构性改革稳步推进，生态优先绿色发展战略加快推动，为城口高质量发展赋予了全新优势，为加快实施重大项目、重大投资、重大政策创造了有利条件</w:t>
      </w:r>
      <w:r>
        <w:rPr>
          <w:rFonts w:ascii="Times New Roman" w:hAnsi="Times New Roman" w:eastAsia="方正仿宋_GBK"/>
          <w:color w:val="000000"/>
          <w:kern w:val="0"/>
          <w:sz w:val="31"/>
          <w:szCs w:val="31"/>
        </w:rPr>
        <w:t>。</w:t>
      </w:r>
      <w:r>
        <w:rPr>
          <w:rFonts w:ascii="Times New Roman" w:hAnsi="Times New Roman" w:eastAsia="方正黑体_GBK"/>
          <w:color w:val="000000"/>
          <w:kern w:val="0"/>
          <w:sz w:val="31"/>
          <w:szCs w:val="31"/>
        </w:rPr>
        <w:t>区域协调发展带来新机遇。</w:t>
      </w:r>
      <w:r>
        <w:rPr>
          <w:rFonts w:ascii="Times New Roman" w:hAnsi="Times New Roman" w:eastAsia="方正仿宋_GBK"/>
          <w:sz w:val="32"/>
          <w:szCs w:val="32"/>
        </w:rPr>
        <w:t>成渝地区双城经济圈建设加快推进，“一区两群”协调发展全面实施，城（口）宣（汉）万（源）革命老区振兴发展示范区建设启动，带来诸多政策利好、投资利好、项目利好，将极大提振县域经济社会发展的市场预期、社会预期。</w:t>
      </w:r>
      <w:r>
        <w:rPr>
          <w:rFonts w:ascii="Times New Roman" w:hAnsi="Times New Roman" w:eastAsia="方正黑体_GBK"/>
          <w:color w:val="000000"/>
          <w:kern w:val="0"/>
          <w:sz w:val="31"/>
          <w:szCs w:val="31"/>
        </w:rPr>
        <w:t>生态潜力释放带来新机遇。</w:t>
      </w:r>
      <w:r>
        <w:rPr>
          <w:rFonts w:ascii="Times New Roman" w:hAnsi="Times New Roman" w:eastAsia="方正仿宋_GBK"/>
          <w:sz w:val="32"/>
          <w:szCs w:val="32"/>
        </w:rPr>
        <w:t>习近平生态文明思想深入人心，生态产业化、产业生态化加快推进，生态资源红利不断释放，生态文明建设取得初步成效，为城口探索生态优先当示范、绿色发展当标杆奠定了绿色本底。</w:t>
      </w:r>
      <w:r>
        <w:rPr>
          <w:rFonts w:ascii="Times New Roman" w:hAnsi="Times New Roman" w:eastAsia="方正黑体_GBK"/>
          <w:color w:val="000000"/>
          <w:kern w:val="0"/>
          <w:sz w:val="31"/>
          <w:szCs w:val="31"/>
        </w:rPr>
        <w:t>高速高铁时代带来新机遇。</w:t>
      </w:r>
      <w:r>
        <w:rPr>
          <w:rFonts w:ascii="Times New Roman" w:hAnsi="Times New Roman" w:eastAsia="方正仿宋_GBK"/>
          <w:sz w:val="32"/>
          <w:szCs w:val="32"/>
        </w:rPr>
        <w:t>G69银百高速（城口段）2022年实现县城通高速，渝西高铁可望2021年全线开工，城口“困守大巴山、孤悬渝东北”的困境逐步缓解，将更加凸显城口连接长江三峡腹地贯通大西北重要节点的区位优势，有助于发挥优势、彰显特色，更好地集聚要素、释放潜能。</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谋划我县“十四五”发展和二〇三五年远景目标，要深刻把握中华民族伟大复兴战略全局和世界百年未有之大变局，深刻认识我国社会主要矛盾变化带来的新特征新要求，深刻认识错综复杂的国际环境带来的新矛盾新问题，深刻认识城口面临的新机遇新挑战，增强机遇意识和风险意识，保持战略定力，办好自己的事，认识和把握发展规律，发扬斗争精神，树立底线思维，准确识变、科学应变、主动求变，善于在危机中育先机、于变局中开新局，抓住机遇，应对挑战，趋利避害，确保各项事业始终沿着习近平总书记指引的正确方向继续前进。</w:t>
      </w:r>
    </w:p>
    <w:p>
      <w:pPr>
        <w:pStyle w:val="26"/>
        <w:overflowPunct w:val="0"/>
        <w:adjustRightInd w:val="0"/>
        <w:snapToGrid w:val="0"/>
        <w:spacing w:after="0" w:line="560" w:lineRule="exact"/>
        <w:ind w:leftChars="0"/>
        <w:rPr>
          <w:rFonts w:ascii="Times New Roman" w:hAnsi="Times New Roman" w:eastAsia="方正仿宋_GBK"/>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00" w:name="_Toc19405"/>
      <w:bookmarkStart w:id="101" w:name="_Toc26689"/>
      <w:bookmarkStart w:id="102" w:name="_Toc16352"/>
      <w:bookmarkStart w:id="103" w:name="_Toc16850"/>
      <w:bookmarkStart w:id="104" w:name="_Toc17002"/>
      <w:bookmarkStart w:id="105" w:name="_Toc2424"/>
      <w:bookmarkStart w:id="106" w:name="_Toc2432"/>
      <w:bookmarkStart w:id="107" w:name="_Toc40"/>
      <w:bookmarkStart w:id="108" w:name="_Toc2507"/>
      <w:bookmarkStart w:id="109" w:name="_Toc2478"/>
      <w:bookmarkStart w:id="110" w:name="_Toc5440"/>
      <w:bookmarkStart w:id="111" w:name="_Toc15796"/>
      <w:bookmarkStart w:id="112" w:name="_Toc30526"/>
      <w:bookmarkStart w:id="113" w:name="_Toc19933"/>
      <w:bookmarkStart w:id="114" w:name="_Toc18872"/>
      <w:bookmarkStart w:id="115" w:name="_Toc24815"/>
      <w:bookmarkStart w:id="116" w:name="_Toc26031"/>
      <w:bookmarkStart w:id="117" w:name="_Toc18986"/>
      <w:r>
        <w:rPr>
          <w:rFonts w:ascii="Times New Roman" w:hAnsi="Times New Roman" w:eastAsia="方正黑体_GBK"/>
          <w:b/>
          <w:bCs/>
          <w:kern w:val="44"/>
          <w:sz w:val="32"/>
          <w:szCs w:val="32"/>
        </w:rPr>
        <w:t xml:space="preserve">第二章  </w:t>
      </w:r>
      <w:bookmarkEnd w:id="100"/>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eastAsia="方正黑体_GBK"/>
          <w:b/>
          <w:bCs/>
          <w:kern w:val="44"/>
          <w:sz w:val="32"/>
          <w:szCs w:val="32"/>
        </w:rPr>
        <w:t>指导方针</w:t>
      </w:r>
      <w:bookmarkEnd w:id="112"/>
      <w:bookmarkEnd w:id="113"/>
      <w:bookmarkEnd w:id="114"/>
      <w:bookmarkEnd w:id="115"/>
      <w:bookmarkEnd w:id="116"/>
      <w:bookmarkEnd w:id="117"/>
    </w:p>
    <w:p>
      <w:pPr>
        <w:overflowPunct w:val="0"/>
        <w:adjustRightInd w:val="0"/>
        <w:snapToGrid w:val="0"/>
        <w:spacing w:line="560" w:lineRule="exact"/>
        <w:ind w:firstLine="640" w:firstLineChars="200"/>
        <w:rPr>
          <w:rFonts w:ascii="Times New Roman" w:hAnsi="Times New Roman" w:eastAsia="方正楷体_GBK"/>
          <w:b/>
          <w:sz w:val="32"/>
          <w:szCs w:val="32"/>
        </w:rPr>
      </w:pPr>
      <w:bookmarkStart w:id="118" w:name="_Hlk53845677"/>
      <w:r>
        <w:rPr>
          <w:rFonts w:ascii="Times New Roman" w:hAnsi="Times New Roman" w:eastAsia="方正仿宋_GBK"/>
          <w:bCs/>
          <w:sz w:val="32"/>
          <w:szCs w:val="32"/>
        </w:rPr>
        <w:t>对标习近平总书记对重庆提出的重要指示要求，提出“十四五”时期发展指导思想和基本原则。</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9" w:name="_Toc21680"/>
      <w:bookmarkStart w:id="120" w:name="_Toc30189"/>
      <w:bookmarkStart w:id="121" w:name="_Toc32746"/>
      <w:bookmarkStart w:id="122" w:name="_Toc26918"/>
      <w:bookmarkStart w:id="123" w:name="_Toc10772"/>
      <w:bookmarkStart w:id="124" w:name="_Toc18955"/>
      <w:r>
        <w:rPr>
          <w:rFonts w:ascii="Times New Roman" w:hAnsi="Times New Roman" w:eastAsia="方正楷体_GBK"/>
          <w:b/>
          <w:sz w:val="32"/>
          <w:szCs w:val="32"/>
        </w:rPr>
        <w:t>第一节指导思想</w:t>
      </w:r>
      <w:bookmarkEnd w:id="119"/>
      <w:bookmarkEnd w:id="120"/>
      <w:bookmarkEnd w:id="121"/>
      <w:bookmarkEnd w:id="122"/>
      <w:bookmarkEnd w:id="123"/>
      <w:bookmarkEnd w:id="12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主动构建新发展格局，切实担当新发展使命，坚持稳中求进工作总基调，以推动高质量发展为主题，以深化供给侧结构性改革为主线，以生态优先绿色发展统揽经济社会发展全局，以改革创新为根本动力，以推动精神文明建设铸魂聚力，以城乡融合发展为主攻方向，以满足人民日益增长的美好生活需要为根本目的，统筹发展和安全，立足生态优势，固根基、夯基础、增动力、抓重点、补短板、强弱项，加快建设现代化经济体系，推进治理体系和治理能力现代化，实现经济行稳致远、社会安定和谐，确保社会主义现代化建设新征程开好局、起好步。</w:t>
      </w:r>
    </w:p>
    <w:bookmarkEnd w:id="118"/>
    <w:p>
      <w:pPr>
        <w:overflowPunct w:val="0"/>
        <w:adjustRightInd w:val="0"/>
        <w:snapToGrid w:val="0"/>
        <w:spacing w:line="560" w:lineRule="exact"/>
        <w:jc w:val="center"/>
        <w:outlineLvl w:val="2"/>
        <w:rPr>
          <w:rFonts w:ascii="Times New Roman" w:hAnsi="Times New Roman" w:eastAsia="方正仿宋_GBK"/>
          <w:sz w:val="32"/>
          <w:szCs w:val="32"/>
        </w:rPr>
      </w:pPr>
      <w:bookmarkStart w:id="125" w:name="_Toc13367"/>
      <w:bookmarkStart w:id="126" w:name="_Toc16509"/>
      <w:bookmarkStart w:id="127" w:name="_Toc5842"/>
      <w:bookmarkStart w:id="128" w:name="_Toc23963"/>
      <w:bookmarkStart w:id="129" w:name="_Toc478"/>
      <w:bookmarkStart w:id="130" w:name="_Toc6876"/>
      <w:r>
        <w:rPr>
          <w:rFonts w:ascii="Times New Roman" w:hAnsi="Times New Roman" w:eastAsia="方正楷体_GBK"/>
          <w:b/>
          <w:sz w:val="32"/>
          <w:szCs w:val="32"/>
        </w:rPr>
        <w:t>第二节  基本原则</w:t>
      </w:r>
      <w:bookmarkEnd w:id="125"/>
      <w:bookmarkEnd w:id="126"/>
      <w:bookmarkEnd w:id="127"/>
      <w:bookmarkEnd w:id="128"/>
      <w:bookmarkEnd w:id="129"/>
      <w:bookmarkEnd w:id="130"/>
    </w:p>
    <w:p>
      <w:pPr>
        <w:overflowPunct w:val="0"/>
        <w:adjustRightInd w:val="0"/>
        <w:snapToGrid w:val="0"/>
        <w:spacing w:line="560" w:lineRule="exact"/>
        <w:ind w:firstLine="640" w:firstLineChars="200"/>
        <w:rPr>
          <w:rFonts w:ascii="Times New Roman" w:hAnsi="Times New Roman" w:eastAsia="方正仿宋_GBK"/>
          <w:sz w:val="32"/>
          <w:szCs w:val="32"/>
        </w:rPr>
      </w:pPr>
      <w:bookmarkStart w:id="131" w:name="_Toc52219905"/>
      <w:bookmarkStart w:id="132" w:name="_Hlk53845711"/>
      <w:r>
        <w:rPr>
          <w:rFonts w:ascii="Times New Roman" w:hAnsi="Times New Roman" w:eastAsia="方正仿宋_GBK"/>
          <w:sz w:val="32"/>
          <w:szCs w:val="32"/>
        </w:rPr>
        <w:t>坚持党的全面领导。坚持和完善党领导经济社会发展的体制机制，坚持和完善中国特色社会主义制度，始终在思想上政治上行动上同以习近平同志为核心的党中央保持高度一致，不断提高贯彻新发展理念、构建新发展格局的能力和水平，为实现高质量发展、创造高品质生活提供根本保证。</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人民为中心。坚持人民主体地位，坚持共同富裕方向，始终做到发展为了人民、发展依靠人民、发展成果由人民共享，维护人民根本利益，激发全县人民积极性、主动性、创造性，促进社会公平，增进民生福祉，不断实现人民对美好生活的向往。</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新发展理念。把新发展理念贯穿发展全过程和各领域，积极主动融入新发展格局，切实转变发展方式，推动质量变革、效率变革、动力变革，实现更高质量、更有效率、更加公平、更可持续、更为安全的发展。</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深化改革开放。坚定不移推进改革，坚定不移扩大开放，加强治理体系和治理能力现代化建设，破除制约高质量发展、高品质生活的体制机制障碍，强化有利于提高资源配置效率、有利于调动全社会积极性的重大改革开放举措，全面融入国家和全市对外开放战略，持续增强发展动力和活力。</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系统观念。加强前瞻性思考、全局性谋划、战略性布局、整体性推进，统筹发展和安全，更加注重从全局谋划一域、以一域服务全局，着力固根基、夯基础、扬优势、增动力、抓重点、补短板、强弱项，注重防范化解重大风险挑战，实现发展质量、结构、规模、速度、效益、安全相统一。</w:t>
      </w:r>
      <w:bookmarkEnd w:id="131"/>
      <w:bookmarkEnd w:id="132"/>
      <w:bookmarkStart w:id="133" w:name="_Toc12254"/>
      <w:bookmarkStart w:id="134" w:name="_Toc29292"/>
      <w:bookmarkStart w:id="135" w:name="_Toc1827"/>
      <w:bookmarkStart w:id="136" w:name="_Toc11536"/>
      <w:bookmarkStart w:id="137" w:name="_Toc1765"/>
      <w:bookmarkStart w:id="138" w:name="_Toc4795"/>
      <w:bookmarkStart w:id="139" w:name="_Toc26634"/>
      <w:bookmarkStart w:id="140" w:name="_Toc21429"/>
      <w:bookmarkStart w:id="141" w:name="_Toc31929"/>
      <w:bookmarkStart w:id="142" w:name="_Toc10510"/>
      <w:bookmarkStart w:id="143" w:name="_Toc29664"/>
      <w:bookmarkStart w:id="144" w:name="_Toc4336"/>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5" w:name="_Toc29637"/>
      <w:bookmarkStart w:id="146" w:name="_Toc4539"/>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7" w:name="_Toc28604"/>
      <w:r>
        <w:rPr>
          <w:rFonts w:ascii="Times New Roman" w:hAnsi="Times New Roman" w:eastAsia="方正黑体_GBK"/>
          <w:b/>
          <w:bCs/>
          <w:kern w:val="44"/>
          <w:sz w:val="32"/>
          <w:szCs w:val="32"/>
        </w:rPr>
        <w:t>第三章发展目标</w:t>
      </w:r>
      <w:bookmarkEnd w:id="145"/>
      <w:bookmarkEnd w:id="146"/>
      <w:bookmarkEnd w:id="147"/>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对标习近平总书记对重庆提出的重要指示要求，充分考虑我县发展阶段性特征和未来发展支撑条件，提出“十四五”时期发展主要目标和二〇三五年远景目标。</w:t>
      </w:r>
    </w:p>
    <w:p>
      <w:pPr>
        <w:overflowPunct w:val="0"/>
        <w:adjustRightInd w:val="0"/>
        <w:snapToGrid w:val="0"/>
        <w:spacing w:line="560" w:lineRule="exact"/>
        <w:ind w:firstLine="643" w:firstLineChars="200"/>
        <w:jc w:val="center"/>
        <w:rPr>
          <w:rFonts w:ascii="Times New Roman" w:hAnsi="Times New Roman" w:eastAsia="方正楷体_GBK"/>
          <w:b/>
          <w:sz w:val="32"/>
          <w:szCs w:val="32"/>
        </w:rPr>
      </w:pPr>
      <w:r>
        <w:rPr>
          <w:rFonts w:ascii="Times New Roman" w:hAnsi="Times New Roman" w:eastAsia="方正楷体_GBK"/>
          <w:b/>
          <w:sz w:val="32"/>
          <w:szCs w:val="32"/>
        </w:rPr>
        <w:t>第一节  “十四五”发展主要目标</w:t>
      </w:r>
      <w:bookmarkEnd w:id="133"/>
      <w:bookmarkEnd w:id="134"/>
      <w:bookmarkEnd w:id="135"/>
      <w:bookmarkEnd w:id="136"/>
      <w:bookmarkEnd w:id="137"/>
      <w:bookmarkEnd w:id="138"/>
      <w:bookmarkEnd w:id="139"/>
      <w:bookmarkEnd w:id="140"/>
      <w:bookmarkEnd w:id="141"/>
      <w:bookmarkEnd w:id="142"/>
      <w:bookmarkEnd w:id="143"/>
      <w:bookmarkEnd w:id="14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“十四五”时期，锚定</w:t>
      </w:r>
      <w:r>
        <w:rPr>
          <w:rFonts w:ascii="Times New Roman" w:hAnsi="Times New Roman" w:eastAsia="方正仿宋_GBK"/>
          <w:bCs/>
          <w:sz w:val="32"/>
          <w:szCs w:val="32"/>
        </w:rPr>
        <w:t>二〇三五年基本实现社会主义现代化目标，保持战略定力，以生态优先绿色发展统揽经济社会发展全局，</w:t>
      </w:r>
      <w:r>
        <w:rPr>
          <w:rFonts w:ascii="Times New Roman" w:hAnsi="Times New Roman" w:eastAsia="方正仿宋_GBK"/>
          <w:sz w:val="32"/>
          <w:szCs w:val="32"/>
        </w:rPr>
        <w:t>围绕推动高质量发展、创造高品质生活，在全面建成小康社会的基础上实现新的更大发展，在改善交通、保护生态、农文旅融合“三件大事”上取得显著成效，努力在生态保护上发挥示范作用、在山地特色城镇化发展上发挥示范作用、在生态产业体系建设上发挥示范作用、在渝川陕毗邻地区融合发展中发挥示范作用，全面建成国家生态文明建设示范县，基本建成渝川陕毗邻区县综合交通枢纽、“两山”“两化”先行示范区、宜居宜业宜游的大巴山特色生态城和渝川陕合作门户。</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——始终坚持稳中求进工作总基调，高质量发展迈出新步伐。</w:t>
      </w:r>
      <w:r>
        <w:rPr>
          <w:rFonts w:ascii="Times New Roman" w:hAnsi="Times New Roman" w:eastAsia="方正仿宋_GBK"/>
          <w:sz w:val="32"/>
          <w:szCs w:val="32"/>
        </w:rPr>
        <w:t>在质量效益明显提升的基础上实现经济持续健康发展，增长潜力充分发挥，经济结构持续优化，绿色产业、循环经济、清洁能源加快发展，战略性新兴产业发展壮大，新的经济增长点全面发力。数字经济加快发展，大数据智能化创新应用深入推进。生态优先绿色发展取得明显成效。城乡区域协调发展明显增强。</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——大力推进改善交通，基础设施互联互通实现新突破。</w:t>
      </w:r>
      <w:r>
        <w:rPr>
          <w:rFonts w:ascii="Times New Roman" w:hAnsi="Times New Roman" w:eastAsia="方正仿宋_GBK"/>
          <w:sz w:val="32"/>
          <w:szCs w:val="32"/>
        </w:rPr>
        <w:t>高速、高铁加快建成，对外交通瓶颈制约得到缓解，布局合理、功能完善、便捷快畅的干线公路网络基本形成，绿色交通、智慧交通体系加快构建，重庆向北重要交通节点、渝川陕毗邻区县综合交通枢纽基本建成。水利、能源、信息等基础设施有序推进，支撑经济社会发展的作用明显增强。</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——严格落实保护生态责任，山清水秀美丽之地建设开创新局面。</w:t>
      </w:r>
      <w:r>
        <w:rPr>
          <w:rFonts w:ascii="Times New Roman" w:hAnsi="Times New Roman" w:eastAsia="方正仿宋_GBK"/>
          <w:sz w:val="32"/>
          <w:szCs w:val="32"/>
        </w:rPr>
        <w:t>国土空间开发保护格局得到优化，生产生活方式绿色转型成效显著，能源资源利用效率大幅提高，生态治理能力明显提升。城乡环境更加优美、自然风景更加怡人、生态保护作用更加突出，长江上游和大巴山生态屏障更加巩固，国家生态文明建设示范县全面建成。</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——充分释放农文旅融合发展最大潜力，生态经济谱写新篇章。</w:t>
      </w:r>
      <w:r>
        <w:rPr>
          <w:rFonts w:ascii="Times New Roman" w:hAnsi="Times New Roman" w:eastAsia="方正仿宋_GBK"/>
          <w:sz w:val="32"/>
          <w:szCs w:val="32"/>
        </w:rPr>
        <w:t>“绿水青山就是金山银山”理念成为发展的主旋律，生态产业化、产业生态化全面推进，农文旅深度融合发展，生态资源价值充分转化，生态产业体系更加完善，建成红色旅游、康养基地和秦巴山区商贸物流基地，建设大巴山国际旅游度假区，创建“两山”“两化”先行示范区。</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——深入践行以人民为中心的发展思想，创造高品质生活达到新水平。</w:t>
      </w:r>
      <w:r>
        <w:rPr>
          <w:rFonts w:ascii="Times New Roman" w:hAnsi="Times New Roman" w:eastAsia="方正仿宋_GBK"/>
          <w:sz w:val="32"/>
          <w:szCs w:val="32"/>
        </w:rPr>
        <w:t>全力补齐教育、医疗等基本公共服务短板，优质教育医疗资源均衡发展，基本公共服务水平明显提高。就业更加充分更高质量，居民收入增长和经济增长基本同步，分配结构明显改善，多层次社会保障体系更加健全。巩固脱贫攻坚成果，强化乡村建设，乡村振兴全面推进。人民群众对美好生活的向往日益满足，群众获得感幸福感安全感持续提升。宜居宜业宜游的大巴山特色生态城基本建成。</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——持续深化改革开放，发展动能得到新增强。</w:t>
      </w:r>
      <w:r>
        <w:rPr>
          <w:rFonts w:ascii="Times New Roman" w:hAnsi="Times New Roman" w:eastAsia="方正仿宋_GBK"/>
          <w:sz w:val="32"/>
          <w:szCs w:val="32"/>
        </w:rPr>
        <w:t>生态优先绿色发展体制机制和关键环节改革取得重大进展，山地特色生态农业、现代科技推广和应用、康养产业、生态经济创新发展。营商环境明显改善，市场主体活力进一步提升。毗邻地区交流合作取得明显成效，城（口）宣（汉）万（源）革命老区振兴发展示范区建设实现重大突破，积极主动融入万达开川渝统筹发展示范区、渝东北万开云板块，资源要素更加集聚，渝川陕合作门户基本建成。</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——大力发挥先进文化引领作用，社会文明程度达到新高度。</w:t>
      </w:r>
      <w:r>
        <w:rPr>
          <w:rFonts w:ascii="Times New Roman" w:hAnsi="Times New Roman" w:eastAsia="方正仿宋_GBK"/>
          <w:sz w:val="32"/>
          <w:szCs w:val="32"/>
        </w:rPr>
        <w:t>不断加强社会主义精神文明建设，推动社会主义核心价值观深入人心，人民群众思想道德素质、科学文化素质和身心健康素质明显提高，公共文化服务体系和文化产业体系更加健全，人民群众精神文化生活日益丰富，红色文化、大巴山民俗文化、生态文化传承利用进一步加强，城市人文内涵更加丰富，农文旅融合发展深入推进，文化事业发展取得更大成效。</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——全面推进治理体系和治理能力现代化，治理效能实现新提升。</w:t>
      </w:r>
      <w:r>
        <w:rPr>
          <w:rFonts w:ascii="Times New Roman" w:hAnsi="Times New Roman" w:eastAsia="方正仿宋_GBK"/>
          <w:sz w:val="32"/>
          <w:szCs w:val="32"/>
        </w:rPr>
        <w:t>社会主义民主法治更加健全，社会主义公平正义更加彰显，政府作用更好发挥，行政效率和公信力显著提升。持续深入推动网格化治理，深化党建引领自治、法治、德治，基层社会治理能力显著增强。防范化解重大风险体制机制不断健全，突发公共事件应急能力显著增强，自然灾害防御水平明显提升，发展安全保障更加有力，“平安城口”建设迈出重大步伐。</w:t>
      </w:r>
    </w:p>
    <w:p>
      <w:pPr>
        <w:pStyle w:val="25"/>
        <w:overflowPunct w:val="0"/>
        <w:adjustRightInd w:val="0"/>
        <w:snapToGrid w:val="0"/>
        <w:spacing w:after="0" w:line="560" w:lineRule="exact"/>
        <w:ind w:firstLine="560" w:firstLineChars="200"/>
        <w:jc w:val="center"/>
        <w:rPr>
          <w:rFonts w:ascii="Times New Roman" w:hAnsi="Times New Roman" w:eastAsia="方正黑体_GBK"/>
          <w:bCs/>
          <w:sz w:val="28"/>
          <w:szCs w:val="28"/>
        </w:rPr>
      </w:pPr>
      <w:r>
        <w:rPr>
          <w:rFonts w:ascii="Times New Roman" w:hAnsi="Times New Roman" w:eastAsia="方正黑体_GBK"/>
          <w:bCs/>
          <w:sz w:val="28"/>
          <w:szCs w:val="28"/>
        </w:rPr>
        <w:t>专栏2  “十四五”经济社会发展主要指标表</w:t>
      </w:r>
    </w:p>
    <w:tbl>
      <w:tblPr>
        <w:tblStyle w:val="27"/>
        <w:tblW w:w="4950" w:type="pct"/>
        <w:jc w:val="center"/>
        <w:tblLayout w:type="autofit"/>
        <w:tblCellMar>
          <w:top w:w="0" w:type="dxa"/>
          <w:left w:w="0" w:type="dxa"/>
          <w:bottom w:w="0" w:type="dxa"/>
          <w:right w:w="0" w:type="dxa"/>
        </w:tblCellMar>
      </w:tblPr>
      <w:tblGrid>
        <w:gridCol w:w="594"/>
        <w:gridCol w:w="4023"/>
        <w:gridCol w:w="979"/>
        <w:gridCol w:w="2133"/>
        <w:gridCol w:w="787"/>
      </w:tblGrid>
      <w:tr>
        <w:tblPrEx>
          <w:tblCellMar>
            <w:top w:w="0" w:type="dxa"/>
            <w:left w:w="0" w:type="dxa"/>
            <w:bottom w:w="0" w:type="dxa"/>
            <w:right w:w="0" w:type="dxa"/>
          </w:tblCellMar>
        </w:tblPrEx>
        <w:trPr>
          <w:trHeight w:val="396" w:hRule="atLeast"/>
          <w:jc w:val="center"/>
        </w:trPr>
        <w:tc>
          <w:tcPr>
            <w:tcW w:w="384"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序号</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指标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2020年</w:t>
            </w:r>
          </w:p>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实现情况</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2025年</w:t>
            </w:r>
          </w:p>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预期目标</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属性</w:t>
            </w:r>
          </w:p>
        </w:tc>
      </w:tr>
      <w:tr>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一、推动高质量发展</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研发经费投入强度（%）</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0.03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0.05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常住人口城镇化率（%）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39</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45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文化产业增加值占GDP比重(%)</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游客接待量（万人次）</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黑体_GBK"/>
                <w:sz w:val="24"/>
              </w:rPr>
              <w:t>388</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黑体_GBK"/>
                <w:sz w:val="24"/>
              </w:rPr>
            </w:pPr>
            <w:r>
              <w:rPr>
                <w:rFonts w:ascii="Times New Roman" w:hAnsi="Times New Roman" w:eastAsia="方正黑体_GBK"/>
                <w:sz w:val="24"/>
              </w:rPr>
              <w:t>700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二、创造高品质生活</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5</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城镇常住居民人均可支配收入年均增速（%）</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7.7*</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6*</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6</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农村常住居民人均可支配收入年均增速（%）</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城镇调查失业率（%）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&lt;5.5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&lt;5.5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劳动年龄人口平均受教育年限（年）</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11.3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人均预期寿命（岁）</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75.3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每千人口拥有执业（助理）医师数（人）</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2.25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2.98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预期性</w:t>
            </w:r>
          </w:p>
        </w:tc>
      </w:tr>
      <w:tr>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三、山清水秀美丽之地建设</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单位地区生产总值能源消耗降低（%）</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3.9</w:t>
            </w:r>
          </w:p>
        </w:tc>
        <w:tc>
          <w:tcPr>
            <w:tcW w:w="707"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完成市级下达指标任务</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单位地区生产总值二氧化碳排放降低（%)</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环境空气质量优良天数（天）</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361</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＞350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森林覆盖率(%)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72.5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72.8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15</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森林蓄积量（万立方米)</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1650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1890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16</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地表水达到或好于</w:t>
            </w:r>
            <w:r>
              <w:rPr>
                <w:rFonts w:hint="eastAsia" w:ascii="宋体" w:hAnsi="宋体" w:cs="宋体"/>
                <w:sz w:val="24"/>
              </w:rPr>
              <w:t>Ⅲ</w:t>
            </w:r>
            <w:r>
              <w:rPr>
                <w:rFonts w:ascii="Times New Roman" w:hAnsi="Times New Roman" w:eastAsia="方正仿宋_GBK"/>
                <w:sz w:val="24"/>
              </w:rPr>
              <w:t>类水体比例</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17</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集中式饮用水水源地水质优良比例</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18</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left"/>
              <w:rPr>
                <w:rFonts w:ascii="Times New Roman" w:hAnsi="Times New Roman" w:eastAsia="方正仿宋_GBK"/>
                <w:sz w:val="24"/>
              </w:rPr>
            </w:pPr>
            <w:r>
              <w:rPr>
                <w:rFonts w:ascii="Times New Roman" w:hAnsi="Times New Roman" w:eastAsia="方正仿宋_GBK"/>
                <w:sz w:val="24"/>
              </w:rPr>
              <w:t>村镇饮用水卫生合格率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19</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城镇污水达标处理率（%）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85</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≥95</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20</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城镇生活垃圾无害化处理率（%）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100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21</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农村无害化卫生厕所普及率（%）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70.2</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80</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22</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主要污染物排放总量减少率（%）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p>
        </w:tc>
      </w:tr>
      <w:tr>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#化学需氧量</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[6.53]</w:t>
            </w:r>
          </w:p>
        </w:tc>
        <w:tc>
          <w:tcPr>
            <w:tcW w:w="707" w:type="pct"/>
            <w:vMerge w:val="restar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完成市级下达指标任务</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#二氧化硫</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[17.4]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#氨氮</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[3.89]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240"/>
              <w:rPr>
                <w:rFonts w:ascii="Times New Roman" w:hAnsi="Times New Roman" w:eastAsia="方正仿宋_GBK"/>
                <w:sz w:val="24"/>
              </w:rPr>
            </w:pPr>
            <w:r>
              <w:rPr>
                <w:rFonts w:ascii="Times New Roman" w:hAnsi="Times New Roman" w:eastAsia="方正仿宋_GBK"/>
                <w:sz w:val="24"/>
              </w:rPr>
              <w:t>#氮氧化物</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pStyle w:val="25"/>
              <w:overflowPunct w:val="0"/>
              <w:adjustRightInd w:val="0"/>
              <w:snapToGrid w:val="0"/>
              <w:spacing w:after="0" w:line="440" w:lineRule="exact"/>
              <w:ind w:firstLine="0" w:firstLineChars="0"/>
              <w:jc w:val="center"/>
              <w:rPr>
                <w:rFonts w:ascii="Times New Roman" w:hAnsi="Times New Roman" w:eastAsia="方正仿宋_GBK"/>
                <w:sz w:val="24"/>
              </w:rPr>
            </w:pPr>
            <w:r>
              <w:rPr>
                <w:rFonts w:ascii="Times New Roman" w:hAnsi="Times New Roman" w:eastAsia="方正仿宋_GBK"/>
                <w:sz w:val="24"/>
              </w:rPr>
              <w:t>[19.8]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24"/>
              </w:rPr>
            </w:pP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b/>
                <w:bCs/>
                <w:sz w:val="24"/>
              </w:rPr>
              <w:t>四、安全发展</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23</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粮食综合生产能力（万吨）</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8.7</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8</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r>
        <w:tblPrEx>
          <w:tblCellMar>
            <w:top w:w="0" w:type="dxa"/>
            <w:left w:w="0" w:type="dxa"/>
            <w:bottom w:w="0" w:type="dxa"/>
            <w:right w:w="0" w:type="dxa"/>
          </w:tblCellMar>
        </w:tblPrEx>
        <w:trPr>
          <w:trHeight w:val="315" w:hRule="atLeast"/>
          <w:jc w:val="center"/>
        </w:trPr>
        <w:tc>
          <w:tcPr>
            <w:tcW w:w="384" w:type="pc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24</w:t>
            </w:r>
          </w:p>
        </w:tc>
        <w:tc>
          <w:tcPr>
            <w:tcW w:w="266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rPr>
                <w:rFonts w:ascii="Times New Roman" w:hAnsi="Times New Roman" w:eastAsia="方正仿宋_GBK"/>
                <w:sz w:val="24"/>
              </w:rPr>
            </w:pPr>
            <w:r>
              <w:rPr>
                <w:rFonts w:ascii="Times New Roman" w:hAnsi="Times New Roman" w:eastAsia="方正仿宋_GBK"/>
                <w:sz w:val="24"/>
              </w:rPr>
              <w:t>亿元地区生产总值安全事故死亡率</w:t>
            </w:r>
          </w:p>
        </w:tc>
        <w:tc>
          <w:tcPr>
            <w:tcW w:w="67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0.163</w:t>
            </w:r>
          </w:p>
        </w:tc>
        <w:tc>
          <w:tcPr>
            <w:tcW w:w="707"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控制在市级下达指标内</w:t>
            </w:r>
          </w:p>
        </w:tc>
        <w:tc>
          <w:tcPr>
            <w:tcW w:w="565" w:type="pct"/>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pPr>
              <w:overflowPunct w:val="0"/>
              <w:adjustRightInd w:val="0"/>
              <w:snapToGrid w:val="0"/>
              <w:spacing w:line="440" w:lineRule="exact"/>
              <w:jc w:val="center"/>
              <w:rPr>
                <w:rFonts w:ascii="Times New Roman" w:hAnsi="Times New Roman" w:eastAsia="方正仿宋_GBK"/>
                <w:sz w:val="24"/>
              </w:rPr>
            </w:pPr>
            <w:r>
              <w:rPr>
                <w:rFonts w:ascii="Times New Roman" w:hAnsi="Times New Roman" w:eastAsia="方正仿宋_GBK"/>
                <w:sz w:val="24"/>
              </w:rPr>
              <w:t>约束性</w:t>
            </w:r>
          </w:p>
        </w:tc>
      </w:tr>
    </w:tbl>
    <w:p>
      <w:pPr>
        <w:pStyle w:val="26"/>
        <w:overflowPunct w:val="0"/>
        <w:spacing w:line="400" w:lineRule="exact"/>
        <w:ind w:leftChars="0" w:firstLine="480" w:firstLineChars="200"/>
        <w:rPr>
          <w:rFonts w:ascii="Times New Roman" w:hAnsi="Times New Roman" w:eastAsia="方正仿宋_GBK"/>
          <w:sz w:val="32"/>
          <w:szCs w:val="32"/>
        </w:rPr>
      </w:pPr>
      <w:r>
        <w:rPr>
          <w:rFonts w:ascii="Times New Roman" w:hAnsi="Times New Roman" w:eastAsia="方正黑体_GBK"/>
          <w:sz w:val="24"/>
          <w:szCs w:val="24"/>
        </w:rPr>
        <w:t>注明：带*为规划期平均数，带[ ]为五年累积数，未带任何符号的为年度数据。其中，序号16—21等指标为国家生态文明建设示范县创建约束性指标。</w:t>
      </w:r>
    </w:p>
    <w:p>
      <w:pPr>
        <w:overflowPunct w:val="0"/>
        <w:adjustRightInd w:val="0"/>
        <w:snapToGrid w:val="0"/>
        <w:spacing w:line="560" w:lineRule="exact"/>
        <w:jc w:val="center"/>
        <w:rPr>
          <w:rFonts w:ascii="Times New Roman" w:hAnsi="Times New Roman" w:eastAsia="方正楷体_GBK"/>
          <w:b/>
          <w:sz w:val="32"/>
          <w:szCs w:val="32"/>
        </w:rPr>
      </w:pPr>
      <w:r>
        <w:rPr>
          <w:rFonts w:ascii="Times New Roman" w:hAnsi="Times New Roman" w:eastAsia="方正楷体_GBK"/>
          <w:b/>
          <w:sz w:val="32"/>
          <w:szCs w:val="32"/>
        </w:rPr>
        <w:t>第二节  二〇三五年远景目标</w:t>
      </w:r>
    </w:p>
    <w:p>
      <w:pPr>
        <w:overflowPunct w:val="0"/>
        <w:adjustRightInd w:val="0"/>
        <w:snapToGrid w:val="0"/>
        <w:spacing w:line="560" w:lineRule="exact"/>
        <w:ind w:firstLine="641"/>
        <w:rPr>
          <w:rFonts w:ascii="Times New Roman" w:hAnsi="Times New Roman" w:eastAsia="方正仿宋_GBK"/>
          <w:sz w:val="32"/>
          <w:szCs w:val="32"/>
        </w:rPr>
      </w:pPr>
      <w:r>
        <w:rPr>
          <w:rFonts w:ascii="Times New Roman" w:hAnsi="Times New Roman" w:eastAsia="方正仿宋_GBK"/>
          <w:sz w:val="32"/>
          <w:szCs w:val="32"/>
        </w:rPr>
        <w:t>按照党的十九大对实现第二个百年奋斗目标作出的“两步走”战略安排，到二〇三五年我县将与全国全市一道基本实现社会主义现代化。展望二〇三五年，生态优先绿色发展示范区全面建成，成为全市践行“两山论”、走好“两化路”的示范和标杆，综合经济实力和生态价值大幅提升，城乡人均收入再迈上新的大台阶。新型工业化、信息化、城镇化、农业现代化基本实现，建成富有城口特色的现代化绿色产业体系。基本实现治理体系和治理能力现代化，各方面体制机制更加完善，法治政府、法治社会和“平安城口”达到更高水平。全面建成渝川陕合作门户，基础设施互联互通全面实现，成为连接“一带一路”与长江黄金水道的便捷通道，开放程度和水平不断提升。实现社会主义精神文明和物质文明全面协调发展，生态强县全面建成，健康城口基本实现，科技事业、文化事业、教育事业、人才事业、体育事业蓬勃发展，公民素质和社会文明程度达到新高度。实现人与自然和谐共生，长江上游重要生态屏障全面筑牢，山清水秀美丽之地基本建成。人的全面发展、全体人民共同富裕取得更为明显的实质性进展，中等收入群体显著扩大，基本公共服务实现均等化，城乡区域发展差距和居民生活水平差距显著缩小，高品质生活充分彰显。到那时，一个生态美、产业兴、百姓富的现代化新城口将屹立在重庆最北端。</w:t>
      </w:r>
    </w:p>
    <w:p>
      <w:pPr>
        <w:overflowPunct w:val="0"/>
        <w:adjustRightInd w:val="0"/>
        <w:snapToGrid w:val="0"/>
        <w:spacing w:line="560" w:lineRule="exact"/>
        <w:outlineLvl w:val="0"/>
        <w:rPr>
          <w:rFonts w:ascii="Times New Roman" w:hAnsi="Times New Roman" w:eastAsia="方正小标宋_GBK"/>
          <w:b/>
          <w:bCs/>
          <w:snapToGrid w:val="0"/>
          <w:w w:val="90"/>
          <w:kern w:val="0"/>
          <w:sz w:val="36"/>
          <w:szCs w:val="36"/>
        </w:rPr>
      </w:pPr>
      <w:bookmarkStart w:id="148" w:name="_Toc59949969"/>
      <w:bookmarkStart w:id="149" w:name="_Toc18042"/>
      <w:bookmarkStart w:id="150" w:name="_Toc20940"/>
      <w:bookmarkStart w:id="151" w:name="_Toc22489"/>
      <w:bookmarkStart w:id="152" w:name="_Toc302"/>
      <w:bookmarkStart w:id="153" w:name="_Toc26504"/>
      <w:bookmarkStart w:id="154" w:name="_Toc3779"/>
      <w:bookmarkStart w:id="155" w:name="_Toc22652"/>
      <w:bookmarkStart w:id="156" w:name="_Toc1129"/>
      <w:bookmarkStart w:id="157" w:name="_Toc26786"/>
      <w:bookmarkStart w:id="158" w:name="_Toc24664"/>
      <w:bookmarkStart w:id="159" w:name="_Toc28646"/>
      <w:bookmarkStart w:id="160" w:name="_Toc25845"/>
      <w:bookmarkStart w:id="161" w:name="_Toc7930"/>
      <w:bookmarkStart w:id="162" w:name="_Toc14963"/>
      <w:bookmarkStart w:id="163" w:name="_Toc18901"/>
      <w:bookmarkStart w:id="164" w:name="_Toc59949991"/>
      <w:bookmarkStart w:id="165" w:name="_Toc59950005"/>
    </w:p>
    <w:p>
      <w:pPr>
        <w:overflowPunct w:val="0"/>
        <w:adjustRightInd w:val="0"/>
        <w:snapToGrid w:val="0"/>
        <w:spacing w:line="560" w:lineRule="exact"/>
        <w:outlineLvl w:val="0"/>
        <w:rPr>
          <w:rFonts w:ascii="Times New Roman" w:hAnsi="Times New Roman" w:eastAsia="方正仿宋_GBK"/>
          <w:bCs/>
          <w:snapToGrid w:val="0"/>
          <w:w w:val="90"/>
          <w:kern w:val="0"/>
          <w:sz w:val="32"/>
          <w:szCs w:val="32"/>
        </w:rPr>
      </w:pPr>
      <w:bookmarkStart w:id="166" w:name="_Toc24739"/>
      <w:r>
        <w:rPr>
          <w:rFonts w:ascii="Times New Roman" w:hAnsi="Times New Roman" w:eastAsia="方正小标宋_GBK"/>
          <w:b/>
          <w:bCs/>
          <w:snapToGrid w:val="0"/>
          <w:w w:val="90"/>
          <w:kern w:val="0"/>
          <w:sz w:val="36"/>
          <w:szCs w:val="36"/>
        </w:rPr>
        <w:t xml:space="preserve">第二篇  </w:t>
      </w:r>
      <w:bookmarkStart w:id="167" w:name="_Toc20422"/>
      <w:bookmarkStart w:id="168" w:name="_Toc30002"/>
      <w:r>
        <w:rPr>
          <w:rFonts w:ascii="Times New Roman" w:hAnsi="Times New Roman" w:eastAsia="方正小标宋_GBK"/>
          <w:b/>
          <w:bCs/>
          <w:snapToGrid w:val="0"/>
          <w:w w:val="90"/>
          <w:kern w:val="0"/>
          <w:sz w:val="36"/>
          <w:szCs w:val="36"/>
        </w:rPr>
        <w:t>坚持生态优先绿色发展  加快建设山清水秀</w:t>
      </w:r>
      <w:bookmarkEnd w:id="167"/>
      <w:bookmarkEnd w:id="168"/>
      <w:bookmarkStart w:id="169" w:name="_Toc2643"/>
      <w:bookmarkStart w:id="170" w:name="_Toc10589"/>
      <w:r>
        <w:rPr>
          <w:rFonts w:ascii="Times New Roman" w:hAnsi="Times New Roman" w:eastAsia="方正小标宋_GBK"/>
          <w:b/>
          <w:bCs/>
          <w:snapToGrid w:val="0"/>
          <w:w w:val="90"/>
          <w:kern w:val="0"/>
          <w:sz w:val="36"/>
          <w:szCs w:val="36"/>
        </w:rPr>
        <w:t>美丽</w:t>
      </w:r>
      <w:bookmarkEnd w:id="148"/>
      <w:r>
        <w:rPr>
          <w:rFonts w:ascii="Times New Roman" w:hAnsi="Times New Roman" w:eastAsia="方正小标宋_GBK"/>
          <w:b/>
          <w:bCs/>
          <w:snapToGrid w:val="0"/>
          <w:w w:val="90"/>
          <w:kern w:val="0"/>
          <w:sz w:val="36"/>
          <w:szCs w:val="36"/>
        </w:rPr>
        <w:t>之地</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6"/>
      <w:bookmarkEnd w:id="169"/>
      <w:bookmarkEnd w:id="170"/>
    </w:p>
    <w:p>
      <w:pPr>
        <w:overflowPunct w:val="0"/>
        <w:adjustRightInd w:val="0"/>
        <w:snapToGrid w:val="0"/>
        <w:spacing w:line="560" w:lineRule="exact"/>
        <w:ind w:firstLine="640" w:firstLineChars="200"/>
        <w:rPr>
          <w:rFonts w:ascii="Times New Roman" w:hAnsi="Times New Roman" w:eastAsia="方正仿宋_GBK"/>
          <w:bCs/>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坚定不移走生态优先绿色发展之路，坚持尊重自然、顺应自然、保护自然，坚持节约优先、保护优先、自然恢复为主，深入践行绿水青山就是金山银山理念，</w:t>
      </w:r>
      <w:r>
        <w:rPr>
          <w:rFonts w:ascii="Times New Roman" w:hAnsi="Times New Roman" w:eastAsia="方正仿宋_GBK"/>
          <w:bCs/>
          <w:sz w:val="32"/>
          <w:szCs w:val="32"/>
        </w:rPr>
        <w:t>全面加强生态制度、生态安全、生态空间、生态经济、生态生活、生态文化六大领域建设，</w:t>
      </w:r>
      <w:r>
        <w:rPr>
          <w:rFonts w:ascii="Times New Roman" w:hAnsi="Times New Roman" w:eastAsia="方正仿宋_GBK"/>
          <w:sz w:val="32"/>
          <w:szCs w:val="32"/>
        </w:rPr>
        <w:t>促进经济社会发展全面绿色转型，加快</w:t>
      </w:r>
      <w:r>
        <w:rPr>
          <w:rFonts w:ascii="Times New Roman" w:hAnsi="Times New Roman" w:eastAsia="方正仿宋_GBK"/>
          <w:bCs/>
          <w:sz w:val="32"/>
          <w:szCs w:val="32"/>
        </w:rPr>
        <w:t>建设山清水秀美丽之地和创建国家生态文明建设示范县。</w:t>
      </w: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1" w:name="_Toc20396"/>
      <w:bookmarkStart w:id="172" w:name="_Toc59949970"/>
      <w:bookmarkStart w:id="173" w:name="_Toc5205"/>
      <w:bookmarkStart w:id="174" w:name="_Toc9105"/>
      <w:bookmarkStart w:id="175" w:name="_Toc60651951"/>
      <w:bookmarkStart w:id="176" w:name="_Toc22711"/>
      <w:bookmarkStart w:id="177" w:name="_Toc22253"/>
      <w:bookmarkStart w:id="178" w:name="_Toc2228"/>
      <w:bookmarkStart w:id="179" w:name="_Toc26866"/>
      <w:bookmarkStart w:id="180" w:name="_Toc22100"/>
      <w:bookmarkStart w:id="181" w:name="_Toc135"/>
      <w:bookmarkStart w:id="182" w:name="_Toc31783"/>
      <w:bookmarkStart w:id="183" w:name="_Toc10089"/>
      <w:bookmarkStart w:id="184" w:name="_Toc24275"/>
      <w:bookmarkStart w:id="185" w:name="_Toc24167"/>
      <w:bookmarkStart w:id="186" w:name="_Toc21767"/>
      <w:bookmarkStart w:id="187" w:name="_Toc24726"/>
      <w:bookmarkStart w:id="188" w:name="_Toc7724"/>
      <w:bookmarkStart w:id="189" w:name="_Toc18441"/>
      <w:bookmarkStart w:id="190" w:name="_Toc13030"/>
      <w:r>
        <w:rPr>
          <w:rFonts w:ascii="Times New Roman" w:hAnsi="Times New Roman" w:eastAsia="方正黑体_GBK"/>
          <w:b/>
          <w:bCs/>
          <w:kern w:val="44"/>
          <w:sz w:val="32"/>
          <w:szCs w:val="32"/>
        </w:rPr>
        <w:t>第四章  筑牢长江上游和大巴山重要生态屏障</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坚决贯彻“共抓大保护，不搞大开发”方针，强化“上游意识”，担起“上游责任”，从全局谋划一域，以一域服务全局，把保护和修复生态环境摆在首要位置，统筹山水林田湖草系统治理，推动</w:t>
      </w:r>
      <w:r>
        <w:rPr>
          <w:rFonts w:ascii="Times New Roman" w:hAnsi="Times New Roman" w:eastAsia="方正仿宋_GBK"/>
          <w:sz w:val="32"/>
          <w:szCs w:val="32"/>
        </w:rPr>
        <w:t>人与自然和谐共生。</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91" w:name="_Toc26976"/>
      <w:bookmarkStart w:id="192" w:name="_Toc24386"/>
      <w:bookmarkStart w:id="193" w:name="_Toc1448"/>
      <w:bookmarkStart w:id="194" w:name="_Toc19943"/>
      <w:bookmarkStart w:id="195" w:name="_Toc5599"/>
      <w:bookmarkStart w:id="196" w:name="_Toc18344"/>
      <w:bookmarkStart w:id="197" w:name="_Toc20554"/>
      <w:bookmarkStart w:id="198" w:name="_Toc28213"/>
      <w:bookmarkStart w:id="199" w:name="_Toc12340"/>
      <w:bookmarkStart w:id="200" w:name="_Toc6495"/>
      <w:bookmarkStart w:id="201" w:name="_Toc31426"/>
      <w:bookmarkStart w:id="202" w:name="_Toc26324"/>
      <w:bookmarkStart w:id="203" w:name="_Toc14358"/>
      <w:bookmarkStart w:id="204" w:name="_Toc21318"/>
      <w:bookmarkStart w:id="205" w:name="_Toc4832"/>
      <w:bookmarkStart w:id="206" w:name="_Toc16060"/>
      <w:bookmarkStart w:id="207" w:name="_Toc28664"/>
      <w:bookmarkStart w:id="208" w:name="_Toc9188"/>
      <w:bookmarkStart w:id="209" w:name="_Toc60651952"/>
      <w:r>
        <w:rPr>
          <w:rFonts w:ascii="Times New Roman" w:hAnsi="Times New Roman" w:eastAsia="方正楷体_GBK"/>
          <w:b/>
          <w:sz w:val="32"/>
          <w:szCs w:val="32"/>
        </w:rPr>
        <w:t>第一节  优化生态安全格局</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贯彻落实国家主体功能区战略，围绕生态涵养和生物多样性保护中心任务，以自然保护地、重要河湖和生态红线为重点，构建“一屏”（即大巴山国家级自然保护区及重要山体）、“两带”（即任河流域带、前河流域带）、“多点”（即巴山湖国家湿地公园、九重山国家森林公园、饮用水源地等生态保护红线圈）的生态空间安全格局。落实生态保护红线、永久基本农田、城镇开发边界线“三条控制线”，实施“三线一单”生态环境分区管控。优化整合各类自然保护地，健全自然保护地体系。统筹生产、生活、生态空间布局，制定任河、前河“两河四岸”总体规划，严格论证管控岸线近水范围内生产生活工程建设，加强滨水绿地等生态缓冲带建设。</w:t>
      </w:r>
      <w:bookmarkStart w:id="210" w:name="_Toc59949971"/>
    </w:p>
    <w:p>
      <w:pPr>
        <w:overflowPunct w:val="0"/>
        <w:adjustRightInd w:val="0"/>
        <w:snapToGrid w:val="0"/>
        <w:spacing w:line="560" w:lineRule="exact"/>
        <w:jc w:val="center"/>
        <w:outlineLvl w:val="2"/>
        <w:rPr>
          <w:rFonts w:ascii="Times New Roman" w:hAnsi="Times New Roman" w:eastAsia="方正楷体_GBK"/>
          <w:b/>
          <w:sz w:val="32"/>
          <w:szCs w:val="32"/>
        </w:rPr>
      </w:pPr>
      <w:bookmarkStart w:id="211" w:name="_Toc60651953"/>
      <w:bookmarkStart w:id="212" w:name="_Toc7325"/>
      <w:bookmarkStart w:id="213" w:name="_Toc8710"/>
      <w:bookmarkStart w:id="214" w:name="_Toc21080"/>
      <w:bookmarkStart w:id="215" w:name="_Toc31918"/>
      <w:bookmarkStart w:id="216" w:name="_Toc29005"/>
      <w:bookmarkStart w:id="217" w:name="_Toc6089"/>
      <w:bookmarkStart w:id="218" w:name="_Toc10886"/>
      <w:bookmarkStart w:id="219" w:name="_Toc11454"/>
      <w:bookmarkStart w:id="220" w:name="_Toc11219"/>
      <w:bookmarkStart w:id="221" w:name="_Toc520"/>
      <w:bookmarkStart w:id="222" w:name="_Toc5559"/>
      <w:bookmarkStart w:id="223" w:name="_Toc22540"/>
      <w:bookmarkStart w:id="224" w:name="_Toc29854"/>
      <w:bookmarkStart w:id="225" w:name="_Toc27161"/>
      <w:bookmarkStart w:id="226" w:name="_Toc7606"/>
      <w:bookmarkStart w:id="227" w:name="_Toc14132"/>
      <w:bookmarkStart w:id="228" w:name="_Toc19749"/>
      <w:bookmarkStart w:id="229" w:name="_Toc19013"/>
      <w:r>
        <w:rPr>
          <w:rFonts w:ascii="Times New Roman" w:hAnsi="Times New Roman" w:eastAsia="方正楷体_GBK"/>
          <w:b/>
          <w:sz w:val="32"/>
          <w:szCs w:val="32"/>
        </w:rPr>
        <w:t>第二节  加强生态系统整体保护</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加强大巴山山体生态廊道保护，建立重要山体保护名录。落实河（湖）长制，划定重要河流、湖泊、水库、湿地等生态空间“蓝线”“绿线”和“灰线”，加强岸线和水环境保护。实施“十年禁渔”，建立禁捕长效机制。全面推行林长制，全面保护天然林资源。严格限制天然林采伐，建立健全天然林用途管制和保护监管制度，加强林业有害生物防控，强化森林防火能力。开展生物多样性调查和评估，建立生物多样性数据库和信息平台，构建生物多样性检测网络。实施大巴山生物多样性保护工程，建设缓冲带和生态廊道，加强特有物种和栖息地保护，扩大野生动植物生存空间。建设大巴山生物多样性基因库、大巴山种质资源库、大巴山野生动植物标本展示馆和科普科研基地。建设秦巴山区生物多样性有害生物监测、预警、防控防治体系。推进智慧林业规划和建设，逐步构建高效运转、天地一体的管护网络。加强自然保护地的规范化建设，对珍稀动植物进行种源保存、人工繁育和野外回归。实施野生动物保护，坚决打击野生动物盗猎及非法贸易。强化任河和前河“两河四岸”生态环境安全维护，推进河湖、岸线和支流协同治理，巩固生态系统稳定性。</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30" w:name="_Toc4083"/>
      <w:bookmarkStart w:id="231" w:name="_Toc13766"/>
      <w:bookmarkStart w:id="232" w:name="_Toc19744"/>
      <w:bookmarkStart w:id="233" w:name="_Toc20819"/>
      <w:bookmarkStart w:id="234" w:name="_Toc12479"/>
      <w:bookmarkStart w:id="235" w:name="_Toc2910"/>
      <w:bookmarkStart w:id="236" w:name="_Toc7445"/>
      <w:bookmarkStart w:id="237" w:name="_Toc17726"/>
      <w:bookmarkStart w:id="238" w:name="_Toc6561"/>
      <w:bookmarkStart w:id="239" w:name="_Toc16484"/>
      <w:bookmarkStart w:id="240" w:name="_Toc60651954"/>
      <w:bookmarkStart w:id="241" w:name="_Toc19481"/>
      <w:bookmarkStart w:id="242" w:name="_Toc15742"/>
      <w:bookmarkStart w:id="243" w:name="_Toc5693"/>
      <w:bookmarkStart w:id="244" w:name="_Toc28144"/>
      <w:bookmarkStart w:id="245" w:name="_Toc24731"/>
      <w:bookmarkStart w:id="246" w:name="_Toc59949972"/>
      <w:bookmarkStart w:id="247" w:name="_Toc5142"/>
      <w:bookmarkStart w:id="248" w:name="_Toc11561"/>
      <w:bookmarkStart w:id="249" w:name="_Toc24947"/>
      <w:r>
        <w:rPr>
          <w:rFonts w:ascii="Times New Roman" w:hAnsi="Times New Roman" w:eastAsia="方正楷体_GBK"/>
          <w:b/>
          <w:sz w:val="32"/>
          <w:szCs w:val="32"/>
        </w:rPr>
        <w:t>第三节  推进生态系统修复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抢抓长江重点生态区、自然保护地及野生动植物保护、生态保护和修复支撑体系等重大工程布局机遇，落地实施生态保护和修复重大项目。统筹治水、建林、禁渔、防灾、护坡，推动生态系统质量全面提升。开展国土绿化行动，加强封山育林、森林抚育、退化林修复，提升生态系统碳汇能力，创建国家森林城市。实施城周林相改造及森林质量精准提升工程。推动退耕还林还草，提升“两河四岸”、重点景区、大巴山森林人家集群片区、工矿区、主干通道沿线绿化水平。实施重点流域水环境综合修复，力争启动任河流域综合整治工程。开展全域土地综合整治试点，强化交通干线、居民集居点周边地灾隐患点综合治理。推进关闭矿山植被恢复、石漠化地区综合治理，加大种绿植绿力度，提高水土保持能力，持续增强水源涵养功能。加快推进国家储备林建设，合理增加森林面积，精准提升森林质量，加强国家木材战略资源储备。</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50" w:name="_Toc19607"/>
      <w:bookmarkStart w:id="251" w:name="_Toc26697"/>
      <w:bookmarkStart w:id="252" w:name="_Toc5418"/>
      <w:bookmarkStart w:id="253" w:name="_Toc59949974"/>
      <w:bookmarkStart w:id="254" w:name="_Toc32346"/>
      <w:bookmarkStart w:id="255" w:name="_Toc2760"/>
      <w:bookmarkStart w:id="256" w:name="_Toc32163"/>
      <w:bookmarkStart w:id="257" w:name="_Toc27152"/>
      <w:bookmarkStart w:id="258" w:name="_Toc60651955"/>
      <w:bookmarkStart w:id="259" w:name="_Toc9987"/>
      <w:bookmarkStart w:id="260" w:name="_Toc12674"/>
      <w:bookmarkStart w:id="261" w:name="_Toc6983"/>
      <w:bookmarkStart w:id="262" w:name="_Toc15890"/>
      <w:bookmarkStart w:id="263" w:name="_Toc229"/>
      <w:bookmarkStart w:id="264" w:name="_Toc3397"/>
      <w:bookmarkStart w:id="265" w:name="_Toc19048"/>
      <w:bookmarkStart w:id="266" w:name="_Toc21701"/>
      <w:bookmarkStart w:id="267" w:name="_Toc3513"/>
      <w:bookmarkStart w:id="268" w:name="_Toc24730"/>
      <w:bookmarkStart w:id="269" w:name="_Toc13817"/>
      <w:r>
        <w:rPr>
          <w:rFonts w:ascii="Times New Roman" w:hAnsi="Times New Roman" w:eastAsia="方正黑体_GBK"/>
          <w:b/>
          <w:bCs/>
          <w:kern w:val="44"/>
          <w:sz w:val="32"/>
          <w:szCs w:val="32"/>
        </w:rPr>
        <w:t>第五章  持续改善生态环境质量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26"/>
        <w:overflowPunct w:val="0"/>
        <w:adjustRightInd w:val="0"/>
        <w:snapToGrid w:val="0"/>
        <w:spacing w:after="0" w:line="560" w:lineRule="exact"/>
        <w:ind w:leftChars="0" w:firstLine="640" w:firstLineChars="200"/>
        <w:rPr>
          <w:rFonts w:ascii="Times New Roman" w:hAnsi="Times New Roman" w:eastAsia="方正楷体_GBK"/>
          <w:b/>
          <w:sz w:val="32"/>
          <w:szCs w:val="32"/>
        </w:rPr>
      </w:pPr>
      <w:r>
        <w:rPr>
          <w:rFonts w:ascii="Times New Roman" w:hAnsi="Times New Roman" w:eastAsia="方正仿宋_GBK"/>
          <w:bCs/>
          <w:sz w:val="32"/>
          <w:szCs w:val="32"/>
        </w:rPr>
        <w:t>坚持“治山、治水、治气、治城”一体推进</w:t>
      </w:r>
      <w:r>
        <w:rPr>
          <w:rFonts w:ascii="Times New Roman" w:hAnsi="Times New Roman" w:eastAsia="方正仿宋_GBK"/>
          <w:sz w:val="32"/>
          <w:szCs w:val="32"/>
        </w:rPr>
        <w:t>，</w:t>
      </w:r>
      <w:r>
        <w:rPr>
          <w:rFonts w:ascii="Times New Roman" w:hAnsi="Times New Roman" w:eastAsia="方正仿宋_GBK"/>
          <w:bCs/>
          <w:sz w:val="32"/>
          <w:szCs w:val="32"/>
        </w:rPr>
        <w:t>深入推进五大环保行动，持续打好污染防治攻坚战，增强全社会生态文明素养，实行最严格的环境保护制度和综合行政执法，实现减污降碳协同效应，共同守护好天蓝、地绿、水清的美丽家园。</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70" w:name="_Toc986"/>
      <w:bookmarkStart w:id="271" w:name="_Toc25369"/>
      <w:bookmarkStart w:id="272" w:name="_Toc7229"/>
      <w:bookmarkStart w:id="273" w:name="_Toc482"/>
      <w:bookmarkStart w:id="274" w:name="_Toc3856"/>
      <w:bookmarkStart w:id="275" w:name="_Toc23082"/>
      <w:bookmarkStart w:id="276" w:name="_Toc59949975"/>
      <w:bookmarkStart w:id="277" w:name="_Toc8686"/>
      <w:bookmarkStart w:id="278" w:name="_Toc9016"/>
      <w:bookmarkStart w:id="279" w:name="_Toc26696"/>
      <w:bookmarkStart w:id="280" w:name="_Toc4571"/>
      <w:bookmarkStart w:id="281" w:name="_Toc3729"/>
      <w:bookmarkStart w:id="282" w:name="_Toc15036"/>
      <w:bookmarkStart w:id="283" w:name="_Toc60651956"/>
      <w:bookmarkStart w:id="284" w:name="_Toc8241"/>
      <w:bookmarkStart w:id="285" w:name="_Toc18061"/>
      <w:bookmarkStart w:id="286" w:name="_Toc9998"/>
      <w:bookmarkStart w:id="287" w:name="_Toc30790"/>
      <w:bookmarkStart w:id="288" w:name="_Toc26039"/>
      <w:bookmarkStart w:id="289" w:name="_Toc6735"/>
      <w:r>
        <w:rPr>
          <w:rFonts w:ascii="Times New Roman" w:hAnsi="Times New Roman" w:eastAsia="方正楷体_GBK"/>
          <w:b/>
          <w:sz w:val="32"/>
          <w:szCs w:val="32"/>
        </w:rPr>
        <w:t>第一节  深入打好污染防治攻坚战</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大气污染治理。实施“散乱污”企业清理整治和县城建筑工地扬尘治理，依法淘汰落后产能，降低能耗和污染物排放量。加强道路行驶机动车抽检和遥感监测，加快淘汰老旧车辆。实施扬尘污染源分类管理。推进餐饮油烟排放智能监管，强化生活污染源深度治理。协同控制细颗粒物（PM2.5）、臭氧（O</w:t>
      </w:r>
      <w:r>
        <w:rPr>
          <w:rFonts w:ascii="Times New Roman" w:hAnsi="Times New Roman" w:eastAsia="方正仿宋_GBK"/>
          <w:bCs/>
          <w:sz w:val="32"/>
          <w:szCs w:val="32"/>
          <w:vertAlign w:val="subscript"/>
        </w:rPr>
        <w:t>3</w:t>
      </w:r>
      <w:r>
        <w:rPr>
          <w:rFonts w:ascii="Times New Roman" w:hAnsi="Times New Roman" w:eastAsia="方正仿宋_GBK"/>
          <w:bCs/>
          <w:sz w:val="32"/>
          <w:szCs w:val="32"/>
        </w:rPr>
        <w:t>）、氮氧化物（NOX）、二氧化硫（SO</w:t>
      </w:r>
      <w:r>
        <w:rPr>
          <w:rFonts w:ascii="Times New Roman" w:hAnsi="Times New Roman" w:eastAsia="方正仿宋_GBK"/>
          <w:bCs/>
          <w:sz w:val="32"/>
          <w:szCs w:val="32"/>
          <w:vertAlign w:val="subscript"/>
        </w:rPr>
        <w:t>2</w:t>
      </w:r>
      <w:r>
        <w:rPr>
          <w:rFonts w:ascii="Times New Roman" w:hAnsi="Times New Roman" w:eastAsia="方正仿宋_GBK"/>
          <w:bCs/>
          <w:sz w:val="32"/>
          <w:szCs w:val="32"/>
        </w:rPr>
        <w:t>）等重点污染因子。城区年空气质量优良天数保持在350天以上，持续巩固提升“城口蓝”。</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水环境质量。完善水体监测网络，建立上下游水质信息共享和异常响应机制。推进工业污水废水治理，全面实行排污许可制。加大城乡污水处理设施建设力度，实现城乡建成区污水管网全覆盖，污水全收集、全处理。深入整治非法采沙、非法占用岸线、非法污染排放，坚持水污染治理、水生态修复、水资源保护“三水共治”。系统推进工业、农业、生活、河道污染源“四源齐控”，严厉打击生活污水、工业废水直排散排，分级分类精准管控。纳入国家考核的出境地表水断面水质始终保持在</w:t>
      </w:r>
      <w:r>
        <w:rPr>
          <w:rFonts w:hint="eastAsia" w:ascii="宋体" w:hAnsi="宋体" w:cs="宋体"/>
          <w:bCs/>
          <w:sz w:val="32"/>
          <w:szCs w:val="32"/>
        </w:rPr>
        <w:t>Ⅱ</w:t>
      </w:r>
      <w:r>
        <w:rPr>
          <w:rFonts w:ascii="Times New Roman" w:hAnsi="Times New Roman" w:eastAsia="方正仿宋_GBK"/>
          <w:bCs/>
          <w:sz w:val="32"/>
          <w:szCs w:val="32"/>
        </w:rPr>
        <w:t>类以上，集中式饮用水水源地水质优良比例保持100%。</w:t>
      </w:r>
    </w:p>
    <w:p>
      <w:pPr>
        <w:overflowPunct w:val="0"/>
        <w:adjustRightInd w:val="0"/>
        <w:snapToGrid w:val="0"/>
        <w:spacing w:line="560" w:lineRule="exact"/>
        <w:ind w:firstLine="640" w:firstLineChars="200"/>
        <w:rPr>
          <w:rFonts w:ascii="Times New Roman" w:hAnsi="Times New Roman" w:eastAsia="方正仿宋_GBK"/>
          <w:bCs/>
          <w:sz w:val="32"/>
          <w:szCs w:val="32"/>
        </w:rPr>
      </w:pPr>
      <w:bookmarkStart w:id="290" w:name="_Toc59949976"/>
      <w:r>
        <w:rPr>
          <w:rFonts w:ascii="Times New Roman" w:hAnsi="Times New Roman" w:eastAsia="方正仿宋_GBK"/>
          <w:bCs/>
          <w:sz w:val="32"/>
          <w:szCs w:val="32"/>
        </w:rPr>
        <w:t>加强土壤污染及固废危废治理</w:t>
      </w:r>
      <w:bookmarkEnd w:id="290"/>
      <w:r>
        <w:rPr>
          <w:rFonts w:ascii="Times New Roman" w:hAnsi="Times New Roman" w:eastAsia="方正仿宋_GBK"/>
          <w:bCs/>
          <w:sz w:val="32"/>
          <w:szCs w:val="32"/>
        </w:rPr>
        <w:t>。以工业园区、矿山企业、受污染地块和地下水为重点，开展土壤污染问题综合治理。严控农业面源污染，推进化肥、农药减量化，推广使用有机肥和生物药。加强固体废物的安全处置，推动固体废物源头减量和资源循环利用，推进固体废物区域转移合作，科学规划建设工业固体废物资源回收点和危险废物处置中心，城乡医疗卫生机构医疗废物集中无害化处置实现全覆盖。加快城乡生活垃圾焚烧设施和厨余垃圾资源利用设施。重视新污染物治理。</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防治噪声污染。实施城市声功能区网格管理，建立噪声监测网络。推进“安静居住小区”建设，加强营业性文化娱乐场所、商业经营活动噪声污染防治，强化社区复合型噪声污染监管，重点查处噪声敏感区噪声违法行为。强化交通、工程建设、工业等噪声污染管控。</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91" w:name="_Toc29010"/>
      <w:bookmarkStart w:id="292" w:name="_Toc6670"/>
      <w:bookmarkStart w:id="293" w:name="_Toc21159"/>
      <w:bookmarkStart w:id="294" w:name="_Toc23673"/>
      <w:bookmarkStart w:id="295" w:name="_Toc2081"/>
      <w:bookmarkStart w:id="296" w:name="_Toc25769"/>
      <w:bookmarkStart w:id="297" w:name="_Toc15524"/>
      <w:bookmarkStart w:id="298" w:name="_Toc8903"/>
      <w:bookmarkStart w:id="299" w:name="_Toc2725"/>
      <w:bookmarkStart w:id="300" w:name="_Toc28972"/>
      <w:bookmarkStart w:id="301" w:name="_Toc30167"/>
      <w:bookmarkStart w:id="302" w:name="_Toc8727"/>
      <w:bookmarkStart w:id="303" w:name="_Toc1241"/>
      <w:bookmarkStart w:id="304" w:name="_Toc13768"/>
      <w:bookmarkStart w:id="305" w:name="_Toc9581"/>
      <w:bookmarkStart w:id="306" w:name="_Toc9415"/>
      <w:bookmarkStart w:id="307" w:name="_Toc30402"/>
      <w:bookmarkStart w:id="308" w:name="_Toc11932"/>
      <w:bookmarkStart w:id="309" w:name="_Toc59949977"/>
      <w:r>
        <w:rPr>
          <w:rFonts w:ascii="Times New Roman" w:hAnsi="Times New Roman" w:eastAsia="方正楷体_GBK"/>
          <w:b/>
          <w:sz w:val="32"/>
          <w:szCs w:val="32"/>
        </w:rPr>
        <w:t>第二节  严密防控环境风险</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建立全过程、多层级环境风险防范和应急处置体系，夯实生态环境监测预警能力建设和技术储备，有效防范和降低生态环境风险。紧盯危险废物、尾矿库、化学品“一废一库一品”环境监管，提高危险废物和医疗废物处置能力。落实化学物质生态环境管理制度，深入推进重金属污染防控。强化医疗机构放射性废物和电磁环境管理。</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310" w:name="_Toc31972"/>
      <w:bookmarkStart w:id="311" w:name="_Toc4649"/>
      <w:bookmarkStart w:id="312" w:name="_Toc3824"/>
      <w:bookmarkStart w:id="313" w:name="_Toc25353"/>
      <w:bookmarkStart w:id="314" w:name="_Toc25042"/>
      <w:bookmarkStart w:id="315" w:name="_Toc3842"/>
      <w:bookmarkStart w:id="316" w:name="_Toc31887"/>
      <w:bookmarkStart w:id="317" w:name="_Toc27507"/>
      <w:bookmarkStart w:id="318" w:name="_Toc28195"/>
      <w:bookmarkStart w:id="319" w:name="_Toc11680"/>
      <w:bookmarkStart w:id="320" w:name="_Toc16365"/>
      <w:bookmarkStart w:id="321" w:name="_Toc60651957"/>
      <w:bookmarkStart w:id="322" w:name="_Toc26644"/>
      <w:bookmarkStart w:id="323" w:name="_Toc7557"/>
      <w:bookmarkStart w:id="324" w:name="_Toc19686"/>
      <w:bookmarkStart w:id="325" w:name="_Toc11437"/>
      <w:bookmarkStart w:id="326" w:name="_Toc24747"/>
      <w:bookmarkStart w:id="327" w:name="_Toc18938"/>
      <w:bookmarkStart w:id="328" w:name="_Toc16959"/>
      <w:r>
        <w:rPr>
          <w:rFonts w:ascii="Times New Roman" w:hAnsi="Times New Roman" w:eastAsia="方正楷体_GBK"/>
          <w:b/>
          <w:sz w:val="32"/>
          <w:szCs w:val="32"/>
        </w:rPr>
        <w:t>第三节  健全环境治理机制</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用最严格的制度、最严密的法治保护生态环境。</w:t>
      </w:r>
      <w:r>
        <w:rPr>
          <w:rFonts w:ascii="Times New Roman" w:hAnsi="Times New Roman" w:eastAsia="方正仿宋_GBK"/>
          <w:sz w:val="32"/>
          <w:szCs w:val="32"/>
        </w:rPr>
        <w:t>建立健全环境治理领导责任体系、企业责任体系和全民行为约束监督机制。严格执行长江经济带发展负面清单和国家生态功能区负面清单管理制度，建立健全生态环境硬约束机制。严格执行重大基础设施建设项目环境影响评价制度。实行固定源头排污许可全覆盖，建立健全企业环保信用评价制度。严格执行污染地块开发利用负面清单。推动环境污染第三方治理，探索环境治理托管试点。全面实施污染源日常检查“双随机、一公开”制度，完善生态环境公益诉讼制度。</w:t>
      </w:r>
      <w:r>
        <w:rPr>
          <w:rFonts w:ascii="Times New Roman" w:hAnsi="Times New Roman" w:eastAsia="方正仿宋_GBK"/>
          <w:bCs/>
          <w:sz w:val="32"/>
          <w:szCs w:val="32"/>
        </w:rPr>
        <w:t>建立健全符合生态文明建设要求的领导干部考核目标体系、考核办法、奖惩机制，压实生态文明建设责任。加大生态治理法治力度，巩固提升联防联控联打机制，用法治保障生态建设。广泛推广互联网、大数据、智能化等技术在生态环保领域的应用，提高生态建设智能化水平</w:t>
      </w:r>
      <w:r>
        <w:rPr>
          <w:rFonts w:ascii="Times New Roman" w:hAnsi="Times New Roman" w:eastAsia="方正仿宋_GBK"/>
          <w:sz w:val="32"/>
          <w:szCs w:val="32"/>
        </w:rPr>
        <w:t>。</w:t>
      </w:r>
    </w:p>
    <w:bookmarkEnd w:id="309"/>
    <w:p>
      <w:pPr>
        <w:overflowPunct w:val="0"/>
        <w:spacing w:line="480" w:lineRule="exact"/>
        <w:jc w:val="center"/>
        <w:rPr>
          <w:rFonts w:ascii="Times New Roman" w:hAnsi="Times New Roman" w:eastAsia="方正黑体_GBK"/>
          <w:sz w:val="28"/>
          <w:szCs w:val="28"/>
        </w:rPr>
      </w:pPr>
      <w:bookmarkStart w:id="329" w:name="_Toc59949978"/>
      <w:bookmarkStart w:id="330" w:name="_Toc60651958"/>
      <w:r>
        <w:rPr>
          <w:rFonts w:ascii="Times New Roman" w:hAnsi="Times New Roman" w:eastAsia="方正黑体_GBK"/>
          <w:sz w:val="28"/>
          <w:szCs w:val="28"/>
        </w:rPr>
        <w:t>专栏3  生态修复与环境治理重点工程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山水林田湖草生态系统保护修复</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大巴山湿地保护和周边生态修复项目。对巴山湖湿地公园周边2.9万亩土地实施生态修复。</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城口县提升区域水土保持与水源涵养能力项目。县域范围内实施水土保持与水源涵养等工程项目，规模约1.4万亩。</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城口县大巴山生态保护和修复项目。实施人工造林1万亩、封山育林22万亩、退化林修复和森林质量精准提升15万亩。</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城口县历史遗留矿山生态修复治理项目。对全县848亩历史遗留矿山生态问题和地质环境问题进行综合整治。</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大巴山生物多样性保护工程</w:t>
            </w:r>
          </w:p>
          <w:p>
            <w:pPr>
              <w:widowControl/>
              <w:overflowPunct w:val="0"/>
              <w:spacing w:line="400" w:lineRule="exact"/>
              <w:ind w:firstLine="480" w:firstLineChars="200"/>
              <w:jc w:val="left"/>
              <w:rPr>
                <w:rFonts w:ascii="Times New Roman" w:hAnsi="Times New Roman" w:eastAsia="方正仿宋_GBK"/>
                <w:sz w:val="24"/>
                <w:szCs w:val="32"/>
              </w:rPr>
            </w:pPr>
            <w:r>
              <w:rPr>
                <w:rFonts w:ascii="Times New Roman" w:hAnsi="Times New Roman" w:eastAsia="方正仿宋_GBK"/>
                <w:sz w:val="24"/>
                <w:szCs w:val="32"/>
              </w:rPr>
              <w:t>建设大巴山生态廊道300公里，推动大巴山国家自然保护区、九重山国家森林公园、九重山风景名胜区、巴山湖国家湿地公园与红池坝国家森林公园、八台山国家5A级旅游景区等周边重点生态功能区相连接，实现对全县的森林生态系统、河流生态系统、亚高山湖泊生态系统、亚高山湿地生态系统、亚高山草甸生态系统等重要生态系统的保护。建立5个野生动物救助站。建设陆生野生动物疫源疫病监测中心，完善陆生野生疫源疫病检测体系。建设大巴山生物多样性基因库、大巴山种质资源库、大巴山野生动植物标本展示馆科普和科研基地。</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国家储备林建设工程</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城口县国家储备林示范基地建设项目。建设城口县国家优质储备林基地60万亩，储备林保障性苗圃0.1万亩及配套基础设施。</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地质灾害防治工程</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城口县地质灾害综合治理项目。全县30余处地质灾害隐患点治理。</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大气环境治理工程</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推行激励与约束并举的节能减排措施，减少污染物排放、推行清洁生产、加快调整能源消费结构。</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水环境治理</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城口县长江经济带绿色发展任河生态环境综合治理工程。启动实施任河（修齐镇段）河道综合治理13.98公里。</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土壤环境治理</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畜禽粪污资源化利用项目。在县域内畜禽规模化养殖基地推动粪污资源化利用。</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城口县秸秆资源化利用项目。建立秸秆收储运体系，建设秸秆综合利用示范点3个，示范村3个，开展秸秆综合利用推广，秸秆综合利用率达到90%以上。</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固体废物处置</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垃圾综合处置场建设项目。新建一座年处理3万吨生活垃圾处理厂，新建一座日处理能力50吨的餐厨垃圾处理厂，迁建日处理能力20吨的污泥处置场，建成医疗废物集中处置工程，升级改造垃圾分类收运设施设备。</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城口县锰矿废渣场建设项目。新建120万立方米锰矿废渣处置场。</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噪声污染防治工程</w:t>
            </w:r>
          </w:p>
          <w:p>
            <w:pPr>
              <w:overflowPunct w:val="0"/>
              <w:spacing w:line="400" w:lineRule="exact"/>
              <w:ind w:firstLine="480" w:firstLineChars="200"/>
              <w:rPr>
                <w:rFonts w:ascii="Times New Roman" w:hAnsi="Times New Roman" w:eastAsia="方正仿宋_GBK"/>
                <w:sz w:val="24"/>
                <w:szCs w:val="32"/>
              </w:rPr>
            </w:pPr>
            <w:r>
              <w:rPr>
                <w:rFonts w:ascii="Times New Roman" w:hAnsi="Times New Roman" w:eastAsia="方正仿宋_GBK"/>
                <w:sz w:val="24"/>
                <w:szCs w:val="32"/>
              </w:rPr>
              <w:t>城区噪声治理工程。在居住小区、学校、医院等重点区域布置噪声监测设备，提升噪声监测能力，加强城区内噪声管理。</w:t>
            </w:r>
          </w:p>
        </w:tc>
      </w:tr>
    </w:tbl>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31" w:name="_Toc1"/>
      <w:bookmarkStart w:id="332" w:name="_Toc13272"/>
      <w:bookmarkStart w:id="333" w:name="_Toc8614"/>
      <w:bookmarkStart w:id="334" w:name="_Toc16647"/>
      <w:bookmarkStart w:id="335" w:name="_Toc7110"/>
      <w:bookmarkStart w:id="336" w:name="_Toc13326"/>
      <w:bookmarkStart w:id="337" w:name="_Toc32226"/>
      <w:bookmarkStart w:id="338" w:name="_Toc7976"/>
      <w:bookmarkStart w:id="339" w:name="_Toc10640"/>
      <w:bookmarkStart w:id="340" w:name="_Toc9680"/>
      <w:bookmarkStart w:id="341" w:name="_Toc19056"/>
      <w:bookmarkStart w:id="342" w:name="_Toc7379"/>
      <w:bookmarkStart w:id="343" w:name="_Toc26342"/>
      <w:bookmarkStart w:id="344" w:name="_Toc16964"/>
      <w:bookmarkStart w:id="345" w:name="_Toc2855"/>
      <w:bookmarkStart w:id="346" w:name="_Toc7002"/>
      <w:bookmarkStart w:id="347" w:name="_Toc8640"/>
      <w:bookmarkStart w:id="348" w:name="_Toc12611"/>
      <w:r>
        <w:rPr>
          <w:rFonts w:ascii="Times New Roman" w:hAnsi="Times New Roman" w:eastAsia="方正黑体_GBK"/>
          <w:b/>
          <w:bCs/>
          <w:kern w:val="44"/>
          <w:sz w:val="32"/>
          <w:szCs w:val="32"/>
        </w:rPr>
        <w:t>第六章  加快推动绿色低碳发展</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加快推进生态产业化、产业生态化，全面形成绿色生产方式和生活方式</w:t>
      </w:r>
      <w:bookmarkStart w:id="349" w:name="_Toc60651959"/>
      <w:bookmarkStart w:id="350" w:name="_Toc59949979"/>
      <w:r>
        <w:rPr>
          <w:rFonts w:ascii="Times New Roman" w:hAnsi="Times New Roman" w:eastAsia="方正仿宋_GBK"/>
          <w:sz w:val="32"/>
          <w:szCs w:val="32"/>
        </w:rPr>
        <w:t>，推动人与自然和谐共生。</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351" w:name="_Toc16134"/>
      <w:bookmarkStart w:id="352" w:name="_Toc24403"/>
      <w:bookmarkStart w:id="353" w:name="_Toc3918"/>
      <w:bookmarkStart w:id="354" w:name="_Toc14458"/>
      <w:bookmarkStart w:id="355" w:name="_Toc29735"/>
      <w:bookmarkStart w:id="356" w:name="_Toc30188"/>
      <w:bookmarkStart w:id="357" w:name="_Toc8394"/>
      <w:bookmarkStart w:id="358" w:name="_Toc3412"/>
      <w:bookmarkStart w:id="359" w:name="_Toc21437"/>
      <w:bookmarkStart w:id="360" w:name="_Toc5407"/>
      <w:bookmarkStart w:id="361" w:name="_Toc22895"/>
      <w:bookmarkStart w:id="362" w:name="_Toc23153"/>
      <w:bookmarkStart w:id="363" w:name="_Toc22946"/>
      <w:bookmarkStart w:id="364" w:name="_Toc30050"/>
      <w:bookmarkStart w:id="365" w:name="_Toc31219"/>
      <w:bookmarkStart w:id="366" w:name="_Toc31267"/>
      <w:bookmarkStart w:id="367" w:name="_Toc29856"/>
      <w:bookmarkStart w:id="368" w:name="_Toc24911"/>
      <w:r>
        <w:rPr>
          <w:rFonts w:ascii="Times New Roman" w:hAnsi="Times New Roman" w:eastAsia="方正楷体_GBK"/>
          <w:b/>
          <w:sz w:val="32"/>
          <w:szCs w:val="32"/>
        </w:rPr>
        <w:t>第一节  构建绿色低碳产业体系</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25"/>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全面推行“生态+”“+生态”的绿色发展模式，推动产业绿色转型升级，构建以产业生态化和生态产业化为主体的生态经济体系。发展光伏、风电等清洁能源产业，探索建设跨区域垃圾焚烧发电项目，打造城口大巴山新能源基地。深化农业供给侧结构性改革，建立大巴山生态</w:t>
      </w:r>
      <w:r>
        <w:rPr>
          <w:rFonts w:ascii="Times New Roman" w:hAnsi="Times New Roman" w:eastAsia="方正仿宋_GBK"/>
          <w:bCs/>
          <w:sz w:val="32"/>
          <w:szCs w:val="32"/>
        </w:rPr>
        <w:t>经济孵化中心，立足城口生态资源，因地制宜加快发展气候经济、山上经济、水中经济、林下经济等。积极争取国家绿色发展基金支持。</w:t>
      </w:r>
      <w:r>
        <w:rPr>
          <w:rFonts w:ascii="Times New Roman" w:hAnsi="Times New Roman" w:eastAsia="方正仿宋_GBK"/>
          <w:sz w:val="32"/>
          <w:szCs w:val="32"/>
        </w:rPr>
        <w:t>开展工业园区清洁生产试点，建设绿色工厂、绿色园区。开展绿色矿山建设，促进锰矿产业改良工艺、升级环保设备，实现绿色生产。推动商贸物流、交通运输、餐饮服务业绿色转型。</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369" w:name="_Toc8064"/>
      <w:bookmarkStart w:id="370" w:name="_Toc21649"/>
      <w:bookmarkStart w:id="371" w:name="_Toc1099"/>
      <w:bookmarkStart w:id="372" w:name="_Toc59949980"/>
      <w:bookmarkStart w:id="373" w:name="_Toc4484"/>
      <w:bookmarkStart w:id="374" w:name="_Toc9274"/>
      <w:bookmarkStart w:id="375" w:name="_Toc30905"/>
      <w:bookmarkStart w:id="376" w:name="_Toc5179"/>
      <w:bookmarkStart w:id="377" w:name="_Toc29799"/>
      <w:bookmarkStart w:id="378" w:name="_Toc3285"/>
      <w:bookmarkStart w:id="379" w:name="_Toc11315"/>
      <w:bookmarkStart w:id="380" w:name="_Toc60651960"/>
      <w:bookmarkStart w:id="381" w:name="_Toc838"/>
      <w:bookmarkStart w:id="382" w:name="_Toc24202"/>
      <w:bookmarkStart w:id="383" w:name="_Toc15367"/>
      <w:bookmarkStart w:id="384" w:name="_Toc11987"/>
      <w:bookmarkStart w:id="385" w:name="_Toc25683"/>
      <w:bookmarkStart w:id="386" w:name="_Toc14799"/>
      <w:bookmarkStart w:id="387" w:name="_Toc14861"/>
      <w:bookmarkStart w:id="388" w:name="_Toc13684"/>
      <w:r>
        <w:rPr>
          <w:rFonts w:ascii="Times New Roman" w:hAnsi="Times New Roman" w:eastAsia="方正楷体_GBK"/>
          <w:b/>
          <w:sz w:val="32"/>
          <w:szCs w:val="32"/>
        </w:rPr>
        <w:t>第二节  积极应对气候变化</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overflowPunct w:val="0"/>
        <w:adjustRightInd w:val="0"/>
        <w:snapToGrid w:val="0"/>
        <w:spacing w:line="560" w:lineRule="exact"/>
        <w:ind w:firstLine="641"/>
        <w:rPr>
          <w:rFonts w:ascii="Times New Roman" w:hAnsi="Times New Roman" w:eastAsia="方正仿宋_GBK"/>
          <w:sz w:val="32"/>
          <w:szCs w:val="32"/>
        </w:rPr>
      </w:pPr>
      <w:r>
        <w:rPr>
          <w:rFonts w:ascii="Times New Roman" w:hAnsi="Times New Roman" w:eastAsia="方正仿宋_GBK"/>
          <w:sz w:val="32"/>
          <w:szCs w:val="32"/>
        </w:rPr>
        <w:t>牢固树立绿色低碳发展理念，</w:t>
      </w:r>
      <w:r>
        <w:rPr>
          <w:rFonts w:ascii="Times New Roman" w:hAnsi="Times New Roman" w:eastAsia="方正仿宋_GBK"/>
          <w:bCs/>
          <w:sz w:val="32"/>
          <w:szCs w:val="32"/>
        </w:rPr>
        <w:t>落实碳达峰、碳中和任务</w:t>
      </w:r>
      <w:r>
        <w:rPr>
          <w:rFonts w:ascii="Times New Roman" w:hAnsi="Times New Roman" w:eastAsia="方正仿宋_GBK"/>
          <w:sz w:val="32"/>
          <w:szCs w:val="32"/>
        </w:rPr>
        <w:t>。加强重点领域和重点企业节能减排降耗，执行碳排放总量控制制度，加快调整优化产业结构和能源结构、节约集约利用能源、增加森林碳汇，有效控制温室气体排放。参与碳金融市场发展，争创全市气候投融资试点。</w:t>
      </w:r>
      <w:bookmarkStart w:id="389" w:name="_Toc59949981"/>
    </w:p>
    <w:p>
      <w:pPr>
        <w:overflowPunct w:val="0"/>
        <w:adjustRightInd w:val="0"/>
        <w:snapToGrid w:val="0"/>
        <w:spacing w:line="560" w:lineRule="exact"/>
        <w:jc w:val="center"/>
        <w:outlineLvl w:val="2"/>
        <w:rPr>
          <w:rFonts w:ascii="Times New Roman" w:hAnsi="Times New Roman" w:eastAsia="方正楷体_GBK"/>
          <w:b/>
          <w:sz w:val="32"/>
          <w:szCs w:val="32"/>
        </w:rPr>
      </w:pPr>
      <w:bookmarkStart w:id="390" w:name="_Toc2524"/>
      <w:bookmarkStart w:id="391" w:name="_Toc31765"/>
      <w:bookmarkStart w:id="392" w:name="_Toc1376"/>
      <w:bookmarkStart w:id="393" w:name="_Toc19387"/>
      <w:bookmarkStart w:id="394" w:name="_Toc18755"/>
      <w:bookmarkStart w:id="395" w:name="_Toc18339"/>
      <w:bookmarkStart w:id="396" w:name="_Toc8380"/>
      <w:bookmarkStart w:id="397" w:name="_Toc1093"/>
      <w:bookmarkStart w:id="398" w:name="_Toc23313"/>
      <w:bookmarkStart w:id="399" w:name="_Toc12487"/>
      <w:bookmarkStart w:id="400" w:name="_Toc27557"/>
      <w:bookmarkStart w:id="401" w:name="_Toc201"/>
      <w:bookmarkStart w:id="402" w:name="_Toc4936"/>
      <w:bookmarkStart w:id="403" w:name="_Toc19950"/>
      <w:bookmarkStart w:id="404" w:name="_Toc19613"/>
      <w:bookmarkStart w:id="405" w:name="_Toc8906"/>
      <w:bookmarkStart w:id="406" w:name="_Toc31827"/>
      <w:bookmarkStart w:id="407" w:name="_Toc28515"/>
      <w:r>
        <w:rPr>
          <w:rFonts w:ascii="Times New Roman" w:hAnsi="Times New Roman" w:eastAsia="方正楷体_GBK"/>
          <w:b/>
          <w:sz w:val="32"/>
          <w:szCs w:val="32"/>
        </w:rPr>
        <w:t>第三节  提升生态文明</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eastAsia="方正楷体_GBK"/>
          <w:b/>
          <w:sz w:val="32"/>
          <w:szCs w:val="32"/>
        </w:rPr>
        <w:t>素养</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强化领导干部生态文明素养。严守生态保护红线、环境质量底线、资源利用上线三条红线，积极探索生态资源价值转化路径，切实践行生态文明建设。</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公众生态文明素养。开展生态保护和生态文化宣传进机关、进社区、进学校、进企业、进家庭、进工地、进医院、进酒店、进农村、进景区等活动，提升公众知行合一的生态文明价值观和理念。开展社会性、群众性、经常性的科普活动，引导公众关注生态环境，普及生态文化知识，提升全民生态环境意识和科学素质。</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提升青少年生态文明素养。开展学校教育活动，将</w:t>
      </w:r>
      <w:r>
        <w:rPr>
          <w:rFonts w:hint="eastAsia" w:ascii="Times New Roman" w:hAnsi="Times New Roman" w:eastAsia="方正仿宋_GBK"/>
          <w:bCs/>
          <w:sz w:val="32"/>
          <w:szCs w:val="32"/>
          <w:lang w:eastAsia="zh-CN"/>
        </w:rPr>
        <w:t>习近平</w:t>
      </w:r>
      <w:r>
        <w:rPr>
          <w:rFonts w:ascii="Times New Roman" w:hAnsi="Times New Roman" w:eastAsia="方正仿宋_GBK"/>
          <w:bCs/>
          <w:sz w:val="32"/>
          <w:szCs w:val="32"/>
        </w:rPr>
        <w:t>生态文明思想融入教育全过程，引领青少年养成爱护自然、保护环境的意识。</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撬动社会力量共同开展生态文明素养提升行动。建立“两山”“两化”生态孵化平台，聚集生态环保和文创团体等社会组织，营造社区生态文化，开展生态文明素养提升活动。加快“绿水青山就是金山银山”实践创新基地建设，积极争取科研院所落户城口，挂牌“城口两山学院”，发挥学院智库优势，打造大巴山生态文化教育基地。</w:t>
      </w:r>
    </w:p>
    <w:p>
      <w:pPr>
        <w:pStyle w:val="26"/>
        <w:overflowPunct w:val="0"/>
        <w:adjustRightInd w:val="0"/>
        <w:snapToGrid w:val="0"/>
        <w:spacing w:after="0" w:line="560" w:lineRule="exact"/>
        <w:ind w:leftChars="0" w:firstLine="2249" w:firstLineChars="700"/>
        <w:outlineLvl w:val="2"/>
        <w:rPr>
          <w:rFonts w:ascii="Times New Roman" w:hAnsi="Times New Roman" w:eastAsia="方正楷体_GBK"/>
          <w:b/>
          <w:sz w:val="32"/>
          <w:szCs w:val="32"/>
        </w:rPr>
      </w:pPr>
      <w:bookmarkStart w:id="408" w:name="_Toc5633"/>
      <w:bookmarkStart w:id="409" w:name="_Toc7590"/>
      <w:bookmarkStart w:id="410" w:name="_Toc15332"/>
      <w:bookmarkStart w:id="411" w:name="_Toc32460"/>
      <w:bookmarkStart w:id="412" w:name="_Toc5895"/>
      <w:bookmarkStart w:id="413" w:name="_Toc756"/>
      <w:bookmarkStart w:id="414" w:name="_Toc799"/>
      <w:bookmarkStart w:id="415" w:name="_Toc2538"/>
      <w:bookmarkStart w:id="416" w:name="_Toc25566"/>
      <w:bookmarkStart w:id="417" w:name="_Toc31322"/>
      <w:bookmarkStart w:id="418" w:name="_Toc12027"/>
      <w:bookmarkStart w:id="419" w:name="_Toc25846"/>
      <w:bookmarkStart w:id="420" w:name="_Toc2842"/>
      <w:bookmarkStart w:id="421" w:name="_Toc32522"/>
      <w:bookmarkStart w:id="422" w:name="_Toc8035"/>
      <w:bookmarkStart w:id="423" w:name="_Toc60651961"/>
      <w:bookmarkStart w:id="424" w:name="_Toc13952"/>
      <w:bookmarkStart w:id="425" w:name="_Toc4917"/>
      <w:bookmarkStart w:id="426" w:name="_Toc18961"/>
      <w:r>
        <w:rPr>
          <w:rFonts w:ascii="Times New Roman" w:hAnsi="Times New Roman" w:eastAsia="方正楷体_GBK"/>
          <w:b/>
          <w:sz w:val="32"/>
          <w:szCs w:val="32"/>
        </w:rPr>
        <w:t>第四节  倡导绿色生活方式</w:t>
      </w:r>
      <w:bookmarkEnd w:id="389"/>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overflowPunct w:val="0"/>
        <w:adjustRightInd w:val="0"/>
        <w:snapToGrid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推广装配式建筑、钢结构建筑和新型建材。统筹布局电动汽车充电配套设施。全面推行生活垃圾分类，完善配套政策措施。构建绿色交通体系，鼓励引导居民绿色低碳出行。实施政府绿色采购，推行绿色产品优先，倡导绿色办公，促进绿色消费。深入推进“光盘行动”，培育绿色消费文化。开展绿色机关、绿色学校、绿色社区、绿色园区、绿色商场、绿色建筑创建行动。</w:t>
      </w:r>
    </w:p>
    <w:p>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p>
    <w:p>
      <w:pPr>
        <w:overflowPunct w:val="0"/>
        <w:adjustRightInd w:val="0"/>
        <w:snapToGrid w:val="0"/>
        <w:spacing w:line="560" w:lineRule="exact"/>
        <w:ind w:firstLine="643" w:firstLineChars="200"/>
        <w:jc w:val="center"/>
        <w:outlineLvl w:val="1"/>
        <w:rPr>
          <w:rFonts w:ascii="Times New Roman" w:hAnsi="Times New Roman" w:eastAsia="方正黑体_GBK"/>
          <w:b/>
          <w:bCs/>
          <w:kern w:val="44"/>
          <w:sz w:val="32"/>
          <w:szCs w:val="32"/>
        </w:rPr>
      </w:pPr>
      <w:bookmarkStart w:id="427" w:name="_Toc9315"/>
      <w:bookmarkStart w:id="428" w:name="_Toc10120"/>
      <w:bookmarkStart w:id="429" w:name="_Toc24530"/>
      <w:bookmarkStart w:id="430" w:name="_Toc18964"/>
      <w:bookmarkStart w:id="431" w:name="_Toc1941"/>
      <w:bookmarkStart w:id="432" w:name="_Toc8928"/>
      <w:bookmarkStart w:id="433" w:name="_Toc29189"/>
      <w:bookmarkStart w:id="434" w:name="_Toc12230"/>
      <w:bookmarkStart w:id="435" w:name="_Toc59949982"/>
      <w:bookmarkStart w:id="436" w:name="_Toc9780"/>
      <w:bookmarkStart w:id="437" w:name="_Toc29036"/>
      <w:bookmarkStart w:id="438" w:name="_Toc60651962"/>
      <w:bookmarkStart w:id="439" w:name="_Toc5295"/>
      <w:bookmarkStart w:id="440" w:name="_Toc31019"/>
      <w:bookmarkStart w:id="441" w:name="_Toc4577"/>
      <w:bookmarkStart w:id="442" w:name="_Toc14576"/>
      <w:bookmarkStart w:id="443" w:name="_Toc7639"/>
      <w:bookmarkStart w:id="444" w:name="_Toc30143"/>
      <w:bookmarkStart w:id="445" w:name="_Toc31533"/>
      <w:bookmarkStart w:id="446" w:name="_Toc23484"/>
      <w:r>
        <w:rPr>
          <w:rFonts w:ascii="Times New Roman" w:hAnsi="Times New Roman" w:eastAsia="方正黑体_GBK"/>
          <w:b/>
          <w:bCs/>
          <w:kern w:val="44"/>
          <w:sz w:val="32"/>
          <w:szCs w:val="32"/>
        </w:rPr>
        <w:t>第七章  推进生态资源价值转换</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探索绿色发展新模式，依托生态资源禀赋，根据生态功能作用，开展生态产品价值实现试验，把生态资源转换成生态产品，打造“两山”“两化”先行示范区。</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447" w:name="_Toc59949983"/>
      <w:bookmarkStart w:id="448" w:name="_Toc25375"/>
      <w:bookmarkStart w:id="449" w:name="_Toc2481"/>
      <w:bookmarkStart w:id="450" w:name="_Toc30470"/>
      <w:bookmarkStart w:id="451" w:name="_Toc32311"/>
      <w:bookmarkStart w:id="452" w:name="_Toc26369"/>
      <w:bookmarkStart w:id="453" w:name="_Toc7656"/>
      <w:bookmarkStart w:id="454" w:name="_Toc31989"/>
      <w:bookmarkStart w:id="455" w:name="_Toc26886"/>
      <w:bookmarkStart w:id="456" w:name="_Toc60651963"/>
      <w:bookmarkStart w:id="457" w:name="_Toc5980"/>
      <w:bookmarkStart w:id="458" w:name="_Toc24280"/>
      <w:bookmarkStart w:id="459" w:name="_Toc14987"/>
      <w:bookmarkStart w:id="460" w:name="_Toc26744"/>
      <w:bookmarkStart w:id="461" w:name="_Toc15433"/>
      <w:bookmarkStart w:id="462" w:name="_Toc9612"/>
      <w:bookmarkStart w:id="463" w:name="_Toc20994"/>
      <w:bookmarkStart w:id="464" w:name="_Toc4804"/>
      <w:bookmarkStart w:id="465" w:name="_Toc6847"/>
      <w:bookmarkStart w:id="466" w:name="_Toc20043"/>
      <w:r>
        <w:rPr>
          <w:rFonts w:ascii="Times New Roman" w:hAnsi="Times New Roman" w:eastAsia="方正楷体_GBK"/>
          <w:b/>
          <w:sz w:val="32"/>
          <w:szCs w:val="32"/>
        </w:rPr>
        <w:t>第一节  建立生态产品价值</w:t>
      </w:r>
      <w:bookmarkEnd w:id="447"/>
      <w:r>
        <w:rPr>
          <w:rFonts w:ascii="Times New Roman" w:hAnsi="Times New Roman" w:eastAsia="方正楷体_GBK"/>
          <w:b/>
          <w:sz w:val="32"/>
          <w:szCs w:val="32"/>
        </w:rPr>
        <w:t>实现机制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26"/>
        <w:overflowPunct w:val="0"/>
        <w:adjustRightInd w:val="0"/>
        <w:snapToGrid w:val="0"/>
        <w:spacing w:after="0" w:line="560" w:lineRule="exact"/>
        <w:ind w:leftChars="0" w:firstLine="640" w:firstLineChars="200"/>
        <w:rPr>
          <w:rFonts w:ascii="Times New Roman" w:hAnsi="Times New Roman"/>
        </w:rPr>
      </w:pPr>
      <w:r>
        <w:rPr>
          <w:rFonts w:ascii="Times New Roman" w:hAnsi="Times New Roman" w:eastAsia="方正仿宋_GBK"/>
          <w:bCs/>
          <w:sz w:val="32"/>
          <w:szCs w:val="32"/>
        </w:rPr>
        <w:t>建立生态系统生产总值核算（GEP）体系。结合城口生态区位、环境质量和资源禀赋，将林业资源、水资源、负氧离子、景观价值等科目纳入核算范围，建立健全生态产品功能量核算方法、生态产品功能量定价方法、生态产品价值量核算方法、核算质量控制等GEP核算方法体系，建设物质产品、调节服务、文化服务等生态产品的实物量、功能量、价值量台账和数据库，编制城口县主导性生态产品价值实现目录，构建反映城口自然生态特点的指标体系和反映城口经济发展水平的定价体系，推进GEP与GDP的双转化、双增长、可循环、可持续的生态产品价值转化。完善生态产品价值实现路径。遵循受益者付费原则，针对不同类型的生态产品，选取适宜性价值转化模式，积极探索生态产品价值实现方式。</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467" w:name="_Toc1832"/>
      <w:bookmarkStart w:id="468" w:name="_Toc10403"/>
      <w:bookmarkStart w:id="469" w:name="_Toc9012"/>
      <w:bookmarkStart w:id="470" w:name="_Toc29333"/>
      <w:bookmarkStart w:id="471" w:name="_Toc8669"/>
      <w:bookmarkStart w:id="472" w:name="_Toc59949984"/>
      <w:bookmarkStart w:id="473" w:name="_Toc60651964"/>
      <w:bookmarkStart w:id="474" w:name="_Toc25294"/>
      <w:bookmarkStart w:id="475" w:name="_Toc4207"/>
      <w:bookmarkStart w:id="476" w:name="_Toc5719"/>
      <w:bookmarkStart w:id="477" w:name="_Toc12512"/>
      <w:bookmarkStart w:id="478" w:name="_Toc32089"/>
      <w:bookmarkStart w:id="479" w:name="_Toc10890"/>
      <w:bookmarkStart w:id="480" w:name="_Toc2215"/>
      <w:bookmarkStart w:id="481" w:name="_Toc14397"/>
      <w:bookmarkStart w:id="482" w:name="_Toc13029"/>
      <w:bookmarkStart w:id="483" w:name="_Toc2692"/>
      <w:bookmarkStart w:id="484" w:name="_Toc24500"/>
      <w:bookmarkStart w:id="485" w:name="_Toc31273"/>
      <w:bookmarkStart w:id="486" w:name="_Toc19470"/>
      <w:r>
        <w:rPr>
          <w:rFonts w:ascii="Times New Roman" w:hAnsi="Times New Roman" w:eastAsia="方正楷体_GBK"/>
          <w:b/>
          <w:sz w:val="32"/>
          <w:szCs w:val="32"/>
        </w:rPr>
        <w:t>第二节  推动生态产品价值实现</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25"/>
        <w:overflowPunct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遵循“生态资源—生态资产—生态资本—生态产品”物质形态转换规律，综合运用产权、金融、技术、消费等管理工具，提炼物质产品、调节服务、文化服务的价值转化路径，因地制宜发展生态旅游、生态农业、生态服务业和生态高新技术产业，提供更多优质生态产品。</w:t>
      </w:r>
    </w:p>
    <w:p>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增强公共生态产品供给能力。按照生态系统生产总值核算机制，积极开展生态系统水源涵养、水土保持、气候调节等调节服务盈余和增量核算，积极争取水资源和森林资源生态价值补偿。将生态自然资源纳入农村集体产权制度改革清产核资范畴，以农文旅为载体实现文化服务价值增量核算，推动自然资本价值实现。</w:t>
      </w:r>
    </w:p>
    <w:p>
      <w:pPr>
        <w:widowControl/>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增强生态物质产品供给能力。坚持一二三产业融合发展，农文旅产业相得益彰，提高生态资源向生态产品转换的效率和质量，支持一批绿色发展生态产品转换企业，树立城口县生态产品地域品牌、打造一批高质量的生态产品。</w:t>
      </w:r>
      <w:r>
        <w:rPr>
          <w:rFonts w:ascii="Times New Roman" w:hAnsi="Times New Roman" w:eastAsia="方正仿宋_GBK"/>
          <w:snapToGrid w:val="0"/>
          <w:kern w:val="0"/>
          <w:sz w:val="32"/>
          <w:szCs w:val="32"/>
        </w:rPr>
        <w:t>坚持“农”为基础，“文”为灵魂，“旅”为载体，推动农业、文化、旅游深度融合，不断释放农文旅融合发展的生态红利。</w:t>
      </w:r>
      <w:r>
        <w:rPr>
          <w:rFonts w:ascii="Times New Roman" w:hAnsi="Times New Roman" w:eastAsia="方正仿宋_GBK"/>
          <w:bCs/>
          <w:sz w:val="32"/>
          <w:szCs w:val="32"/>
        </w:rPr>
        <w:t>推进生态资源资产产权确权、生态资产价值评估、生态资产市场定价三大制度改革，强化生态产品价值实现基础。积极争取标准化生态资源、资产在重庆联合产权交易所挂牌交易。</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487" w:name="_Toc15564"/>
      <w:bookmarkStart w:id="488" w:name="_Toc12895"/>
      <w:bookmarkStart w:id="489" w:name="_Toc9519"/>
      <w:bookmarkStart w:id="490" w:name="_Toc15940"/>
      <w:bookmarkStart w:id="491" w:name="_Toc13"/>
      <w:bookmarkStart w:id="492" w:name="_Toc59949985"/>
      <w:bookmarkStart w:id="493" w:name="_Toc14235"/>
      <w:bookmarkStart w:id="494" w:name="_Toc3887"/>
      <w:bookmarkStart w:id="495" w:name="_Toc20039"/>
      <w:bookmarkStart w:id="496" w:name="_Toc29002"/>
      <w:bookmarkStart w:id="497" w:name="_Toc11760"/>
      <w:bookmarkStart w:id="498" w:name="_Toc24564"/>
      <w:bookmarkStart w:id="499" w:name="_Toc24010"/>
      <w:bookmarkStart w:id="500" w:name="_Toc2516"/>
      <w:bookmarkStart w:id="501" w:name="_Toc24871"/>
      <w:bookmarkStart w:id="502" w:name="_Toc23626"/>
      <w:bookmarkStart w:id="503" w:name="_Toc1767"/>
      <w:bookmarkStart w:id="504" w:name="_Toc19639"/>
      <w:bookmarkStart w:id="505" w:name="_Toc14371"/>
      <w:bookmarkStart w:id="506" w:name="_Toc60651965"/>
      <w:r>
        <w:rPr>
          <w:rFonts w:ascii="Times New Roman" w:hAnsi="Times New Roman" w:eastAsia="方正楷体_GBK"/>
          <w:b/>
          <w:sz w:val="32"/>
          <w:szCs w:val="32"/>
        </w:rPr>
        <w:t>第三节  创新发展绿色金融</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bCs/>
          <w:sz w:val="32"/>
          <w:szCs w:val="32"/>
        </w:rPr>
        <w:t>深化碳汇交易、森林覆盖率指标横向交易，落实“林票”交易制度，探索开展单株碳汇交易试点。积极争取“生态地票”等政策支持，探索推进生态资源抵押贷款、生态资源直接融资，引导社会资本参与生态文明建设。探索生态信用制度体系，推动绿色银行、绿色债券对生态产业的支持推动。联合金融机构积极探讨绿色信贷与小微贷款的结合，研究拓宽城口信贷品种作为普惠金融的试点。积极开展普惠金融，支持中小微企业和乡村生态微产业群体获得更大金融支持。构建完善、科学的政策体系，实现对生态资产，特别是集体资产以及生态指标的有效监管，多元化保障生态资源资产保障增值。</w:t>
      </w:r>
    </w:p>
    <w:p>
      <w:pPr>
        <w:overflowPunct w:val="0"/>
        <w:rPr>
          <w:rFonts w:ascii="Times New Roman" w:hAnsi="Times New Roman" w:eastAsia="方正黑体_GBK"/>
          <w:kern w:val="30"/>
          <w:sz w:val="32"/>
          <w:szCs w:val="32"/>
        </w:rPr>
      </w:pPr>
      <w:bookmarkStart w:id="507" w:name="_Toc28302"/>
      <w:bookmarkStart w:id="508" w:name="_Toc24200"/>
      <w:bookmarkStart w:id="509" w:name="_Toc60221290"/>
    </w:p>
    <w:p>
      <w:pPr>
        <w:overflowPunct w:val="0"/>
        <w:adjustRightInd w:val="0"/>
        <w:snapToGrid w:val="0"/>
        <w:spacing w:line="560" w:lineRule="exact"/>
        <w:ind w:firstLine="643" w:firstLineChars="200"/>
        <w:jc w:val="center"/>
        <w:outlineLvl w:val="1"/>
        <w:rPr>
          <w:rFonts w:ascii="Times New Roman" w:hAnsi="Times New Roman" w:eastAsia="方正黑体_GBK"/>
          <w:b/>
          <w:bCs/>
          <w:kern w:val="44"/>
          <w:sz w:val="32"/>
          <w:szCs w:val="32"/>
        </w:rPr>
      </w:pPr>
      <w:bookmarkStart w:id="510" w:name="_Toc16715"/>
      <w:bookmarkStart w:id="511" w:name="_Toc28337"/>
      <w:bookmarkStart w:id="512" w:name="_Toc5282"/>
      <w:bookmarkStart w:id="513" w:name="_Toc9339"/>
      <w:bookmarkStart w:id="514" w:name="_Toc14497"/>
      <w:bookmarkStart w:id="515" w:name="_Toc24685"/>
      <w:bookmarkStart w:id="516" w:name="_Toc13434"/>
      <w:bookmarkStart w:id="517" w:name="_Toc60651966"/>
      <w:bookmarkStart w:id="518" w:name="_Toc25678"/>
      <w:bookmarkStart w:id="519" w:name="_Toc6294"/>
      <w:bookmarkStart w:id="520" w:name="_Toc7992"/>
      <w:bookmarkStart w:id="521" w:name="_Toc31477"/>
      <w:bookmarkStart w:id="522" w:name="_Toc9153"/>
      <w:bookmarkStart w:id="523" w:name="_Toc10757"/>
      <w:bookmarkStart w:id="524" w:name="_Toc31370"/>
      <w:bookmarkStart w:id="525" w:name="_Toc836"/>
      <w:bookmarkStart w:id="526" w:name="_Toc15442"/>
      <w:bookmarkStart w:id="527" w:name="_Toc24044"/>
      <w:bookmarkStart w:id="528" w:name="_Toc3941"/>
      <w:r>
        <w:rPr>
          <w:rFonts w:ascii="Times New Roman" w:hAnsi="Times New Roman" w:eastAsia="方正黑体_GBK"/>
          <w:b/>
          <w:bCs/>
          <w:kern w:val="44"/>
          <w:sz w:val="32"/>
          <w:szCs w:val="32"/>
        </w:rPr>
        <w:t>第八章  全面提高资源利用效率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落实节约优先战略，树立节约集约循环利用资源观，推进资源节约集约循环利用，落实能源和水资源消耗、建设用地等总量和强度双控制度，全面加强节地、节水、节能和资源综合利用。</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529" w:name="_Toc7195"/>
      <w:bookmarkStart w:id="530" w:name="_Toc11159"/>
      <w:bookmarkStart w:id="531" w:name="_Toc6322"/>
      <w:bookmarkStart w:id="532" w:name="_Toc24000"/>
      <w:bookmarkStart w:id="533" w:name="_Toc4682"/>
      <w:bookmarkStart w:id="534" w:name="_Toc4251"/>
      <w:bookmarkStart w:id="535" w:name="_Toc23337"/>
      <w:bookmarkStart w:id="536" w:name="_Toc20042"/>
      <w:bookmarkStart w:id="537" w:name="_Toc8256"/>
      <w:bookmarkStart w:id="538" w:name="_Toc23260"/>
      <w:bookmarkStart w:id="539" w:name="_Toc26384"/>
      <w:bookmarkStart w:id="540" w:name="_Toc1797"/>
      <w:bookmarkStart w:id="541" w:name="_Toc11741"/>
      <w:bookmarkStart w:id="542" w:name="_Toc31749"/>
      <w:bookmarkStart w:id="543" w:name="_Toc17448"/>
      <w:bookmarkStart w:id="544" w:name="_Toc20700"/>
      <w:bookmarkStart w:id="545" w:name="_Toc9642"/>
      <w:bookmarkStart w:id="546" w:name="_Toc11916"/>
      <w:bookmarkStart w:id="547" w:name="_Toc60651967"/>
      <w:r>
        <w:rPr>
          <w:rFonts w:ascii="Times New Roman" w:hAnsi="Times New Roman" w:eastAsia="方正楷体_GBK"/>
          <w:b/>
          <w:sz w:val="32"/>
          <w:szCs w:val="32"/>
        </w:rPr>
        <w:t>第一节  强化土地节约集约利用</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提高土地稀缺性战略认知，优化国土空间规划，实行国土空间用途管制，落实建设用地总量控制，严格规划指标约束和分区管制。严格建设项目用地标准控制。坚持土地供应市场配置，扩大国有土地有偿使用范围。推进城镇低效用地再开发和工矿废弃地复垦，盘活存量建设用地，清理闲置土地，调整建设用地结构。开展全域土地综合整治，增加有效耕地面积，提升耕地质量。发展城市节地型住宅和公共建筑。加强节约集约用地的工作评估和考核。</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548" w:name="_Toc25570"/>
      <w:bookmarkStart w:id="549" w:name="_Toc60221293"/>
      <w:bookmarkStart w:id="550" w:name="_Toc14674"/>
      <w:bookmarkStart w:id="551" w:name="_Toc7346"/>
      <w:bookmarkStart w:id="552" w:name="_Toc19068"/>
      <w:bookmarkStart w:id="553" w:name="_Toc9594"/>
      <w:bookmarkStart w:id="554" w:name="_Toc19218"/>
      <w:bookmarkStart w:id="555" w:name="_Toc60651968"/>
      <w:bookmarkStart w:id="556" w:name="_Toc14934"/>
      <w:bookmarkStart w:id="557" w:name="_Toc14634"/>
      <w:bookmarkStart w:id="558" w:name="_Toc32762"/>
      <w:bookmarkStart w:id="559" w:name="_Toc24647"/>
      <w:bookmarkStart w:id="560" w:name="_Toc4782"/>
      <w:bookmarkStart w:id="561" w:name="_Toc13807"/>
      <w:bookmarkStart w:id="562" w:name="_Toc15583"/>
      <w:bookmarkStart w:id="563" w:name="_Toc21194"/>
      <w:bookmarkStart w:id="564" w:name="_Toc8354"/>
      <w:bookmarkStart w:id="565" w:name="_Toc15574"/>
      <w:bookmarkStart w:id="566" w:name="_Toc1939"/>
      <w:bookmarkStart w:id="567" w:name="_Toc16226"/>
      <w:bookmarkStart w:id="568" w:name="_Toc26047"/>
      <w:r>
        <w:rPr>
          <w:rFonts w:ascii="Times New Roman" w:hAnsi="Times New Roman" w:eastAsia="方正楷体_GBK"/>
          <w:b/>
          <w:sz w:val="32"/>
          <w:szCs w:val="32"/>
        </w:rPr>
        <w:t>第二节  提高水资源</w:t>
      </w:r>
      <w:bookmarkEnd w:id="548"/>
      <w:bookmarkEnd w:id="549"/>
      <w:r>
        <w:rPr>
          <w:rFonts w:ascii="Times New Roman" w:hAnsi="Times New Roman" w:eastAsia="方正楷体_GBK"/>
          <w:b/>
          <w:sz w:val="32"/>
          <w:szCs w:val="32"/>
        </w:rPr>
        <w:t>利用效率</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严格用水总量控制和定额管理，开展水资源环境承载能力评价。严格取水许可和水资源有偿使用，推行水权交易制度。加快节水型社会建设，探索合同节水管理，推广应用源头减量、循环利用、零排放的节水技术和模式。推进工业节水技术改造，加大再生水和雨水利用力度，强化水资源循环利用，减少废污水排放量。</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569" w:name="_Toc19055"/>
      <w:bookmarkStart w:id="570" w:name="_Toc6621"/>
      <w:bookmarkStart w:id="571" w:name="_Toc13463"/>
      <w:bookmarkStart w:id="572" w:name="_Toc60651969"/>
      <w:bookmarkStart w:id="573" w:name="_Toc6492"/>
      <w:bookmarkStart w:id="574" w:name="_Toc31842"/>
      <w:bookmarkStart w:id="575" w:name="_Toc31927"/>
      <w:bookmarkStart w:id="576" w:name="_Toc2532"/>
      <w:bookmarkStart w:id="577" w:name="_Toc5798"/>
      <w:bookmarkStart w:id="578" w:name="_Toc32034"/>
      <w:bookmarkStart w:id="579" w:name="_Toc2740"/>
      <w:bookmarkStart w:id="580" w:name="_Toc22159"/>
      <w:bookmarkStart w:id="581" w:name="_Toc16287"/>
      <w:bookmarkStart w:id="582" w:name="_Toc7315"/>
      <w:bookmarkStart w:id="583" w:name="_Toc20184"/>
      <w:bookmarkStart w:id="584" w:name="_Toc6277"/>
      <w:bookmarkStart w:id="585" w:name="_Toc5540"/>
      <w:bookmarkStart w:id="586" w:name="_Toc24640"/>
      <w:bookmarkStart w:id="587" w:name="_Toc21905"/>
      <w:bookmarkStart w:id="588" w:name="_Toc22786"/>
      <w:bookmarkStart w:id="589" w:name="_Toc60221292"/>
      <w:r>
        <w:rPr>
          <w:rFonts w:ascii="Times New Roman" w:hAnsi="Times New Roman" w:eastAsia="方正楷体_GBK"/>
          <w:b/>
          <w:sz w:val="32"/>
          <w:szCs w:val="32"/>
        </w:rPr>
        <w:t>第三节  提升能源利用效率</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overflowPunct w:val="0"/>
        <w:adjustRightInd w:val="0"/>
        <w:snapToGrid w:val="0"/>
        <w:spacing w:line="560" w:lineRule="exact"/>
        <w:ind w:firstLine="640" w:firstLineChars="200"/>
        <w:rPr>
          <w:rFonts w:ascii="Times New Roman" w:hAnsi="Times New Roman" w:eastAsia="方正仿宋_GBK"/>
          <w:bCs/>
          <w:kern w:val="30"/>
          <w:sz w:val="32"/>
          <w:szCs w:val="32"/>
        </w:rPr>
      </w:pPr>
      <w:r>
        <w:rPr>
          <w:rFonts w:ascii="Times New Roman" w:hAnsi="Times New Roman" w:eastAsia="方正仿宋_GBK"/>
          <w:bCs/>
          <w:kern w:val="30"/>
          <w:sz w:val="32"/>
          <w:szCs w:val="32"/>
        </w:rPr>
        <w:t>落实能源消费总量和强度“双控”制度，推动节能评估审查，限制过度用能。加强锰矿重点耗能行业的能效管理，开展学校、医院等公共机构用能管理。鼓励先进节能技术和产品推广应用，推进城乡建筑物、照明系统、交通照明系统节能改造。推动清洁低碳和可再生能源消费，稳步有序推进电能替代。</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590" w:name="_Toc60651970"/>
      <w:bookmarkStart w:id="591" w:name="_Toc27636"/>
      <w:bookmarkStart w:id="592" w:name="_Toc15512"/>
      <w:bookmarkStart w:id="593" w:name="_Toc24433"/>
      <w:bookmarkStart w:id="594" w:name="_Toc72"/>
      <w:bookmarkStart w:id="595" w:name="_Toc31412"/>
      <w:bookmarkStart w:id="596" w:name="_Toc2237"/>
      <w:bookmarkStart w:id="597" w:name="_Toc16467"/>
      <w:bookmarkStart w:id="598" w:name="_Toc19649"/>
      <w:bookmarkStart w:id="599" w:name="_Toc30089"/>
      <w:bookmarkStart w:id="600" w:name="_Toc5368"/>
      <w:bookmarkStart w:id="601" w:name="_Toc30310"/>
      <w:bookmarkStart w:id="602" w:name="_Toc31574"/>
      <w:bookmarkStart w:id="603" w:name="_Toc25780"/>
      <w:bookmarkStart w:id="604" w:name="_Toc26649"/>
      <w:bookmarkStart w:id="605" w:name="_Toc6268"/>
      <w:bookmarkStart w:id="606" w:name="_Toc11440"/>
      <w:bookmarkStart w:id="607" w:name="_Toc60221291"/>
      <w:bookmarkStart w:id="608" w:name="_Toc26166"/>
      <w:bookmarkStart w:id="609" w:name="_Toc28356"/>
      <w:bookmarkStart w:id="610" w:name="_Toc17271"/>
      <w:r>
        <w:rPr>
          <w:rFonts w:ascii="Times New Roman" w:hAnsi="Times New Roman" w:eastAsia="方正楷体_GBK"/>
          <w:b/>
          <w:sz w:val="32"/>
          <w:szCs w:val="32"/>
        </w:rPr>
        <w:t>第四节  完善循环经济体系</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kern w:val="30"/>
          <w:sz w:val="32"/>
          <w:szCs w:val="32"/>
        </w:rPr>
        <w:t>大力发展循环经济，加快建立循环型农业、工业、服务业体系，促进生产、流通、消费过程的减量化、再利用、资源化，提高资源利用效率。提高矿产资源开采回采率、选（冶）矿回收率和综合利用率。协调推动毗邻地区垃圾收集、转运、处置一体化。推进垃圾分类处理与再生资源利用“两网融合”，促进生产和生活系统循环衔接，开展固体废弃物综合利用。</w:t>
      </w:r>
    </w:p>
    <w:p>
      <w:pPr>
        <w:overflowPunct w:val="0"/>
        <w:rPr>
          <w:rFonts w:ascii="Times New Roman" w:hAnsi="Times New Roman" w:eastAsia="方正小标宋_GBK"/>
          <w:b/>
          <w:bCs/>
          <w:kern w:val="44"/>
          <w:sz w:val="36"/>
          <w:szCs w:val="36"/>
        </w:rPr>
      </w:pP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611" w:name="_Toc20073"/>
      <w:bookmarkStart w:id="612" w:name="_Toc13731"/>
      <w:bookmarkStart w:id="613" w:name="_Toc26589"/>
      <w:bookmarkStart w:id="614" w:name="_Toc11128"/>
      <w:bookmarkStart w:id="615" w:name="_Toc11021"/>
      <w:bookmarkStart w:id="616" w:name="_Toc1465"/>
      <w:bookmarkStart w:id="617" w:name="_Toc13102"/>
      <w:bookmarkStart w:id="618" w:name="_Toc18752"/>
      <w:bookmarkStart w:id="619" w:name="_Toc28016"/>
      <w:bookmarkStart w:id="620" w:name="_Toc13660"/>
      <w:bookmarkStart w:id="621" w:name="_Toc8782"/>
      <w:bookmarkStart w:id="622" w:name="_Toc5745"/>
      <w:bookmarkStart w:id="623" w:name="_Toc32596"/>
      <w:bookmarkStart w:id="624" w:name="_Toc16628"/>
      <w:bookmarkStart w:id="625" w:name="_Toc16974"/>
      <w:bookmarkStart w:id="626" w:name="_Toc23451"/>
      <w:bookmarkStart w:id="627" w:name="_Toc513"/>
      <w:bookmarkStart w:id="628" w:name="_Toc27459"/>
      <w:bookmarkStart w:id="629" w:name="_Toc6264"/>
      <w:r>
        <w:rPr>
          <w:rFonts w:ascii="Times New Roman" w:hAnsi="Times New Roman" w:eastAsia="方正小标宋_GBK"/>
          <w:b/>
          <w:bCs/>
          <w:kern w:val="44"/>
          <w:sz w:val="36"/>
          <w:szCs w:val="36"/>
        </w:rPr>
        <w:t>第三篇  抢抓战略新机遇  主动深度融入新发展格局</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落实推动成渝地区双城经济圈建设和“一区两群”协调发展战略任务，坚持对内对外开放，加快融入新发展格局。</w:t>
      </w:r>
    </w:p>
    <w:p>
      <w:pPr>
        <w:overflowPunct w:val="0"/>
        <w:adjustRightInd w:val="0"/>
        <w:snapToGrid w:val="0"/>
        <w:spacing w:line="560" w:lineRule="exact"/>
        <w:ind w:firstLine="640" w:firstLineChars="200"/>
        <w:rPr>
          <w:rFonts w:ascii="Times New Roman" w:hAnsi="Times New Roman" w:eastAsia="方正仿宋_GBK"/>
          <w:bCs/>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630" w:name="_Toc27245"/>
      <w:bookmarkStart w:id="631" w:name="_Toc31904"/>
      <w:bookmarkStart w:id="632" w:name="_Toc26401"/>
      <w:bookmarkStart w:id="633" w:name="_Toc25307"/>
      <w:bookmarkStart w:id="634" w:name="_Toc17303"/>
      <w:bookmarkStart w:id="635" w:name="_Toc1256"/>
      <w:bookmarkStart w:id="636" w:name="_Toc4816"/>
      <w:bookmarkStart w:id="637" w:name="_Toc934"/>
      <w:bookmarkStart w:id="638" w:name="_Toc59950020"/>
      <w:bookmarkStart w:id="639" w:name="_Toc26439"/>
      <w:bookmarkStart w:id="640" w:name="_Toc8150"/>
      <w:bookmarkStart w:id="641" w:name="_Toc25514"/>
      <w:bookmarkStart w:id="642" w:name="_Toc30424"/>
      <w:bookmarkStart w:id="643" w:name="_Toc9910"/>
      <w:bookmarkStart w:id="644" w:name="_Toc30125"/>
      <w:bookmarkStart w:id="645" w:name="_Toc11248"/>
      <w:bookmarkStart w:id="646" w:name="_Toc6283"/>
      <w:bookmarkStart w:id="647" w:name="_Toc3017"/>
      <w:bookmarkStart w:id="648" w:name="_Toc9286"/>
      <w:bookmarkStart w:id="649" w:name="_Toc13858"/>
      <w:r>
        <w:rPr>
          <w:rFonts w:ascii="Times New Roman" w:hAnsi="Times New Roman" w:eastAsia="方正黑体_GBK"/>
          <w:b/>
          <w:bCs/>
          <w:kern w:val="44"/>
          <w:sz w:val="32"/>
          <w:szCs w:val="32"/>
        </w:rPr>
        <w:t>第九章  积极融入国内国际双循环</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抢抓重大战略机遇，立足成渝地区双城经济圈大市场，发挥生态比较优势，积极扩大有效投资，全面促进消费，主动融入国内国际双循环。</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650" w:name="_Toc22526"/>
      <w:bookmarkStart w:id="651" w:name="_Toc16021"/>
      <w:bookmarkStart w:id="652" w:name="_Toc1070"/>
      <w:bookmarkStart w:id="653" w:name="_Toc31737"/>
      <w:bookmarkStart w:id="654" w:name="_Toc19736"/>
      <w:bookmarkStart w:id="655" w:name="_Toc5697"/>
      <w:bookmarkStart w:id="656" w:name="_Toc9711"/>
      <w:bookmarkStart w:id="657" w:name="_Toc6698"/>
      <w:bookmarkStart w:id="658" w:name="_Toc2962"/>
      <w:bookmarkStart w:id="659" w:name="_Toc27420"/>
      <w:bookmarkStart w:id="660" w:name="_Toc16247"/>
      <w:bookmarkStart w:id="661" w:name="_Toc6400"/>
      <w:bookmarkStart w:id="662" w:name="_Toc27361"/>
      <w:bookmarkStart w:id="663" w:name="_Toc10320"/>
      <w:bookmarkStart w:id="664" w:name="_Toc23965"/>
      <w:bookmarkStart w:id="665" w:name="_Toc6791"/>
      <w:bookmarkStart w:id="666" w:name="_Toc14039"/>
      <w:bookmarkStart w:id="667" w:name="_Toc25145"/>
      <w:bookmarkStart w:id="668" w:name="_Toc59950022"/>
      <w:bookmarkStart w:id="669" w:name="_Toc59950023"/>
      <w:bookmarkStart w:id="670" w:name="_Toc17390"/>
      <w:r>
        <w:rPr>
          <w:rFonts w:ascii="Times New Roman" w:hAnsi="Times New Roman" w:eastAsia="方正楷体_GBK"/>
          <w:b/>
          <w:sz w:val="32"/>
          <w:szCs w:val="32"/>
        </w:rPr>
        <w:t>第一节  用好国内国际市场与资源</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overflowPunct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以服务人民日益增长的生态环境和生态产品需求为牵引，深化供给侧结构性改革，推动生态资源转化为生态产品，把生态产品贯通生产、分配、流通、消费各环节，以优质生态产品融入和参与国内国际双循环。鼓励城口非物质文化企业依托强大国内市场，打通各类生产要素流通路径，推出适应国内国际消费新需求的生态产品。加强与重庆主城、成都、西安联动，承接生态旅游辐射，打造渝川陕生态“后花园”。加强与周边地区协作互动，主动融入万达开川渝统筹发展示范区和万开云板块，带动城口协同发展。与四川宣汉、万源合作共建革命老区振兴发展示范区，促进川东北渝东北一体化发展。积极联动陕西镇坪、平利、岚皋、紫阳，探索建立区域合作机制，谋划共建秦巴山生态合作示范区，共推形成优势互补协同发展的良性格局，提升区域整体竞争力。利用东西部协作和“一区两群”协同发展平台，强化与东部地区、重庆主城都市区的发展互动，深化产业协作和消费协作。</w:t>
      </w:r>
    </w:p>
    <w:bookmarkEnd w:id="668"/>
    <w:bookmarkEnd w:id="669"/>
    <w:bookmarkEnd w:id="670"/>
    <w:p>
      <w:pPr>
        <w:overflowPunct w:val="0"/>
        <w:adjustRightInd w:val="0"/>
        <w:snapToGrid w:val="0"/>
        <w:spacing w:line="560" w:lineRule="exact"/>
        <w:jc w:val="center"/>
        <w:outlineLvl w:val="2"/>
        <w:rPr>
          <w:rFonts w:ascii="Times New Roman" w:hAnsi="Times New Roman" w:eastAsia="方正楷体_GBK"/>
          <w:b/>
          <w:sz w:val="32"/>
          <w:szCs w:val="32"/>
        </w:rPr>
      </w:pPr>
      <w:bookmarkStart w:id="671" w:name="_Toc8218"/>
      <w:bookmarkStart w:id="672" w:name="_Toc5663"/>
      <w:bookmarkStart w:id="673" w:name="_Toc6382"/>
      <w:bookmarkStart w:id="674" w:name="_Toc23796"/>
      <w:bookmarkStart w:id="675" w:name="_Toc20921"/>
      <w:bookmarkStart w:id="676" w:name="_Toc11035"/>
      <w:bookmarkStart w:id="677" w:name="_Toc16938"/>
      <w:bookmarkStart w:id="678" w:name="_Toc22063"/>
      <w:bookmarkStart w:id="679" w:name="_Toc21190"/>
      <w:bookmarkStart w:id="680" w:name="_Toc19643"/>
      <w:bookmarkStart w:id="681" w:name="_Toc24076"/>
      <w:bookmarkStart w:id="682" w:name="_Toc20746"/>
      <w:bookmarkStart w:id="683" w:name="_Toc20279"/>
      <w:bookmarkStart w:id="684" w:name="_Toc27796"/>
      <w:bookmarkStart w:id="685" w:name="_Toc968"/>
      <w:bookmarkStart w:id="686" w:name="_Toc29015"/>
      <w:bookmarkStart w:id="687" w:name="_Toc20987"/>
      <w:bookmarkStart w:id="688" w:name="_Toc13225"/>
      <w:bookmarkStart w:id="689" w:name="_Toc4441"/>
      <w:r>
        <w:rPr>
          <w:rFonts w:ascii="Times New Roman" w:hAnsi="Times New Roman" w:eastAsia="方正楷体_GBK"/>
          <w:b/>
          <w:sz w:val="32"/>
          <w:szCs w:val="32"/>
        </w:rPr>
        <w:t xml:space="preserve">第二节  </w:t>
      </w:r>
      <w:bookmarkEnd w:id="671"/>
      <w:bookmarkEnd w:id="672"/>
      <w:bookmarkEnd w:id="673"/>
      <w:bookmarkEnd w:id="674"/>
      <w:bookmarkEnd w:id="675"/>
      <w:bookmarkEnd w:id="676"/>
      <w:bookmarkEnd w:id="677"/>
      <w:bookmarkEnd w:id="678"/>
      <w:bookmarkEnd w:id="679"/>
      <w:bookmarkEnd w:id="680"/>
      <w:bookmarkEnd w:id="681"/>
      <w:bookmarkEnd w:id="682"/>
      <w:bookmarkEnd w:id="683"/>
      <w:r>
        <w:rPr>
          <w:rFonts w:ascii="Times New Roman" w:hAnsi="Times New Roman" w:eastAsia="方正楷体_GBK"/>
          <w:b/>
          <w:sz w:val="32"/>
          <w:szCs w:val="32"/>
        </w:rPr>
        <w:t>拓展投资空间</w:t>
      </w:r>
      <w:bookmarkEnd w:id="684"/>
      <w:bookmarkEnd w:id="685"/>
      <w:bookmarkEnd w:id="686"/>
      <w:bookmarkEnd w:id="687"/>
      <w:bookmarkEnd w:id="688"/>
      <w:bookmarkEnd w:id="689"/>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积极扩大有效投资。聚焦基础设施、农业农村、公共安全、生态环保、科技教育、公共卫生、防灾减灾、民生保障等既有需求又有空间的短板领域，保持投资合理增长。推进重大生态系统保护修复、东部新区、防洪抗旱减灾等一批强基础、增功能、利长远的重大项目建设。加大项目谋划储备力度，建立重大项目库。强化要素保障，加强项目科学调度，尽快形成更多实物投资量。增强投资有效性，让更多基础设施投资形成优质资产、产业投资形成实体企业、民生投资形成消费潜力。</w:t>
      </w: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投融资体制改革创新。发挥政府投资引导和撬动作用，强化“项目池”“资金池”“资源要素池”对接，推动资金资产资源“三资融合”。创新投融资模式，多渠道盘活存量资产以市场化方式引导债券资金、保险资金、公募资金等社会资本更多参与基础设施、公共服务、生态产业、科技创新等重点领域建设。积极扩大直接融资，引导更多资本要素向中小微企业、民营企业高效配置，支持企业上市融资。增强投资服务效能，调动民间投资积极性，形成市场主导、政府引导的投资内生增长机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690" w:name="_Toc17304"/>
      <w:bookmarkStart w:id="691" w:name="_Toc20335"/>
      <w:bookmarkStart w:id="692" w:name="_Toc13278"/>
      <w:bookmarkStart w:id="693" w:name="_Toc25419"/>
      <w:bookmarkStart w:id="694" w:name="_Toc16558"/>
      <w:bookmarkStart w:id="695" w:name="_Toc22483"/>
      <w:bookmarkStart w:id="696" w:name="_Toc28158"/>
      <w:bookmarkStart w:id="697" w:name="_Toc7967"/>
      <w:bookmarkStart w:id="698" w:name="_Toc16232"/>
      <w:bookmarkStart w:id="699" w:name="_Toc19186"/>
      <w:bookmarkStart w:id="700" w:name="_Toc21890"/>
      <w:bookmarkStart w:id="701" w:name="_Toc15458"/>
      <w:bookmarkStart w:id="702" w:name="_Toc24463"/>
      <w:bookmarkStart w:id="703" w:name="_Toc18807"/>
      <w:r>
        <w:rPr>
          <w:rFonts w:ascii="Times New Roman" w:hAnsi="Times New Roman" w:eastAsia="方正楷体_GBK"/>
          <w:b/>
          <w:sz w:val="32"/>
          <w:szCs w:val="32"/>
        </w:rPr>
        <w:t>第三节  全面促进消费</w:t>
      </w:r>
      <w:bookmarkEnd w:id="690"/>
      <w:bookmarkEnd w:id="691"/>
      <w:bookmarkEnd w:id="692"/>
      <w:bookmarkEnd w:id="693"/>
      <w:bookmarkEnd w:id="694"/>
      <w:bookmarkEnd w:id="695"/>
      <w:bookmarkEnd w:id="696"/>
      <w:bookmarkEnd w:id="697"/>
      <w:bookmarkEnd w:id="698"/>
      <w:bookmarkEnd w:id="699"/>
      <w:bookmarkEnd w:id="700"/>
      <w:bookmarkEnd w:id="701"/>
      <w:bookmarkEnd w:id="702"/>
    </w:p>
    <w:p>
      <w:pPr>
        <w:overflowPunct w:val="0"/>
        <w:adjustRightInd w:val="0"/>
        <w:snapToGrid w:val="0"/>
        <w:spacing w:line="560" w:lineRule="exact"/>
        <w:ind w:firstLine="640" w:firstLineChars="200"/>
        <w:jc w:val="left"/>
        <w:rPr>
          <w:rFonts w:ascii="Times New Roman" w:hAnsi="Times New Roman" w:eastAsia="方正仿宋_GBK"/>
          <w:b/>
          <w:bCs/>
          <w:sz w:val="32"/>
          <w:szCs w:val="32"/>
        </w:rPr>
      </w:pPr>
      <w:r>
        <w:rPr>
          <w:rFonts w:ascii="Times New Roman" w:hAnsi="Times New Roman" w:eastAsia="方正仿宋_GBK"/>
          <w:bCs/>
          <w:sz w:val="32"/>
          <w:szCs w:val="32"/>
        </w:rPr>
        <w:t>拓展优化消费空间。构建多元融合的消费业态，提升县城中心城区商圈品质，承接高端消费群体。引导商业步行街、文化街、土城老街等打造市民消费升级载体，因地制宜发展新型文旅商业消费聚集区。</w:t>
      </w:r>
      <w:r>
        <w:rPr>
          <w:rFonts w:ascii="Times New Roman" w:hAnsi="Times New Roman" w:eastAsia="方正仿宋_GBK"/>
          <w:sz w:val="32"/>
          <w:szCs w:val="32"/>
        </w:rPr>
        <w:t>拓展消费新场景，提升假日消费、旅游消费、夜间经济，建设具有巴山特色的绿色高端消费目的地和渝东北地区具有影响力的康养胜地。</w:t>
      </w:r>
      <w:r>
        <w:rPr>
          <w:rFonts w:ascii="Times New Roman" w:hAnsi="Times New Roman" w:eastAsia="方正仿宋_GBK"/>
          <w:bCs/>
          <w:sz w:val="32"/>
          <w:szCs w:val="32"/>
        </w:rPr>
        <w:t>适当增加公共消费，提高教育、医疗、养老、育幼等公共服务支出效率。扩大消费需求，挖掘和增强居民消费能力。开拓乡村市场，推动农村消费扩容提质，吸引城市消费下乡。</w:t>
      </w: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推动消费供给升级。顺应消费品质化、智能化、多元化、服务化升级趋势，以消费升级引领供给创新，</w:t>
      </w:r>
      <w:r>
        <w:rPr>
          <w:rFonts w:ascii="Times New Roman" w:hAnsi="Times New Roman" w:eastAsia="方正仿宋_GBK"/>
          <w:bCs/>
          <w:sz w:val="32"/>
          <w:szCs w:val="32"/>
        </w:rPr>
        <w:t>着力发展平台经济、共享经济、美丽经济，</w:t>
      </w:r>
      <w:r>
        <w:rPr>
          <w:rFonts w:ascii="Times New Roman" w:hAnsi="Times New Roman" w:eastAsia="方正仿宋_GBK"/>
          <w:sz w:val="32"/>
          <w:szCs w:val="32"/>
        </w:rPr>
        <w:t>构建多元融合的消费业态</w:t>
      </w:r>
      <w:r>
        <w:rPr>
          <w:rFonts w:ascii="Times New Roman" w:hAnsi="Times New Roman" w:eastAsia="方正仿宋_GBK"/>
          <w:bCs/>
          <w:sz w:val="32"/>
          <w:szCs w:val="32"/>
        </w:rPr>
        <w:t>。加快完善“互联网+”消费生态体系，促进线上线下消费融合发展，培育消费新模式。</w:t>
      </w:r>
      <w:r>
        <w:rPr>
          <w:rFonts w:ascii="Times New Roman" w:hAnsi="Times New Roman" w:eastAsia="方正仿宋_GBK"/>
          <w:sz w:val="32"/>
          <w:szCs w:val="32"/>
        </w:rPr>
        <w:t>加快推动生态旅游消费升级，发展大巴山特色生态美食、传统手工艺品、养生食疗等产业，促进消费向绿色、健康、安全发展。</w:t>
      </w:r>
    </w:p>
    <w:p>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全面提升消费环境。完善消费促进政策，健全消费者权益保障制度，营造安全友好的诚信消费环境。建立健全市场监测、用户权益保障、重要产品追溯等机制，完善消费信用监管体系，确保消费者安全消费。</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专栏4  特色消费集聚区建设</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商业街区。</w:t>
            </w:r>
            <w:r>
              <w:rPr>
                <w:rFonts w:ascii="Times New Roman" w:hAnsi="Times New Roman" w:eastAsia="方正仿宋_GBK"/>
                <w:sz w:val="24"/>
                <w:szCs w:val="32"/>
              </w:rPr>
              <w:t>推动南大街、步行街、商业街、后南街等商业设施改造升级，建设百年广场商业综合体、土城历史文化名街等一批特色商业街区。</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特色美食街。</w:t>
            </w:r>
            <w:r>
              <w:rPr>
                <w:rFonts w:ascii="Times New Roman" w:hAnsi="Times New Roman" w:eastAsia="方正仿宋_GBK"/>
                <w:kern w:val="0"/>
                <w:sz w:val="24"/>
                <w:szCs w:val="28"/>
              </w:rPr>
              <w:t>打造葛城大巴山美食街、庙坝山地鸡美食街、修齐老腊肉美食街、巴山湖美食街、亢谷美食街、九重山美食街六大特色美食街。</w:t>
            </w:r>
          </w:p>
        </w:tc>
      </w:tr>
    </w:tbl>
    <w:p>
      <w:pPr>
        <w:overflowPunct w:val="0"/>
        <w:spacing w:line="560" w:lineRule="exact"/>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w w:val="98"/>
          <w:kern w:val="44"/>
          <w:sz w:val="32"/>
          <w:szCs w:val="32"/>
        </w:rPr>
      </w:pPr>
      <w:bookmarkStart w:id="704" w:name="_Toc4287"/>
      <w:bookmarkStart w:id="705" w:name="_Toc7331"/>
      <w:bookmarkStart w:id="706" w:name="_Toc2049"/>
      <w:bookmarkStart w:id="707" w:name="_Toc15586"/>
      <w:bookmarkStart w:id="708" w:name="_Toc25953"/>
      <w:bookmarkStart w:id="709" w:name="_Toc9378"/>
      <w:bookmarkStart w:id="710" w:name="_Toc1840"/>
      <w:bookmarkStart w:id="711" w:name="_Toc19845"/>
      <w:bookmarkStart w:id="712" w:name="_Toc6452"/>
      <w:bookmarkStart w:id="713" w:name="_Toc14410"/>
      <w:bookmarkStart w:id="714" w:name="_Toc18912"/>
      <w:bookmarkStart w:id="715" w:name="_Toc31202"/>
      <w:bookmarkStart w:id="716" w:name="_Toc12573"/>
      <w:bookmarkStart w:id="717" w:name="_Toc28393"/>
      <w:bookmarkStart w:id="718" w:name="_Toc2828"/>
      <w:bookmarkStart w:id="719" w:name="_Toc18275"/>
      <w:bookmarkStart w:id="720" w:name="_Toc750"/>
      <w:bookmarkStart w:id="721" w:name="_Toc1252"/>
      <w:r>
        <w:rPr>
          <w:rFonts w:ascii="Times New Roman" w:hAnsi="Times New Roman" w:eastAsia="方正黑体_GBK"/>
          <w:b/>
          <w:bCs/>
          <w:w w:val="98"/>
          <w:kern w:val="44"/>
          <w:sz w:val="32"/>
          <w:szCs w:val="32"/>
        </w:rPr>
        <w:t xml:space="preserve">第十章  </w:t>
      </w:r>
      <w:bookmarkEnd w:id="703"/>
      <w:r>
        <w:rPr>
          <w:rFonts w:ascii="Times New Roman" w:hAnsi="Times New Roman" w:eastAsia="方正黑体_GBK"/>
          <w:b/>
          <w:bCs/>
          <w:w w:val="98"/>
          <w:kern w:val="44"/>
          <w:sz w:val="32"/>
          <w:szCs w:val="32"/>
        </w:rPr>
        <w:t>推进成渝地区双城经济圈和渝东北三峡库区城镇群建设</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牢固树立一体化发展理念，</w:t>
      </w:r>
      <w:r>
        <w:rPr>
          <w:rFonts w:ascii="Times New Roman" w:hAnsi="Times New Roman" w:eastAsia="方正仿宋_GBK"/>
          <w:bCs/>
          <w:sz w:val="32"/>
          <w:szCs w:val="32"/>
        </w:rPr>
        <w:t>以城（口）宣（汉）万（源）革命老区振兴发展示范区为重要平台，</w:t>
      </w:r>
      <w:r>
        <w:rPr>
          <w:rFonts w:ascii="Times New Roman" w:hAnsi="Times New Roman" w:eastAsia="方正仿宋_GBK"/>
          <w:sz w:val="32"/>
          <w:szCs w:val="32"/>
        </w:rPr>
        <w:t>积极融入成渝地区双城经济圈建设，促进川东北渝东北一体化发展。深入落实重庆“一区两群”协调发展机制，加快建设生态优先绿色发展示范区。</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722" w:name="_Toc20389"/>
      <w:bookmarkStart w:id="723" w:name="_Toc25549"/>
      <w:bookmarkStart w:id="724" w:name="_Toc14969"/>
      <w:bookmarkStart w:id="725" w:name="_Toc6346"/>
      <w:bookmarkStart w:id="726" w:name="_Toc7851"/>
      <w:bookmarkStart w:id="727" w:name="_Toc19550"/>
      <w:bookmarkStart w:id="728" w:name="_Toc11645"/>
      <w:bookmarkStart w:id="729" w:name="_Toc22112"/>
      <w:bookmarkStart w:id="730" w:name="_Toc2204"/>
      <w:bookmarkStart w:id="731" w:name="_Toc13492"/>
      <w:bookmarkStart w:id="732" w:name="_Toc25050"/>
      <w:bookmarkStart w:id="733" w:name="_Toc11460"/>
      <w:bookmarkStart w:id="734" w:name="_Toc26237"/>
      <w:bookmarkStart w:id="735" w:name="_Toc10330"/>
      <w:bookmarkStart w:id="736" w:name="_Toc13782"/>
      <w:bookmarkStart w:id="737" w:name="_Toc8762"/>
      <w:bookmarkStart w:id="738" w:name="_Toc11439"/>
      <w:bookmarkStart w:id="739" w:name="_Toc30638"/>
      <w:r>
        <w:rPr>
          <w:rFonts w:ascii="Times New Roman" w:hAnsi="Times New Roman" w:eastAsia="方正楷体_GBK"/>
          <w:b/>
          <w:sz w:val="32"/>
          <w:szCs w:val="32"/>
        </w:rPr>
        <w:t>第一节  合力推进基础设施建设</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推进区域交通基础设施互联互通，加快推动渝西高铁、城口至万源、城口至宣汉、城口至巫溪高速公路建设，全力争取安张铁路过境城口方案、万（州）至开（州）至城（口）至安（康）铁路</w:t>
      </w:r>
      <w:bookmarkStart w:id="740" w:name="_Hlk60904149"/>
      <w:r>
        <w:rPr>
          <w:rFonts w:ascii="Times New Roman" w:hAnsi="Times New Roman" w:eastAsia="方正仿宋_GBK"/>
          <w:sz w:val="32"/>
          <w:szCs w:val="32"/>
        </w:rPr>
        <w:t>和城口至镇坪至神农架高速公路等重大交通项目</w:t>
      </w:r>
      <w:bookmarkEnd w:id="740"/>
      <w:r>
        <w:rPr>
          <w:rFonts w:ascii="Times New Roman" w:hAnsi="Times New Roman" w:eastAsia="方正仿宋_GBK"/>
          <w:sz w:val="32"/>
          <w:szCs w:val="32"/>
        </w:rPr>
        <w:t>，打通城口与陕西紫阳县间的“断头路”。加强水利基础设施共建共管，协同建设城乡防洪、中小河流治理、山洪灾害防治、水土流失等一系列水利工程，加强任河、前河、中河、后河流域水利基础设施建设管理协作，合作实施饮水安全巩固提升工程。优化区域能源基础设施布局，促进能源基础设施共建共用。</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741" w:name="_Toc17280"/>
      <w:bookmarkStart w:id="742" w:name="_Toc9011"/>
      <w:bookmarkStart w:id="743" w:name="_Toc18920"/>
      <w:bookmarkStart w:id="744" w:name="_Toc26783"/>
      <w:bookmarkStart w:id="745" w:name="_Toc17629"/>
      <w:bookmarkStart w:id="746" w:name="_Toc27315"/>
      <w:bookmarkStart w:id="747" w:name="_Toc18269"/>
      <w:bookmarkStart w:id="748" w:name="_Toc598"/>
      <w:bookmarkStart w:id="749" w:name="_Toc8199"/>
      <w:bookmarkStart w:id="750" w:name="_Toc25250"/>
      <w:bookmarkStart w:id="751" w:name="_Toc28469"/>
      <w:bookmarkStart w:id="752" w:name="_Toc9699"/>
      <w:bookmarkStart w:id="753" w:name="_Toc15857"/>
      <w:bookmarkStart w:id="754" w:name="_Toc31702"/>
      <w:bookmarkStart w:id="755" w:name="_Toc23130"/>
      <w:bookmarkStart w:id="756" w:name="_Toc28503"/>
      <w:bookmarkStart w:id="757" w:name="_Toc15293"/>
      <w:bookmarkStart w:id="758" w:name="_Toc14524"/>
      <w:r>
        <w:rPr>
          <w:rFonts w:ascii="Times New Roman" w:hAnsi="Times New Roman" w:eastAsia="方正楷体_GBK"/>
          <w:b/>
          <w:sz w:val="32"/>
          <w:szCs w:val="32"/>
        </w:rPr>
        <w:t>第二节  合力推进产业互融互补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区域山地特色高效农业协同发展。深度参与大三峡区域生态绿色产品和地理标志产品的品牌建设，协同推进“三峡”系列农产品地方标准制定，推动“大巴山硒谷”品牌融入“巴味渝珍”区域公用品牌体系。充分利用独具特色的农产品资源，合力推动品牌创造、品牌输出与品牌营销，建设成渝地区有机农产品供应地与特色农产品优势区。</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共同打造大巴山国际旅游度假区。坚持市场带动、景区联动、客源共享、集群发展理念，推动区域旅游康养基础设施建设，提升旅游康养服务水平，协同毗邻地区共推巴蜀文化旅游走廊建设，积极融入“大三峡”世界级精品景区和线路。</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推进区域绿色工业发展。探索与毗邻地区互利共赢的税收分享机制，合作共建产业园区，发展“飞地经济”，推动锰钡加工转型升级。</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759" w:name="_Toc15568"/>
      <w:bookmarkStart w:id="760" w:name="_Toc11662"/>
      <w:bookmarkStart w:id="761" w:name="_Toc24078"/>
      <w:bookmarkStart w:id="762" w:name="_Toc28939"/>
      <w:bookmarkStart w:id="763" w:name="_Toc24388"/>
      <w:bookmarkStart w:id="764" w:name="_Toc11430"/>
      <w:bookmarkStart w:id="765" w:name="_Toc5020"/>
      <w:bookmarkStart w:id="766" w:name="_Toc19521"/>
      <w:bookmarkStart w:id="767" w:name="_Toc24529"/>
      <w:bookmarkStart w:id="768" w:name="_Toc29880"/>
      <w:bookmarkStart w:id="769" w:name="_Toc11673"/>
      <w:bookmarkStart w:id="770" w:name="_Toc15943"/>
      <w:bookmarkStart w:id="771" w:name="_Toc3194"/>
      <w:bookmarkStart w:id="772" w:name="_Toc21870"/>
      <w:bookmarkStart w:id="773" w:name="_Toc12914"/>
      <w:bookmarkStart w:id="774" w:name="_Toc8517"/>
      <w:bookmarkStart w:id="775" w:name="_Toc12411"/>
      <w:bookmarkStart w:id="776" w:name="_Toc25007"/>
      <w:r>
        <w:rPr>
          <w:rFonts w:ascii="Times New Roman" w:hAnsi="Times New Roman" w:eastAsia="方正楷体_GBK"/>
          <w:b/>
          <w:sz w:val="32"/>
          <w:szCs w:val="32"/>
        </w:rPr>
        <w:t>第三节  合力推进生态环境共建共保</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跨区域生态共建环境共保。加强区域生态环境政策协同，完善毗邻地区生态环境部门协同工作机制。统筹区域山水林田湖草一体化保护和修复，深化跨区域生态保护合作，共同谋划实施一批区域性生态项目。以跨界河流与跨界山脉为支撑，共建绿色生态廊道，持续提升自然保护地生态环境质量。</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积极开展跨区域生态环境防控治理。建立与毗邻地区生态环境联防联控机制，开展常态化跨界河流联合“巡河”行动，推进林业有害生物防控合作。加强跨界水体环境和水土流失综合治理。建立跨区域突发环境事件应急管理联动与协作处置机制，开展跨界生态环境联合执法。协同推进企业环境信用体系建设，建立跨区域环评会商机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777" w:name="_Toc10203"/>
      <w:bookmarkStart w:id="778" w:name="_Toc27928"/>
      <w:bookmarkStart w:id="779" w:name="_Toc30510"/>
      <w:bookmarkStart w:id="780" w:name="_Toc11171"/>
      <w:bookmarkStart w:id="781" w:name="_Toc29339"/>
      <w:bookmarkStart w:id="782" w:name="_Toc18404"/>
      <w:bookmarkStart w:id="783" w:name="_Toc30356"/>
      <w:bookmarkStart w:id="784" w:name="_Toc21629"/>
      <w:bookmarkStart w:id="785" w:name="_Toc1695"/>
      <w:bookmarkStart w:id="786" w:name="_Toc18918"/>
      <w:bookmarkStart w:id="787" w:name="_Toc30650"/>
      <w:bookmarkStart w:id="788" w:name="_Toc24885"/>
      <w:bookmarkStart w:id="789" w:name="_Toc15723"/>
      <w:bookmarkStart w:id="790" w:name="_Toc8546"/>
      <w:bookmarkStart w:id="791" w:name="_Toc12288"/>
      <w:bookmarkStart w:id="792" w:name="_Toc18685"/>
      <w:bookmarkStart w:id="793" w:name="_Toc19109"/>
      <w:bookmarkStart w:id="794" w:name="_Toc2407"/>
      <w:r>
        <w:rPr>
          <w:rFonts w:ascii="Times New Roman" w:hAnsi="Times New Roman" w:eastAsia="方正楷体_GBK"/>
          <w:b/>
          <w:sz w:val="32"/>
          <w:szCs w:val="32"/>
        </w:rPr>
        <w:t>第四节  合力推进公共服务共建共享</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医疗卫生服务共建共享。联合毗邻地区统筹布局优质医疗卫生资源，落实异地就医直接结算与定点医疗机构协同互认。共建紧密型医联体，加强医院间项目合作、技术帮扶、专科建设、人才培养、学术交流、科研开发。完善重大疫情和突发公共卫生事件联防联控机制，提升公共卫生应急救治能力。</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教育资源互融互通。共建大巴山研学旅行基地，为毗邻地区学生提供优质社会实践和劳动教育服务。大力推动开放办学、合作办学、特色办学、差异办学，促进区域内教师招录、培养、交流合作，探索毗邻地区边界学校义务教育招生联动机制，实现“籍随人走”，全力融入区域教育协同发展版图。</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就业创业互扶互认。积极参与建立跨区域公共就业创业服务长效对接机制，强化就业帮扶、创业扶持、人才流动、农民工服务保障、社会保险服务政策及措施协同。合力推进户籍便利化迁移和居住证互认互通、社会保险协同认证、养老保险关系无障碍转移、公积金互认互贷等。加强毗邻地区人力资源服务许可备案、从业人员职业资格等事项互认，促进跨区域就业信息、工伤保险参保登记、劳动能力鉴定等信息共享。</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795" w:name="_Toc24786"/>
      <w:bookmarkStart w:id="796" w:name="_Toc19619"/>
      <w:bookmarkStart w:id="797" w:name="_Toc14887"/>
      <w:bookmarkStart w:id="798" w:name="_Toc1398"/>
      <w:bookmarkStart w:id="799" w:name="_Toc18291"/>
      <w:bookmarkStart w:id="800" w:name="_Toc19111"/>
      <w:bookmarkStart w:id="801" w:name="_Toc28180"/>
      <w:bookmarkStart w:id="802" w:name="_Toc13419"/>
      <w:bookmarkStart w:id="803" w:name="_Toc11078"/>
      <w:bookmarkStart w:id="804" w:name="_Toc12970"/>
      <w:bookmarkStart w:id="805" w:name="_Toc27880"/>
      <w:bookmarkStart w:id="806" w:name="_Toc8024"/>
      <w:bookmarkStart w:id="807" w:name="_Toc7814"/>
      <w:bookmarkStart w:id="808" w:name="_Toc338"/>
      <w:bookmarkStart w:id="809" w:name="_Toc28244"/>
      <w:bookmarkStart w:id="810" w:name="_Toc24517"/>
      <w:bookmarkStart w:id="811" w:name="_Toc19286"/>
      <w:bookmarkStart w:id="812" w:name="_Toc23983"/>
      <w:r>
        <w:rPr>
          <w:rFonts w:ascii="Times New Roman" w:hAnsi="Times New Roman" w:eastAsia="方正楷体_GBK"/>
          <w:b/>
          <w:sz w:val="32"/>
          <w:szCs w:val="32"/>
        </w:rPr>
        <w:t>第五节  合力深化战略合作机制</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落实毗邻地区相关协调会议机制，健全交通、产业、创新、市场、资源环境、公共服务等专项合作机制，分领域策划和推进具体合作事项及项目。培育合作文化，加强宣传引导，营造全社会共同推动成渝地区双城经济圈建设与渝东北三峡库区城镇群建设的良好氛围。</w:t>
      </w:r>
    </w:p>
    <w:p>
      <w:pPr>
        <w:overflowPunct w:val="0"/>
        <w:spacing w:line="560" w:lineRule="exact"/>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813" w:name="_Toc12356"/>
      <w:bookmarkStart w:id="814" w:name="_Toc19429"/>
      <w:bookmarkStart w:id="815" w:name="_Toc28416"/>
      <w:bookmarkStart w:id="816" w:name="_Toc16683"/>
      <w:bookmarkStart w:id="817" w:name="_Toc5364"/>
      <w:bookmarkStart w:id="818" w:name="_Toc26478"/>
      <w:bookmarkStart w:id="819" w:name="_Toc23734"/>
      <w:bookmarkStart w:id="820" w:name="_Toc27603"/>
      <w:bookmarkStart w:id="821" w:name="_Toc106"/>
      <w:bookmarkStart w:id="822" w:name="_Toc19741"/>
      <w:bookmarkStart w:id="823" w:name="_Toc6761"/>
      <w:bookmarkStart w:id="824" w:name="_Toc23806"/>
      <w:bookmarkStart w:id="825" w:name="_Toc11810"/>
      <w:bookmarkStart w:id="826" w:name="_Toc2652"/>
      <w:bookmarkStart w:id="827" w:name="_Toc24743"/>
      <w:bookmarkStart w:id="828" w:name="_Toc19003"/>
      <w:bookmarkStart w:id="829" w:name="_Toc31748"/>
      <w:bookmarkStart w:id="830" w:name="_Toc24850"/>
      <w:r>
        <w:rPr>
          <w:rFonts w:ascii="Times New Roman" w:hAnsi="Times New Roman" w:eastAsia="方正黑体_GBK"/>
          <w:b/>
          <w:bCs/>
          <w:kern w:val="44"/>
          <w:sz w:val="32"/>
          <w:szCs w:val="32"/>
        </w:rPr>
        <w:t>第十一章  实施更高水平开放</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坚持“引进来”与“走出去”并举，实施更大范围、更宽领域、更深层次开放，促进各类要素自由流动、高效聚集。积极开展对外经贸合作与人文交流，提升开放水平。</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831" w:name="_Toc14540"/>
      <w:bookmarkStart w:id="832" w:name="_Toc8658"/>
      <w:bookmarkStart w:id="833" w:name="_Toc26666"/>
      <w:bookmarkStart w:id="834" w:name="_Toc14669"/>
      <w:bookmarkStart w:id="835" w:name="_Toc15630"/>
      <w:bookmarkStart w:id="836" w:name="_Toc22436"/>
      <w:bookmarkStart w:id="837" w:name="_Toc23595"/>
      <w:bookmarkStart w:id="838" w:name="_Toc32421"/>
      <w:bookmarkStart w:id="839" w:name="_Toc9328"/>
      <w:bookmarkStart w:id="840" w:name="_Toc3785"/>
      <w:bookmarkStart w:id="841" w:name="_Toc7763"/>
      <w:bookmarkStart w:id="842" w:name="_Toc6101"/>
      <w:bookmarkStart w:id="843" w:name="_Toc8314"/>
      <w:bookmarkStart w:id="844" w:name="_Toc690"/>
      <w:bookmarkStart w:id="845" w:name="_Toc2305"/>
      <w:bookmarkStart w:id="846" w:name="_Toc1372"/>
      <w:bookmarkStart w:id="847" w:name="_Toc20236"/>
      <w:bookmarkStart w:id="848" w:name="_Toc9233"/>
      <w:r>
        <w:rPr>
          <w:rFonts w:ascii="Times New Roman" w:hAnsi="Times New Roman" w:eastAsia="方正楷体_GBK"/>
          <w:b/>
          <w:sz w:val="32"/>
          <w:szCs w:val="32"/>
        </w:rPr>
        <w:t>第一节  加快开放通道建设</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全面融入、主动服务国家和全市对外开放战略，</w:t>
      </w:r>
      <w:r>
        <w:rPr>
          <w:rFonts w:ascii="Times New Roman" w:hAnsi="Times New Roman" w:eastAsia="方正仿宋_GBK"/>
          <w:bCs/>
          <w:sz w:val="32"/>
          <w:szCs w:val="32"/>
        </w:rPr>
        <w:t>统筹东西南北四个方向，加快畅通东向城（口）巫（溪）鄂、西向城（口）宣（汉）达（州）蓉、南向城（口）开（州）万（州）渝、北向城（口）岚（皋）安（康）西、西北城（口）万（源）的五大对外通道，主动融入周边大中城市发展，构建连接长江三峡腹地贯通大西北的重要节点。</w:t>
      </w:r>
      <w:r>
        <w:rPr>
          <w:rFonts w:ascii="Times New Roman" w:hAnsi="Times New Roman" w:eastAsia="方正仿宋_GBK"/>
          <w:sz w:val="32"/>
          <w:szCs w:val="32"/>
        </w:rPr>
        <w:t>以高速、高铁为纽带，促进通道物流、物流带经贸、经贸带产业，大力发展通道经济、枢纽经济，推动通道创造经济价值、提升经济效益，打造渝川陕合作门户。</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849" w:name="_Toc2814"/>
      <w:bookmarkStart w:id="850" w:name="_Toc19816"/>
      <w:bookmarkStart w:id="851" w:name="_Toc4589"/>
      <w:bookmarkStart w:id="852" w:name="_Toc31321"/>
      <w:bookmarkStart w:id="853" w:name="_Toc16358"/>
      <w:bookmarkStart w:id="854" w:name="_Toc29672"/>
      <w:bookmarkStart w:id="855" w:name="_Toc4802"/>
      <w:bookmarkStart w:id="856" w:name="_Toc13393"/>
      <w:bookmarkStart w:id="857" w:name="_Toc3145"/>
      <w:bookmarkStart w:id="858" w:name="_Toc2612"/>
      <w:bookmarkStart w:id="859" w:name="_Toc1128"/>
      <w:bookmarkStart w:id="860" w:name="_Toc23780"/>
      <w:bookmarkStart w:id="861" w:name="_Toc30505"/>
      <w:bookmarkStart w:id="862" w:name="_Toc23442"/>
      <w:bookmarkStart w:id="863" w:name="_Toc2894"/>
      <w:bookmarkStart w:id="864" w:name="_Toc24190"/>
      <w:bookmarkStart w:id="865" w:name="_Toc2841"/>
      <w:bookmarkStart w:id="866" w:name="_Toc17821"/>
      <w:r>
        <w:rPr>
          <w:rFonts w:ascii="Times New Roman" w:hAnsi="Times New Roman" w:eastAsia="方正楷体_GBK"/>
          <w:b/>
          <w:sz w:val="32"/>
          <w:szCs w:val="32"/>
        </w:rPr>
        <w:t>第二节  加快开放平台建设</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依托成渝地区双城经济圈、万达开川渝统筹发展示范区、渝东北三峡库区城镇群、万开云板块等平台，集聚发展资源要素，加快推动城（口）宣（汉）万（源）革命老区振兴发展示范区建设，加强旅游景区、旅游示范区共建，积极融入周边区域协调发展</w:t>
      </w:r>
      <w:r>
        <w:rPr>
          <w:rFonts w:ascii="Times New Roman" w:hAnsi="Times New Roman" w:eastAsia="方正仿宋_GBK"/>
          <w:sz w:val="32"/>
          <w:szCs w:val="32"/>
        </w:rPr>
        <w:t>平台，为推进区域合作交流提供有力支撑。</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快建设城（口）宣（汉）万（源）革命老区振兴发展示范区。加强规划、政策、项目统筹，联合宣汉、万源在共建区域振兴体制机制、基础设施互联互通、公共服务共建共享、一体化社会治理上做好“四个探索”，在继承发扬红色革命精神、区域绿色发展、特色产业协作互促、扶贫增收助推乡村振兴上做到“四个示范”，促进革命老区加快振兴。</w:t>
      </w:r>
    </w:p>
    <w:p>
      <w:pPr>
        <w:overflowPunct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协同建设高品质大巴山景区集群。加快推动亢家寨国家5A级旅游景区建设，联合万源市八台山国家5A级旅游景区、宣汉县巴山大峡谷国家5A级旅游景区一体化发展，聚势形成大巴山国际旅游度假区。加快建设长征国家文化公园、川陕红军干部学院、川陕苏区城口纪念馆、红三十三军纪念馆，抱团万源市、宣汉县，一体化发展红色旅游，打造红色旅游“金三角”。</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867" w:name="_Toc14664"/>
      <w:bookmarkStart w:id="868" w:name="_Toc12700"/>
      <w:bookmarkStart w:id="869" w:name="_Toc16773"/>
      <w:bookmarkStart w:id="870" w:name="_Toc13498"/>
      <w:bookmarkStart w:id="871" w:name="_Toc20628"/>
      <w:bookmarkStart w:id="872" w:name="_Toc20494"/>
      <w:bookmarkStart w:id="873" w:name="_Toc2462"/>
      <w:bookmarkStart w:id="874" w:name="_Toc10470"/>
      <w:bookmarkStart w:id="875" w:name="_Toc21319"/>
      <w:bookmarkStart w:id="876" w:name="_Toc2746"/>
      <w:bookmarkStart w:id="877" w:name="_Toc19700"/>
      <w:bookmarkStart w:id="878" w:name="_Toc31998"/>
      <w:bookmarkStart w:id="879" w:name="_Toc28922"/>
      <w:bookmarkStart w:id="880" w:name="_Toc6863"/>
      <w:bookmarkStart w:id="881" w:name="_Toc14116"/>
      <w:bookmarkStart w:id="882" w:name="_Toc2710"/>
      <w:bookmarkStart w:id="883" w:name="_Toc11791"/>
      <w:bookmarkStart w:id="884" w:name="_Toc30211"/>
      <w:r>
        <w:rPr>
          <w:rFonts w:ascii="Times New Roman" w:hAnsi="Times New Roman" w:eastAsia="方正楷体_GBK"/>
          <w:b/>
          <w:sz w:val="32"/>
          <w:szCs w:val="32"/>
        </w:rPr>
        <w:t>第三节  提升开放型经济发展水平</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overflowPunct w:val="0"/>
        <w:spacing w:line="560" w:lineRule="exact"/>
        <w:ind w:firstLine="624" w:firstLineChars="200"/>
        <w:rPr>
          <w:rFonts w:ascii="Times New Roman" w:hAnsi="Times New Roman" w:eastAsia="方正仿宋_GBK"/>
          <w:spacing w:val="-4"/>
          <w:sz w:val="32"/>
          <w:szCs w:val="32"/>
        </w:rPr>
      </w:pPr>
      <w:r>
        <w:rPr>
          <w:rFonts w:ascii="Times New Roman" w:hAnsi="Times New Roman" w:eastAsia="方正仿宋_GBK"/>
          <w:spacing w:val="-4"/>
          <w:sz w:val="32"/>
          <w:szCs w:val="32"/>
        </w:rPr>
        <w:t>加大招商引资力度。立足资源禀赋和发展定位，坚持引龙头、补链条、建集群原则，重点围绕</w:t>
      </w:r>
      <w:r>
        <w:rPr>
          <w:rFonts w:ascii="Times New Roman" w:hAnsi="Times New Roman" w:eastAsia="方正仿宋_GBK"/>
          <w:bCs/>
          <w:spacing w:val="-4"/>
          <w:sz w:val="32"/>
          <w:szCs w:val="32"/>
        </w:rPr>
        <w:t>山地特色农业、绿色工业、现代服务业、文化旅游、城市建设等领域，实施量质双优精准招商。引进一批投资规模大、处于产业链关键环节、上下游带动性强的产业发展项目，为开放型经济注入新动能</w:t>
      </w:r>
      <w:r>
        <w:rPr>
          <w:rFonts w:ascii="Times New Roman" w:hAnsi="Times New Roman" w:eastAsia="方正仿宋_GBK"/>
          <w:spacing w:val="-4"/>
          <w:sz w:val="32"/>
          <w:szCs w:val="32"/>
        </w:rPr>
        <w:t>。创新“人、财、项目”打包引进模式，引入有生态认同、专业技能的人才和技术团队，鼓励城口企业家返乡创业，为城口经济高质量发展提供有力支撑。</w:t>
      </w:r>
    </w:p>
    <w:p>
      <w:pPr>
        <w:overflowPunct w:val="0"/>
        <w:adjustRightInd w:val="0"/>
        <w:snapToGrid w:val="0"/>
        <w:spacing w:line="560" w:lineRule="exact"/>
        <w:ind w:firstLine="640" w:firstLineChars="200"/>
        <w:rPr>
          <w:rFonts w:ascii="Times New Roman" w:hAnsi="Times New Roman" w:eastAsia="方正小标宋_GBK"/>
          <w:b/>
          <w:bCs/>
          <w:kern w:val="44"/>
          <w:sz w:val="36"/>
          <w:szCs w:val="36"/>
        </w:rPr>
      </w:pPr>
      <w:r>
        <w:rPr>
          <w:rFonts w:ascii="Times New Roman" w:hAnsi="Times New Roman" w:eastAsia="方正仿宋_GBK"/>
          <w:sz w:val="32"/>
          <w:szCs w:val="32"/>
        </w:rPr>
        <w:t>加速外向型经济发展。推进优势行业技术创新和特色资源整合，为外向型经济发展夯实基础。全力培育本地特色产品，加快推动城口老腊肉、漆器工艺品、中药材产品、优质农产品等城口特色产品“走出去”。开展跨境电子商务，加强跨境电商体系建设，推动特色产品出口。鼓励企业参与国际经贸交流，发展进出口业务。参与和发展会展经济，引导企业积极参加秦巴绿色生态产品交易博览会、西洽会等国内外知名交易会，举办秦巴地区区域性会展活动。用好智博会、中新金融峰会、“一带一路”国际技能大赛等重大开放活动平台，拓展城口对外开放合作空间。</w:t>
      </w: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885" w:name="_Toc5498"/>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886" w:name="_Toc14730"/>
      <w:bookmarkStart w:id="887" w:name="_Toc3563"/>
      <w:bookmarkStart w:id="888" w:name="_Toc22591"/>
      <w:bookmarkStart w:id="889" w:name="_Toc3905"/>
      <w:bookmarkStart w:id="890" w:name="_Toc27719"/>
      <w:bookmarkStart w:id="891" w:name="_Toc23225"/>
      <w:bookmarkStart w:id="892" w:name="_Toc14003"/>
      <w:bookmarkStart w:id="893" w:name="_Toc14490"/>
      <w:bookmarkStart w:id="894" w:name="_Toc32616"/>
      <w:bookmarkStart w:id="895" w:name="_Toc31393"/>
      <w:bookmarkStart w:id="896" w:name="_Toc24525"/>
      <w:bookmarkStart w:id="897" w:name="_Toc21007"/>
      <w:bookmarkStart w:id="898" w:name="_Toc11036"/>
      <w:bookmarkStart w:id="899" w:name="_Toc28340"/>
      <w:bookmarkStart w:id="900" w:name="_Toc5414"/>
      <w:bookmarkStart w:id="901" w:name="_Toc2665"/>
      <w:bookmarkStart w:id="902" w:name="_Toc21427"/>
      <w:r>
        <w:rPr>
          <w:rFonts w:ascii="Times New Roman" w:hAnsi="Times New Roman" w:eastAsia="方正小标宋_GBK"/>
          <w:b/>
          <w:bCs/>
          <w:kern w:val="44"/>
          <w:sz w:val="36"/>
          <w:szCs w:val="36"/>
        </w:rPr>
        <w:t>第四篇  全力推进基础设施建设 夯实高质量发展基础</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overflowPunct w:val="0"/>
        <w:rPr>
          <w:rFonts w:ascii="Times New Roman" w:hAnsi="Times New Roman" w:eastAsia="方正黑体_GBK"/>
          <w:b/>
          <w:bCs/>
          <w:kern w:val="44"/>
          <w:sz w:val="36"/>
          <w:szCs w:val="36"/>
        </w:rPr>
      </w:pP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聚焦基础设施补短板，以提升内联外通水平为导向，全力推进传统基础设施和新型基础设施建设，构建集约高效、经济适用、智能绿色、安全可靠的现代化基础设施体系，进一步夯实高质量发展基础，为县域经济社会发展提供强力支撑。</w:t>
      </w:r>
    </w:p>
    <w:p>
      <w:pPr>
        <w:overflowPunct w:val="0"/>
        <w:adjustRightInd w:val="0"/>
        <w:snapToGrid w:val="0"/>
        <w:spacing w:line="560" w:lineRule="exact"/>
        <w:jc w:val="center"/>
        <w:outlineLvl w:val="1"/>
        <w:rPr>
          <w:rFonts w:ascii="Times New Roman" w:hAnsi="Times New Roman" w:eastAsia="方正黑体_GBK"/>
          <w:b/>
          <w:sz w:val="32"/>
          <w:szCs w:val="32"/>
        </w:rPr>
      </w:pPr>
      <w:bookmarkStart w:id="903" w:name="_Toc59950006"/>
      <w:bookmarkStart w:id="904" w:name="_Toc24950"/>
      <w:bookmarkStart w:id="905" w:name="_Toc26157"/>
      <w:bookmarkStart w:id="906" w:name="_Toc15917"/>
      <w:bookmarkStart w:id="907" w:name="_Toc19852"/>
      <w:bookmarkStart w:id="908" w:name="_Toc16420"/>
      <w:bookmarkStart w:id="909" w:name="_Toc27251"/>
      <w:bookmarkStart w:id="910" w:name="_Toc31692"/>
      <w:bookmarkStart w:id="911" w:name="_Toc3394"/>
      <w:bookmarkStart w:id="912" w:name="_Toc27787"/>
      <w:bookmarkStart w:id="913" w:name="_Toc31973"/>
      <w:bookmarkStart w:id="914" w:name="_Toc27464"/>
      <w:bookmarkStart w:id="915" w:name="_Toc5419"/>
      <w:bookmarkStart w:id="916" w:name="_Toc481"/>
      <w:bookmarkStart w:id="917" w:name="_Toc27350"/>
      <w:bookmarkStart w:id="918" w:name="_Toc32582"/>
      <w:bookmarkStart w:id="919" w:name="_Toc6803"/>
      <w:bookmarkStart w:id="920" w:name="_Toc20290"/>
      <w:bookmarkStart w:id="921" w:name="_Toc29348"/>
    </w:p>
    <w:p>
      <w:pPr>
        <w:overflowPunct w:val="0"/>
        <w:adjustRightInd w:val="0"/>
        <w:snapToGrid w:val="0"/>
        <w:spacing w:line="560" w:lineRule="exact"/>
        <w:jc w:val="center"/>
        <w:outlineLvl w:val="1"/>
        <w:rPr>
          <w:rFonts w:ascii="Times New Roman" w:hAnsi="Times New Roman" w:eastAsia="方正黑体_GBK"/>
          <w:b/>
          <w:sz w:val="32"/>
          <w:szCs w:val="32"/>
        </w:rPr>
      </w:pPr>
      <w:r>
        <w:rPr>
          <w:rFonts w:ascii="Times New Roman" w:hAnsi="Times New Roman" w:eastAsia="方正黑体_GBK"/>
          <w:b/>
          <w:sz w:val="32"/>
          <w:szCs w:val="32"/>
        </w:rPr>
        <w:t xml:space="preserve">第十二章  </w:t>
      </w:r>
      <w:bookmarkEnd w:id="903"/>
      <w:r>
        <w:rPr>
          <w:rFonts w:ascii="Times New Roman" w:hAnsi="Times New Roman" w:eastAsia="方正黑体_GBK"/>
          <w:b/>
          <w:sz w:val="32"/>
          <w:szCs w:val="32"/>
        </w:rPr>
        <w:t>建设渝川陕毗邻区县综合交通枢纽</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构建“重庆向北重要交通节点”和“渝川陕毗邻区县综合交通枢纽”为目标，打通对外“大动脉”和畅通内部“微循环”，构建县域对外、县域内部高效衔接多层次综合交通网，强化枢纽衔接，优先推进高铁高速等重大交通基础设施互联互通，着力弥补区域性综合运输通道短板。</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922" w:name="_Toc29457"/>
      <w:bookmarkStart w:id="923" w:name="_Toc13172"/>
      <w:bookmarkStart w:id="924" w:name="_Toc8008"/>
      <w:bookmarkStart w:id="925" w:name="_Toc13888"/>
      <w:bookmarkStart w:id="926" w:name="_Toc1835"/>
      <w:bookmarkStart w:id="927" w:name="_Toc29622"/>
      <w:bookmarkStart w:id="928" w:name="_Toc27076"/>
      <w:bookmarkStart w:id="929" w:name="_Toc30194"/>
      <w:bookmarkStart w:id="930" w:name="_Toc19152"/>
      <w:bookmarkStart w:id="931" w:name="_Toc3262"/>
      <w:bookmarkStart w:id="932" w:name="_Toc17085"/>
      <w:bookmarkStart w:id="933" w:name="_Toc6954"/>
      <w:bookmarkStart w:id="934" w:name="_Toc24956"/>
      <w:bookmarkStart w:id="935" w:name="_Toc17048"/>
      <w:bookmarkStart w:id="936" w:name="_Toc14072"/>
      <w:bookmarkStart w:id="937" w:name="_Toc11910"/>
      <w:bookmarkStart w:id="938" w:name="_Toc310"/>
      <w:bookmarkStart w:id="939" w:name="_Toc26627"/>
      <w:r>
        <w:rPr>
          <w:rFonts w:ascii="Times New Roman" w:hAnsi="Times New Roman" w:eastAsia="方正楷体_GBK"/>
          <w:b/>
          <w:sz w:val="32"/>
          <w:szCs w:val="32"/>
        </w:rPr>
        <w:t>第一节  加快畅通对外通道</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bCs/>
          <w:sz w:val="32"/>
          <w:szCs w:val="32"/>
        </w:rPr>
        <w:t>完善对外综合交通通道布局，加快构建“一高两干”铁路网络和“两纵三横”高速路网。</w:t>
      </w:r>
      <w:r>
        <w:rPr>
          <w:rFonts w:ascii="Times New Roman" w:hAnsi="Times New Roman" w:eastAsia="方正仿宋_GBK"/>
          <w:sz w:val="32"/>
          <w:szCs w:val="32"/>
        </w:rPr>
        <w:t>建成G69银百高速城口段，新开工渝西高铁、城口至万源高速公路，加快推</w:t>
      </w:r>
      <w:r>
        <w:rPr>
          <w:rFonts w:ascii="Times New Roman" w:hAnsi="Times New Roman" w:eastAsia="方正仿宋_GBK"/>
          <w:sz w:val="32"/>
          <w:szCs w:val="32"/>
          <w:lang w:val="zh-CN" w:bidi="zh-CN"/>
        </w:rPr>
        <w:t>进城口至宣汉、城口至巫溪高速公路前期工作并及早开工，</w:t>
      </w:r>
      <w:r>
        <w:rPr>
          <w:rFonts w:ascii="Times New Roman" w:hAnsi="Times New Roman" w:eastAsia="方正仿宋_GBK"/>
          <w:sz w:val="32"/>
          <w:szCs w:val="32"/>
          <w:lang w:val="zh-CN"/>
        </w:rPr>
        <w:t>积极做好万州至城口至安康铁路、安张铁路过境城口、城口支线（通用）机场等重大交通项目规划争取工作，</w:t>
      </w:r>
      <w:r>
        <w:rPr>
          <w:rFonts w:ascii="Times New Roman" w:hAnsi="Times New Roman" w:eastAsia="方正仿宋_GBK"/>
          <w:sz w:val="32"/>
          <w:szCs w:val="32"/>
        </w:rPr>
        <w:t>新建和改建高楠或左岚至陕西紫阳、厚坪至巫溪、明中至巫溪等一批出境道路，实现“1小时万州、达州、安康”和“2小时重庆、成都、西安”联通目标。</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940" w:name="_Toc9008"/>
      <w:bookmarkStart w:id="941" w:name="_Toc27104"/>
      <w:bookmarkStart w:id="942" w:name="_Toc32514"/>
      <w:bookmarkStart w:id="943" w:name="_Toc22098"/>
      <w:bookmarkStart w:id="944" w:name="_Toc35"/>
      <w:bookmarkStart w:id="945" w:name="_Toc5087"/>
      <w:bookmarkStart w:id="946" w:name="_Toc17134"/>
      <w:bookmarkStart w:id="947" w:name="_Toc26075"/>
      <w:bookmarkStart w:id="948" w:name="_Toc3134"/>
      <w:bookmarkStart w:id="949" w:name="_Toc15669"/>
      <w:bookmarkStart w:id="950" w:name="_Toc28225"/>
      <w:bookmarkStart w:id="951" w:name="_Toc28335"/>
      <w:bookmarkStart w:id="952" w:name="_Toc29096"/>
      <w:bookmarkStart w:id="953" w:name="_Toc2334"/>
      <w:bookmarkStart w:id="954" w:name="_Toc26057"/>
      <w:bookmarkStart w:id="955" w:name="_Toc11710"/>
      <w:bookmarkStart w:id="956" w:name="_Toc1290"/>
      <w:bookmarkStart w:id="957" w:name="_Toc25494"/>
      <w:r>
        <w:rPr>
          <w:rFonts w:ascii="Times New Roman" w:hAnsi="Times New Roman" w:eastAsia="方正楷体_GBK"/>
          <w:b/>
          <w:sz w:val="32"/>
          <w:szCs w:val="32"/>
        </w:rPr>
        <w:t>第二节  加快完善内部网络</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以服务带动产业发展、便捷居民生产生活为目标，加快推动县域内部公路成环成网、互联互通。改（新）建G211庙坝至蓼子、S201左岚至巴山等一批国省道和重要连接道，加快构建县城与修齐、北屏、高燕、龙田等周边乡镇的城市核心交通网络。抓好“四好农村路”建设和管护，深入实施通达通畅“进村入户”工程，新建和改建一批产业路、旅游路。到2025年，力争实现国道二级及以上比重达到80%，普通省道三级及以上比重达到65%，普通干线公路安保设施覆盖率达到100%，入户道路通达率、具备条件路段增设错车道率达到100%，实现县内“1小时通勤”目标。</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958" w:name="_Toc26288"/>
      <w:bookmarkStart w:id="959" w:name="_Toc7533"/>
      <w:bookmarkStart w:id="960" w:name="_Toc5771"/>
      <w:bookmarkStart w:id="961" w:name="_Toc4564"/>
      <w:bookmarkStart w:id="962" w:name="_Toc23649"/>
      <w:bookmarkStart w:id="963" w:name="_Toc8412"/>
      <w:bookmarkStart w:id="964" w:name="_Toc19617"/>
      <w:bookmarkStart w:id="965" w:name="_Toc15299"/>
      <w:bookmarkStart w:id="966" w:name="_Toc23059"/>
      <w:bookmarkStart w:id="967" w:name="_Toc14313"/>
      <w:bookmarkStart w:id="968" w:name="_Toc25960"/>
      <w:bookmarkStart w:id="969" w:name="_Toc2437"/>
      <w:bookmarkStart w:id="970" w:name="_Toc16643"/>
      <w:bookmarkStart w:id="971" w:name="_Toc24707"/>
      <w:bookmarkStart w:id="972" w:name="_Toc17300"/>
      <w:bookmarkStart w:id="973" w:name="_Toc2591"/>
      <w:bookmarkStart w:id="974" w:name="_Toc18716"/>
      <w:bookmarkStart w:id="975" w:name="_Toc17031"/>
      <w:r>
        <w:rPr>
          <w:rFonts w:ascii="Times New Roman" w:hAnsi="Times New Roman" w:eastAsia="方正楷体_GBK"/>
          <w:b/>
          <w:sz w:val="32"/>
          <w:szCs w:val="32"/>
        </w:rPr>
        <w:t>第三节  强化运输服务能力</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规划布局“1+1+23”客运枢纽节点体系，建成城口县综合客运枢纽、渝西高铁城口站、23个乡镇交通综合服务站，开通城口至重庆主城、万州、开州、四川达州、万源、宣汉6条城际快速客运专线，开通双河至万源石塘、周溪至宣汉渡口、新田至巫溪土城3条毗邻区县城乡公交和高观、沿河、双河3个乡镇城乡公交，加快构建一体化现代综合客运体系。规划布局“6+7”货运枢纽体系，建成城口高铁物流中心、城口高速公路物流中心、城口县综合货运枢纽站、高燕锰产品物流中心、巴山钡产品物流中心、治平页岩产品物流中心6个一级物流中心，高观、明通、坪坝、巴山、东安、鸡鸣、沿河7个乡镇三级货运站，打造集约高效的现代货运物流服务体系。</w:t>
      </w:r>
    </w:p>
    <w:p>
      <w:pPr>
        <w:overflowPunct w:val="0"/>
        <w:adjustRightInd w:val="0"/>
        <w:snapToGrid w:val="0"/>
        <w:spacing w:line="560" w:lineRule="exact"/>
        <w:jc w:val="center"/>
        <w:outlineLvl w:val="2"/>
        <w:rPr>
          <w:rFonts w:ascii="Times New Roman" w:hAnsi="Times New Roman"/>
        </w:rPr>
      </w:pPr>
      <w:bookmarkStart w:id="976" w:name="_Toc9099"/>
      <w:bookmarkStart w:id="977" w:name="_Toc9645"/>
      <w:bookmarkStart w:id="978" w:name="_Toc6563"/>
      <w:bookmarkStart w:id="979" w:name="_Toc11013"/>
      <w:bookmarkStart w:id="980" w:name="_Toc22877"/>
      <w:bookmarkStart w:id="981" w:name="_Toc4417"/>
      <w:bookmarkStart w:id="982" w:name="_Toc17003"/>
      <w:bookmarkStart w:id="983" w:name="_Toc26180"/>
      <w:bookmarkStart w:id="984" w:name="_Toc6745"/>
      <w:bookmarkStart w:id="985" w:name="_Toc3839"/>
      <w:bookmarkStart w:id="986" w:name="_Toc16028"/>
      <w:bookmarkStart w:id="987" w:name="_Toc12974"/>
      <w:bookmarkStart w:id="988" w:name="_Toc7442"/>
      <w:bookmarkStart w:id="989" w:name="_Toc15578"/>
      <w:bookmarkStart w:id="990" w:name="_Toc16713"/>
      <w:bookmarkStart w:id="991" w:name="_Toc24535"/>
      <w:bookmarkStart w:id="992" w:name="_Toc2547"/>
      <w:bookmarkStart w:id="993" w:name="_Toc3726"/>
      <w:r>
        <w:rPr>
          <w:rFonts w:ascii="Times New Roman" w:hAnsi="Times New Roman" w:eastAsia="方正楷体_GBK"/>
          <w:b/>
          <w:sz w:val="32"/>
          <w:szCs w:val="32"/>
        </w:rPr>
        <w:t>第四节  提升养护管理水平</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推进“路长制”，完善公路管养职责体系，保护路产路权。常态化抓好公路日常养护、预防性养护、小修保养，着力整治公路地灾、危桥危隧，推进农村公路养护市场化。持续推进防护栏安装。大力发展智慧交通，加速交通基础设施网、运输服务网、能源网与信息网络融合发展，推进高质量的智慧交通运输系统建设。</w:t>
      </w:r>
    </w:p>
    <w:p>
      <w:pPr>
        <w:overflowPunct w:val="0"/>
        <w:spacing w:line="480" w:lineRule="exact"/>
        <w:jc w:val="center"/>
        <w:rPr>
          <w:rFonts w:ascii="Times New Roman" w:hAnsi="Times New Roman" w:eastAsia="方正黑体_GBK"/>
          <w:sz w:val="28"/>
          <w:szCs w:val="28"/>
        </w:rPr>
      </w:pPr>
      <w:bookmarkStart w:id="994" w:name="_Toc59950009"/>
      <w:bookmarkStart w:id="995" w:name="_Toc59950008"/>
      <w:r>
        <w:rPr>
          <w:rFonts w:ascii="Times New Roman" w:hAnsi="Times New Roman" w:eastAsia="方正黑体_GBK"/>
          <w:sz w:val="28"/>
          <w:szCs w:val="28"/>
        </w:rPr>
        <w:t>专栏5  交通基础设施重点项目</w:t>
      </w:r>
    </w:p>
    <w:tbl>
      <w:tblPr>
        <w:tblStyle w:val="2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0" w:type="dxa"/>
            <w:tcBorders>
              <w:top w:val="single" w:color="auto" w:sz="4" w:space="0"/>
              <w:left w:val="single" w:color="auto" w:sz="4" w:space="0"/>
              <w:bottom w:val="single" w:color="auto" w:sz="4" w:space="0"/>
              <w:right w:val="single" w:color="auto" w:sz="4" w:space="0"/>
            </w:tcBorders>
          </w:tcPr>
          <w:p>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铁路。</w:t>
            </w:r>
            <w:r>
              <w:rPr>
                <w:rFonts w:ascii="Times New Roman" w:hAnsi="Times New Roman" w:eastAsia="方正仿宋_GBK"/>
                <w:sz w:val="24"/>
              </w:rPr>
              <w:t>开工建设渝西高铁，争取安张铁路过境城口方案、万州至开州至城口至安康普速铁路，基本形成“一高两干”铁路运输网。</w:t>
            </w:r>
          </w:p>
          <w:p>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高速公路。</w:t>
            </w:r>
            <w:r>
              <w:rPr>
                <w:rFonts w:ascii="Times New Roman" w:hAnsi="Times New Roman" w:eastAsia="方正仿宋_GBK"/>
                <w:sz w:val="24"/>
              </w:rPr>
              <w:t>加快推进城开高速建设，开工建设城（口）至万（源）高速公路，加快完成城（口）宣（汉）高速公路、城（口）至巫（溪）高速公路前期工作并尽早开工。</w:t>
            </w:r>
          </w:p>
          <w:p>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民航。</w:t>
            </w:r>
            <w:r>
              <w:rPr>
                <w:rFonts w:ascii="Times New Roman" w:hAnsi="Times New Roman" w:eastAsia="方正仿宋_GBK"/>
                <w:sz w:val="24"/>
              </w:rPr>
              <w:t>积极推进城口支线（通用）机场前期工作。</w:t>
            </w:r>
          </w:p>
          <w:p>
            <w:pPr>
              <w:widowControl/>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rPr>
              <w:t>国省道建设项目。</w:t>
            </w:r>
            <w:r>
              <w:rPr>
                <w:rFonts w:ascii="Times New Roman" w:hAnsi="Times New Roman" w:eastAsia="方正仿宋_GBK"/>
                <w:sz w:val="24"/>
              </w:rPr>
              <w:t>实施G211燕子河至通渝隧道、G211庙坝至蓼子、G211蓼子至燕子河、G211蓼子场镇改线、G211小河口至县城、S201龙田乡至巴山镇公路改扩建工程（四期）、S201左岚至巴山、S501修齐至岚天、S501岚天至河鱼、燕子河大桥至土堡寨大桥、S301县城至八台山隧道、S301修齐至巫溪、S301县城至修齐、双河乡硝水坝、周溪乡鹿坪、周溪至双河等国省道改建工程，建设总里程314公里。</w:t>
            </w:r>
          </w:p>
          <w:p>
            <w:pPr>
              <w:widowControl/>
              <w:overflowPunct w:val="0"/>
              <w:spacing w:line="400" w:lineRule="exact"/>
              <w:ind w:firstLine="482" w:firstLineChars="200"/>
              <w:rPr>
                <w:rFonts w:ascii="Times New Roman" w:hAnsi="Times New Roman" w:eastAsia="方正仿宋_GBK"/>
                <w:b/>
                <w:sz w:val="24"/>
              </w:rPr>
            </w:pPr>
            <w:r>
              <w:rPr>
                <w:rFonts w:ascii="Times New Roman" w:hAnsi="Times New Roman" w:eastAsia="方正仿宋_GBK"/>
                <w:b/>
                <w:sz w:val="24"/>
              </w:rPr>
              <w:t>重要连接线改造提升工程。</w:t>
            </w:r>
            <w:r>
              <w:rPr>
                <w:rFonts w:ascii="Times New Roman" w:hAnsi="Times New Roman" w:eastAsia="方正仿宋_GBK"/>
                <w:sz w:val="24"/>
              </w:rPr>
              <w:t>开工建设修齐至治平（新胜村委）升级改造工程、厚坪场镇至巫溪界段新建工程、岚溪至三河公路改建工程、鸡鸣乡高速互通连接线终点至鸡鸣场镇升级改造工程、土堡寨至周溪场镇升级改造、东安至朝阳新改建公路、九重山旅游扶贫公路、高楠方斗坪至龙田羊耳坝至北屏月峰旅游环线公路工程、治平至明中新建公路、石河口至厚坪乡升级改造工程、猫儿碥至巴山路面改造工程、东安至厚坪至明中新建公路、坪坝至巴山隧道工程共计245公里。规划论证县城至亢谷景区道路改造提升。</w:t>
            </w:r>
          </w:p>
        </w:tc>
      </w:tr>
    </w:tbl>
    <w:p>
      <w:pPr>
        <w:overflowPunct w:val="0"/>
        <w:rPr>
          <w:rFonts w:ascii="Times New Roman" w:hAnsi="Times New Roman" w:eastAsia="方正黑体_GBK"/>
          <w:b/>
          <w:sz w:val="32"/>
          <w:szCs w:val="32"/>
        </w:rPr>
      </w:pPr>
    </w:p>
    <w:p>
      <w:pPr>
        <w:overflowPunct w:val="0"/>
        <w:adjustRightInd w:val="0"/>
        <w:snapToGrid w:val="0"/>
        <w:spacing w:line="560" w:lineRule="exact"/>
        <w:jc w:val="center"/>
        <w:outlineLvl w:val="1"/>
        <w:rPr>
          <w:rFonts w:ascii="Times New Roman" w:hAnsi="Times New Roman" w:eastAsia="方正黑体_GBK"/>
          <w:b/>
          <w:sz w:val="32"/>
          <w:szCs w:val="32"/>
        </w:rPr>
      </w:pPr>
      <w:bookmarkStart w:id="996" w:name="_Toc12868"/>
      <w:bookmarkStart w:id="997" w:name="_Toc25945"/>
      <w:bookmarkStart w:id="998" w:name="_Toc31613"/>
      <w:bookmarkStart w:id="999" w:name="_Toc15230"/>
      <w:bookmarkStart w:id="1000" w:name="_Toc7510"/>
      <w:bookmarkStart w:id="1001" w:name="_Toc16118"/>
      <w:bookmarkStart w:id="1002" w:name="_Toc23918"/>
      <w:bookmarkStart w:id="1003" w:name="_Toc9283"/>
      <w:bookmarkStart w:id="1004" w:name="_Toc30515"/>
      <w:bookmarkStart w:id="1005" w:name="_Toc1610"/>
      <w:bookmarkStart w:id="1006" w:name="_Toc2575"/>
      <w:bookmarkStart w:id="1007" w:name="_Toc26094"/>
      <w:bookmarkStart w:id="1008" w:name="_Toc1830"/>
      <w:bookmarkStart w:id="1009" w:name="_Toc583"/>
      <w:bookmarkStart w:id="1010" w:name="_Toc16961"/>
      <w:bookmarkStart w:id="1011" w:name="_Toc6732"/>
      <w:bookmarkStart w:id="1012" w:name="_Toc22871"/>
      <w:bookmarkStart w:id="1013" w:name="_Toc21888"/>
      <w:r>
        <w:rPr>
          <w:rFonts w:ascii="Times New Roman" w:hAnsi="Times New Roman" w:eastAsia="方正黑体_GBK"/>
          <w:b/>
          <w:sz w:val="32"/>
          <w:szCs w:val="32"/>
        </w:rPr>
        <w:t>第十三章</w:t>
      </w:r>
      <w:bookmarkEnd w:id="994"/>
      <w:r>
        <w:rPr>
          <w:rFonts w:ascii="Times New Roman" w:hAnsi="Times New Roman" w:eastAsia="方正黑体_GBK"/>
          <w:b/>
          <w:sz w:val="32"/>
          <w:szCs w:val="32"/>
        </w:rPr>
        <w:t xml:space="preserve">  提升水安全保障能力</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结合城市提升、乡村振兴、产业发展、人口集聚、防洪等重点需求，推动水利工程补短板，高质量建设均衡可靠的水资源配置和水安全保障体系。</w:t>
      </w:r>
    </w:p>
    <w:p>
      <w:pPr>
        <w:overflowPunct w:val="0"/>
        <w:adjustRightInd w:val="0"/>
        <w:snapToGrid w:val="0"/>
        <w:spacing w:line="560" w:lineRule="exact"/>
        <w:jc w:val="center"/>
        <w:outlineLvl w:val="2"/>
        <w:rPr>
          <w:rFonts w:ascii="Times New Roman" w:hAnsi="Times New Roman"/>
        </w:rPr>
      </w:pPr>
      <w:bookmarkStart w:id="1014" w:name="_Toc17892"/>
      <w:bookmarkStart w:id="1015" w:name="_Toc1033"/>
      <w:bookmarkStart w:id="1016" w:name="_Toc31490"/>
      <w:bookmarkStart w:id="1017" w:name="_Toc18649"/>
      <w:bookmarkStart w:id="1018" w:name="_Toc17294"/>
      <w:bookmarkStart w:id="1019" w:name="_Toc2634"/>
      <w:bookmarkStart w:id="1020" w:name="_Toc15159"/>
      <w:bookmarkStart w:id="1021" w:name="_Toc29451"/>
      <w:bookmarkStart w:id="1022" w:name="_Toc16115"/>
      <w:bookmarkStart w:id="1023" w:name="_Toc19091"/>
      <w:bookmarkStart w:id="1024" w:name="_Toc12022"/>
      <w:bookmarkStart w:id="1025" w:name="_Toc20221"/>
      <w:bookmarkStart w:id="1026" w:name="_Toc8320"/>
      <w:bookmarkStart w:id="1027" w:name="_Toc24225"/>
      <w:bookmarkStart w:id="1028" w:name="_Toc17206"/>
      <w:bookmarkStart w:id="1029" w:name="_Toc16362"/>
      <w:bookmarkStart w:id="1030" w:name="_Toc8971"/>
      <w:bookmarkStart w:id="1031" w:name="_Toc995"/>
      <w:r>
        <w:rPr>
          <w:rFonts w:ascii="Times New Roman" w:hAnsi="Times New Roman" w:eastAsia="方正楷体_GBK"/>
          <w:b/>
          <w:sz w:val="32"/>
          <w:szCs w:val="32"/>
        </w:rPr>
        <w:t>第一节  优化水资源配置</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统筹配置生活、生产、生态用水，构建多源互补、区域互通、集约高效的水资源供应体系。</w:t>
      </w:r>
      <w:r>
        <w:rPr>
          <w:rFonts w:ascii="Times New Roman" w:hAnsi="Times New Roman" w:eastAsia="方正仿宋_GBK"/>
          <w:bCs/>
          <w:sz w:val="32"/>
          <w:szCs w:val="32"/>
        </w:rPr>
        <w:t>加强饮用水水源保护治理和重要水源工程建设，优化水资源配置，提升水旱灾害防御能力。推进水源水库、水系连通、城乡供水等民生水利项目，改善提升城市供水保障能力。加强羊耳坝水库水源保护、水质提升，加快推进丰收水库建设。</w:t>
      </w:r>
      <w:r>
        <w:rPr>
          <w:rFonts w:ascii="Times New Roman" w:hAnsi="Times New Roman" w:eastAsia="方正仿宋_GBK"/>
          <w:sz w:val="32"/>
          <w:szCs w:val="32"/>
        </w:rPr>
        <w:t>实施饮水安全巩固提升工程，解决群众生活用水、产业用水“最后一公里”问题。推进骨干水源工程，积极引入市场机制，推进规范化供水工程建设。</w:t>
      </w:r>
    </w:p>
    <w:p>
      <w:pPr>
        <w:overflowPunct w:val="0"/>
        <w:adjustRightInd w:val="0"/>
        <w:snapToGrid w:val="0"/>
        <w:spacing w:line="560" w:lineRule="exact"/>
        <w:jc w:val="center"/>
        <w:outlineLvl w:val="2"/>
        <w:rPr>
          <w:rFonts w:ascii="Times New Roman" w:hAnsi="Times New Roman"/>
        </w:rPr>
      </w:pPr>
      <w:bookmarkStart w:id="1032" w:name="_Toc29733"/>
      <w:bookmarkStart w:id="1033" w:name="_Toc2881"/>
      <w:bookmarkStart w:id="1034" w:name="_Toc2167"/>
      <w:bookmarkStart w:id="1035" w:name="_Toc21156"/>
      <w:bookmarkStart w:id="1036" w:name="_Toc9684"/>
      <w:bookmarkStart w:id="1037" w:name="_Toc7607"/>
      <w:bookmarkStart w:id="1038" w:name="_Toc4857"/>
      <w:bookmarkStart w:id="1039" w:name="_Toc31136"/>
      <w:bookmarkStart w:id="1040" w:name="_Toc4504"/>
      <w:bookmarkStart w:id="1041" w:name="_Toc27570"/>
      <w:bookmarkStart w:id="1042" w:name="_Toc12057"/>
      <w:bookmarkStart w:id="1043" w:name="_Toc11984"/>
      <w:bookmarkStart w:id="1044" w:name="_Toc19978"/>
      <w:bookmarkStart w:id="1045" w:name="_Toc18149"/>
      <w:bookmarkStart w:id="1046" w:name="_Toc217"/>
      <w:bookmarkStart w:id="1047" w:name="_Toc11177"/>
      <w:bookmarkStart w:id="1048" w:name="_Toc7432"/>
      <w:bookmarkStart w:id="1049" w:name="_Toc15045"/>
      <w:r>
        <w:rPr>
          <w:rFonts w:ascii="Times New Roman" w:hAnsi="Times New Roman" w:eastAsia="方正楷体_GBK"/>
          <w:b/>
          <w:sz w:val="32"/>
          <w:szCs w:val="32"/>
        </w:rPr>
        <w:t>第二节  提升监督管理能力</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入推进农村水利设施管养改革，探索市场化管养护补贴机制、管理激励机制，施行协会管理等多种水利工程管理模式，逐步实现水利工程管理规模化、市场化、企业化、专业化。深入推进智慧水利建设，打造水资源信息建设管理共享平台。强化水资源监管、河道监管、水旱灾害防御监管、水利工程监管、水土保持监管等，提升水资源配置和水旱灾害防御能力。</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专栏6  水利工程重点项目</w:t>
      </w:r>
    </w:p>
    <w:tbl>
      <w:tblPr>
        <w:tblStyle w:val="27"/>
        <w:tblW w:w="8913"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3"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骨干水源工程。</w:t>
            </w:r>
            <w:r>
              <w:rPr>
                <w:rFonts w:ascii="Times New Roman" w:hAnsi="Times New Roman" w:eastAsia="方正仿宋_GBK"/>
                <w:sz w:val="24"/>
              </w:rPr>
              <w:t>开工建设刘家坪水库、丰收水库，改扩建三合水库。</w:t>
            </w:r>
          </w:p>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中小河流治理工程。</w:t>
            </w:r>
            <w:r>
              <w:rPr>
                <w:rFonts w:ascii="Times New Roman" w:hAnsi="Times New Roman" w:eastAsia="方正仿宋_GBK"/>
                <w:sz w:val="24"/>
              </w:rPr>
              <w:t>实施前河蓼子段和明通段、燕子河咸宜段和鸡鸣段、中河双河段、坪坝河新华段流域综合治理工程。</w:t>
            </w:r>
          </w:p>
          <w:p>
            <w:pPr>
              <w:overflowPunct w:val="0"/>
              <w:spacing w:line="400" w:lineRule="exact"/>
              <w:ind w:firstLine="482" w:firstLineChars="200"/>
              <w:rPr>
                <w:rFonts w:ascii="Times New Roman" w:hAnsi="Times New Roman"/>
                <w:kern w:val="0"/>
                <w:szCs w:val="20"/>
              </w:rPr>
            </w:pPr>
            <w:r>
              <w:rPr>
                <w:rFonts w:ascii="Times New Roman" w:hAnsi="Times New Roman" w:eastAsia="方正仿宋_GBK"/>
                <w:b/>
                <w:bCs/>
                <w:sz w:val="24"/>
              </w:rPr>
              <w:t>水安全保障工程。</w:t>
            </w:r>
            <w:r>
              <w:rPr>
                <w:rFonts w:ascii="Times New Roman" w:hAnsi="Times New Roman" w:eastAsia="方正仿宋_GBK"/>
                <w:sz w:val="24"/>
              </w:rPr>
              <w:t>实施水文站升级改造工程、雨量站升级改造工程、山洪预警设施改造工程。</w:t>
            </w:r>
          </w:p>
        </w:tc>
      </w:tr>
    </w:tbl>
    <w:p>
      <w:pPr>
        <w:overflowPunct w:val="0"/>
        <w:rPr>
          <w:rFonts w:ascii="Times New Roman" w:hAnsi="Times New Roman" w:eastAsia="方正黑体_GBK"/>
          <w:b/>
          <w:sz w:val="32"/>
          <w:szCs w:val="32"/>
        </w:rPr>
      </w:pPr>
    </w:p>
    <w:p>
      <w:pPr>
        <w:overflowPunct w:val="0"/>
        <w:adjustRightInd w:val="0"/>
        <w:snapToGrid w:val="0"/>
        <w:spacing w:line="560" w:lineRule="exact"/>
        <w:jc w:val="center"/>
        <w:outlineLvl w:val="1"/>
        <w:rPr>
          <w:rFonts w:ascii="Times New Roman" w:hAnsi="Times New Roman" w:eastAsia="方正黑体_GBK"/>
          <w:b/>
          <w:sz w:val="32"/>
          <w:szCs w:val="32"/>
        </w:rPr>
      </w:pPr>
      <w:bookmarkStart w:id="1050" w:name="_Toc1365"/>
      <w:bookmarkStart w:id="1051" w:name="_Toc10828"/>
      <w:bookmarkStart w:id="1052" w:name="_Toc3871"/>
      <w:bookmarkStart w:id="1053" w:name="_Toc22737"/>
      <w:bookmarkStart w:id="1054" w:name="_Toc10102"/>
      <w:bookmarkStart w:id="1055" w:name="_Toc10127"/>
      <w:bookmarkStart w:id="1056" w:name="_Toc2877"/>
      <w:bookmarkStart w:id="1057" w:name="_Toc15600"/>
      <w:bookmarkStart w:id="1058" w:name="_Toc9514"/>
      <w:bookmarkStart w:id="1059" w:name="_Toc24714"/>
      <w:bookmarkStart w:id="1060" w:name="_Toc19090"/>
      <w:bookmarkStart w:id="1061" w:name="_Toc15855"/>
      <w:bookmarkStart w:id="1062" w:name="_Toc11390"/>
      <w:bookmarkStart w:id="1063" w:name="_Toc8355"/>
      <w:bookmarkStart w:id="1064" w:name="_Toc29988"/>
      <w:bookmarkStart w:id="1065" w:name="_Toc29118"/>
      <w:bookmarkStart w:id="1066" w:name="_Toc30171"/>
      <w:bookmarkStart w:id="1067" w:name="_Toc29853"/>
      <w:r>
        <w:rPr>
          <w:rFonts w:ascii="Times New Roman" w:hAnsi="Times New Roman" w:eastAsia="方正黑体_GBK"/>
          <w:b/>
          <w:sz w:val="32"/>
          <w:szCs w:val="32"/>
        </w:rPr>
        <w:t>第十四章</w:t>
      </w:r>
      <w:bookmarkEnd w:id="995"/>
      <w:r>
        <w:rPr>
          <w:rFonts w:ascii="Times New Roman" w:hAnsi="Times New Roman" w:eastAsia="方正黑体_GBK"/>
          <w:b/>
          <w:sz w:val="32"/>
          <w:szCs w:val="32"/>
        </w:rPr>
        <w:t xml:space="preserve">  构建能源保障体系</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能源输送通道网络，推进天然气管道工程建设并加快向乡镇延伸，构建覆盖城乡、稳定安全的天然气供应网络。大力发展清洁能源，加强分布式能源等能源供给设施规划布局，推进清洁能源重点工程建设，推动光伏、风能发电等可再生能源开发。建成50万千瓦光伏、风电项目，新开工城口至开州220千伏电网、前河110千伏变电站（扩容）及附属工程、万源至城口天然气长输管网建设工程。建设智慧能源，加强新能源充电基础设施布局和建设。加快环保和清洁能源推广应用，推广新能源汽车。加强成品油储运设施建设，提高成品油保障能力。</w:t>
      </w:r>
    </w:p>
    <w:p>
      <w:pPr>
        <w:overflowPunct w:val="0"/>
        <w:spacing w:line="480" w:lineRule="exact"/>
        <w:jc w:val="center"/>
        <w:rPr>
          <w:rFonts w:ascii="Times New Roman" w:hAnsi="Times New Roman" w:eastAsia="方正黑体_GBK"/>
          <w:sz w:val="28"/>
          <w:szCs w:val="28"/>
        </w:rPr>
      </w:pPr>
      <w:bookmarkStart w:id="1068" w:name="_Toc59950007"/>
      <w:r>
        <w:rPr>
          <w:rFonts w:ascii="Times New Roman" w:hAnsi="Times New Roman" w:eastAsia="方正黑体_GBK"/>
          <w:sz w:val="28"/>
          <w:szCs w:val="28"/>
        </w:rPr>
        <w:t>专栏7  能源重点项目</w:t>
      </w:r>
    </w:p>
    <w:tbl>
      <w:tblPr>
        <w:tblStyle w:val="27"/>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826"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输变电工程。</w:t>
            </w:r>
            <w:r>
              <w:rPr>
                <w:rFonts w:ascii="Times New Roman" w:hAnsi="Times New Roman" w:eastAsia="方正仿宋_GBK"/>
                <w:sz w:val="24"/>
              </w:rPr>
              <w:t>实施城口至开州220千伏电力线路建设工程、前河110千伏变电站（扩容）及配套电网建设工程、35千伏电力线路建设项目。</w:t>
            </w:r>
          </w:p>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城区电网改造项目。</w:t>
            </w:r>
            <w:r>
              <w:rPr>
                <w:rFonts w:ascii="Times New Roman" w:hAnsi="Times New Roman" w:eastAsia="方正仿宋_GBK"/>
                <w:sz w:val="24"/>
              </w:rPr>
              <w:t>改造城区变压器、配电室、配电线路等设施。实施滨河南北两岸跨河电网入地改造、太和场35千伏变电站搬迁，开展东部新区电网搬迁改线。</w:t>
            </w:r>
          </w:p>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燃气管网工程。</w:t>
            </w:r>
            <w:r>
              <w:rPr>
                <w:rFonts w:ascii="Times New Roman" w:hAnsi="Times New Roman" w:eastAsia="方正仿宋_GBK"/>
                <w:sz w:val="24"/>
              </w:rPr>
              <w:t>建成城口至万源天然气长输管道、中燃综合能源利用项目。</w:t>
            </w:r>
          </w:p>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bCs/>
                <w:sz w:val="24"/>
              </w:rPr>
              <w:t>新能源项目。</w:t>
            </w:r>
            <w:r>
              <w:rPr>
                <w:rFonts w:ascii="Times New Roman" w:hAnsi="Times New Roman" w:eastAsia="方正仿宋_GBK"/>
                <w:sz w:val="24"/>
              </w:rPr>
              <w:t>力争建成大巴山新能源基地，光伏发电装机达到18万千瓦、风力发电装机达到32万千瓦。</w:t>
            </w:r>
          </w:p>
          <w:p>
            <w:pPr>
              <w:overflowPunct w:val="0"/>
              <w:spacing w:line="400" w:lineRule="exact"/>
              <w:ind w:firstLine="482" w:firstLineChars="200"/>
              <w:rPr>
                <w:rFonts w:ascii="Times New Roman" w:hAnsi="Times New Roman"/>
              </w:rPr>
            </w:pPr>
            <w:r>
              <w:rPr>
                <w:rFonts w:ascii="Times New Roman" w:hAnsi="Times New Roman" w:eastAsia="方正仿宋_GBK"/>
                <w:b/>
                <w:sz w:val="24"/>
              </w:rPr>
              <w:t>城口县充电桩建设项目。</w:t>
            </w:r>
            <w:r>
              <w:rPr>
                <w:rFonts w:ascii="Times New Roman" w:hAnsi="Times New Roman" w:eastAsia="方正仿宋_GBK"/>
                <w:bCs/>
                <w:sz w:val="24"/>
              </w:rPr>
              <w:t>在重点小区、景区、加油站等重点区域停车场新建新能源汽车充电站或配套建设充电桩。</w:t>
            </w:r>
          </w:p>
        </w:tc>
      </w:tr>
    </w:tbl>
    <w:p>
      <w:pPr>
        <w:overflowPunct w:val="0"/>
        <w:rPr>
          <w:rFonts w:ascii="Times New Roman" w:hAnsi="Times New Roman" w:eastAsia="方正黑体_GBK"/>
          <w:b/>
          <w:sz w:val="32"/>
          <w:szCs w:val="32"/>
        </w:rPr>
      </w:pPr>
    </w:p>
    <w:p>
      <w:pPr>
        <w:overflowPunct w:val="0"/>
        <w:adjustRightInd w:val="0"/>
        <w:snapToGrid w:val="0"/>
        <w:spacing w:line="560" w:lineRule="exact"/>
        <w:jc w:val="center"/>
        <w:outlineLvl w:val="1"/>
        <w:rPr>
          <w:rFonts w:ascii="Times New Roman" w:hAnsi="Times New Roman" w:eastAsia="方正黑体_GBK"/>
          <w:b/>
          <w:sz w:val="32"/>
          <w:szCs w:val="32"/>
        </w:rPr>
      </w:pPr>
      <w:bookmarkStart w:id="1069" w:name="_Toc14636"/>
      <w:bookmarkStart w:id="1070" w:name="_Toc31231"/>
      <w:bookmarkStart w:id="1071" w:name="_Toc28673"/>
      <w:bookmarkStart w:id="1072" w:name="_Toc2310"/>
      <w:bookmarkStart w:id="1073" w:name="_Toc28006"/>
      <w:bookmarkStart w:id="1074" w:name="_Toc981"/>
      <w:bookmarkStart w:id="1075" w:name="_Toc18354"/>
      <w:bookmarkStart w:id="1076" w:name="_Toc3581"/>
      <w:bookmarkStart w:id="1077" w:name="_Toc4318"/>
      <w:bookmarkStart w:id="1078" w:name="_Toc25833"/>
      <w:bookmarkStart w:id="1079" w:name="_Toc4619"/>
      <w:bookmarkStart w:id="1080" w:name="_Toc5350"/>
      <w:bookmarkStart w:id="1081" w:name="_Toc27202"/>
      <w:bookmarkStart w:id="1082" w:name="_Toc3168"/>
      <w:bookmarkStart w:id="1083" w:name="_Toc7303"/>
      <w:bookmarkStart w:id="1084" w:name="_Toc10695"/>
      <w:bookmarkStart w:id="1085" w:name="_Toc32398"/>
      <w:bookmarkStart w:id="1086" w:name="_Toc1615"/>
      <w:r>
        <w:rPr>
          <w:rFonts w:ascii="Times New Roman" w:hAnsi="Times New Roman" w:eastAsia="方正黑体_GBK"/>
          <w:b/>
          <w:sz w:val="32"/>
          <w:szCs w:val="32"/>
        </w:rPr>
        <w:t>第十五章  加快布局新型基础设施</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扎实推进5G、千兆光纤等新型网络基础设施建设，建成5G基站800个。推动传统基础设施网络化、数字化和智能化改造，深化新型基础设施与传统基础设施融合发展。加快新型智慧城市建设，新建智慧城市运行管理中心，打造综合服务平台，统筹推进智慧教育、智慧医疗、智慧交通、智慧环保、智慧物流、智慧旅游、智慧城管、智慧应急等功能模块，补齐公共服务、基础设施、社会治理等领域数字化信息化短板。适度超前谋划工业互联网、物联网等前端智能感知设备布局，加强农村信息基础设施建设，推进企业实施智能化改造，推动大数据智能化与实体经济融合发展。</w:t>
      </w:r>
    </w:p>
    <w:p>
      <w:pPr>
        <w:overflowPunct w:val="0"/>
        <w:spacing w:line="480" w:lineRule="exact"/>
        <w:jc w:val="center"/>
        <w:rPr>
          <w:rFonts w:ascii="Times New Roman" w:hAnsi="Times New Roman" w:eastAsia="方正黑体_GBK"/>
          <w:sz w:val="28"/>
          <w:szCs w:val="28"/>
        </w:rPr>
      </w:pP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专栏8  新型基础设施建设工程</w:t>
      </w:r>
    </w:p>
    <w:tbl>
      <w:tblPr>
        <w:tblStyle w:val="27"/>
        <w:tblW w:w="889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2" w:type="dxa"/>
            <w:tcBorders>
              <w:top w:val="single" w:color="auto" w:sz="4" w:space="0"/>
              <w:left w:val="single" w:color="auto" w:sz="4" w:space="0"/>
              <w:bottom w:val="single" w:color="auto" w:sz="4" w:space="0"/>
              <w:right w:val="single" w:color="auto" w:sz="4" w:space="0"/>
            </w:tcBorders>
          </w:tcPr>
          <w:p>
            <w:pPr>
              <w:widowControl/>
              <w:overflowPunct w:val="0"/>
              <w:spacing w:line="400" w:lineRule="exact"/>
              <w:ind w:firstLine="482" w:firstLineChars="200"/>
              <w:rPr>
                <w:rFonts w:ascii="Times New Roman" w:hAnsi="Times New Roman" w:eastAsia="方正仿宋_GBK"/>
                <w:bCs/>
                <w:sz w:val="24"/>
              </w:rPr>
            </w:pPr>
            <w:bookmarkStart w:id="1087" w:name="_Toc54513929"/>
            <w:r>
              <w:rPr>
                <w:rFonts w:ascii="Times New Roman" w:hAnsi="Times New Roman" w:eastAsia="方正仿宋_GBK"/>
                <w:b/>
                <w:sz w:val="24"/>
              </w:rPr>
              <w:t>信息基础设施提升工程。</w:t>
            </w:r>
            <w:r>
              <w:rPr>
                <w:rFonts w:ascii="Times New Roman" w:hAnsi="Times New Roman" w:eastAsia="方正仿宋_GBK"/>
                <w:bCs/>
                <w:sz w:val="24"/>
              </w:rPr>
              <w:t>新建5G基站500个，实现县城建成区、重点景区、乡镇场镇等重点区域5G网络有效覆盖。新建光纤网络600皮长公里，新增双千兆示范小区5个。</w:t>
            </w:r>
          </w:p>
          <w:p>
            <w:pPr>
              <w:widowControl/>
              <w:overflowPunct w:val="0"/>
              <w:spacing w:line="400" w:lineRule="exact"/>
              <w:ind w:firstLine="482" w:firstLineChars="200"/>
              <w:rPr>
                <w:rFonts w:ascii="Times New Roman" w:hAnsi="Times New Roman"/>
              </w:rPr>
            </w:pPr>
            <w:r>
              <w:rPr>
                <w:rFonts w:ascii="Times New Roman" w:hAnsi="Times New Roman" w:eastAsia="方正仿宋_GBK"/>
                <w:b/>
                <w:sz w:val="24"/>
              </w:rPr>
              <w:t>新型智慧城市大数据运行管理中心工程</w:t>
            </w:r>
            <w:r>
              <w:rPr>
                <w:rFonts w:ascii="Times New Roman" w:hAnsi="Times New Roman" w:eastAsia="方正仿宋_GBK"/>
                <w:bCs/>
                <w:sz w:val="24"/>
              </w:rPr>
              <w:t>。建成县大数据资源中心、城口县智慧城市综合服务平台、数字城口云平台等“一中心两平台”。</w:t>
            </w:r>
          </w:p>
        </w:tc>
      </w:tr>
      <w:bookmarkEnd w:id="1087"/>
    </w:tbl>
    <w:p>
      <w:pPr>
        <w:overflowPunct w:val="0"/>
        <w:rPr>
          <w:rFonts w:ascii="Times New Roman" w:hAnsi="Times New Roman" w:eastAsia="方正小标宋_GBK"/>
          <w:b/>
          <w:bCs/>
          <w:kern w:val="44"/>
          <w:sz w:val="36"/>
          <w:szCs w:val="36"/>
        </w:rPr>
      </w:pPr>
    </w:p>
    <w:bookmarkEnd w:id="164"/>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088" w:name="_Toc19425"/>
      <w:bookmarkStart w:id="1089" w:name="_Toc28155"/>
      <w:bookmarkStart w:id="1090" w:name="_Toc2843"/>
      <w:bookmarkStart w:id="1091" w:name="_Toc26121"/>
      <w:bookmarkStart w:id="1092" w:name="_Toc13374"/>
      <w:bookmarkStart w:id="1093" w:name="_Toc25461"/>
      <w:bookmarkStart w:id="1094" w:name="_Toc10380"/>
      <w:bookmarkStart w:id="1095" w:name="_Toc29699"/>
      <w:bookmarkStart w:id="1096" w:name="_Toc10849"/>
      <w:bookmarkStart w:id="1097" w:name="_Toc32377"/>
      <w:bookmarkStart w:id="1098" w:name="_Toc8654"/>
      <w:bookmarkStart w:id="1099" w:name="_Toc14366"/>
      <w:bookmarkStart w:id="1100" w:name="_Toc28097"/>
      <w:bookmarkStart w:id="1101" w:name="_Toc24893"/>
      <w:bookmarkStart w:id="1102" w:name="_Toc9984"/>
      <w:bookmarkStart w:id="1103" w:name="_Toc8000"/>
      <w:bookmarkStart w:id="1104" w:name="_Toc5742"/>
      <w:bookmarkStart w:id="1105" w:name="_Toc11820"/>
      <w:r>
        <w:rPr>
          <w:rFonts w:ascii="Times New Roman" w:hAnsi="Times New Roman" w:eastAsia="方正小标宋_GBK"/>
          <w:b/>
          <w:bCs/>
          <w:kern w:val="44"/>
          <w:sz w:val="36"/>
          <w:szCs w:val="36"/>
        </w:rPr>
        <w:t>第五篇  发展现代产业体系  推动经济体系优化升级</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发展经济的着力点放在实体经济上，一手抓传统产业转型升级，一手抓生态产业发展壮大，以生态优先绿色发展为引领，更加注重抓重点和扬优势，夯实产业基础，推进产业链升级，提高经济质量效益和绿色含量。</w:t>
      </w: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06" w:name="_Toc59950097"/>
      <w:bookmarkStart w:id="1107" w:name="_Toc21281"/>
      <w:bookmarkStart w:id="1108" w:name="_Toc13887"/>
      <w:bookmarkStart w:id="1109" w:name="_Toc9930"/>
      <w:bookmarkStart w:id="1110" w:name="_Toc22966"/>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11" w:name="_Toc29967"/>
      <w:bookmarkStart w:id="1112" w:name="_Toc19175"/>
      <w:bookmarkStart w:id="1113" w:name="_Toc32413"/>
      <w:bookmarkStart w:id="1114" w:name="_Toc11089"/>
      <w:bookmarkStart w:id="1115" w:name="_Toc11072"/>
      <w:bookmarkStart w:id="1116" w:name="_Toc22535"/>
      <w:bookmarkStart w:id="1117" w:name="_Toc28596"/>
      <w:bookmarkStart w:id="1118" w:name="_Toc28683"/>
      <w:bookmarkStart w:id="1119" w:name="_Toc23396"/>
      <w:bookmarkStart w:id="1120" w:name="_Toc4590"/>
      <w:bookmarkStart w:id="1121" w:name="_Toc30694"/>
      <w:bookmarkStart w:id="1122" w:name="_Toc18833"/>
      <w:bookmarkStart w:id="1123" w:name="_Toc32207"/>
      <w:bookmarkStart w:id="1124" w:name="_Toc23894"/>
      <w:r>
        <w:rPr>
          <w:rFonts w:ascii="Times New Roman" w:hAnsi="Times New Roman" w:eastAsia="方正黑体_GBK"/>
          <w:b/>
          <w:bCs/>
          <w:kern w:val="44"/>
          <w:sz w:val="32"/>
          <w:szCs w:val="32"/>
        </w:rPr>
        <w:t>第十六章  推动农文旅深度融合发展</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坚定不移走生态优先绿色发展新路，始终保持学好用好“两山论”、走深走实“两化路”的战略定力，以农文旅融合作为城口最大的潜力，</w:t>
      </w:r>
      <w:r>
        <w:rPr>
          <w:rFonts w:hint="eastAsia" w:ascii="Times New Roman" w:hAnsi="Times New Roman" w:eastAsia="方正仿宋_GBK"/>
          <w:sz w:val="32"/>
          <w:szCs w:val="32"/>
          <w:lang w:eastAsia="zh-CN"/>
        </w:rPr>
        <w:t>巩固拓展脱贫攻坚成果同乡村振兴有效衔接</w:t>
      </w:r>
      <w:r>
        <w:rPr>
          <w:rFonts w:ascii="Times New Roman" w:hAnsi="Times New Roman" w:eastAsia="方正仿宋_GBK"/>
          <w:sz w:val="32"/>
          <w:szCs w:val="32"/>
        </w:rPr>
        <w:t>，推动良好生态资源有效转化，实现生态经济高质量发展。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25" w:name="_Toc12038"/>
      <w:bookmarkStart w:id="1126" w:name="_Toc17865"/>
      <w:bookmarkStart w:id="1127" w:name="_Toc29274"/>
      <w:bookmarkStart w:id="1128" w:name="_Toc806"/>
      <w:bookmarkStart w:id="1129" w:name="_Toc29530"/>
      <w:bookmarkStart w:id="1130" w:name="_Toc12283"/>
      <w:bookmarkStart w:id="1131" w:name="_Toc8081"/>
      <w:bookmarkStart w:id="1132" w:name="_Toc14331"/>
      <w:bookmarkStart w:id="1133" w:name="_Toc7813"/>
      <w:bookmarkStart w:id="1134" w:name="_Toc926"/>
      <w:bookmarkStart w:id="1135" w:name="_Toc22614"/>
      <w:bookmarkStart w:id="1136" w:name="_Toc22164"/>
      <w:bookmarkStart w:id="1137" w:name="_Toc13054"/>
      <w:r>
        <w:rPr>
          <w:rFonts w:ascii="Times New Roman" w:hAnsi="Times New Roman" w:eastAsia="方正楷体_GBK"/>
          <w:b/>
          <w:sz w:val="32"/>
          <w:szCs w:val="32"/>
        </w:rPr>
        <w:t>第一节  农文旅融合引领产业发展</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持以“农”为基础、以“文”为灵魂、以“旅”为载体的农文旅融合发展思路，围绕“巴山原乡·生态城口”发展定位，坚持把农文旅融合发展作为推进生态产业发展的引领产业，深挖生态、文化、旅游、农业等资源价值，打通生态资源价值转化链，延长农业产业链、注入文化增值链、拉长全域旅游发展链，实现农文旅融合高端化价值化发展。坚持项目推动，分领域、分行业、分片区规划布局一批农文旅融合珍珠项目，做深做细小而精、小而美的精致化产品，形成“大项目引领带动、小项目配套补充”的良性发展。推进基础设施建设、区域整治项目、城乡环境建设、乡村振兴任务、人文精神培育、法治环境保障等与农文旅融合发展有效衔接，形成思路融合、业态融合、项目融合、工作融合、力量融合的农文旅融合发展格局。</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文旅发展农业，夯实农文旅融合发展基础。加强品种、品质、品牌建设，推进农产品精深加工向生产标准化、产品品牌化方向发展，提升农文旅融合产品竞争力。大力培育休闲农业、体验农业、观光农业、创意农业，拓展农业多种功能，不断丰富农文旅业态。加强文化基因植入，依托旅游市场营销产品，延长农业产业链、提升价值链。</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农旅发展文化产业，提升农文旅融合发展品质。加强大巴山农耕文化、生态文化、红色文化、原乡文化开发和利用，壮大文化产业，推动文化、旅游、生态、康养及相关产业深度融合，促进农文旅内涵式发展。加大文创力度，讲好原乡故事、传播原乡声音，增强农文旅融合文化吸引力。培育打造涵盖城口美食、城口特产、城口伴手礼的“城口大礼包”文创系列拳头产品。</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融合农文发展旅游业，构筑农文旅融合发展平台。坚持“全域旅游”理念，围绕“巴山、生态、康养、原乡、人文、红色”等旅游元素，加快形成景区观光游、美丽乡村游、民宿养心游、生态研学游、文化体验游、健康养生游、红色洗礼游等七大类旅游产品体系，做大做强旅游产业。提档升级大巴山森林人家集群片区，推动“大巴山森林人家”向“微田园旅游综合体”升级，推动旅游业与农业、文化产业融合发展，提升农产品价值，彰显文化内涵，培育壮大旅游支柱产业。</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38" w:name="_Toc16548"/>
      <w:bookmarkStart w:id="1139" w:name="_Toc4771"/>
      <w:bookmarkStart w:id="1140" w:name="_Toc29873"/>
      <w:bookmarkStart w:id="1141" w:name="_Toc28305"/>
      <w:bookmarkStart w:id="1142" w:name="_Toc436"/>
      <w:bookmarkStart w:id="1143" w:name="_Toc26065"/>
      <w:bookmarkStart w:id="1144" w:name="_Toc6143"/>
      <w:bookmarkStart w:id="1145" w:name="_Toc31746"/>
      <w:bookmarkStart w:id="1146" w:name="_Toc25889"/>
      <w:bookmarkStart w:id="1147" w:name="_Toc12759"/>
      <w:bookmarkStart w:id="1148" w:name="_Toc26091"/>
      <w:bookmarkStart w:id="1149" w:name="_Toc14993"/>
      <w:bookmarkStart w:id="1150" w:name="_Toc19871"/>
      <w:r>
        <w:rPr>
          <w:rFonts w:ascii="Times New Roman" w:hAnsi="Times New Roman" w:eastAsia="方正楷体_GBK"/>
          <w:b/>
          <w:sz w:val="32"/>
          <w:szCs w:val="32"/>
        </w:rPr>
        <w:t>第二节  优化农文旅融合总体布局</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农文旅融合空间布局。依托全县“十字通廊”交通体系，对接全县农业产业基地、自然资源、文化资源空间分布和生态保护空间范围、地形地貌条件、城镇体系分布等，构建以县城为核心、以“任河流域”和“两高通道”为农文旅融合发展带、以“大九重山”“亢谷—亢家寨”“大巴山湖”为农文旅融合发展带动片，以全县微田园综合体为农文旅融合点的“一核·两带·三片·多点”全域旅游格局。</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快精品景区建设。实施国家级旅游景区创建工程，打造高端旅游。创建完成亢家寨国家5A级旅游景区、土城老街国家4A级旅游景区和亢谷国家级旅游度假区，高标准推进九重山国家5A级旅游景区建设。提档升级修齐神谷道、九重花岭、乡土岚天三大精品旅游景区。加快培育打造巴山湖旅游景区。</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打造精品旅游线路。依托农文旅资源，畅通重点景区景点和重点乡镇旅游交通网络，推出生态康养、农文旅融合、红色文化、非遗文化、民俗风情等为主题的体验游、自驾游、研学游等旅游线路，形成东部生态康养主题旅游环线、南部农文旅主题旅游环线、西部红色主题旅游环线。完善环线“吃住行游购娱商养学闲情奇”旅游要素配套，做优体验，增强农文旅融合旅游承载力。</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开展农文旅融合示范。按照“因地制宜、合理布局、循序渐进、协调发展”原则，以“小而美、小而优、小而强、小而精”为标准，有序打造农文旅融合发展示范模板。依托现有特色民宿打造农文旅融合示范户，主推自酿酒、城口老腊肉两大产品，形成餐饮住宿、过程参观、产品销售、文化体验、活动参与于一体的经营链。依托特色村社打造农文旅融合示范村，利用红色文化、生态文化、民俗文化，对当地民居进行适当改造，增强接待能力及文化内涵。依托乡村旅游集群片区进行文创、农创升级，打造农文旅融合示范片。依托条件较好的乡镇打造农文旅融合示范基地，对区域内农文旅产业进行布局、要素设施进行整体补充完善和提档升级，探索全域农文旅融合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51" w:name="_Toc9748"/>
      <w:bookmarkStart w:id="1152" w:name="_Toc11310"/>
      <w:bookmarkStart w:id="1153" w:name="_Toc30862"/>
      <w:bookmarkStart w:id="1154" w:name="_Toc15754"/>
      <w:bookmarkStart w:id="1155" w:name="_Toc1417"/>
      <w:bookmarkStart w:id="1156" w:name="_Toc17355"/>
      <w:bookmarkStart w:id="1157" w:name="_Toc4077"/>
      <w:bookmarkStart w:id="1158" w:name="_Toc24753"/>
      <w:bookmarkStart w:id="1159" w:name="_Toc25518"/>
      <w:bookmarkStart w:id="1160" w:name="_Toc23214"/>
      <w:bookmarkStart w:id="1161" w:name="_Toc19493"/>
      <w:bookmarkStart w:id="1162" w:name="_Toc26514"/>
      <w:bookmarkStart w:id="1163" w:name="_Toc29453"/>
      <w:r>
        <w:rPr>
          <w:rFonts w:ascii="Times New Roman" w:hAnsi="Times New Roman" w:eastAsia="方正楷体_GBK"/>
          <w:b/>
          <w:sz w:val="32"/>
          <w:szCs w:val="32"/>
        </w:rPr>
        <w:t>第三节  健全农文旅融合支撑体系</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完善旅游设施建设。合理布局旅游交通基础设施，推进“最后一公里”旅游交通线路建设提升，开通旅游公交或旅游大巴，实现干线公路、景区景点、大巴山森林人家集群片区等重点区域和重要节点互联互通。科学布局重点景区、大巴山森林人家集群片区与游客承载量相适应的生态停车场、无障碍设施、新能源汽车充电桩，完善供电、供水、通信网络、垃圾污水等配套基础设施，加快建设公共休憩区、景观平台、露营地、标识引导系统等自助旅游服务设施，加强旅游厕所标准化建设和规范管理，强化医疗救助、应急救援、汽车租赁等公共服务，实现全要素保障。</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升旅游接待能力。规划建设城口县旅游集散中心。加强现有酒店服务设施和服务能力提升，鼓励新建与改造商务酒店、星级酒店以及文化主题酒店。结合景区文化特色和旅游功能，支持重点景区、大巴山森林人家集群片区新建和改造住宿设施，打造一批特色民宿和星级大巴山森林人家，重点支持各乡镇利用闲置废弃“老房”改造升级，强化文化内涵。</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强智慧景区建设。以旅游产业数字化为抓手，积极推动智慧旅游项目建设。建设城口县智慧旅游指挥中心，完善游客信息服务、旅游管理、营销等体系，建立智慧导航、导游、导览和导购等功能，实现旅游服务、管理、营销、体验的智能化，实现重点景区无线网络全覆盖。</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64" w:name="_Toc5091"/>
      <w:bookmarkStart w:id="1165" w:name="_Toc20984"/>
      <w:bookmarkStart w:id="1166" w:name="_Toc24787"/>
      <w:bookmarkStart w:id="1167" w:name="_Toc13401"/>
      <w:bookmarkStart w:id="1168" w:name="_Toc2403"/>
      <w:bookmarkStart w:id="1169" w:name="_Toc25936"/>
      <w:bookmarkStart w:id="1170" w:name="_Toc1461"/>
      <w:bookmarkStart w:id="1171" w:name="_Toc20857"/>
      <w:bookmarkStart w:id="1172" w:name="_Toc26749"/>
      <w:bookmarkStart w:id="1173" w:name="_Toc14324"/>
      <w:bookmarkStart w:id="1174" w:name="_Toc29209"/>
      <w:bookmarkStart w:id="1175" w:name="_Toc14034"/>
      <w:bookmarkStart w:id="1176" w:name="_Toc28603"/>
      <w:r>
        <w:rPr>
          <w:rFonts w:ascii="Times New Roman" w:hAnsi="Times New Roman" w:eastAsia="方正楷体_GBK"/>
          <w:b/>
          <w:sz w:val="32"/>
          <w:szCs w:val="32"/>
        </w:rPr>
        <w:t>第四节  培育发展“农文旅+”</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宜融则融”“因特而融”“择优而融”“能融尽融”思路，以“旅游+”为融合载体，快速打造一批集旅游、文化、大健康、体育赛事为主的产业业态，实施农文旅产业链培育工程，推动旅游元素、文化元素、康养元素全面融入一二三产业各个环节。</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发展“农文旅+”研学游经济。依托大巴山生物多样性、漆器漆艺、红色文化等资源，面向渝川陕毗邻地区学生、干部、生态环保人士等重点群体，支持企业、农业合作社、家庭农场、种养大户等开展农文旅业态创新，开展大巴山物种科普、农业采摘、非遗文化体验、红色场馆建设等，推动“红+绿”研学游经济发展。发展“农文旅+”体育经济。依托景区发展户外运动、冰雪运动、高山运动等体育旅游业态，加快推进体育运动示范基地建设，广泛开展马拉松、自行车、垂钓等比赛活动。发展“农文旅+”文创经济。依托城口漆艺、老腊肉等非物质文化遗产，支持手工业者、工艺美术从业人员，发挥工匠精神，创新本土文化产品，壮大文创产业，支持旅游业发展。发展“农文旅+”康养经济。依托大巴山丰富中草药等优质生态资源，发展中医理疗产业，树立健康疗养品牌。培育“农文旅+”产业链。实施农文旅融合产业链培育工程，做大做强城口漆艺和老腊肉两大文化产业，强化非物质文化遗产品牌效应和产业链示范带动效应，引领农文旅融合，推动产业价值链向高端延伸。</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177" w:name="_Toc11620"/>
      <w:bookmarkStart w:id="1178" w:name="_Toc13778"/>
      <w:bookmarkStart w:id="1179" w:name="_Toc25997"/>
      <w:bookmarkStart w:id="1180" w:name="_Toc15807"/>
      <w:bookmarkStart w:id="1181" w:name="_Toc10190"/>
      <w:bookmarkStart w:id="1182" w:name="_Toc28983"/>
      <w:bookmarkStart w:id="1183" w:name="_Toc32508"/>
      <w:bookmarkStart w:id="1184" w:name="_Toc2376"/>
      <w:bookmarkStart w:id="1185" w:name="_Toc9722"/>
      <w:bookmarkStart w:id="1186" w:name="_Toc13189"/>
      <w:bookmarkStart w:id="1187" w:name="_Toc10550"/>
      <w:bookmarkStart w:id="1188" w:name="_Toc20843"/>
      <w:bookmarkStart w:id="1189" w:name="_Toc32151"/>
      <w:r>
        <w:rPr>
          <w:rFonts w:ascii="Times New Roman" w:hAnsi="Times New Roman" w:eastAsia="方正楷体_GBK"/>
          <w:b/>
          <w:sz w:val="32"/>
          <w:szCs w:val="32"/>
        </w:rPr>
        <w:t>第五节  加大农文旅品牌宣传推广</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加强“巴山原乡·生态城口”旅游主题形象宣传。借助传统媒体和新兴媒体，开展集中、连续、深入立体宣传推介。依托智慧传播方式，做好线上线下同步推介，传播原乡声音。通过新媒体等时兴宣传平台策划专题宣传，做好线下引流工作，不断扩大目标客源市场。积极举办大中型文旅节会活动、体育赛事，着力形成“四季有赛事，月月有活动”的宣传态势。积极参加各类旅游节会活动，开展主要客源地市场旅游专题宣传推介会和营销周等活动，提高城口旅游知名度。</w:t>
      </w:r>
    </w:p>
    <w:bookmarkEnd w:id="1106"/>
    <w:bookmarkEnd w:id="1107"/>
    <w:bookmarkEnd w:id="1108"/>
    <w:bookmarkEnd w:id="1109"/>
    <w:bookmarkEnd w:id="1110"/>
    <w:bookmarkEnd w:id="1124"/>
    <w:p>
      <w:pPr>
        <w:overflowPunct w:val="0"/>
        <w:spacing w:line="480" w:lineRule="exact"/>
        <w:jc w:val="center"/>
        <w:rPr>
          <w:rFonts w:ascii="Times New Roman" w:hAnsi="Times New Roman" w:eastAsia="方正黑体_GBK"/>
          <w:sz w:val="28"/>
          <w:szCs w:val="28"/>
        </w:rPr>
      </w:pPr>
      <w:bookmarkStart w:id="1190" w:name="_Toc14705"/>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专栏9  农文旅融合发展重点工程</w:t>
      </w:r>
      <w:bookmarkEnd w:id="1190"/>
    </w:p>
    <w:tbl>
      <w:tblPr>
        <w:tblStyle w:val="27"/>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1"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国家5A级旅游景区创建</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完成亢家寨国家</w:t>
            </w:r>
            <w:r>
              <w:rPr>
                <w:rFonts w:ascii="Times New Roman" w:hAnsi="Times New Roman" w:eastAsia="方正仿宋_GBK"/>
                <w:b/>
                <w:bCs/>
                <w:kern w:val="0"/>
                <w:sz w:val="24"/>
                <w:szCs w:val="28"/>
              </w:rPr>
              <w:t>5A</w:t>
            </w:r>
            <w:r>
              <w:rPr>
                <w:rFonts w:ascii="Times New Roman" w:hAnsi="Times New Roman" w:eastAsia="方正仿宋_GBK"/>
                <w:kern w:val="0"/>
                <w:sz w:val="24"/>
                <w:szCs w:val="28"/>
              </w:rPr>
              <w:t>级旅游景区创建。完成亢家寨旅游景区山神庙、索道、廊桥等重点工程建设。</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九重山国家</w:t>
            </w:r>
            <w:r>
              <w:rPr>
                <w:rFonts w:ascii="Times New Roman" w:hAnsi="Times New Roman" w:eastAsia="方正仿宋_GBK"/>
                <w:b/>
                <w:bCs/>
                <w:kern w:val="0"/>
                <w:sz w:val="24"/>
                <w:szCs w:val="28"/>
              </w:rPr>
              <w:t>5A</w:t>
            </w:r>
            <w:r>
              <w:rPr>
                <w:rFonts w:ascii="Times New Roman" w:hAnsi="Times New Roman" w:eastAsia="方正仿宋_GBK"/>
                <w:kern w:val="0"/>
                <w:sz w:val="24"/>
                <w:szCs w:val="28"/>
              </w:rPr>
              <w:t>级旅游景区创建。</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国家级旅游度假区创建</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完成亢谷国家级旅游度假区创建。推动亢谷精品度假酒店集群、亢谷文化艺术中心、四方碑高端度假集群、亢谷度假康养长廊、亢谷滨河商业街等重点工程建设。</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国家4A级旅游景区创建</w:t>
            </w:r>
          </w:p>
          <w:p>
            <w:pPr>
              <w:overflowPunct w:val="0"/>
              <w:spacing w:line="400" w:lineRule="exact"/>
              <w:ind w:firstLine="480" w:firstLineChars="200"/>
              <w:rPr>
                <w:rFonts w:ascii="Times New Roman" w:hAnsi="Times New Roman" w:eastAsia="方正仿宋_GBK"/>
                <w:kern w:val="0"/>
                <w:sz w:val="24"/>
                <w:szCs w:val="28"/>
                <w:highlight w:val="yellow"/>
              </w:rPr>
            </w:pPr>
            <w:r>
              <w:rPr>
                <w:rFonts w:ascii="Times New Roman" w:hAnsi="Times New Roman" w:eastAsia="方正仿宋_GBK"/>
                <w:kern w:val="0"/>
                <w:sz w:val="24"/>
                <w:szCs w:val="28"/>
              </w:rPr>
              <w:t>土城老街4A级旅游景区创建。</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提档升级三大精品旅游景区</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以国家4A级旅游景区、市级旅游度假区为标准，提档升级修齐神道谷、九重花岭、乡土岚天三大精品旅游景区。</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特色文旅街区建设</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依托土城老街、红军小镇、九重山、亢谷中心商业地段发展文化娱乐产业，打造文化娱乐聚集区和“不夜街区”。</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大巴山森林人家集群片区建设</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重点建设北屏松柏、厚坪龙盘、河鱼两扇门、双河八台天寨、周溪九龙坪、治平惠民、沿河迎红、坪坝聚马坪等8个大巴山森林人家集群片区；提档升级巴山、蓼子、高燕、修齐、高楠等5个乡镇大巴山森林人家集群片区。</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特色民宿建设</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提档升级东安镇巴渝民宿、双河乡半山居民宿等精品民宿；</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改造巴山镇坪上村民宿群、高楠镇方斗坪民宿群等特色民宿群落。</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旅游基础设施建设</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kern w:val="0"/>
                <w:sz w:val="24"/>
                <w:szCs w:val="28"/>
              </w:rPr>
              <w:t>规划建设城口县旅游集散中心。</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建成城口县智慧旅游指挥中心。</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建设全域通景廊道。“环九重山”山水田园慢行绿道、“环巴山湖”高山平湖慢行碧道、“生态亢谷”任河上游慢行碧道、“前河画廊”文化遗风慢行碧道。</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规划建设城口县大巴山九重云梯。改造红军纪念公园登山梯，建设九段云梯平台延伸至后山山峰。</w:t>
            </w:r>
          </w:p>
          <w:p>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农文旅产业链培育工程</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中药材产业链培育工程。支持中药材种植、加工、研发项目，鼓励企业向康养医疗产业延伸。</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城口漆器漆艺全产业链培育工程。支持漆树育苗种植、大木漆生产、漆器制造、漆艺传承与研发发展。</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城口老腊肉产业链培育工程。支持生猪养殖、屠宰、加工、饲料与城口老腊肉企业上下游配套联动发展。</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城口山地鸡产业链培育工程。支持城口山地鸡养殖、屠宰、加工项目，建设城口山地鸡博物馆。</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食用菌产业链培育工程。支持食用菌种植、加工、研发项目，集聚食用菌特色产业。</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城口鸡鸣禅茶产业链培育工程。支持鸡鸣禅茶种植、加工，鼓励开展集观光体验、茶艺传承、民俗旅游于一体的茶园建设。</w:t>
            </w:r>
          </w:p>
          <w:p>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农文旅融合发展试点示范工程</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打造农文旅融合示范户。主推自酿酒、城口老腊肉两大产品，形成餐饮住宿、过程参观、产品销售、文化体验、活动参与于一体的经营链。以北屏、岚天、河鱼等乡镇为重点试点对象。</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打造农文旅融合示范村。利用红色文化、生态文化、民俗文化，对当地民居进行适当改造增加文化内涵。以高燕镇红军村、岚天乡三河村、河鱼平溪村、东安兴田村、巴山坪上村等为打造对象。</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打造农文旅融合示范片。对大巴山森林人家集群片区进行文创、农创升级，带动产业发展。以厚坪龙盘、河鱼两扇门、高观双竹等集群为打造对象。</w:t>
            </w:r>
          </w:p>
          <w:p>
            <w:pPr>
              <w:overflowPunct w:val="0"/>
              <w:spacing w:line="400" w:lineRule="exact"/>
              <w:ind w:firstLine="480" w:firstLineChars="200"/>
              <w:rPr>
                <w:rFonts w:ascii="Times New Roman" w:hAnsi="Times New Roman" w:eastAsia="方正仿宋_GBK"/>
                <w:bCs/>
                <w:kern w:val="0"/>
                <w:sz w:val="24"/>
                <w:szCs w:val="28"/>
              </w:rPr>
            </w:pPr>
            <w:r>
              <w:rPr>
                <w:rFonts w:ascii="Times New Roman" w:hAnsi="Times New Roman" w:eastAsia="方正仿宋_GBK"/>
                <w:bCs/>
                <w:kern w:val="0"/>
                <w:sz w:val="24"/>
                <w:szCs w:val="28"/>
              </w:rPr>
              <w:t>打造农文旅融合示范基地。通过对区域内农文旅产业布局，要素设施进行整体补充完善、提档升级。以北屏乡、坪坝镇、岚天乡等乡镇为打造对象。</w:t>
            </w:r>
          </w:p>
          <w:p>
            <w:pPr>
              <w:overflowPunct w:val="0"/>
              <w:spacing w:line="400" w:lineRule="exact"/>
              <w:ind w:firstLine="482" w:firstLineChars="200"/>
              <w:rPr>
                <w:rFonts w:ascii="Times New Roman" w:hAnsi="Times New Roman" w:eastAsia="方正仿宋_GBK"/>
                <w:b/>
                <w:kern w:val="0"/>
                <w:sz w:val="24"/>
                <w:szCs w:val="28"/>
              </w:rPr>
            </w:pPr>
            <w:r>
              <w:rPr>
                <w:rFonts w:ascii="Times New Roman" w:hAnsi="Times New Roman" w:eastAsia="方正仿宋_GBK"/>
                <w:b/>
                <w:kern w:val="0"/>
                <w:sz w:val="24"/>
                <w:szCs w:val="28"/>
              </w:rPr>
              <w:t>研学旅工程</w:t>
            </w:r>
          </w:p>
          <w:p>
            <w:pPr>
              <w:overflowPunct w:val="0"/>
              <w:spacing w:line="400" w:lineRule="exact"/>
              <w:ind w:firstLine="480" w:firstLineChars="200"/>
              <w:rPr>
                <w:rFonts w:ascii="Times New Roman" w:hAnsi="Times New Roman" w:eastAsia="方正仿宋_GBK"/>
                <w:kern w:val="0"/>
                <w:sz w:val="24"/>
                <w:szCs w:val="28"/>
              </w:rPr>
            </w:pPr>
            <w:r>
              <w:rPr>
                <w:rFonts w:ascii="Times New Roman" w:hAnsi="Times New Roman" w:eastAsia="方正仿宋_GBK"/>
                <w:bCs/>
                <w:kern w:val="0"/>
                <w:sz w:val="24"/>
                <w:szCs w:val="28"/>
              </w:rPr>
              <w:t>渝东北和秦巴地区研学旅社会实践教育示范基地。支持庙坝镇依托龙头企业培育研学旅行产业。</w:t>
            </w:r>
          </w:p>
        </w:tc>
      </w:tr>
    </w:tbl>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191" w:name="_Toc20684"/>
      <w:bookmarkStart w:id="1192" w:name="_Toc20969"/>
      <w:bookmarkStart w:id="1193" w:name="_Toc3599"/>
      <w:bookmarkStart w:id="1194" w:name="_Toc7511"/>
      <w:bookmarkStart w:id="1195" w:name="_Toc18994"/>
      <w:bookmarkStart w:id="1196" w:name="_Toc5760"/>
      <w:bookmarkStart w:id="1197" w:name="_Toc30840"/>
      <w:bookmarkStart w:id="1198" w:name="_Toc29443"/>
      <w:bookmarkStart w:id="1199" w:name="_Toc31185"/>
      <w:bookmarkStart w:id="1200" w:name="_Toc18085"/>
      <w:bookmarkStart w:id="1201" w:name="_Toc12684"/>
      <w:bookmarkStart w:id="1202" w:name="_Toc5679"/>
      <w:bookmarkStart w:id="1203" w:name="_Toc7767"/>
      <w:bookmarkStart w:id="1204" w:name="_Toc18914"/>
      <w:bookmarkStart w:id="1205" w:name="_Toc28607"/>
      <w:bookmarkStart w:id="1206" w:name="_Toc953"/>
      <w:bookmarkStart w:id="1207" w:name="_Toc12044"/>
    </w:p>
    <w:p>
      <w:pPr>
        <w:overflowPunct w:val="0"/>
        <w:adjustRightInd w:val="0"/>
        <w:snapToGrid w:val="0"/>
        <w:spacing w:line="560" w:lineRule="exact"/>
        <w:jc w:val="center"/>
        <w:outlineLvl w:val="1"/>
        <w:rPr>
          <w:rFonts w:ascii="Times New Roman" w:hAnsi="Times New Roman"/>
        </w:rPr>
      </w:pPr>
      <w:bookmarkStart w:id="1208" w:name="_Toc16399"/>
      <w:r>
        <w:rPr>
          <w:rFonts w:ascii="Times New Roman" w:hAnsi="Times New Roman" w:eastAsia="方正黑体_GBK"/>
          <w:b/>
          <w:bCs/>
          <w:kern w:val="44"/>
          <w:sz w:val="32"/>
          <w:szCs w:val="32"/>
        </w:rPr>
        <w:t>第十七章  提质发展现代山地特色生态农业</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城口山地气候、耕地分散特点，着力优化农业结构，依托“山上中药材、林下山地鸡、坡上核桃树、中蜂百花蜜、香菌巴掌田、杂粮鸡窝地、火炕老腊肉、冷水生态鱼”生态产业格局，发展精品生态农业，提升农产品品质和价值，构建山地特色生态农业体系。</w:t>
      </w:r>
    </w:p>
    <w:p>
      <w:pPr>
        <w:keepNext/>
        <w:keepLines/>
        <w:overflowPunct w:val="0"/>
        <w:adjustRightInd w:val="0"/>
        <w:snapToGrid w:val="0"/>
        <w:spacing w:before="62" w:beforeLines="20" w:after="62" w:afterLines="20" w:line="560" w:lineRule="exact"/>
        <w:contextualSpacing/>
        <w:jc w:val="center"/>
        <w:outlineLvl w:val="2"/>
        <w:rPr>
          <w:rFonts w:ascii="Times New Roman" w:hAnsi="Times New Roman" w:eastAsia="方正楷体_GBK"/>
          <w:b/>
          <w:sz w:val="32"/>
          <w:szCs w:val="32"/>
        </w:rPr>
      </w:pPr>
      <w:bookmarkStart w:id="1209" w:name="_Toc29272"/>
      <w:bookmarkStart w:id="1210" w:name="_Toc12837"/>
      <w:bookmarkStart w:id="1211" w:name="_Toc20178"/>
      <w:bookmarkStart w:id="1212" w:name="_Toc16729"/>
      <w:bookmarkStart w:id="1213" w:name="_Toc28980"/>
      <w:bookmarkStart w:id="1214" w:name="_Toc32396"/>
      <w:bookmarkStart w:id="1215" w:name="_Toc19142"/>
      <w:bookmarkStart w:id="1216" w:name="_Toc16443"/>
      <w:bookmarkStart w:id="1217" w:name="_Toc2124"/>
      <w:bookmarkStart w:id="1218" w:name="_Toc21467"/>
      <w:bookmarkStart w:id="1219" w:name="_Toc3739"/>
      <w:bookmarkStart w:id="1220" w:name="_Toc29073"/>
      <w:bookmarkStart w:id="1221" w:name="_Toc7123"/>
      <w:bookmarkStart w:id="1222" w:name="_Toc8735"/>
      <w:bookmarkStart w:id="1223" w:name="_Toc24882"/>
      <w:bookmarkStart w:id="1224" w:name="_Toc4382"/>
      <w:bookmarkStart w:id="1225" w:name="_Toc9807"/>
      <w:bookmarkStart w:id="1226" w:name="_Toc27320"/>
      <w:r>
        <w:rPr>
          <w:rFonts w:ascii="Times New Roman" w:hAnsi="Times New Roman" w:eastAsia="方正楷体_GBK"/>
          <w:b/>
          <w:sz w:val="32"/>
          <w:szCs w:val="32"/>
        </w:rPr>
        <w:t>第一节  优化乡村产业布局</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保护好耕地，利用好生态资源，按照“小规模、多品种、高品质、好价钱”发展思路，加强产业规划统筹，优化完善乡村产业布局。以城口山地鸡、城口老腊肉、食用菌、中药材为优势特色产业，以干果（核桃+板栗）、茶叶、蜂蜜、大木漆、杂粮、生态鱼、竹笋等区域性特色产业，建设乡村产业提升示范基地、打造县级优势特色产业示范园。发挥基地示范作用，突出产业适度规模、品种品质品牌、联农带农机制、农户诚信参与、良好金融生态、防范产业风险“六个示范”，培育壮大农业龙头企业、农民合作社、家庭农场等农业经营主体，提高组织化程度。聚焦城口山地鸡、城口老腊肉、食用菌和中药材四大优势特色产业，培育4家规模以上农业产业化龙头企业，打造4个农业产业化联合体，四大特色产业链综合产值达到20亿元。</w:t>
      </w:r>
    </w:p>
    <w:p>
      <w:pPr>
        <w:keepNext/>
        <w:keepLines/>
        <w:overflowPunct w:val="0"/>
        <w:adjustRightInd w:val="0"/>
        <w:snapToGrid w:val="0"/>
        <w:spacing w:before="62" w:beforeLines="20" w:after="62" w:afterLines="20" w:line="560" w:lineRule="exact"/>
        <w:contextualSpacing/>
        <w:jc w:val="center"/>
        <w:outlineLvl w:val="2"/>
        <w:rPr>
          <w:rFonts w:ascii="Times New Roman" w:hAnsi="Times New Roman" w:eastAsia="方正楷体_GBK"/>
          <w:b/>
          <w:sz w:val="32"/>
          <w:szCs w:val="32"/>
        </w:rPr>
      </w:pPr>
      <w:bookmarkStart w:id="1227" w:name="_Toc14209"/>
      <w:bookmarkStart w:id="1228" w:name="_Toc16945"/>
      <w:bookmarkStart w:id="1229" w:name="_Toc1916"/>
      <w:bookmarkStart w:id="1230" w:name="_Toc17927"/>
      <w:bookmarkStart w:id="1231" w:name="_Toc26857"/>
      <w:bookmarkStart w:id="1232" w:name="_Toc16254"/>
      <w:bookmarkStart w:id="1233" w:name="_Toc32127"/>
      <w:bookmarkStart w:id="1234" w:name="_Toc31247"/>
      <w:bookmarkStart w:id="1235" w:name="_Toc22313"/>
      <w:bookmarkStart w:id="1236" w:name="_Toc7889"/>
      <w:bookmarkStart w:id="1237" w:name="_Toc20729"/>
      <w:bookmarkStart w:id="1238" w:name="_Toc13956"/>
      <w:bookmarkStart w:id="1239" w:name="_Toc28546"/>
      <w:bookmarkStart w:id="1240" w:name="_Toc8866"/>
      <w:bookmarkStart w:id="1241" w:name="_Toc21112"/>
      <w:bookmarkStart w:id="1242" w:name="_Toc8236"/>
      <w:bookmarkStart w:id="1243" w:name="_Toc4767"/>
      <w:bookmarkStart w:id="1244" w:name="_Toc14040"/>
      <w:r>
        <w:rPr>
          <w:rFonts w:ascii="Times New Roman" w:hAnsi="Times New Roman" w:eastAsia="方正楷体_GBK"/>
          <w:b/>
          <w:sz w:val="32"/>
          <w:szCs w:val="32"/>
        </w:rPr>
        <w:t>第二节  推动农业品牌建设</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继续实施质量强县行动，提升农业品牌建设，提升“大巴山硒谷”区域公用品牌，制定品牌使用标准规范。继续推动绿色食品、有机食品、农产品地理标志认证，创建一批特色突出、影响力较强的城口公用品牌，完善食品溯源机制。鼓励企业大力实施品牌战略和以质取胜战略，对品牌培育和质量提升实行分类奖励。积极开展“两品一标”认证，加快形成一批有川渝全国影响力的品牌产品。提升农户和农业企业品牌意识，引导农民走生态农业之路，农业企业走品牌强企之路。</w:t>
      </w:r>
    </w:p>
    <w:p>
      <w:pPr>
        <w:overflowPunct w:val="0"/>
        <w:spacing w:line="480" w:lineRule="exact"/>
        <w:jc w:val="center"/>
        <w:rPr>
          <w:rFonts w:ascii="Times New Roman" w:hAnsi="Times New Roman" w:eastAsia="方正黑体_GBK"/>
          <w:sz w:val="28"/>
          <w:szCs w:val="28"/>
        </w:rPr>
      </w:pPr>
      <w:bookmarkStart w:id="1245" w:name="_Toc59949992"/>
      <w:r>
        <w:rPr>
          <w:rFonts w:ascii="Times New Roman" w:hAnsi="Times New Roman" w:eastAsia="方正黑体_GBK"/>
          <w:sz w:val="28"/>
          <w:szCs w:val="28"/>
        </w:rPr>
        <w:t>专栏10  现代山地特色生态农业发展重点工程</w:t>
      </w:r>
    </w:p>
    <w:tbl>
      <w:tblPr>
        <w:tblStyle w:val="27"/>
        <w:tblW w:w="889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2"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城口山地鸡产业规划布局</w:t>
            </w:r>
            <w:r>
              <w:rPr>
                <w:rFonts w:ascii="Times New Roman" w:hAnsi="Times New Roman" w:eastAsia="方正仿宋_GBK"/>
                <w:sz w:val="24"/>
                <w:szCs w:val="32"/>
              </w:rPr>
              <w:t>。建设1个核心育种场、15个扩繁场（保种场），支持在巴山、坪坝、庙坝、明通、高观、咸宜、蓼子、治平、周溪、河鱼、龙田等乡镇建设城口山地鸡产业提升示范基地，在河鱼等乡镇建设城口山地鸡产业提升示范园，在高燕、坪坝等乡镇建设城口山地鸡精深加工示范基地。实施城口山地鸡资源保护及推广项目，实现城口山地鸡适度规模化养殖，年出栏商品鸡达500万只。</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城口县老腊肉产业规划布局</w:t>
            </w:r>
            <w:r>
              <w:rPr>
                <w:rFonts w:ascii="Times New Roman" w:hAnsi="Times New Roman" w:eastAsia="方正仿宋_GBK"/>
                <w:sz w:val="24"/>
                <w:szCs w:val="32"/>
              </w:rPr>
              <w:t>。支持在明中、蓼子等南部片区，修齐、高观等东部片区，北屏、高燕等城区周边和坪坝、巴山等西部片区分别建设1个种猪场；在厚坪、治平、明中、北屏、高燕等乡镇择优建设2个仔猪扩繁基地；在高观、厚坪、治平、修齐、高燕、坪坝、巴山、周溪、蓼子、明通等乡镇建设城口老腊肉产业提升示范基地（城口老腊肉优质原材料示范基地）；在治平、厚坪、修齐、巴山、咸宜、坪坝、庙坝、巴山、周溪等乡镇建设鲜肉腊肉精深加工示范基地。力争到2025年底年出栏生猪25万头。</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食用菌产业规划布局</w:t>
            </w:r>
            <w:r>
              <w:rPr>
                <w:rFonts w:ascii="Times New Roman" w:hAnsi="Times New Roman" w:eastAsia="方正仿宋_GBK"/>
                <w:sz w:val="24"/>
                <w:szCs w:val="32"/>
              </w:rPr>
              <w:t>。食用菌产业支持在鸡鸣、周溪、明通、咸宜、蓼子、明中、修齐、高观、东安、河鱼、厚坪、治平、岚天、高楠、坪坝、巴山、沿河、左岚、龙田、北屏、高燕、葛城、复兴、庙坝、双河建设食用菌产业提升示范基地（村级小型、乡级标准化生产基地），在北屏、高燕、葛城、复兴、庙坝、双河等乡镇择优建设食用菌产业提升示范园，在北屏、高燕、鸡鸣、修齐、高观、高楠、坪坝等乡镇建设食用菌精深加工示范基地。到2025年，全县香菇规模稳定在5000万袋，其他菌类发展到700亩，食用菌总产量（鲜品）达到4万吨。</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中药材产业规划布局</w:t>
            </w:r>
            <w:r>
              <w:rPr>
                <w:rFonts w:ascii="Times New Roman" w:hAnsi="Times New Roman" w:eastAsia="方正仿宋_GBK"/>
                <w:sz w:val="24"/>
                <w:szCs w:val="32"/>
              </w:rPr>
              <w:t>。重点支持明中、蓼子、厚坪、周溪、咸宜、鸡鸣、明通、岚天、治平9个乡镇发展中药材规范化种植基地。中药材种植常年保持30万亩。</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生态鱼产业布局。</w:t>
            </w:r>
            <w:r>
              <w:rPr>
                <w:rFonts w:ascii="Times New Roman" w:hAnsi="Times New Roman" w:eastAsia="方正仿宋_GBK"/>
                <w:sz w:val="24"/>
                <w:szCs w:val="32"/>
              </w:rPr>
              <w:t>支持蓼子、巴山、龙田、厚坪等乡镇发展生态鱼。</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茶叶产业布局</w:t>
            </w:r>
            <w:r>
              <w:rPr>
                <w:rFonts w:ascii="Times New Roman" w:hAnsi="Times New Roman" w:eastAsia="方正仿宋_GBK"/>
                <w:sz w:val="24"/>
                <w:szCs w:val="32"/>
              </w:rPr>
              <w:t>。鸡鸣、咸宜、明通、高观、沿河、庙坝、高楠等乡镇发展茶叶。</w:t>
            </w:r>
          </w:p>
          <w:p>
            <w:pPr>
              <w:overflowPunct w:val="0"/>
              <w:spacing w:line="400" w:lineRule="exact"/>
              <w:ind w:firstLine="482" w:firstLineChars="200"/>
              <w:rPr>
                <w:rFonts w:ascii="Times New Roman" w:hAnsi="Times New Roman" w:eastAsia="方正仿宋_GBK"/>
                <w:kern w:val="0"/>
                <w:sz w:val="24"/>
                <w:szCs w:val="28"/>
              </w:rPr>
            </w:pPr>
            <w:r>
              <w:rPr>
                <w:rFonts w:ascii="Times New Roman" w:hAnsi="Times New Roman" w:eastAsia="方正仿宋_GBK"/>
                <w:b/>
                <w:bCs/>
                <w:sz w:val="24"/>
                <w:szCs w:val="32"/>
              </w:rPr>
              <w:t>农业品牌提升工程</w:t>
            </w:r>
            <w:r>
              <w:rPr>
                <w:rFonts w:ascii="Times New Roman" w:hAnsi="Times New Roman" w:eastAsia="方正仿宋_GBK"/>
                <w:sz w:val="24"/>
                <w:szCs w:val="32"/>
              </w:rPr>
              <w:t>。完善“大巴山硒谷”区域公用农产品品牌使用标准，积极开展“两品一标”认证，有效期内“两品一标”在95个以上。</w:t>
            </w:r>
          </w:p>
        </w:tc>
      </w:tr>
      <w:bookmarkEnd w:id="1245"/>
    </w:tbl>
    <w:p>
      <w:pPr>
        <w:overflowPunct w:val="0"/>
        <w:adjustRightInd w:val="0"/>
        <w:snapToGrid w:val="0"/>
        <w:spacing w:line="560" w:lineRule="exact"/>
        <w:jc w:val="center"/>
        <w:outlineLvl w:val="1"/>
        <w:rPr>
          <w:rFonts w:ascii="Times New Roman" w:hAnsi="Times New Roman" w:eastAsia="方正仿宋_GBK"/>
          <w:sz w:val="32"/>
          <w:szCs w:val="32"/>
        </w:rPr>
      </w:pPr>
      <w:bookmarkStart w:id="1246" w:name="_Toc17857"/>
      <w:bookmarkStart w:id="1247" w:name="_Toc7070"/>
      <w:bookmarkStart w:id="1248" w:name="_Toc13844"/>
      <w:bookmarkStart w:id="1249" w:name="_Toc345"/>
      <w:bookmarkStart w:id="1250" w:name="_Toc14564"/>
      <w:bookmarkStart w:id="1251" w:name="_Toc1663"/>
      <w:bookmarkStart w:id="1252" w:name="_Toc182"/>
      <w:bookmarkStart w:id="1253" w:name="_Toc23359"/>
      <w:bookmarkStart w:id="1254" w:name="_Toc25996"/>
      <w:bookmarkStart w:id="1255" w:name="_Toc17144"/>
      <w:bookmarkStart w:id="1256" w:name="_Toc1332"/>
      <w:bookmarkStart w:id="1257" w:name="_Toc248"/>
      <w:bookmarkStart w:id="1258" w:name="_Toc10535"/>
      <w:bookmarkStart w:id="1259" w:name="_Toc15785"/>
      <w:bookmarkStart w:id="1260" w:name="_Toc15517"/>
      <w:bookmarkStart w:id="1261" w:name="_Toc21443"/>
      <w:bookmarkStart w:id="1262" w:name="_Toc25669"/>
      <w:bookmarkStart w:id="1263" w:name="_Toc12746"/>
      <w:r>
        <w:rPr>
          <w:rFonts w:ascii="Times New Roman" w:hAnsi="Times New Roman" w:eastAsia="方正黑体_GBK"/>
          <w:b/>
          <w:bCs/>
          <w:kern w:val="44"/>
          <w:sz w:val="32"/>
          <w:szCs w:val="32"/>
        </w:rPr>
        <w:t>第十八章  大力发展绿色工业</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全力推动工业绿色发展转型，培育壮大以特色食品（功能食品）、中药材、水（饮料）为主的特色消费品加工业，加快发展新型绿色建筑材料产业，</w:t>
      </w:r>
      <w:bookmarkStart w:id="1264" w:name="_Hlk64612675"/>
      <w:r>
        <w:rPr>
          <w:rFonts w:ascii="Times New Roman" w:hAnsi="Times New Roman" w:eastAsia="方正仿宋_GBK"/>
          <w:sz w:val="32"/>
          <w:szCs w:val="32"/>
        </w:rPr>
        <w:t>依规推动锰钡产业转型升级，</w:t>
      </w:r>
      <w:bookmarkEnd w:id="1264"/>
      <w:bookmarkStart w:id="1265" w:name="_Hlk64612698"/>
      <w:r>
        <w:rPr>
          <w:rFonts w:ascii="Times New Roman" w:hAnsi="Times New Roman" w:eastAsia="方正仿宋_GBK"/>
          <w:sz w:val="32"/>
          <w:szCs w:val="32"/>
        </w:rPr>
        <w:t>严控高耗能、高排放项目，</w:t>
      </w:r>
      <w:bookmarkEnd w:id="1265"/>
      <w:r>
        <w:rPr>
          <w:rFonts w:ascii="Times New Roman" w:hAnsi="Times New Roman" w:eastAsia="方正仿宋_GBK"/>
          <w:sz w:val="32"/>
          <w:szCs w:val="32"/>
        </w:rPr>
        <w:t>限制和淘汰锰钡落后产能，形成特色消费品工业、新型绿色建筑材料、锰钡资源加工为骨干支撑的绿色工业体系。</w:t>
      </w:r>
    </w:p>
    <w:p>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1266" w:name="_Toc14041"/>
      <w:bookmarkStart w:id="1267" w:name="_Toc9558"/>
      <w:bookmarkStart w:id="1268" w:name="_Toc27897"/>
      <w:bookmarkStart w:id="1269" w:name="_Toc23197"/>
      <w:bookmarkStart w:id="1270" w:name="_Toc5286"/>
      <w:bookmarkStart w:id="1271" w:name="_Toc9965"/>
      <w:bookmarkStart w:id="1272" w:name="_Toc23094"/>
      <w:bookmarkStart w:id="1273" w:name="_Toc21766"/>
      <w:bookmarkStart w:id="1274" w:name="_Toc20803"/>
      <w:bookmarkStart w:id="1275" w:name="_Toc17468"/>
      <w:bookmarkStart w:id="1276" w:name="_Toc23374"/>
      <w:bookmarkStart w:id="1277" w:name="_Toc4352"/>
      <w:bookmarkStart w:id="1278" w:name="_Toc1892"/>
      <w:bookmarkStart w:id="1279" w:name="_Toc32276"/>
      <w:bookmarkStart w:id="1280" w:name="_Toc27218"/>
      <w:bookmarkStart w:id="1281" w:name="_Toc29183"/>
      <w:bookmarkStart w:id="1282" w:name="_Toc27750"/>
      <w:bookmarkStart w:id="1283" w:name="_Toc15175"/>
      <w:r>
        <w:rPr>
          <w:rFonts w:ascii="Times New Roman" w:hAnsi="Times New Roman" w:eastAsia="方正楷体_GBK"/>
          <w:b/>
          <w:sz w:val="32"/>
          <w:szCs w:val="32"/>
        </w:rPr>
        <w:t>第一节  推动锰钡产业转型升级</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开展矿产资源勘查开发。加大地质找矿力度，有序推动高燕锰矿详查、大渡溪锰矿详查、修齐锰矿红籽村普查、田家湾锰矿普查、巴山和左岚钡矿外围扩大普查等勘查工作，进一步强化锰钡资源保障。充分利用市场主体专业技术和投资实力优势，深入开展矿产资源开采、加工等领域合作，助推城口矿业高质量发展。</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质发展锰矿产业。推动县内锰矿企业整合重组，撬动和倒逼县内硅锰合金企业非标转国标，硅锰合金产量达到10万吨。培优做强电解金属锰，产能达到5万吨。积极开展锰新产品开发研究。扎实推进锰资源综合利用，支持引进新设备，运用节能、减排、降耗新技术，探索矿渣循环利用，不断推进锰加工绿色化进程。</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促进钡矿产业转型。规范钡矿加工出口，推动5万吨高纯氯化钡、30万吨石油加重剂建成投产达效，鼓励依托氯化钡、石油加重剂项目开展精深加工。探索发展硅钡合金、金属钡等钡新材料产业。采用“飞地经济模式”，探索与友邻地区合作共建钡系产品化工园区，发展电子级钡盐等重大项目。</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284" w:name="_Toc9548"/>
      <w:bookmarkStart w:id="1285" w:name="_Toc17197"/>
      <w:bookmarkStart w:id="1286" w:name="_Toc20214"/>
      <w:bookmarkStart w:id="1287" w:name="_Toc31337"/>
      <w:bookmarkStart w:id="1288" w:name="_Toc17064"/>
      <w:bookmarkStart w:id="1289" w:name="_Toc10168"/>
      <w:bookmarkStart w:id="1290" w:name="_Toc30450"/>
      <w:bookmarkStart w:id="1291" w:name="_Toc27732"/>
      <w:bookmarkStart w:id="1292" w:name="_Toc14149"/>
      <w:bookmarkStart w:id="1293" w:name="_Toc753"/>
      <w:bookmarkStart w:id="1294" w:name="_Toc19469"/>
      <w:bookmarkStart w:id="1295" w:name="_Toc30341"/>
      <w:bookmarkStart w:id="1296" w:name="_Toc16935"/>
      <w:bookmarkStart w:id="1297" w:name="_Toc18383"/>
      <w:bookmarkStart w:id="1298" w:name="_Toc22936"/>
      <w:bookmarkStart w:id="1299" w:name="_Toc27494"/>
      <w:bookmarkStart w:id="1300" w:name="_Toc19235"/>
      <w:bookmarkStart w:id="1301" w:name="_Toc5793"/>
      <w:r>
        <w:rPr>
          <w:rFonts w:ascii="Times New Roman" w:hAnsi="Times New Roman" w:eastAsia="方正楷体_GBK"/>
          <w:b/>
          <w:sz w:val="32"/>
          <w:szCs w:val="32"/>
        </w:rPr>
        <w:t>第二节  加快发展新型绿色建筑材料产业</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pPr>
        <w:overflowPunct w:val="0"/>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依托城口丰富的矿山资源，加快发展页岩陶粒、新型建筑骨料、水泥为主的新型建材。大力发展页岩陶粒和功能材料系列产品，推动页岩陶粒和轻预制件项目建设。到2025年，形成页岩陶粒200万立方米、轻混预制件30万立方米的年产能。</w:t>
      </w:r>
      <w:r>
        <w:rPr>
          <w:rFonts w:ascii="Times New Roman" w:hAnsi="Times New Roman" w:eastAsia="方正仿宋_GBK"/>
          <w:kern w:val="0"/>
          <w:sz w:val="32"/>
          <w:szCs w:val="32"/>
        </w:rPr>
        <w:t>推动传统砂石骨料向新型建筑骨料材料升级。到2025年，形成500万吨骨料的年产能，产值达到2.5亿元。推进水泥、商混稳步发展，发展高钙石材料。到2025年，形成60万吨水泥、30万方商混、100万吨高钙石的年产能，产值达到3亿元。</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302" w:name="_Toc26707"/>
      <w:bookmarkStart w:id="1303" w:name="_Toc8342"/>
      <w:bookmarkStart w:id="1304" w:name="_Toc13796"/>
      <w:bookmarkStart w:id="1305" w:name="_Toc21541"/>
      <w:bookmarkStart w:id="1306" w:name="_Toc7707"/>
      <w:bookmarkStart w:id="1307" w:name="_Toc8812"/>
      <w:bookmarkStart w:id="1308" w:name="_Toc9438"/>
      <w:bookmarkStart w:id="1309" w:name="_Toc8666"/>
      <w:bookmarkStart w:id="1310" w:name="_Toc15154"/>
      <w:bookmarkStart w:id="1311" w:name="_Toc7117"/>
      <w:bookmarkStart w:id="1312" w:name="_Toc30178"/>
      <w:bookmarkStart w:id="1313" w:name="_Toc5167"/>
      <w:bookmarkStart w:id="1314" w:name="_Toc18329"/>
      <w:bookmarkStart w:id="1315" w:name="_Toc27373"/>
      <w:bookmarkStart w:id="1316" w:name="_Toc14681"/>
      <w:bookmarkStart w:id="1317" w:name="_Toc12872"/>
      <w:bookmarkStart w:id="1318" w:name="_Toc18345"/>
      <w:r>
        <w:rPr>
          <w:rFonts w:ascii="Times New Roman" w:hAnsi="Times New Roman" w:eastAsia="方正楷体_GBK"/>
          <w:b/>
          <w:sz w:val="32"/>
          <w:szCs w:val="32"/>
        </w:rPr>
        <w:t>第三节  大力发展消费品工业</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中药材加工产业。依托现有中药材加工企业，带动城口中药材种植、销售、加工各个环节，扩大现有种植规模，采取“龙头企业+小企业+集体经济组织”的方式，吸纳周边药材，引进先进技术，建成重庆市中药材加工基地。完善全县中药材初加工的功能布局，大力发展中药材精深加工，形成“中药材种植—精深加工—中药提取—生物制药”产业链条，与万州、云阳等其他区县医药产业形成优势互补。</w:t>
      </w:r>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特色食品加工业。培育发展全薯食品、精制鱼油、茶叶压片糖果等功能性食品为主的特色消费品。提质发展以野生核桃油、鸡鸣贡禅茶、食用菌、矿泉水为主的食品加工，发展壮大以城口老腊肉、城口山地鸡加工为主的肉制品加工，转型发展以粮食酒为主的酒类等特色食品产业。</w:t>
      </w:r>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发展旅游消费品。以“精工制造，工艺先进”为方向，突出工匠技艺，培育市场主体，提升制造水平，大力发展漆器等高档饰品、工艺美术品、旅游纪念品等精致旅游消费品。</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专栏11  绿色工业重点建设项目</w:t>
      </w:r>
    </w:p>
    <w:tbl>
      <w:tblPr>
        <w:tblStyle w:val="2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9"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sz w:val="24"/>
                <w:szCs w:val="32"/>
              </w:rPr>
              <w:t>锰钡产业。</w:t>
            </w:r>
            <w:r>
              <w:rPr>
                <w:rFonts w:ascii="Times New Roman" w:hAnsi="Times New Roman" w:eastAsia="方正仿宋_GBK"/>
                <w:bCs/>
                <w:sz w:val="24"/>
                <w:szCs w:val="32"/>
              </w:rPr>
              <w:t>推进</w:t>
            </w:r>
            <w:r>
              <w:rPr>
                <w:rFonts w:ascii="Times New Roman" w:hAnsi="Times New Roman" w:eastAsia="方正仿宋_GBK"/>
                <w:sz w:val="24"/>
                <w:szCs w:val="32"/>
              </w:rPr>
              <w:t>5万吨电解金属锰项目、10万吨硅锰合金加工项目、深部锰矿开发利用项目、低品位碳酸钡混生矿生产石油加重剂项目、电子级钡盐项目，建成川渝锰钡新材料工程技术联合研究中心，推进锰钡产业高质量发展。推动5万吨高纯氯化钡、30万吨石油加重剂项目投产达效。</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sz w:val="24"/>
                <w:szCs w:val="32"/>
              </w:rPr>
              <w:t>新型绿色建筑材料产业。</w:t>
            </w:r>
            <w:r>
              <w:rPr>
                <w:rFonts w:ascii="Times New Roman" w:hAnsi="Times New Roman" w:eastAsia="方正仿宋_GBK"/>
                <w:sz w:val="24"/>
                <w:szCs w:val="32"/>
              </w:rPr>
              <w:t>推进200万方页岩陶粒、30万方轻质预制件、500万吨建筑骨料、60万吨水泥、30万方商混、100万吨碳酸钙项目建设和产能释放。</w:t>
            </w:r>
          </w:p>
          <w:p>
            <w:pPr>
              <w:overflowPunct w:val="0"/>
              <w:spacing w:line="400" w:lineRule="exact"/>
              <w:ind w:firstLine="482" w:firstLineChars="200"/>
              <w:rPr>
                <w:rFonts w:ascii="Times New Roman" w:hAnsi="Times New Roman"/>
              </w:rPr>
            </w:pPr>
            <w:r>
              <w:rPr>
                <w:rFonts w:ascii="Times New Roman" w:hAnsi="Times New Roman" w:eastAsia="方正仿宋_GBK"/>
                <w:b/>
                <w:bCs/>
                <w:sz w:val="24"/>
                <w:szCs w:val="32"/>
              </w:rPr>
              <w:t>消费品工业。</w:t>
            </w:r>
            <w:r>
              <w:rPr>
                <w:rFonts w:ascii="Times New Roman" w:hAnsi="Times New Roman" w:eastAsia="方正仿宋_GBK"/>
                <w:sz w:val="24"/>
                <w:szCs w:val="32"/>
              </w:rPr>
              <w:t>推进西部（重庆）功能食品研发中心项目、年产5万吨优质天然矿泉水项目、地热和矿泉水勘察开发项目、农产品加工示范项目、道地中药材全产业链项目、天宝药业仓储种植加工及中药配方颗粒生产项目等项目建设，发展包含肉制品、干果、调味品、果汁饮料、休闲食品等的消费品产业，推进核桃、中药材、功能食品等领域生产研发。</w:t>
            </w:r>
          </w:p>
        </w:tc>
      </w:tr>
      <w:bookmarkEnd w:id="1263"/>
    </w:tbl>
    <w:p>
      <w:pPr>
        <w:pStyle w:val="26"/>
        <w:overflowPunct w:val="0"/>
        <w:adjustRightInd w:val="0"/>
        <w:snapToGrid w:val="0"/>
        <w:spacing w:after="0" w:line="560" w:lineRule="exact"/>
        <w:ind w:leftChars="0" w:firstLine="0"/>
        <w:rPr>
          <w:rFonts w:ascii="Times New Roman" w:hAnsi="Times New Roman"/>
        </w:rPr>
      </w:pPr>
    </w:p>
    <w:p>
      <w:pPr>
        <w:overflowPunct w:val="0"/>
        <w:adjustRightInd w:val="0"/>
        <w:snapToGrid w:val="0"/>
        <w:spacing w:line="560" w:lineRule="exact"/>
        <w:jc w:val="center"/>
        <w:outlineLvl w:val="1"/>
        <w:rPr>
          <w:rFonts w:ascii="Times New Roman" w:hAnsi="Times New Roman" w:eastAsia="方正仿宋_GBK"/>
          <w:sz w:val="32"/>
          <w:szCs w:val="32"/>
        </w:rPr>
      </w:pPr>
      <w:bookmarkStart w:id="1319" w:name="_Toc14662"/>
      <w:bookmarkStart w:id="1320" w:name="_Toc26602"/>
      <w:bookmarkStart w:id="1321" w:name="_Toc31961"/>
      <w:bookmarkStart w:id="1322" w:name="_Toc26846"/>
      <w:bookmarkStart w:id="1323" w:name="_Toc21801"/>
      <w:bookmarkStart w:id="1324" w:name="_Toc4658"/>
      <w:bookmarkStart w:id="1325" w:name="_Toc6325"/>
      <w:bookmarkStart w:id="1326" w:name="_Toc7625"/>
      <w:bookmarkStart w:id="1327" w:name="_Toc4401"/>
      <w:bookmarkStart w:id="1328" w:name="_Toc25120"/>
      <w:bookmarkStart w:id="1329" w:name="_Toc10586"/>
      <w:bookmarkStart w:id="1330" w:name="_Toc4987"/>
      <w:bookmarkStart w:id="1331" w:name="_Toc651"/>
      <w:bookmarkStart w:id="1332" w:name="_Toc3351"/>
      <w:bookmarkStart w:id="1333" w:name="_Toc32325"/>
      <w:bookmarkStart w:id="1334" w:name="_Toc28214"/>
      <w:bookmarkStart w:id="1335" w:name="_Toc30486"/>
      <w:bookmarkStart w:id="1336" w:name="_Toc59949997"/>
      <w:bookmarkStart w:id="1337" w:name="_Toc7672"/>
      <w:r>
        <w:rPr>
          <w:rFonts w:ascii="Times New Roman" w:hAnsi="Times New Roman" w:eastAsia="方正黑体_GBK"/>
          <w:b/>
          <w:bCs/>
          <w:kern w:val="44"/>
          <w:sz w:val="32"/>
          <w:szCs w:val="32"/>
        </w:rPr>
        <w:t>第十九章  加快发展现代服务业</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坚持以引领经济高质量发展、服务人民高品质生活为导向，统筹发展生产性和生活性服务业，更好满足人民对美好生活的向往和日益增长的物质文化需求。</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338" w:name="_Toc59949998"/>
      <w:bookmarkStart w:id="1339" w:name="_Toc1067"/>
      <w:bookmarkStart w:id="1340" w:name="_Toc16503"/>
      <w:bookmarkStart w:id="1341" w:name="_Toc12145"/>
      <w:bookmarkStart w:id="1342" w:name="_Toc31959"/>
      <w:bookmarkStart w:id="1343" w:name="_Toc12641"/>
      <w:bookmarkStart w:id="1344" w:name="_Toc3808"/>
      <w:bookmarkStart w:id="1345" w:name="_Toc25801"/>
      <w:bookmarkStart w:id="1346" w:name="_Toc13668"/>
      <w:bookmarkStart w:id="1347" w:name="_Toc29370"/>
      <w:bookmarkStart w:id="1348" w:name="_Toc2317"/>
      <w:bookmarkStart w:id="1349" w:name="_Toc29547"/>
      <w:bookmarkStart w:id="1350" w:name="_Toc14986"/>
      <w:bookmarkStart w:id="1351" w:name="_Toc15592"/>
      <w:bookmarkStart w:id="1352" w:name="_Toc15034"/>
      <w:bookmarkStart w:id="1353" w:name="_Toc3138"/>
      <w:bookmarkStart w:id="1354" w:name="_Toc30282"/>
      <w:bookmarkStart w:id="1355" w:name="_Toc1124"/>
      <w:bookmarkStart w:id="1356" w:name="_Toc28315"/>
      <w:r>
        <w:rPr>
          <w:rFonts w:ascii="Times New Roman" w:hAnsi="Times New Roman" w:eastAsia="方正楷体_GBK"/>
          <w:b/>
          <w:sz w:val="32"/>
          <w:szCs w:val="32"/>
        </w:rPr>
        <w:t>第一节</w:t>
      </w:r>
      <w:bookmarkEnd w:id="1338"/>
      <w:r>
        <w:rPr>
          <w:rFonts w:ascii="Times New Roman" w:hAnsi="Times New Roman" w:eastAsia="方正楷体_GBK"/>
          <w:b/>
          <w:sz w:val="32"/>
          <w:szCs w:val="32"/>
        </w:rPr>
        <w:t xml:space="preserve">  大力发展康养服务业</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区域夏季气候优势和产业基础，大力发展生态避暑养生、生态健康疗愈、老年健康养老、生态健康食疗等康养产业，构建集“药、医、食、养、游、动”六位一体的大健康产业格局。支持南部片区乡镇，发挥融入万开云“桥头堡”作用，加快发展生态避暑养生产业，开拓万开云潜在市场，增强毗邻地区影响力。支持北屏乡以“松柏”生态村为重点，开展生态健康疗愈。支持以庙坝镇为重点，向全县纵深发展，培育研学游产业，加快建设秦巴地区（城宣万）研学教育基地。结合大巴山集群片区和闲置公建养老机构，探索更具活力、更具质量的“公建民营”“民办公助”的健康服务业改革模式。以亢谷度假区、厚坪龙盘、河鱼两扇门等集群片区为重点，开发多元化的生态避暑养生、生态健康疗愈、老年健康养老、生态健康食疗等产品，为旅游发展添彩赋能。探索制定医疗、康复、养老、保健养生、体育健身等领域高标准服务规范。整合各种财政性资源，加快大健康产业的关键环节投入，带动社会资源投入。</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357" w:name="_Toc13041"/>
      <w:bookmarkStart w:id="1358" w:name="_Toc11648"/>
      <w:bookmarkStart w:id="1359" w:name="_Toc19378"/>
      <w:bookmarkStart w:id="1360" w:name="_Toc170"/>
      <w:bookmarkStart w:id="1361" w:name="_Toc19353"/>
      <w:bookmarkStart w:id="1362" w:name="_Toc3954"/>
      <w:bookmarkStart w:id="1363" w:name="_Toc17067"/>
      <w:bookmarkStart w:id="1364" w:name="_Toc59949999"/>
      <w:bookmarkStart w:id="1365" w:name="_Toc288"/>
      <w:bookmarkStart w:id="1366" w:name="_Toc10681"/>
      <w:bookmarkStart w:id="1367" w:name="_Toc24561"/>
      <w:bookmarkStart w:id="1368" w:name="_Toc10171"/>
      <w:bookmarkStart w:id="1369" w:name="_Toc20637"/>
      <w:bookmarkStart w:id="1370" w:name="_Toc5995"/>
      <w:bookmarkStart w:id="1371" w:name="_Toc10752"/>
      <w:bookmarkStart w:id="1372" w:name="_Toc12838"/>
      <w:bookmarkStart w:id="1373" w:name="_Toc3733"/>
      <w:bookmarkStart w:id="1374" w:name="_Toc21139"/>
      <w:bookmarkStart w:id="1375" w:name="_Toc19620"/>
      <w:r>
        <w:rPr>
          <w:rFonts w:ascii="Times New Roman" w:hAnsi="Times New Roman" w:eastAsia="方正楷体_GBK"/>
          <w:b/>
          <w:sz w:val="32"/>
          <w:szCs w:val="32"/>
        </w:rPr>
        <w:t>第二节  大力发展现代边贸物流</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发挥渝川陕结合部区位优势和交通节点功能，依托高速公路新业态发展，建设区域性仓储物流园，完善交通物流运输体系。联合万源互建人流物流“口岸”，打造连接达州、万州、安康等城市的物流中转站，打造秦巴山区商贸物流基地。推动物流企业竞争合作，开展跨区域物流资源重组整合与联合经营。完善邮政快递基础网络，提升邮政服务水平和快递服务质效。</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376" w:name="_Toc1076"/>
      <w:bookmarkStart w:id="1377" w:name="_Toc25285"/>
      <w:bookmarkStart w:id="1378" w:name="_Toc28992"/>
      <w:bookmarkStart w:id="1379" w:name="_Toc10646"/>
      <w:bookmarkStart w:id="1380" w:name="_Toc9774"/>
      <w:bookmarkStart w:id="1381" w:name="_Toc59950000"/>
      <w:bookmarkStart w:id="1382" w:name="_Toc15104"/>
      <w:bookmarkStart w:id="1383" w:name="_Toc22190"/>
      <w:bookmarkStart w:id="1384" w:name="_Toc18622"/>
      <w:bookmarkStart w:id="1385" w:name="_Toc8670"/>
      <w:bookmarkStart w:id="1386" w:name="_Toc25652"/>
      <w:bookmarkStart w:id="1387" w:name="_Toc2699"/>
      <w:bookmarkStart w:id="1388" w:name="_Toc16485"/>
      <w:bookmarkStart w:id="1389" w:name="_Toc27264"/>
      <w:bookmarkStart w:id="1390" w:name="_Toc31125"/>
      <w:bookmarkStart w:id="1391" w:name="_Toc18256"/>
      <w:bookmarkStart w:id="1392" w:name="_Toc23750"/>
      <w:bookmarkStart w:id="1393" w:name="_Toc29519"/>
      <w:bookmarkStart w:id="1394" w:name="_Toc2159"/>
      <w:r>
        <w:rPr>
          <w:rFonts w:ascii="Times New Roman" w:hAnsi="Times New Roman" w:eastAsia="方正楷体_GBK"/>
          <w:b/>
          <w:sz w:val="32"/>
          <w:szCs w:val="32"/>
        </w:rPr>
        <w:t>第三节  大力发展专业服务业</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pPr>
        <w:overflowPunct w:val="0"/>
        <w:adjustRightInd w:val="0"/>
        <w:snapToGrid w:val="0"/>
        <w:spacing w:line="560" w:lineRule="exact"/>
        <w:ind w:firstLine="640" w:firstLineChars="200"/>
        <w:rPr>
          <w:rFonts w:ascii="Times New Roman" w:hAnsi="Times New Roman" w:eastAsia="方正仿宋_GBK"/>
          <w:sz w:val="32"/>
          <w:szCs w:val="32"/>
        </w:rPr>
      </w:pPr>
      <w:bookmarkStart w:id="1395" w:name="_Toc59950001"/>
      <w:r>
        <w:rPr>
          <w:rFonts w:ascii="Times New Roman" w:hAnsi="Times New Roman" w:eastAsia="方正仿宋_GBK"/>
          <w:sz w:val="32"/>
          <w:szCs w:val="32"/>
        </w:rPr>
        <w:t>以完善专业服务业态、提高在地专业供给能力为导向，加快发展法律、资产评估、会计、税务、勘察设计、工程咨询以及战略规划、营销策划、市场调查、管理咨询、产权交易、信用评估等专业服务业。建设“创新、创业”双创基地，支持本地开办的专业服务企业入驻。制定专业性服务企业人才子女就读政策，支持子女义务教育同等政策。支持民营企业、社会组织参与提供公共服务，健全公开遴选、评估体制机制，加强市场监管，建立健全公共服务市场化保障措施。以问山文旅公司为龙头，培育全过程陪伴型新兴服务业发展，推动城口生态产业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396" w:name="_Toc29128"/>
      <w:bookmarkStart w:id="1397" w:name="_Toc15741"/>
      <w:bookmarkStart w:id="1398" w:name="_Toc20930"/>
      <w:bookmarkStart w:id="1399" w:name="_Toc21524"/>
      <w:bookmarkStart w:id="1400" w:name="_Toc14494"/>
      <w:bookmarkStart w:id="1401" w:name="_Toc8918"/>
      <w:bookmarkStart w:id="1402" w:name="_Toc16307"/>
      <w:bookmarkStart w:id="1403" w:name="_Toc20433"/>
      <w:bookmarkStart w:id="1404" w:name="_Toc19646"/>
      <w:bookmarkStart w:id="1405" w:name="_Toc29544"/>
      <w:bookmarkStart w:id="1406" w:name="_Toc28608"/>
      <w:bookmarkStart w:id="1407" w:name="_Toc1522"/>
      <w:bookmarkStart w:id="1408" w:name="_Toc17022"/>
      <w:bookmarkStart w:id="1409" w:name="_Toc23501"/>
      <w:bookmarkStart w:id="1410" w:name="_Toc27785"/>
      <w:bookmarkStart w:id="1411" w:name="_Toc7842"/>
      <w:bookmarkStart w:id="1412" w:name="_Toc13502"/>
      <w:bookmarkStart w:id="1413" w:name="_Toc20242"/>
      <w:r>
        <w:rPr>
          <w:rFonts w:ascii="Times New Roman" w:hAnsi="Times New Roman" w:eastAsia="方正楷体_GBK"/>
          <w:b/>
          <w:sz w:val="32"/>
          <w:szCs w:val="32"/>
        </w:rPr>
        <w:t>第四节  升级发展生活性服务业</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提质升级商贸服务业。推动商品市场向全渠道平台商、供应链服务商、定制化服务商等多种集成服务转型，鼓励零售业向体验式、社交化、智能化等转型，引导住宿餐饮服务向高品质、精细化转型。依托城口老腊肉、城口山地鸡等大巴山优质食材，支持发展地域性特色连锁餐饮。大力推进乡村商贸服务业发展，实现一乡镇一便民生活服务圈，支持中心镇打造商贸重点集镇，辐射服务周边乡镇。优化乡村共同配送体系，丰富完善村（社区）商业服务，鼓励发展智慧门店、自助终端等“无接触”零售，提高居民生活便利化、智能化水平。</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多元化发展社会服务业。完善提升城乡育幼、养老功能，加快物业服务的规范化和专业化建设，推动育幼、文化、旅游、家政、物业等生活性服务业便利化、精细化、品质化发展，加强公益性、基础性服务业供给。制定大巴山森林人家服务标准，提升服务质量。</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专栏12  现代服务业发展重点</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7"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康养服务业。</w:t>
            </w:r>
            <w:r>
              <w:rPr>
                <w:rFonts w:ascii="Times New Roman" w:hAnsi="Times New Roman" w:eastAsia="方正仿宋_GBK"/>
                <w:sz w:val="24"/>
                <w:szCs w:val="32"/>
              </w:rPr>
              <w:t>重点推进中国西部智慧医养健康中心标杆项目、“青云寨”森林康养项目、南部片区生态避暑养生基地建设项目、大巴山旅居康养度假区建设项目、秦巴地区研学教育基地建设项目等项目建设，依托亢谷度假区、厚坪龙盘、河鱼两扇门等集群片区，开发多元化的康养产品。</w:t>
            </w:r>
          </w:p>
          <w:p>
            <w:pPr>
              <w:overflowPunct w:val="0"/>
              <w:spacing w:line="400" w:lineRule="exact"/>
              <w:ind w:firstLine="482" w:firstLineChars="200"/>
              <w:rPr>
                <w:rFonts w:ascii="Times New Roman" w:hAnsi="Times New Roman" w:eastAsia="方正仿宋_GBK"/>
                <w:b/>
                <w:bCs/>
                <w:sz w:val="24"/>
                <w:szCs w:val="32"/>
              </w:rPr>
            </w:pPr>
            <w:r>
              <w:rPr>
                <w:rFonts w:ascii="Times New Roman" w:hAnsi="Times New Roman" w:eastAsia="方正仿宋_GBK"/>
                <w:b/>
                <w:bCs/>
                <w:sz w:val="24"/>
                <w:szCs w:val="32"/>
              </w:rPr>
              <w:t>现代物流重点工程。</w:t>
            </w:r>
            <w:r>
              <w:rPr>
                <w:rFonts w:ascii="Times New Roman" w:hAnsi="Times New Roman" w:eastAsia="方正仿宋_GBK"/>
                <w:sz w:val="24"/>
                <w:szCs w:val="32"/>
              </w:rPr>
              <w:t>推进商贸物流集散中心、冷链仓储物流中心、再生资源回收利用体系项目建设。</w:t>
            </w:r>
          </w:p>
          <w:p>
            <w:pPr>
              <w:overflowPunct w:val="0"/>
              <w:spacing w:line="400" w:lineRule="exact"/>
              <w:ind w:firstLine="482" w:firstLineChars="200"/>
              <w:rPr>
                <w:rFonts w:ascii="Times New Roman" w:hAnsi="Times New Roman"/>
              </w:rPr>
            </w:pPr>
            <w:r>
              <w:rPr>
                <w:rFonts w:ascii="Times New Roman" w:hAnsi="Times New Roman" w:eastAsia="方正仿宋_GBK"/>
                <w:b/>
                <w:bCs/>
                <w:sz w:val="24"/>
                <w:szCs w:val="32"/>
              </w:rPr>
              <w:t>专业市场。</w:t>
            </w:r>
            <w:r>
              <w:rPr>
                <w:rFonts w:ascii="Times New Roman" w:hAnsi="Times New Roman" w:eastAsia="方正仿宋_GBK"/>
                <w:sz w:val="24"/>
                <w:szCs w:val="32"/>
              </w:rPr>
              <w:t>加快城区菜市场和水果市场、乡镇农贸市场新建和标准化改造。</w:t>
            </w:r>
          </w:p>
        </w:tc>
      </w:tr>
    </w:tbl>
    <w:p>
      <w:pPr>
        <w:overflowPunct w:val="0"/>
        <w:adjustRightInd w:val="0"/>
        <w:snapToGrid w:val="0"/>
        <w:spacing w:line="560" w:lineRule="exact"/>
        <w:rPr>
          <w:rFonts w:ascii="Times New Roman" w:hAnsi="Times New Roman"/>
        </w:rPr>
      </w:pPr>
    </w:p>
    <w:bookmarkEnd w:id="165"/>
    <w:p>
      <w:pPr>
        <w:overflowPunct w:val="0"/>
        <w:adjustRightInd w:val="0"/>
        <w:snapToGrid w:val="0"/>
        <w:spacing w:line="560" w:lineRule="exact"/>
        <w:jc w:val="center"/>
        <w:outlineLvl w:val="0"/>
        <w:rPr>
          <w:rFonts w:ascii="Times New Roman" w:hAnsi="Times New Roman" w:eastAsia="方正小标宋_GBK"/>
          <w:b/>
          <w:bCs/>
          <w:kern w:val="44"/>
          <w:sz w:val="32"/>
          <w:szCs w:val="36"/>
        </w:rPr>
      </w:pPr>
      <w:bookmarkStart w:id="1414" w:name="_Toc1813"/>
      <w:bookmarkStart w:id="1415" w:name="_Toc3657"/>
      <w:bookmarkStart w:id="1416" w:name="_Toc7317"/>
      <w:bookmarkStart w:id="1417" w:name="_Toc11510"/>
      <w:bookmarkStart w:id="1418" w:name="_Toc28270"/>
      <w:bookmarkStart w:id="1419" w:name="_Toc15768"/>
      <w:bookmarkStart w:id="1420" w:name="_Toc16259"/>
      <w:bookmarkStart w:id="1421" w:name="_Toc16682"/>
      <w:bookmarkStart w:id="1422" w:name="_Toc22536"/>
      <w:bookmarkStart w:id="1423" w:name="_Toc27826"/>
      <w:bookmarkStart w:id="1424" w:name="_Toc5800"/>
      <w:bookmarkStart w:id="1425" w:name="_Toc13448"/>
      <w:bookmarkStart w:id="1426" w:name="_Toc29056"/>
      <w:bookmarkStart w:id="1427" w:name="_Toc27743"/>
      <w:bookmarkStart w:id="1428" w:name="_Toc29105"/>
      <w:bookmarkStart w:id="1429" w:name="_Toc29475"/>
      <w:bookmarkStart w:id="1430" w:name="_Toc2523"/>
      <w:bookmarkStart w:id="1431" w:name="_Toc16481"/>
      <w:bookmarkStart w:id="1432" w:name="_Toc18104"/>
      <w:r>
        <w:rPr>
          <w:rFonts w:ascii="Times New Roman" w:hAnsi="Times New Roman" w:eastAsia="方正小标宋_GBK"/>
          <w:b/>
          <w:bCs/>
          <w:kern w:val="44"/>
          <w:sz w:val="32"/>
          <w:szCs w:val="36"/>
        </w:rPr>
        <w:t>第六篇  统筹乡村振兴和城市提升 全力推进城乡融合发展</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pPr>
        <w:overflowPunct w:val="0"/>
        <w:adjustRightInd w:val="0"/>
        <w:snapToGrid w:val="0"/>
        <w:spacing w:line="560" w:lineRule="exact"/>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统筹抓好县城和乡村提升两个基本面，巩固拓展脱贫攻坚成果，全面推进乡村振兴，持续提升城市品质，促进城乡融合发展。</w:t>
      </w:r>
    </w:p>
    <w:p>
      <w:pPr>
        <w:overflowPunct w:val="0"/>
        <w:rPr>
          <w:rFonts w:ascii="Times New Roman" w:hAnsi="Times New Roman" w:eastAsia="方正黑体_GBK"/>
          <w:b/>
          <w:bCs/>
          <w:kern w:val="44"/>
          <w:sz w:val="32"/>
          <w:szCs w:val="32"/>
        </w:rPr>
      </w:pPr>
      <w:bookmarkStart w:id="1433" w:name="_Toc14999"/>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34" w:name="_Toc32296"/>
      <w:bookmarkStart w:id="1435" w:name="_Toc29614"/>
      <w:bookmarkStart w:id="1436" w:name="_Toc19553"/>
      <w:bookmarkStart w:id="1437" w:name="_Toc12153"/>
      <w:bookmarkStart w:id="1438" w:name="_Toc15544"/>
      <w:bookmarkStart w:id="1439" w:name="_Toc13013"/>
      <w:bookmarkStart w:id="1440" w:name="_Toc11482"/>
      <w:bookmarkStart w:id="1441" w:name="_Toc14314"/>
      <w:bookmarkStart w:id="1442" w:name="_Toc12078"/>
      <w:bookmarkStart w:id="1443" w:name="_Toc8302"/>
      <w:bookmarkStart w:id="1444" w:name="_Toc8511"/>
      <w:bookmarkStart w:id="1445" w:name="_Toc17891"/>
      <w:bookmarkStart w:id="1446" w:name="_Toc14816"/>
      <w:bookmarkStart w:id="1447" w:name="_Toc30195"/>
      <w:bookmarkStart w:id="1448" w:name="_Toc11160"/>
      <w:bookmarkStart w:id="1449" w:name="_Toc3030"/>
      <w:bookmarkStart w:id="1450" w:name="_Toc4971"/>
      <w:bookmarkStart w:id="1451" w:name="_Toc20620"/>
      <w:r>
        <w:rPr>
          <w:rFonts w:ascii="Times New Roman" w:hAnsi="Times New Roman" w:eastAsia="方正黑体_GBK"/>
          <w:b/>
          <w:bCs/>
          <w:kern w:val="44"/>
          <w:sz w:val="32"/>
          <w:szCs w:val="32"/>
        </w:rPr>
        <w:t>第二十章 优化城乡</w:t>
      </w:r>
      <w:bookmarkEnd w:id="1433"/>
      <w:r>
        <w:rPr>
          <w:rFonts w:ascii="Times New Roman" w:hAnsi="Times New Roman" w:eastAsia="方正黑体_GBK"/>
          <w:b/>
          <w:bCs/>
          <w:kern w:val="44"/>
          <w:sz w:val="32"/>
          <w:szCs w:val="32"/>
        </w:rPr>
        <w:t>发展格局</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pPr>
        <w:overflowPunct w:val="0"/>
        <w:adjustRightInd w:val="0"/>
        <w:snapToGrid w:val="0"/>
        <w:spacing w:line="560" w:lineRule="exact"/>
        <w:ind w:firstLine="640" w:firstLineChars="200"/>
        <w:jc w:val="left"/>
        <w:rPr>
          <w:rFonts w:ascii="Times New Roman" w:hAnsi="Times New Roman" w:eastAsia="方正黑体_GBK"/>
          <w:sz w:val="28"/>
          <w:szCs w:val="28"/>
        </w:rPr>
      </w:pPr>
      <w:bookmarkStart w:id="1452" w:name="_Toc58693169"/>
      <w:r>
        <w:rPr>
          <w:rFonts w:ascii="Times New Roman" w:hAnsi="Times New Roman" w:eastAsia="方正仿宋_GBK"/>
          <w:sz w:val="32"/>
          <w:szCs w:val="32"/>
        </w:rPr>
        <w:t>建立完善“多规合一”国土空间规划体系，更好服务乡村振兴和城市提升。</w:t>
      </w:r>
      <w:bookmarkEnd w:id="1452"/>
      <w:r>
        <w:rPr>
          <w:rFonts w:ascii="Times New Roman" w:hAnsi="Times New Roman" w:eastAsia="方正仿宋_GBK"/>
          <w:sz w:val="32"/>
          <w:szCs w:val="32"/>
        </w:rPr>
        <w:t>依托高速路、快速路等交通轴带，构建河谷经济走廊、交通经济走廊，谋划平台经济布局，促使乡镇抱团聚势，组群发展，形成“一心三轴三片”的城乡发展格局。</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专栏13  “一心三轴三片”城乡发展格局</w:t>
      </w:r>
    </w:p>
    <w:tbl>
      <w:tblPr>
        <w:tblStyle w:val="2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Borders>
              <w:top w:val="single" w:color="auto" w:sz="4" w:space="0"/>
              <w:left w:val="single" w:color="auto" w:sz="4" w:space="0"/>
              <w:bottom w:val="single" w:color="auto" w:sz="4" w:space="0"/>
              <w:right w:val="single" w:color="auto" w:sz="4" w:space="0"/>
            </w:tcBorders>
          </w:tcPr>
          <w:p>
            <w:pPr>
              <w:overflowPunct w:val="0"/>
              <w:spacing w:line="3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一心：</w:t>
            </w:r>
            <w:r>
              <w:rPr>
                <w:rFonts w:ascii="Times New Roman" w:hAnsi="Times New Roman" w:eastAsia="方正仿宋_GBK"/>
                <w:sz w:val="24"/>
                <w:szCs w:val="32"/>
              </w:rPr>
              <w:t>构建“中心城区—修齐—北屏—高燕—龙田”通勤经济圈，以中心城区为中心，联动周边乡镇，形成发展核心，基于城区用地拓展空间有限，引导中心城区功能疏解。</w:t>
            </w:r>
          </w:p>
          <w:p>
            <w:pPr>
              <w:overflowPunct w:val="0"/>
              <w:spacing w:line="3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三轴：</w:t>
            </w:r>
            <w:r>
              <w:rPr>
                <w:rFonts w:ascii="Times New Roman" w:hAnsi="Times New Roman" w:eastAsia="方正仿宋_GBK"/>
                <w:sz w:val="24"/>
                <w:szCs w:val="32"/>
              </w:rPr>
              <w:t>东西向城镇综合发展主轴，依托万（源）巫（溪）高速带动坪坝镇、修齐镇、东安镇、高观镇、高燕镇、沿河乡等乡镇发展。东西向城镇综合发展次轴，依托城万快速通道带动沿线高燕镇、庙坝镇、双河乡等乡镇发展。南北向城镇协同发展轴，依托银百高速南北向连通西安、重庆的区域协同通道，带动沿线北屏乡、蓼子乡、鸡鸣乡发展。</w:t>
            </w:r>
          </w:p>
          <w:p>
            <w:pPr>
              <w:overflowPunct w:val="0"/>
              <w:spacing w:line="300" w:lineRule="exact"/>
              <w:ind w:firstLine="482" w:firstLineChars="200"/>
              <w:jc w:val="left"/>
              <w:rPr>
                <w:rFonts w:ascii="Times New Roman" w:hAnsi="Times New Roman"/>
              </w:rPr>
            </w:pPr>
            <w:r>
              <w:rPr>
                <w:rFonts w:ascii="Times New Roman" w:hAnsi="Times New Roman" w:eastAsia="方正仿宋_GBK"/>
                <w:b/>
                <w:bCs/>
                <w:sz w:val="24"/>
                <w:szCs w:val="32"/>
              </w:rPr>
              <w:t>三片：</w:t>
            </w:r>
            <w:r>
              <w:rPr>
                <w:rFonts w:ascii="Times New Roman" w:hAnsi="Times New Roman" w:eastAsia="方正仿宋_GBK"/>
                <w:sz w:val="24"/>
                <w:szCs w:val="32"/>
              </w:rPr>
              <w:t>东部城镇发展片。包括修齐镇、高观镇、东安镇、岚天乡、河鱼乡、治平乡、厚坪乡。西部城镇发展片。包括坪坝镇、庙坝镇、巴山镇、高楠镇、左岚乡、沿河乡、双河乡。南部城镇发展片。包括明通镇、咸宜镇、鸡鸣乡、蓼子乡、明中乡、周溪乡。</w:t>
            </w:r>
          </w:p>
        </w:tc>
      </w:tr>
    </w:tbl>
    <w:p>
      <w:pPr>
        <w:overflowPunct w:val="0"/>
        <w:adjustRightInd w:val="0"/>
        <w:snapToGrid w:val="0"/>
        <w:spacing w:line="560" w:lineRule="exact"/>
        <w:outlineLvl w:val="1"/>
        <w:rPr>
          <w:rFonts w:ascii="Times New Roman" w:hAnsi="Times New Roman" w:eastAsia="方正黑体_GBK"/>
          <w:b/>
          <w:bCs/>
          <w:kern w:val="44"/>
          <w:sz w:val="32"/>
          <w:szCs w:val="32"/>
        </w:rPr>
      </w:pPr>
      <w:bookmarkStart w:id="1453" w:name="_Toc27917"/>
      <w:bookmarkStart w:id="1454" w:name="_Toc22022"/>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455" w:name="_Toc8026"/>
      <w:bookmarkStart w:id="1456" w:name="_Toc22119"/>
      <w:bookmarkStart w:id="1457" w:name="_Toc23350"/>
      <w:bookmarkStart w:id="1458" w:name="_Toc23357"/>
      <w:bookmarkStart w:id="1459" w:name="_Toc6278"/>
      <w:bookmarkStart w:id="1460" w:name="_Toc30919"/>
      <w:bookmarkStart w:id="1461" w:name="_Toc8364"/>
      <w:bookmarkStart w:id="1462" w:name="_Toc22878"/>
      <w:bookmarkStart w:id="1463" w:name="_Toc22527"/>
      <w:bookmarkStart w:id="1464" w:name="_Toc19851"/>
      <w:bookmarkStart w:id="1465" w:name="_Toc22785"/>
      <w:bookmarkStart w:id="1466" w:name="_Toc28567"/>
      <w:bookmarkStart w:id="1467" w:name="_Toc31124"/>
      <w:bookmarkStart w:id="1468" w:name="_Toc10740"/>
      <w:bookmarkStart w:id="1469" w:name="_Toc19578"/>
      <w:bookmarkStart w:id="1470" w:name="_Toc21956"/>
      <w:bookmarkStart w:id="1471" w:name="_Toc16992"/>
      <w:r>
        <w:rPr>
          <w:rFonts w:ascii="Times New Roman" w:hAnsi="Times New Roman" w:eastAsia="方正黑体_GBK"/>
          <w:b/>
          <w:bCs/>
          <w:kern w:val="44"/>
          <w:sz w:val="32"/>
          <w:szCs w:val="32"/>
        </w:rPr>
        <w:t>第二十一章  全面推进乡村振兴</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pPr>
        <w:pStyle w:val="51"/>
        <w:overflowPunct w:val="0"/>
        <w:snapToGrid w:val="0"/>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坚持把解决好“三农”问题作为全党工作重中之重，按照产业兴旺、生态宜居、乡风文明、治理有效、生活富裕总要求，优先发展农业农村，坚决守住脱贫攻坚成果、做好巩固拓展脱贫攻坚成果同乡村振兴有效衔接，绘就农村美、农业强、农民富的美好图景。</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472" w:name="_Toc29925"/>
      <w:bookmarkStart w:id="1473" w:name="_Toc29081"/>
      <w:bookmarkStart w:id="1474" w:name="_Toc24570"/>
      <w:bookmarkStart w:id="1475" w:name="_Toc10639"/>
      <w:bookmarkStart w:id="1476" w:name="_Toc31534"/>
      <w:bookmarkStart w:id="1477" w:name="_Toc150"/>
      <w:bookmarkStart w:id="1478" w:name="_Toc15110"/>
      <w:bookmarkStart w:id="1479" w:name="_Toc10377"/>
      <w:bookmarkStart w:id="1480" w:name="_Toc20050"/>
      <w:bookmarkStart w:id="1481" w:name="_Toc16177"/>
      <w:bookmarkStart w:id="1482" w:name="_Toc26006"/>
      <w:bookmarkStart w:id="1483" w:name="_Toc11563"/>
      <w:bookmarkStart w:id="1484" w:name="_Toc17125"/>
      <w:bookmarkStart w:id="1485" w:name="_Toc29060"/>
      <w:bookmarkStart w:id="1486" w:name="_Toc5546"/>
      <w:bookmarkStart w:id="1487" w:name="_Toc10777"/>
      <w:bookmarkStart w:id="1488" w:name="_Toc20044"/>
      <w:bookmarkStart w:id="1489" w:name="_Toc4063"/>
      <w:r>
        <w:rPr>
          <w:rFonts w:ascii="Times New Roman" w:hAnsi="Times New Roman" w:eastAsia="方正楷体_GBK"/>
          <w:b/>
          <w:sz w:val="32"/>
          <w:szCs w:val="32"/>
        </w:rPr>
        <w:t xml:space="preserve">第一节  </w:t>
      </w:r>
      <w:bookmarkStart w:id="1490" w:name="_Toc20580"/>
      <w:r>
        <w:rPr>
          <w:rFonts w:ascii="Times New Roman" w:hAnsi="Times New Roman" w:eastAsia="方正楷体_GBK"/>
          <w:b/>
          <w:sz w:val="32"/>
          <w:szCs w:val="32"/>
        </w:rPr>
        <w:t>提高农业质量效益</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保障粮食安全和农产品有效供给。牢固树立耕地数量、质量、生态三位一体保护理念，严守耕地保护红线，采取长牙齿的硬措施，落实最严格的耕地保护制度，</w:t>
      </w:r>
      <w:r>
        <w:rPr>
          <w:rFonts w:ascii="Times New Roman" w:hAnsi="Times New Roman" w:eastAsia="方正仿宋_GBK"/>
          <w:bCs/>
          <w:sz w:val="32"/>
          <w:szCs w:val="32"/>
        </w:rPr>
        <w:t>加强农村违法建设整治，</w:t>
      </w:r>
      <w:r>
        <w:rPr>
          <w:rFonts w:ascii="Times New Roman" w:hAnsi="Times New Roman" w:eastAsia="方正仿宋_GBK"/>
          <w:sz w:val="32"/>
          <w:szCs w:val="32"/>
        </w:rPr>
        <w:t>坚决遏制耕地“非农化”行为，防止耕地“非粮化”，</w:t>
      </w:r>
      <w:r>
        <w:rPr>
          <w:rFonts w:ascii="Times New Roman" w:hAnsi="Times New Roman" w:eastAsia="方正仿宋_GBK"/>
          <w:bCs/>
          <w:sz w:val="32"/>
          <w:szCs w:val="32"/>
        </w:rPr>
        <w:t>规范“耕地占补平衡”</w:t>
      </w:r>
      <w:r>
        <w:rPr>
          <w:rFonts w:ascii="Times New Roman" w:hAnsi="Times New Roman" w:eastAsia="方正仿宋_GBK"/>
          <w:sz w:val="32"/>
          <w:szCs w:val="32"/>
        </w:rPr>
        <w:t>。开展粮食节约行动。落实粮食生产补贴政策。扛起粮食安全的政治责任，党政同责落实“米袋子”“菜篮子”负责制，确保粮食安全和重要农产品有效供给。</w:t>
      </w:r>
    </w:p>
    <w:p>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强化农业质量效益提升支撑。推进土地宜机化改造、高标准农田建设，提高农业综合生产力。到2025年，全县新建成高标准农田2.5万亩。加强农田水利设施建设，开展农业用水精细化管理，提高水资源利用效率和抵御自然灾害能力。强化农业科技支撑能力，加快推进农业科技成果推广应用。推动智慧农业建设，完善粮食质量安全检验和质量风险监测体系，健全农产品质量安全追溯体系，建设一批乡镇农产品质量安全监管示范站。到2025年，建立起多层级、多形式和多方参与的农产品质量安全监管体系，确保不发生重大农产品质量安全事件。推进农业面源污染防治，加强土壤污染、地下水超采、水土流失等治理和修复。完善农业农村防灾减灾体系，大力提高抵御洪涝旱灾、风灾林火、植物病虫害、重大动物疫病等灾害的综合防控能力。</w:t>
      </w:r>
    </w:p>
    <w:p>
      <w:pPr>
        <w:widowControl/>
        <w:overflowPunct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农村一二三产业融合发展。立足特色资源，推动乡村产业发展壮大，优化产业布局，完善利益联结机制，确保依托农业农村资源的二三产业尽量留在农村，让农民更多分享产值增值收益。推进农业、林业与旅游、文创、康养等产业深度融合，加快发展休闲农业和乡村旅游，推动科技、人文等元素融入农业、生态，发展创意生态产业，扩展农民增收空间。积极发展农村电子商务，</w:t>
      </w:r>
      <w:r>
        <w:rPr>
          <w:rFonts w:ascii="Times New Roman" w:hAnsi="Times New Roman" w:eastAsia="方正仿宋_GBK"/>
          <w:kern w:val="0"/>
          <w:sz w:val="32"/>
          <w:szCs w:val="32"/>
        </w:rPr>
        <w:t>健全</w:t>
      </w:r>
      <w:r>
        <w:rPr>
          <w:rStyle w:val="58"/>
          <w:rFonts w:ascii="Times New Roman" w:hAnsi="Times New Roman" w:eastAsia="方正仿宋_GBK"/>
          <w:sz w:val="32"/>
          <w:szCs w:val="32"/>
        </w:rPr>
        <w:t>物流配送体系，</w:t>
      </w:r>
      <w:r>
        <w:rPr>
          <w:rFonts w:ascii="Times New Roman" w:hAnsi="Times New Roman" w:eastAsia="方正仿宋_GBK"/>
          <w:sz w:val="32"/>
          <w:szCs w:val="32"/>
        </w:rPr>
        <w:t>在有条件的乡镇建设电子商务集配中心，推进农产品产地、集散地和加工区的冷藏保温仓储设施建设，鼓励农村电商服务站点强化快递物流配送服务。</w:t>
      </w:r>
      <w:r>
        <w:rPr>
          <w:rStyle w:val="58"/>
          <w:rFonts w:ascii="Times New Roman" w:hAnsi="Times New Roman" w:eastAsia="方正仿宋_GBK"/>
          <w:sz w:val="32"/>
          <w:szCs w:val="20"/>
        </w:rPr>
        <w:t>支持做强“城口县农产品销售平台”“扶贫832”等特色平台，拓展农产品销售渠道。</w:t>
      </w:r>
      <w:r>
        <w:rPr>
          <w:rFonts w:ascii="Times New Roman" w:hAnsi="Times New Roman" w:eastAsia="方正仿宋_GBK"/>
          <w:sz w:val="32"/>
          <w:szCs w:val="32"/>
        </w:rPr>
        <w:t>大力发展农产品精深加工，健全特色农产品生产、加工、仓储保鲜、冷链物流等全产业链。</w:t>
      </w:r>
    </w:p>
    <w:p>
      <w:pPr>
        <w:overflowPunct w:val="0"/>
        <w:spacing w:line="480" w:lineRule="exact"/>
        <w:jc w:val="center"/>
        <w:rPr>
          <w:rFonts w:ascii="Times New Roman" w:hAnsi="Times New Roman" w:eastAsia="方正黑体_GBK"/>
          <w:sz w:val="28"/>
          <w:szCs w:val="28"/>
        </w:rPr>
      </w:pPr>
      <w:bookmarkStart w:id="1491" w:name="_Toc7055"/>
      <w:r>
        <w:rPr>
          <w:rFonts w:ascii="Times New Roman" w:hAnsi="Times New Roman" w:eastAsia="方正黑体_GBK"/>
          <w:sz w:val="28"/>
          <w:szCs w:val="28"/>
        </w:rPr>
        <w:t>专栏14  农业质量效益提升工程</w:t>
      </w:r>
    </w:p>
    <w:tbl>
      <w:tblPr>
        <w:tblStyle w:val="27"/>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1"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kern w:val="0"/>
                <w:szCs w:val="20"/>
                <w:highlight w:val="yellow"/>
              </w:rPr>
            </w:pPr>
            <w:r>
              <w:rPr>
                <w:rFonts w:ascii="Times New Roman" w:hAnsi="Times New Roman" w:eastAsia="方正仿宋_GBK"/>
                <w:b/>
                <w:bCs/>
                <w:kern w:val="0"/>
                <w:sz w:val="24"/>
                <w:szCs w:val="28"/>
              </w:rPr>
              <w:t>农产品质量效益提升工程。</w:t>
            </w:r>
            <w:r>
              <w:rPr>
                <w:rFonts w:ascii="Times New Roman" w:hAnsi="Times New Roman" w:eastAsia="方正仿宋_GBK"/>
                <w:kern w:val="0"/>
                <w:sz w:val="24"/>
                <w:szCs w:val="28"/>
              </w:rPr>
              <w:t>推进土地宜机化改、标准农田建设，到2025年，全县新建成标准农田2.5万亩。建立起覆盖全过程的农产品安全追溯和质量标识体系，主要农产品例行监测合格率稳定100%。完善农业农村防灾减灾体系。支持有条件的乡镇建设电子商务集配中心。做强“城口县农产品销售平台”“扶贫832”等特色平台，拓展农产品销售渠道。</w:t>
            </w:r>
          </w:p>
        </w:tc>
      </w:tr>
    </w:tbl>
    <w:p>
      <w:pPr>
        <w:overflowPunct w:val="0"/>
        <w:adjustRightInd w:val="0"/>
        <w:snapToGrid w:val="0"/>
        <w:spacing w:line="560" w:lineRule="exact"/>
        <w:jc w:val="center"/>
        <w:outlineLvl w:val="2"/>
        <w:rPr>
          <w:rFonts w:ascii="Times New Roman" w:hAnsi="Times New Roman" w:eastAsia="方正楷体_GBK"/>
          <w:b/>
          <w:sz w:val="32"/>
          <w:szCs w:val="32"/>
        </w:rPr>
      </w:pPr>
      <w:bookmarkStart w:id="1492" w:name="_Toc28405"/>
      <w:bookmarkStart w:id="1493" w:name="_Toc19960"/>
      <w:bookmarkStart w:id="1494" w:name="_Toc1003"/>
      <w:bookmarkStart w:id="1495" w:name="_Toc1210"/>
      <w:bookmarkStart w:id="1496" w:name="_Toc28138"/>
      <w:bookmarkStart w:id="1497" w:name="_Toc16368"/>
      <w:bookmarkStart w:id="1498" w:name="_Toc9247"/>
      <w:bookmarkStart w:id="1499" w:name="_Toc20175"/>
      <w:bookmarkStart w:id="1500" w:name="_Toc19486"/>
      <w:bookmarkStart w:id="1501" w:name="_Toc17059"/>
      <w:bookmarkStart w:id="1502" w:name="_Toc8884"/>
      <w:bookmarkStart w:id="1503" w:name="_Toc15233"/>
      <w:bookmarkStart w:id="1504" w:name="_Toc11912"/>
      <w:bookmarkStart w:id="1505" w:name="_Toc32745"/>
      <w:bookmarkStart w:id="1506" w:name="_Toc17578"/>
      <w:bookmarkStart w:id="1507" w:name="_Toc25791"/>
      <w:bookmarkStart w:id="1508" w:name="_Toc14310"/>
      <w:bookmarkStart w:id="1509" w:name="_Toc12492"/>
      <w:r>
        <w:rPr>
          <w:rFonts w:ascii="Times New Roman" w:hAnsi="Times New Roman" w:eastAsia="方正楷体_GBK"/>
          <w:b/>
          <w:sz w:val="32"/>
          <w:szCs w:val="32"/>
        </w:rPr>
        <w:t>第二节  实施乡村建设行动</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优化乡村布局。统筹推进乡镇场镇和村庄产业发展、基础设施、公共服务、生态保护，细化要素配置，建立乡村一体化发展规划体系。支持经济社会发展较好、城镇化水平较高的乡撤乡设镇，把乡镇建设成为服务农民的区域中心。坚持“重点乡镇优先培育，一般乡镇分类引导，突出特色差异化互补式发展”思路，镇（乡）村一体谋划，形成“中心镇+一般镇（乡）+村（集居区）”三级镇（村）体系。合理确定村庄分类布局，按照集聚提升、城郊融合、特色保护、搬迁撤并的导向，分类推进村庄发展。编制完善村庄规划，优化生产生活生态空间布局，注重保护传统村落和乡村特色风貌。</w:t>
      </w:r>
    </w:p>
    <w:p>
      <w:pPr>
        <w:pStyle w:val="26"/>
        <w:overflowPunct w:val="0"/>
        <w:adjustRightInd w:val="0"/>
        <w:snapToGrid w:val="0"/>
        <w:spacing w:after="0" w:line="560" w:lineRule="exact"/>
        <w:ind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提升乡村基础设施和公共服务水平。继续把公共基础设施建设的重点放在农村，在推进城乡基本公共服务均等化上持续发力。有序推进县域客运班线公交化改造，持续抓好“四好农村路”建设。加强乡村供水设施建设，新建或改扩建集中供水厂、改造村级供水站、更新改造供水管网。有序推进燃气管网覆盖乡镇。加快农村电网升级改造，重点实施用户电力设备改造，增加村级变压器容量。加快数字乡村建设，合理规划布局农村5G、光纤等新型基础设施，实现通信网络和宽带网络村庄全覆盖。加快推进农村义务教育学校标准化和信息化建设。加快改善农村卫生基础设施，推动卫生院等级达标创建。加强乡村文化体育设施建设，完善村（社区）综合文化服务中心服务功能。严格落实农村养老金标准和农村医保报销政策，实现城乡低保标准并轨。</w:t>
      </w: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改善农村人居环境。深入开展城乡环境“八乱”整治、“五干净、六整齐”清洁家园、美丽乡村建设，强力推进垃圾分类、污水处理，持续推进“厕所革命”，加强农村面源污染治理，提升社会文明程度。接续推进乡镇场镇、易地扶贫搬迁安置点等重点区域人居环境整治提升，加快建设生态宜居“美丽家园”。推进农村生活垃圾分类和资源化利用，行政村生活垃圾治理比例提高到100%。分类推进农村生活污水治理，基本完成常住人口200户或500人以上的农村聚居点污水处理设施建设。巩固拓展农村厕所革命成果，农村卫生厕所普及率提高到100%。有序推进农村危房改造，提升农房建设质量。</w:t>
      </w:r>
      <w:bookmarkStart w:id="1510" w:name="_Toc15580"/>
    </w:p>
    <w:p>
      <w:pPr>
        <w:overflowPunct w:val="0"/>
        <w:adjustRightInd w:val="0"/>
        <w:snapToGrid w:val="0"/>
        <w:spacing w:line="560" w:lineRule="exact"/>
        <w:jc w:val="center"/>
        <w:rPr>
          <w:rFonts w:ascii="Times New Roman" w:hAnsi="Times New Roman" w:eastAsia="方正黑体_GBK"/>
          <w:sz w:val="28"/>
          <w:szCs w:val="28"/>
        </w:rPr>
      </w:pPr>
      <w:r>
        <w:rPr>
          <w:rFonts w:ascii="Times New Roman" w:hAnsi="Times New Roman" w:eastAsia="方正黑体_GBK"/>
          <w:sz w:val="28"/>
          <w:szCs w:val="28"/>
        </w:rPr>
        <w:t>专栏15  乡村建设重点工程</w:t>
      </w:r>
    </w:p>
    <w:tbl>
      <w:tblPr>
        <w:tblStyle w:val="27"/>
        <w:tblpPr w:leftFromText="180" w:rightFromText="180" w:vertAnchor="text" w:horzAnchor="margin" w:tblpY="129"/>
        <w:tblOverlap w:val="never"/>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2" w:type="dxa"/>
            <w:tcBorders>
              <w:top w:val="single" w:color="auto" w:sz="4" w:space="0"/>
              <w:left w:val="single" w:color="auto" w:sz="4" w:space="0"/>
              <w:bottom w:val="single" w:color="auto" w:sz="4" w:space="0"/>
              <w:right w:val="single" w:color="auto" w:sz="4" w:space="0"/>
            </w:tcBorders>
          </w:tcPr>
          <w:p>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农村交通基础设施建设。</w:t>
            </w:r>
            <w:r>
              <w:rPr>
                <w:rFonts w:ascii="Times New Roman" w:hAnsi="Times New Roman" w:eastAsia="方正仿宋_GBK"/>
                <w:kern w:val="0"/>
                <w:sz w:val="24"/>
              </w:rPr>
              <w:t>持续推进“四好农村路”畅通工程建设，实施农村公路“单改双”工程500公里、路面拓宽工程1000公里、通畅工程1147公里、通达工程937公里。</w:t>
            </w:r>
          </w:p>
          <w:p>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农村公共服务提升。</w:t>
            </w:r>
            <w:r>
              <w:rPr>
                <w:rFonts w:ascii="Times New Roman" w:hAnsi="Times New Roman" w:eastAsia="方正仿宋_GBK"/>
                <w:kern w:val="0"/>
                <w:sz w:val="24"/>
              </w:rPr>
              <w:t>规划建设乡村文旅广场32个，社区集中点移动公厕96座，综合服务点基础设施配备32个。</w:t>
            </w:r>
          </w:p>
          <w:p>
            <w:pPr>
              <w:overflowPunct w:val="0"/>
              <w:spacing w:line="360" w:lineRule="exact"/>
              <w:ind w:firstLine="482" w:firstLineChars="200"/>
              <w:rPr>
                <w:rFonts w:ascii="Times New Roman" w:hAnsi="Times New Roman" w:eastAsia="方正仿宋_GBK"/>
                <w:kern w:val="0"/>
                <w:sz w:val="24"/>
              </w:rPr>
            </w:pPr>
            <w:r>
              <w:rPr>
                <w:rFonts w:ascii="Times New Roman" w:hAnsi="Times New Roman" w:eastAsia="方正仿宋_GBK"/>
                <w:b/>
                <w:bCs/>
                <w:kern w:val="0"/>
                <w:sz w:val="24"/>
              </w:rPr>
              <w:t>农村人居环境整治提升。</w:t>
            </w:r>
            <w:r>
              <w:rPr>
                <w:rFonts w:ascii="Times New Roman" w:hAnsi="Times New Roman" w:eastAsia="方正仿宋_GBK"/>
                <w:kern w:val="0"/>
                <w:sz w:val="24"/>
              </w:rPr>
              <w:t>推进农村垃圾治理，推广使用垃圾分类收集设施，完善垃圾转运系统；新建入户便道327公里，改建入户便道106公里；新增太阳能路灯1970盏；旧房整治提升4422户，闲置废弃房拆除1408栋，改院1842户；增加公共绿化空间约20万平方米。</w:t>
            </w:r>
          </w:p>
          <w:p>
            <w:pPr>
              <w:overflowPunct w:val="0"/>
              <w:spacing w:line="360" w:lineRule="exact"/>
              <w:ind w:left="479" w:leftChars="228"/>
              <w:rPr>
                <w:rFonts w:ascii="Times New Roman" w:hAnsi="Times New Roman" w:eastAsia="方正仿宋_GBK"/>
                <w:sz w:val="24"/>
              </w:rPr>
            </w:pPr>
            <w:r>
              <w:rPr>
                <w:rFonts w:ascii="Times New Roman" w:hAnsi="Times New Roman" w:eastAsia="方正仿宋_GBK"/>
                <w:b/>
                <w:bCs/>
                <w:sz w:val="24"/>
              </w:rPr>
              <w:t>农村饮水工程。</w:t>
            </w:r>
            <w:r>
              <w:rPr>
                <w:rFonts w:ascii="Times New Roman" w:hAnsi="Times New Roman" w:eastAsia="方正仿宋_GBK"/>
                <w:sz w:val="24"/>
              </w:rPr>
              <w:t>新建农村集中供水工程15处，改造农村集中供水工程22处。</w:t>
            </w:r>
          </w:p>
          <w:p>
            <w:pPr>
              <w:overflowPunct w:val="0"/>
              <w:spacing w:line="360" w:lineRule="exact"/>
              <w:ind w:firstLine="482" w:firstLineChars="200"/>
              <w:rPr>
                <w:rFonts w:ascii="Times New Roman" w:hAnsi="Times New Roman" w:eastAsia="方正仿宋_GBK"/>
                <w:sz w:val="24"/>
              </w:rPr>
            </w:pPr>
            <w:r>
              <w:rPr>
                <w:rFonts w:ascii="Times New Roman" w:hAnsi="Times New Roman" w:eastAsia="方正仿宋_GBK"/>
                <w:b/>
                <w:bCs/>
                <w:sz w:val="24"/>
              </w:rPr>
              <w:t>传统村落保护和历史建筑保护。</w:t>
            </w:r>
            <w:r>
              <w:rPr>
                <w:rFonts w:ascii="Times New Roman" w:hAnsi="Times New Roman" w:eastAsia="方正仿宋_GBK"/>
                <w:sz w:val="24"/>
              </w:rPr>
              <w:t>推进高楠镇方斗村传统村落保护，对全县范围内有历史文化和科学艺术价值的历史建筑进行修缮、保护。</w:t>
            </w:r>
          </w:p>
        </w:tc>
      </w:tr>
    </w:tbl>
    <w:p>
      <w:pPr>
        <w:overflowPunct w:val="0"/>
        <w:adjustRightInd w:val="0"/>
        <w:snapToGrid w:val="0"/>
        <w:spacing w:line="560" w:lineRule="exact"/>
        <w:jc w:val="center"/>
        <w:outlineLvl w:val="2"/>
        <w:rPr>
          <w:rFonts w:ascii="Times New Roman" w:hAnsi="Times New Roman" w:eastAsia="方正楷体_GBK"/>
          <w:b/>
          <w:sz w:val="32"/>
          <w:szCs w:val="32"/>
        </w:rPr>
      </w:pPr>
      <w:bookmarkStart w:id="1511" w:name="_Toc12352"/>
      <w:bookmarkStart w:id="1512" w:name="_Toc24691"/>
      <w:bookmarkStart w:id="1513" w:name="_Toc15381"/>
      <w:bookmarkStart w:id="1514" w:name="_Toc5764"/>
      <w:bookmarkStart w:id="1515" w:name="_Toc20020"/>
      <w:bookmarkStart w:id="1516" w:name="_Toc10650"/>
      <w:bookmarkStart w:id="1517" w:name="_Toc32191"/>
      <w:bookmarkStart w:id="1518" w:name="_Toc9550"/>
      <w:bookmarkStart w:id="1519" w:name="_Toc27682"/>
      <w:bookmarkStart w:id="1520" w:name="_Toc3545"/>
      <w:bookmarkStart w:id="1521" w:name="_Toc21325"/>
      <w:bookmarkStart w:id="1522" w:name="_Toc907"/>
      <w:bookmarkStart w:id="1523" w:name="_Toc26718"/>
      <w:bookmarkStart w:id="1524" w:name="_Toc9357"/>
      <w:bookmarkStart w:id="1525" w:name="_Toc6776"/>
      <w:bookmarkStart w:id="1526" w:name="_Toc4421"/>
      <w:bookmarkStart w:id="1527" w:name="_Toc25432"/>
      <w:bookmarkStart w:id="1528" w:name="_Toc7506"/>
      <w:r>
        <w:rPr>
          <w:rFonts w:ascii="Times New Roman" w:hAnsi="Times New Roman" w:eastAsia="方正楷体_GBK"/>
          <w:b/>
          <w:sz w:val="32"/>
          <w:szCs w:val="32"/>
        </w:rPr>
        <w:t>第三节  巩固拓展脱贫攻坚成果同乡村振兴有效衔接</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建立健全巩固脱贫攻坚成果长效机制。严格落实“四个不摘”要求，保持帮扶队伍、政策措施、攻坚力量稳定不变。继续落实好教育、医疗、住房、饮水等民生保障普惠性政策，优化完善产业就业等发展类政策。健全防止返贫动态监测和帮扶机制，常态化监测脱贫不稳定户、边缘易致贫户，以及因病因灾因意外事故等易返贫致贫人口，重点监测收入水平变化和“两不愁三保障”巩固情况，实行问题动态清零。做好易地扶贫搬迁后续扶持工作，聚焦深度贫困乡村和集中安置点，从就业需要、产业发展和后续配套设施建设提升完善等方面强化扶持政策落实，持续巩固易地搬迁脱贫成果，确保搬迁群众稳得住、有就业、逐步能致富。积极推广以工代赈方式。加强扶贫项目资产管理和监督，分类摸清各类扶贫项目形成的资产底数，明晰产权关系，落实管护主体，加强运营管理，提高资产使用效率。</w:t>
      </w:r>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推动脱贫工作体系全面转向乡村振兴。做好领导体系、发展规划、政策举措、考核机制等有效衔接，全面落实“五大振兴”任务，从解决建档立卡贫困人口“两不愁三保障”为重点转向实现乡村产业兴旺、生态宜居、乡风文明、治理有效、生活富裕，从集中资源支持脱贫攻坚转向巩固脱贫攻坚成果和全面推进乡村振兴，从特殊性政策支持转向普惠性、均衡性政策支持。遵循产业规律，注重扶贫产业长期培育和系统支持，持续推进产业发展配套基础设施建设，逐步形成产业规模、拓展产业链条、完善产业体系，推动产业扶贫向产业振兴提升。深化落实东西部协作、中央定点帮扶等机制，用好扶贫车间和公益性岗位政策，加大职业技能培训力度，加强脱贫人口有组织劳务输出，统筹用好乡村公益岗位，促进贫困人口稳定就业。按照乡村建设行动统一部署，持续加大力度改善贫困乡村基础设施条件、提升公共服务水平。确定一批乡村振兴乡镇和村社区给予重点支持，增强其巩固脱贫成果及内生发展能力。</w:t>
      </w:r>
    </w:p>
    <w:p>
      <w:pPr>
        <w:overflowPunct w:val="0"/>
        <w:adjustRightInd w:val="0"/>
        <w:snapToGrid w:val="0"/>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健全农村低收入人口常态化帮扶机制。加强农村低收入人口监测，完善主动发现和动态调整机制。分层分类实施社会救助，落实最低生活保障、农村特困人员救助给养等制度。加强农村医疗保障，坚持基本标准，统筹发挥基本医疗保险、大病保险、医疗救助三重保障制度综合梯次减负功能。加强养老保障和儿童关爱服务，织密兜牢丧失劳动能力人口基本生活保障底线。</w:t>
      </w:r>
    </w:p>
    <w:p>
      <w:pPr>
        <w:overflowPunct w:val="0"/>
        <w:rPr>
          <w:rFonts w:ascii="Times New Roman" w:hAnsi="Times New Roman" w:eastAsia="方正黑体_GBK"/>
          <w:b/>
          <w:bCs/>
          <w:kern w:val="44"/>
          <w:sz w:val="32"/>
          <w:szCs w:val="32"/>
        </w:rPr>
      </w:pPr>
      <w:bookmarkStart w:id="1529" w:name="_Toc8189"/>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530" w:name="_Toc24577"/>
      <w:bookmarkStart w:id="1531" w:name="_Toc27798"/>
      <w:bookmarkStart w:id="1532" w:name="_Toc17192"/>
      <w:bookmarkStart w:id="1533" w:name="_Toc20559"/>
      <w:bookmarkStart w:id="1534" w:name="_Toc16785"/>
      <w:bookmarkStart w:id="1535" w:name="_Toc3678"/>
      <w:bookmarkStart w:id="1536" w:name="_Toc30202"/>
      <w:bookmarkStart w:id="1537" w:name="_Toc14480"/>
      <w:bookmarkStart w:id="1538" w:name="_Toc7162"/>
      <w:bookmarkStart w:id="1539" w:name="_Toc24988"/>
      <w:bookmarkStart w:id="1540" w:name="_Toc13321"/>
      <w:bookmarkStart w:id="1541" w:name="_Toc19270"/>
      <w:bookmarkStart w:id="1542" w:name="_Toc24901"/>
      <w:bookmarkStart w:id="1543" w:name="_Toc9080"/>
      <w:bookmarkStart w:id="1544" w:name="_Toc23032"/>
      <w:bookmarkStart w:id="1545" w:name="_Toc21722"/>
      <w:bookmarkStart w:id="1546" w:name="_Toc28775"/>
      <w:bookmarkStart w:id="1547" w:name="_Toc13218"/>
      <w:r>
        <w:rPr>
          <w:rFonts w:ascii="Times New Roman" w:hAnsi="Times New Roman" w:eastAsia="方正黑体_GBK"/>
          <w:b/>
          <w:bCs/>
          <w:kern w:val="44"/>
          <w:sz w:val="32"/>
          <w:szCs w:val="32"/>
        </w:rPr>
        <w:t>第二十二章  推进以人为核心的新型城镇化</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实施新型城镇化战略，坚持以人为核心、以提升质量为导向、以城市更新为抓手，补齐县城城镇化短板弱项，提升城市规划建设管理水平，确保县城建设更加高效、管理更加精细、功能更加完备、环境更加宜居、服务更加到位、保障更加有力，加快建成宜居宜业宜游的大巴山特色生态城。</w:t>
      </w:r>
    </w:p>
    <w:p>
      <w:pPr>
        <w:pStyle w:val="25"/>
        <w:overflowPunct w:val="0"/>
        <w:adjustRightInd w:val="0"/>
        <w:snapToGrid w:val="0"/>
        <w:spacing w:after="0" w:line="560" w:lineRule="exact"/>
        <w:ind w:firstLine="643" w:firstLineChars="200"/>
        <w:jc w:val="center"/>
        <w:outlineLvl w:val="2"/>
        <w:rPr>
          <w:rFonts w:ascii="Times New Roman" w:hAnsi="Times New Roman" w:eastAsia="方正楷体_GBK"/>
          <w:b/>
          <w:sz w:val="32"/>
          <w:szCs w:val="32"/>
        </w:rPr>
      </w:pPr>
      <w:bookmarkStart w:id="1548" w:name="_Toc29486"/>
      <w:bookmarkStart w:id="1549" w:name="_Toc6649"/>
      <w:bookmarkStart w:id="1550" w:name="_Toc15545"/>
      <w:bookmarkStart w:id="1551" w:name="_Toc9462"/>
      <w:bookmarkStart w:id="1552" w:name="_Toc26506"/>
      <w:bookmarkStart w:id="1553" w:name="_Toc8505"/>
      <w:bookmarkStart w:id="1554" w:name="_Toc25147"/>
      <w:bookmarkStart w:id="1555" w:name="_Toc28634"/>
      <w:bookmarkStart w:id="1556" w:name="_Toc16696"/>
      <w:bookmarkStart w:id="1557" w:name="_Toc20386"/>
      <w:bookmarkStart w:id="1558" w:name="_Toc12597"/>
      <w:bookmarkStart w:id="1559" w:name="_Toc30074"/>
      <w:bookmarkStart w:id="1560" w:name="_Toc21032"/>
      <w:bookmarkStart w:id="1561" w:name="_Toc20234"/>
      <w:bookmarkStart w:id="1562" w:name="_Toc25192"/>
      <w:bookmarkStart w:id="1563" w:name="_Toc30254"/>
      <w:bookmarkStart w:id="1564" w:name="_Toc10885"/>
      <w:bookmarkStart w:id="1565" w:name="_Toc31542"/>
      <w:bookmarkStart w:id="1566" w:name="_Toc19676"/>
      <w:r>
        <w:rPr>
          <w:rFonts w:ascii="Times New Roman" w:hAnsi="Times New Roman" w:eastAsia="方正楷体_GBK"/>
          <w:b/>
          <w:sz w:val="32"/>
          <w:szCs w:val="32"/>
        </w:rPr>
        <w:t>第一节</w:t>
      </w:r>
      <w:bookmarkEnd w:id="1548"/>
      <w:r>
        <w:rPr>
          <w:rFonts w:ascii="Times New Roman" w:hAnsi="Times New Roman" w:eastAsia="方正楷体_GBK"/>
          <w:b/>
          <w:sz w:val="32"/>
          <w:szCs w:val="32"/>
        </w:rPr>
        <w:t xml:space="preserve">  推进以县城为载体的新型城镇化建设</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优化县城空间布局。强化县城在核心城镇圈的主导作用，按照“中优、东拓、北融、南联”发展思路，发挥任河生态廊道承载作用，有序拓展中心城区空间。优先推动城区“东拓”，带动任河上游一体化发展。按照“规划、交通、土地要素”一体化思路，规划打造以县城为核心的通勤经济圈。</w:t>
      </w:r>
    </w:p>
    <w:p>
      <w:pPr>
        <w:pStyle w:val="25"/>
        <w:overflowPunct w:val="0"/>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标准推进东部新区建设。坚持以人为本、生态文明、文化传承等理念，优化布局“三生”空间、城乡空间、区域空间，高起点编制县城东部新区规划，做好东部新区与高速、高铁站场的有效衔接。探索市场化方式稳步推进东部新区道路、给排水管网、强弱电综合管廊等配套建设，有序推动新区土地储备整治及出让，积极推进县城任河两岸互联互通，拓展县城人口、产业承载能力，加快建设生态宜居、风情独特的东部新区。</w:t>
      </w:r>
    </w:p>
    <w:p>
      <w:pPr>
        <w:pStyle w:val="25"/>
        <w:overflowPunct w:val="0"/>
        <w:adjustRightInd w:val="0"/>
        <w:snapToGrid w:val="0"/>
        <w:spacing w:after="0" w:line="560" w:lineRule="exact"/>
        <w:ind w:firstLine="643" w:firstLineChars="200"/>
        <w:jc w:val="center"/>
        <w:outlineLvl w:val="2"/>
        <w:rPr>
          <w:rFonts w:ascii="Times New Roman" w:hAnsi="Times New Roman" w:eastAsia="方正楷体_GBK"/>
          <w:b/>
          <w:sz w:val="32"/>
          <w:szCs w:val="32"/>
        </w:rPr>
      </w:pPr>
      <w:bookmarkStart w:id="1567" w:name="_Toc24209"/>
      <w:bookmarkStart w:id="1568" w:name="_Toc30481"/>
      <w:bookmarkStart w:id="1569" w:name="_Toc26987"/>
      <w:bookmarkStart w:id="1570" w:name="_Toc32385"/>
      <w:bookmarkStart w:id="1571" w:name="_Toc8604"/>
      <w:bookmarkStart w:id="1572" w:name="_Toc11742"/>
      <w:bookmarkStart w:id="1573" w:name="_Toc616"/>
      <w:bookmarkStart w:id="1574" w:name="_Toc8142"/>
      <w:bookmarkStart w:id="1575" w:name="_Toc22255"/>
      <w:bookmarkStart w:id="1576" w:name="_Toc26720"/>
      <w:bookmarkStart w:id="1577" w:name="_Toc8121"/>
      <w:bookmarkStart w:id="1578" w:name="_Toc25924"/>
      <w:bookmarkStart w:id="1579" w:name="_Toc29543"/>
      <w:bookmarkStart w:id="1580" w:name="_Toc22945"/>
      <w:bookmarkStart w:id="1581" w:name="_Toc14263"/>
      <w:bookmarkStart w:id="1582" w:name="_Toc1276"/>
      <w:bookmarkStart w:id="1583" w:name="_Toc4434"/>
      <w:bookmarkStart w:id="1584" w:name="_Toc22863"/>
      <w:r>
        <w:rPr>
          <w:rFonts w:ascii="Times New Roman" w:hAnsi="Times New Roman" w:eastAsia="方正楷体_GBK"/>
          <w:b/>
          <w:sz w:val="32"/>
          <w:szCs w:val="32"/>
        </w:rPr>
        <w:t>第二节  高质量实施城市更新</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pPr>
        <w:pStyle w:val="55"/>
        <w:overflowPunct w:val="0"/>
        <w:spacing w:line="52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立足以人为本、道法自然，坚持“留住记忆、体现特色，完善功能、改善人居”的理念，加强城市修补、生态修复，完善功能、提升服务，以土城老街社区营造为引领，激活老城区发展活力。加快推进任河南北两岸改造项目、任河大桥重建等重点项目建设，提升城市功能。有序推进老旧小区改造，重点实施小区内基础设施更新改造、房屋主体修缮改造、公共服务设施建设改造、与小区相关相邻的基础设施改造提升。</w:t>
      </w:r>
      <w:r>
        <w:rPr>
          <w:rFonts w:ascii="Times New Roman" w:hAnsi="Times New Roman" w:eastAsia="方正仿宋_GBK" w:cs="Times New Roman"/>
          <w:bCs/>
          <w:color w:val="auto"/>
          <w:sz w:val="32"/>
          <w:szCs w:val="32"/>
        </w:rPr>
        <w:t>科学布局公共停车场、城市公园等城市公共服务设施，完善城市功能。</w:t>
      </w:r>
      <w:r>
        <w:rPr>
          <w:rFonts w:ascii="Times New Roman" w:hAnsi="Times New Roman" w:eastAsia="方正仿宋_GBK" w:cs="Times New Roman"/>
          <w:color w:val="auto"/>
          <w:sz w:val="32"/>
          <w:szCs w:val="32"/>
        </w:rPr>
        <w:t>加快公共空间优化升级，加大对沿河、沿街、沿路和公园绿地周边的环境整治和建设管控，拓展公园绿地、群众广场等公共活动空间。加快存量住房改造提升，实施城镇危房搬离整治，全力推进棚户区改造，同步建设道路、供水、供电、供气、通信、污水与垃圾处理等市政基础设施，增强县城综合承载力。</w:t>
      </w:r>
      <w:r>
        <w:rPr>
          <w:rFonts w:ascii="Times New Roman" w:hAnsi="Times New Roman" w:eastAsia="方正仿宋_GBK" w:cs="Times New Roman"/>
          <w:bCs/>
          <w:color w:val="auto"/>
          <w:sz w:val="32"/>
          <w:szCs w:val="32"/>
        </w:rPr>
        <w:t>完善住房保障体系，有序推进城区房地产项目健康发展。强化历史文化保护、塑造城市风貌，充分挖掘自然风光、民俗风情、特色风物，更加彰显有山有水、疏密适度、错落有致、舒适宜居的特色生态盆景城市韵味。</w:t>
      </w:r>
    </w:p>
    <w:p>
      <w:pPr>
        <w:overflowPunct w:val="0"/>
        <w:adjustRightInd w:val="0"/>
        <w:snapToGrid w:val="0"/>
        <w:spacing w:line="560" w:lineRule="exact"/>
        <w:jc w:val="center"/>
        <w:outlineLvl w:val="2"/>
        <w:rPr>
          <w:rFonts w:ascii="Times New Roman" w:hAnsi="Times New Roman"/>
        </w:rPr>
      </w:pPr>
      <w:bookmarkStart w:id="1585" w:name="_Toc5756"/>
      <w:bookmarkStart w:id="1586" w:name="_Toc16170"/>
      <w:bookmarkStart w:id="1587" w:name="_Toc17799"/>
      <w:bookmarkStart w:id="1588" w:name="_Toc11125"/>
      <w:bookmarkStart w:id="1589" w:name="_Toc18237"/>
      <w:bookmarkStart w:id="1590" w:name="_Toc26074"/>
      <w:bookmarkStart w:id="1591" w:name="_Toc15470"/>
      <w:bookmarkStart w:id="1592" w:name="_Toc6507"/>
      <w:bookmarkStart w:id="1593" w:name="_Toc13151"/>
      <w:bookmarkStart w:id="1594" w:name="_Toc32007"/>
      <w:bookmarkStart w:id="1595" w:name="_Toc15015"/>
      <w:bookmarkStart w:id="1596" w:name="_Toc10742"/>
      <w:bookmarkStart w:id="1597" w:name="_Toc7989"/>
      <w:bookmarkStart w:id="1598" w:name="_Toc21110"/>
      <w:bookmarkStart w:id="1599" w:name="_Toc31174"/>
      <w:bookmarkStart w:id="1600" w:name="_Toc29175"/>
      <w:bookmarkStart w:id="1601" w:name="_Toc15948"/>
      <w:bookmarkStart w:id="1602" w:name="_Toc30131"/>
      <w:r>
        <w:rPr>
          <w:rFonts w:ascii="Times New Roman" w:hAnsi="Times New Roman" w:eastAsia="方正楷体_GBK"/>
          <w:b/>
          <w:sz w:val="32"/>
          <w:szCs w:val="32"/>
        </w:rPr>
        <w:t>第三节  提升县城管理水平</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加强城市建设与管理协同提质，深入推进拆违治乱、街洁巷净、路平桥安、整墙修面、河清水畅、灯明景靓、山青城美、文明施工、安居乐业、共建共享城市管理“十大工程”</w:t>
      </w:r>
      <w:r>
        <w:rPr>
          <w:rFonts w:ascii="Times New Roman" w:hAnsi="Times New Roman" w:eastAsia="方正仿宋_GBK"/>
          <w:bCs/>
          <w:sz w:val="32"/>
          <w:szCs w:val="32"/>
        </w:rPr>
        <w:t>。提升市政设施品质、市容环境卫生质量。落实差异化停车收费政策。推进智慧城市建设，深化</w:t>
      </w:r>
      <w:r>
        <w:rPr>
          <w:rFonts w:ascii="Times New Roman" w:hAnsi="Times New Roman" w:eastAsia="方正仿宋_GBK"/>
          <w:sz w:val="32"/>
          <w:szCs w:val="32"/>
        </w:rPr>
        <w:t>“城镇细管、城镇智管、城镇众管”</w:t>
      </w:r>
      <w:r>
        <w:rPr>
          <w:rFonts w:ascii="Times New Roman" w:hAnsi="Times New Roman" w:eastAsia="方正仿宋_GBK"/>
          <w:bCs/>
          <w:sz w:val="32"/>
          <w:szCs w:val="32"/>
        </w:rPr>
        <w:t>，常态化推行“马路办公”，打造“小而精、小而美、小而全、小而富”的宜居宜业宜游生态之城。</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603" w:name="_Toc2336"/>
      <w:bookmarkStart w:id="1604" w:name="_Toc7273"/>
      <w:bookmarkStart w:id="1605" w:name="_Toc9951"/>
      <w:bookmarkStart w:id="1606" w:name="_Toc16486"/>
      <w:bookmarkStart w:id="1607" w:name="_Toc8892"/>
      <w:bookmarkStart w:id="1608" w:name="_Toc2082"/>
      <w:bookmarkStart w:id="1609" w:name="_Toc23653"/>
      <w:bookmarkStart w:id="1610" w:name="_Toc20081"/>
      <w:bookmarkStart w:id="1611" w:name="_Toc8601"/>
      <w:bookmarkStart w:id="1612" w:name="_Toc5412"/>
      <w:bookmarkStart w:id="1613" w:name="_Toc27749"/>
      <w:bookmarkStart w:id="1614" w:name="_Toc1818"/>
      <w:bookmarkStart w:id="1615" w:name="_Toc15576"/>
      <w:bookmarkStart w:id="1616" w:name="_Toc15910"/>
      <w:bookmarkStart w:id="1617" w:name="_Toc25028"/>
      <w:bookmarkStart w:id="1618" w:name="_Toc31728"/>
      <w:bookmarkStart w:id="1619" w:name="_Toc20171"/>
      <w:bookmarkStart w:id="1620" w:name="_Toc15670"/>
      <w:bookmarkStart w:id="1621" w:name="_Toc4004"/>
      <w:r>
        <w:rPr>
          <w:rFonts w:ascii="Times New Roman" w:hAnsi="Times New Roman" w:eastAsia="方正楷体_GBK"/>
          <w:b/>
          <w:sz w:val="32"/>
          <w:szCs w:val="32"/>
        </w:rPr>
        <w:t>第四节  推动农业转移人口在城镇稳业安居</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bCs/>
          <w:sz w:val="32"/>
          <w:szCs w:val="32"/>
        </w:rPr>
        <w:t>全面取消城镇落户限制，鼓励农业转移人口和其他常住人口在城镇落户，引导偏远地区人口向中心城区以及区域中心镇集聚。落实以居住证为载体的基本公共服务提供机制，加快剥离附着在户籍上的基本公共服务权益，实行居住登记制度。取消进城农民工随迁子女入学门槛，落实农民工参加职工基本养老保险和医疗保险城乡差额补贴机制，加强农业转移人口就业技能和文化培训，完善政府购买就业培训服务制度，提高农业转移人口素质和融入城镇的能力。维护进城落户农民农村土地承包权、宅基地使用权、集体收益分配权，支持引导权益依法自愿有偿转让。落实“人地钱挂钩”配套激励政策，加大新增建设用地计划指标与吸纳落户数量挂钩力度。统筹深化户籍制度和基本公共服务供给制度改革，尽快实现公共资源按常住人口配置，推动农业转移人口稳业安居，增强对城镇生活的认同感、归属感。</w:t>
      </w:r>
    </w:p>
    <w:p>
      <w:pPr>
        <w:overflowPunct w:val="0"/>
        <w:spacing w:line="480" w:lineRule="exact"/>
        <w:jc w:val="center"/>
        <w:rPr>
          <w:rFonts w:ascii="Times New Roman" w:hAnsi="Times New Roman" w:eastAsia="方正黑体_GBK"/>
          <w:sz w:val="28"/>
          <w:szCs w:val="28"/>
        </w:rPr>
      </w:pPr>
      <w:bookmarkStart w:id="1622" w:name="_Toc7067"/>
      <w:r>
        <w:rPr>
          <w:rFonts w:ascii="Times New Roman" w:hAnsi="Times New Roman" w:eastAsia="方正黑体_GBK"/>
          <w:sz w:val="28"/>
          <w:szCs w:val="28"/>
        </w:rPr>
        <w:t>专栏16  新型城镇化建设重点工程</w:t>
      </w:r>
    </w:p>
    <w:tbl>
      <w:tblPr>
        <w:tblStyle w:val="2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2"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rPr>
              <w:t>城市交通干道。</w:t>
            </w:r>
            <w:r>
              <w:rPr>
                <w:rFonts w:ascii="Times New Roman" w:hAnsi="Times New Roman" w:eastAsia="方正仿宋_GBK"/>
                <w:sz w:val="24"/>
              </w:rPr>
              <w:t>加快推进巴山迎宾大道（城开高速城口互通收费站—滨江路段连接线工程），开工建设高铁站至城区入城道路、高速收费站至体育馆市政道路（东部新区大道）、高坪坎至四塘坝市政道路、沱溪河至银子岩市政道路、广场路、木瓜坝至客运中心至银子岩市政道路、太和场至茅坪老虎垭口市政道路改造、太和一路和太和二路改造、半月池片区道路改造工程、等市政道路建设。</w:t>
            </w:r>
          </w:p>
          <w:p>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szCs w:val="32"/>
              </w:rPr>
              <w:t>城市隧道及桥梁工程。</w:t>
            </w:r>
            <w:r>
              <w:rPr>
                <w:rFonts w:ascii="Times New Roman" w:hAnsi="Times New Roman" w:eastAsia="方正仿宋_GBK"/>
                <w:bCs/>
                <w:sz w:val="24"/>
                <w:szCs w:val="32"/>
              </w:rPr>
              <w:t>整治城区东门隧道、南门隧道等，论证建设木瓜坝至高燕隧道、茅坪至沱溪河隧道。加快任河大桥重建、四塘坝大桥建设，论证建设茅坪大桥、庙垭大桥、四塘坝人行廊桥。</w:t>
            </w:r>
          </w:p>
          <w:p>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市政基础设施建设项目</w:t>
            </w:r>
            <w:r>
              <w:rPr>
                <w:rFonts w:ascii="Times New Roman" w:hAnsi="Times New Roman" w:eastAsia="方正仿宋_GBK"/>
                <w:bCs/>
                <w:sz w:val="24"/>
                <w:szCs w:val="32"/>
              </w:rPr>
              <w:t>。加快推进任河南岸旅游景观综合改造工程、仁河流域综合整治项目、乡镇污水管网建设项目、城区管网改造项目、城市广场建设项目，规划建设第二供水厂及配套基础设施项目、后南街片区人防设施建设工程、人行步道新建工程。</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东部新区建设项目。</w:t>
            </w:r>
            <w:r>
              <w:rPr>
                <w:rFonts w:ascii="Times New Roman" w:hAnsi="Times New Roman" w:eastAsia="方正仿宋_GBK"/>
                <w:bCs/>
                <w:sz w:val="24"/>
                <w:szCs w:val="32"/>
              </w:rPr>
              <w:t>对东部新区重点区域用地实施一次性收储整治，推进文旅产业融合综合体、东部新区高铁站前综合组团、商贸物流组团、两个山地康养度假组团、两个生态居住组团及城市森林公园组团建设，建设市政道路约10公里，配套建设停车场、公园、绿化、污水、电力等市政基础设施。</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房地产开发。</w:t>
            </w:r>
            <w:r>
              <w:rPr>
                <w:rFonts w:ascii="Times New Roman" w:hAnsi="Times New Roman" w:eastAsia="方正仿宋_GBK"/>
                <w:bCs/>
                <w:sz w:val="24"/>
                <w:szCs w:val="32"/>
              </w:rPr>
              <w:t>加快推进百年广场片区旅城一体化综合开发、观澜府、明浪御府、锦尚佳园等房地产开发项目，开工建设学府一号，开发50万平方米商住用房。</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老旧小区改造项目。</w:t>
            </w:r>
            <w:r>
              <w:rPr>
                <w:rFonts w:ascii="Times New Roman" w:hAnsi="Times New Roman" w:eastAsia="方正仿宋_GBK"/>
                <w:bCs/>
                <w:sz w:val="24"/>
                <w:szCs w:val="32"/>
              </w:rPr>
              <w:t>加快推进葛城街道滨河社区广场路片区、桂花井社区东大街片区、东方红社区北大街片区以及复兴街道太和社区、复兴路片区、观音堂路片区等16个片区城镇老旧小区改造，开展东、南大街片区老旧小区改造项目和土城片区老旧小区改造等项目，推进乡镇老旧场镇改造项目。</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城市园林景观建设项目。</w:t>
            </w:r>
            <w:r>
              <w:rPr>
                <w:rFonts w:ascii="Times New Roman" w:hAnsi="Times New Roman" w:eastAsia="方正仿宋_GBK"/>
                <w:bCs/>
                <w:sz w:val="24"/>
                <w:szCs w:val="32"/>
              </w:rPr>
              <w:t>推进建设城北公园、盐井潭公园、滨河公园、陈家山自然公园等10个公园，实施城区增绿补绿工程。</w:t>
            </w:r>
          </w:p>
          <w:p>
            <w:pPr>
              <w:overflowPunct w:val="0"/>
              <w:spacing w:line="400" w:lineRule="exact"/>
              <w:ind w:firstLine="482" w:firstLineChars="200"/>
              <w:rPr>
                <w:rFonts w:ascii="Times New Roman" w:hAnsi="Times New Roman" w:eastAsia="方正仿宋_GBK"/>
                <w:sz w:val="24"/>
              </w:rPr>
            </w:pPr>
            <w:r>
              <w:rPr>
                <w:rFonts w:ascii="Times New Roman" w:hAnsi="Times New Roman" w:eastAsia="方正仿宋_GBK"/>
                <w:b/>
                <w:sz w:val="24"/>
                <w:szCs w:val="32"/>
              </w:rPr>
              <w:t>城市功能完善项目。</w:t>
            </w:r>
            <w:r>
              <w:rPr>
                <w:rFonts w:ascii="Times New Roman" w:hAnsi="Times New Roman" w:eastAsia="方正仿宋_GBK"/>
                <w:bCs/>
                <w:sz w:val="24"/>
                <w:szCs w:val="32"/>
              </w:rPr>
              <w:t>新建北大街、东后街、木瓜坝、体育场片区、太和场等6个公共停车场，新增停车位1200个以上，建设垃圾综合处置场、</w:t>
            </w:r>
            <w:r>
              <w:rPr>
                <w:rFonts w:ascii="Times New Roman" w:hAnsi="Times New Roman" w:eastAsia="方正仿宋_GBK"/>
                <w:sz w:val="24"/>
              </w:rPr>
              <w:t>城区公厕改扩建</w:t>
            </w:r>
            <w:r>
              <w:rPr>
                <w:rFonts w:ascii="Times New Roman" w:hAnsi="Times New Roman" w:eastAsia="方正仿宋_GBK"/>
                <w:bCs/>
                <w:sz w:val="24"/>
                <w:szCs w:val="32"/>
              </w:rPr>
              <w:t>等项目</w:t>
            </w:r>
          </w:p>
        </w:tc>
      </w:tr>
    </w:tbl>
    <w:p>
      <w:pPr>
        <w:pStyle w:val="2"/>
        <w:overflowPunct w:val="0"/>
        <w:adjustRightInd w:val="0"/>
        <w:snapToGrid w:val="0"/>
        <w:spacing w:before="0" w:after="0" w:line="560" w:lineRule="exact"/>
        <w:jc w:val="center"/>
        <w:rPr>
          <w:rFonts w:ascii="Times New Roman" w:hAnsi="Times New Roman" w:eastAsia="方正黑体_GBK" w:cs="Times New Roman"/>
        </w:rPr>
      </w:pPr>
      <w:bookmarkStart w:id="1623" w:name="_Toc5741"/>
      <w:bookmarkStart w:id="1624" w:name="_Toc32315"/>
      <w:bookmarkStart w:id="1625" w:name="_Toc32055"/>
      <w:bookmarkStart w:id="1626" w:name="_Toc9619"/>
      <w:bookmarkStart w:id="1627" w:name="_Toc6058"/>
      <w:bookmarkStart w:id="1628" w:name="_Toc30618"/>
      <w:bookmarkStart w:id="1629" w:name="_Toc10730"/>
      <w:bookmarkStart w:id="1630" w:name="_Toc12161"/>
      <w:bookmarkStart w:id="1631" w:name="_Toc31623"/>
      <w:bookmarkStart w:id="1632" w:name="_Toc28187"/>
      <w:bookmarkStart w:id="1633" w:name="_Toc25806"/>
      <w:bookmarkStart w:id="1634" w:name="_Toc25416"/>
      <w:bookmarkStart w:id="1635" w:name="_Toc22358"/>
      <w:bookmarkStart w:id="1636" w:name="_Toc25134"/>
      <w:bookmarkStart w:id="1637" w:name="_Toc5355"/>
      <w:bookmarkStart w:id="1638" w:name="_Toc16101"/>
      <w:bookmarkStart w:id="1639" w:name="_Toc21497"/>
      <w:bookmarkStart w:id="1640" w:name="_Toc26313"/>
    </w:p>
    <w:p>
      <w:pPr>
        <w:pStyle w:val="2"/>
        <w:overflowPunct w:val="0"/>
        <w:adjustRightInd w:val="0"/>
        <w:snapToGrid w:val="0"/>
        <w:spacing w:before="0" w:after="0" w:line="560" w:lineRule="exact"/>
        <w:jc w:val="center"/>
        <w:rPr>
          <w:rFonts w:ascii="Times New Roman" w:hAnsi="Times New Roman" w:eastAsia="方正黑体_GBK" w:cs="Times New Roman"/>
        </w:rPr>
      </w:pPr>
      <w:r>
        <w:rPr>
          <w:rFonts w:ascii="Times New Roman" w:hAnsi="Times New Roman" w:eastAsia="方正黑体_GBK" w:cs="Times New Roman"/>
        </w:rPr>
        <w:t>第二十三章  构建城乡融合发展新机制</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畅通城乡要素自由流动的制度性通道，促进要素更多向乡村流动，在乡村形成各类要素汇聚的良性循环，加快推进城乡融合发展。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641" w:name="_Toc22906"/>
      <w:bookmarkStart w:id="1642" w:name="_Toc20152"/>
      <w:bookmarkStart w:id="1643" w:name="_Toc157"/>
      <w:bookmarkStart w:id="1644" w:name="_Toc2235"/>
      <w:bookmarkStart w:id="1645" w:name="_Toc27026"/>
      <w:bookmarkStart w:id="1646" w:name="_Toc2425"/>
      <w:bookmarkStart w:id="1647" w:name="_Toc9776"/>
      <w:bookmarkStart w:id="1648" w:name="_Toc17943"/>
      <w:bookmarkStart w:id="1649" w:name="_Toc31418"/>
      <w:bookmarkStart w:id="1650" w:name="_Toc10544"/>
      <w:bookmarkStart w:id="1651" w:name="_Toc14572"/>
      <w:bookmarkStart w:id="1652" w:name="_Toc15909"/>
      <w:bookmarkStart w:id="1653" w:name="_Toc8758"/>
      <w:bookmarkStart w:id="1654" w:name="_Toc10471"/>
      <w:bookmarkStart w:id="1655" w:name="_Toc18573"/>
      <w:bookmarkStart w:id="1656" w:name="_Toc14505"/>
      <w:bookmarkStart w:id="1657" w:name="_Toc2247"/>
      <w:bookmarkStart w:id="1658" w:name="_Toc3786"/>
      <w:bookmarkStart w:id="1659" w:name="_Toc18141"/>
      <w:r>
        <w:rPr>
          <w:rFonts w:ascii="Times New Roman" w:hAnsi="Times New Roman" w:eastAsia="方正楷体_GBK"/>
          <w:b/>
          <w:sz w:val="32"/>
          <w:szCs w:val="32"/>
        </w:rPr>
        <w:t>第一节  全面深化农业农村改革</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巩固和完善农村基本经营制度。全面落实农村承包地“三权”分置制度，探索宅基地所有权、资格权、使用权分置有效实现形式。保障进城落户农民土地承包权、宅基地使用权、集体收益分配权。加强农业供给侧改革和金融供给侧改革相结合，激活财政、金融杠杆，完善农村金融服务体系，激活生态资产。允许村集体在农民自愿前提下，依法把有偿收回的闲置宅基地、废弃的集体公益性建设用地转变为集体经营性建设用地入市，全面实施土地征收区片综合地价，完善建设用地使用权转让、出租、抵押二级市场。</w:t>
      </w:r>
    </w:p>
    <w:p>
      <w:pPr>
        <w:overflowPunct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深化农村集体产权制度改革。加快完成确权登记颁证工作，建立城乡统一的农村集体资产管理运营平台。探索成立多村农民合作社或多村联合社，促进村村合作、村企联手，做大做强做优集体经济组织。进一步完善利益联接机制，构建多种联接带动模式，筑牢产业发展基础，拓宽群众持续增收路子。加强风险防范，健全各方责权利相匹配、资产经营管理、财务会计、收益分配等制度，确保安全运行、保值增值。加强集体经济组织带头人队伍建设，提高懂经营、善管理、拓市场能力。持续深化“三社”融合发展，</w:t>
      </w:r>
      <w:r>
        <w:rPr>
          <w:rFonts w:ascii="Times New Roman" w:hAnsi="Times New Roman" w:eastAsia="方正仿宋_GBK"/>
          <w:bCs/>
          <w:sz w:val="32"/>
          <w:szCs w:val="32"/>
        </w:rPr>
        <w:t>加快培育农民合作社、家庭农场等新型农业经营主体，创新股权合作机制和农业经营模式，完善利益联结机制，实现小农户和现代农业有机衔接。</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660" w:name="_Toc16189"/>
      <w:bookmarkStart w:id="1661" w:name="_Toc30066"/>
      <w:bookmarkStart w:id="1662" w:name="_Toc9010"/>
      <w:bookmarkStart w:id="1663" w:name="_Toc12211"/>
      <w:bookmarkStart w:id="1664" w:name="_Toc16902"/>
      <w:bookmarkStart w:id="1665" w:name="_Toc7809"/>
      <w:bookmarkStart w:id="1666" w:name="_Toc13935"/>
      <w:bookmarkStart w:id="1667" w:name="_Toc32162"/>
      <w:bookmarkStart w:id="1668" w:name="_Toc32108"/>
      <w:bookmarkStart w:id="1669" w:name="_Toc3638"/>
      <w:bookmarkStart w:id="1670" w:name="_Toc6082"/>
      <w:bookmarkStart w:id="1671" w:name="_Toc7737"/>
      <w:bookmarkStart w:id="1672" w:name="_Toc12023"/>
      <w:bookmarkStart w:id="1673" w:name="_Toc9195"/>
      <w:bookmarkStart w:id="1674" w:name="_Toc29110"/>
      <w:bookmarkStart w:id="1675" w:name="_Toc29131"/>
      <w:bookmarkStart w:id="1676" w:name="_Toc14262"/>
      <w:bookmarkStart w:id="1677" w:name="_Toc22858"/>
      <w:r>
        <w:rPr>
          <w:rFonts w:ascii="Times New Roman" w:hAnsi="Times New Roman" w:eastAsia="方正楷体_GBK"/>
          <w:b/>
          <w:sz w:val="32"/>
          <w:szCs w:val="32"/>
        </w:rPr>
        <w:t>第二节  加强农业农村发展要素保障</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引导城乡人口双向流动。加快人口下山—进镇—入城步伐。立足城口战略“选商引智”，积极引导城市人才等生产要素流向农村。建立城乡、区域、校地之间人才培养合作与交流机制。全面建立城市医生教师、科技文化人员等定期服务乡村机制。允许农技人员通过提供增值服务合理取酬，全面实施农技推广服务特聘计划。实施新乡贤培育示范工程，培育壮大新乡贤队伍。依托城乡人口双向流动，合理配置乡村振兴人力资源。引导规划、建筑、园林等设计人员入乡。建立农村集体经济组织探索人才加入机制，吸引人才、留住人才。</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释放土地要素活力。开展全域土地综合整治试点，新增耕地和建设用地，重点用于农村产业融合发展；结余补充耕地和城乡建设用地增减挂钩用地指标用于支持县域经济社会发展。探索农村集体经济组织与社会资本合作，以地入股、以房联营，盘活利用闲置宅基地和农房，改造建设乡村旅游接待和活动场所、高端民宿。支持返乡下乡人员依托自有和闲置农房院落发展大巴山森林人家。探索“点供”、规划“留白”机制。充分用好用活土地要素，提升乡村振兴土地保障能力。</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资金投入保障力度。调整土地出让收入使用范围，提高农业农村投入比例。围绕农业农村领域补短板重大工程项目建设，加大地方政府债券、财政、金融、社会资本投资力度，扩大农业农村有效投资规模。支持引导工商资本和金融资本入乡发展，鼓励发展基于森林资源的绿色金融产品，探索生态产品价值实现机制。探索市场化方式设立城乡融合发展基金，引导社会资本培育城乡融合典型项目。探索在政府引导下工商资本与村集体合作共赢模式。创新农村集体经济运行机制，探索混合经营等多种实现形式。社会资本投资建设连片面积达到一定规模的高标准农田、生态公益林等，在符合规划等相关规定的前提下，允许利用一定比例的土地开展观光和休闲度假旅游、加工流通等经营活动。创新资金保障机制，加快形成乡村振兴多元投入格局。</w:t>
      </w:r>
    </w:p>
    <w:p>
      <w:pPr>
        <w:pStyle w:val="26"/>
        <w:overflowPunct w:val="0"/>
        <w:adjustRightInd w:val="0"/>
        <w:snapToGrid w:val="0"/>
        <w:spacing w:after="0" w:line="560" w:lineRule="exact"/>
        <w:ind w:leftChars="0" w:firstLine="0"/>
        <w:rPr>
          <w:rFonts w:ascii="Times New Roman" w:hAnsi="Times New Roman"/>
          <w:w w:val="90"/>
        </w:rPr>
      </w:pPr>
    </w:p>
    <w:p>
      <w:pPr>
        <w:overflowPunct w:val="0"/>
        <w:adjustRightInd w:val="0"/>
        <w:snapToGrid w:val="0"/>
        <w:spacing w:line="560" w:lineRule="exact"/>
        <w:jc w:val="center"/>
        <w:outlineLvl w:val="0"/>
        <w:rPr>
          <w:rFonts w:ascii="Times New Roman" w:hAnsi="Times New Roman" w:eastAsia="方正小标宋_GBK"/>
          <w:b/>
          <w:bCs/>
          <w:w w:val="90"/>
          <w:kern w:val="44"/>
          <w:sz w:val="36"/>
          <w:szCs w:val="36"/>
        </w:rPr>
      </w:pPr>
      <w:bookmarkStart w:id="1678" w:name="_Toc14967"/>
      <w:bookmarkStart w:id="1679" w:name="_Toc24556"/>
      <w:bookmarkStart w:id="1680" w:name="_Toc18335"/>
      <w:bookmarkStart w:id="1681" w:name="_Toc25303"/>
      <w:bookmarkStart w:id="1682" w:name="_Toc25957"/>
      <w:bookmarkStart w:id="1683" w:name="_Toc14791"/>
      <w:bookmarkStart w:id="1684" w:name="_Toc26417"/>
      <w:bookmarkStart w:id="1685" w:name="_Toc8718"/>
      <w:bookmarkStart w:id="1686" w:name="_Toc16895"/>
      <w:bookmarkStart w:id="1687" w:name="_Toc6860"/>
      <w:bookmarkStart w:id="1688" w:name="_Toc7165"/>
      <w:bookmarkStart w:id="1689" w:name="_Toc2360"/>
      <w:bookmarkStart w:id="1690" w:name="_Toc8633"/>
      <w:bookmarkStart w:id="1691" w:name="_Toc6990"/>
      <w:bookmarkStart w:id="1692" w:name="_Toc32490"/>
      <w:bookmarkStart w:id="1693" w:name="_Toc7470"/>
      <w:bookmarkStart w:id="1694" w:name="_Toc30326"/>
      <w:bookmarkStart w:id="1695" w:name="_Toc13761"/>
      <w:r>
        <w:rPr>
          <w:rFonts w:ascii="Times New Roman" w:hAnsi="Times New Roman" w:eastAsia="方正小标宋_GBK"/>
          <w:b/>
          <w:bCs/>
          <w:w w:val="90"/>
          <w:kern w:val="44"/>
          <w:sz w:val="36"/>
          <w:szCs w:val="36"/>
        </w:rPr>
        <w:t>第七篇  落实创新驱动发展战略  持续增强经济社会发展动力</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创新作为第一动力，强化创新在现代化建设全局中的核心地位，落实科技自立自强要求，深入推进以大数据智能化为引领的创新驱动发展战略和科教兴县、人才强县行动，着力建平台、聚资源、优生态，塑造经济增长新动能、创新驱动新模式、转型升级新引擎。</w:t>
      </w:r>
    </w:p>
    <w:p>
      <w:pPr>
        <w:pStyle w:val="2"/>
        <w:overflowPunct w:val="0"/>
        <w:adjustRightInd w:val="0"/>
        <w:snapToGrid w:val="0"/>
        <w:spacing w:before="0" w:after="0" w:line="560" w:lineRule="exact"/>
        <w:jc w:val="center"/>
        <w:rPr>
          <w:rFonts w:ascii="Times New Roman" w:hAnsi="Times New Roman" w:eastAsia="方正黑体_GBK" w:cs="Times New Roman"/>
        </w:rPr>
      </w:pPr>
      <w:bookmarkStart w:id="1696" w:name="_Toc23637"/>
      <w:bookmarkStart w:id="1697" w:name="_Toc29371"/>
      <w:bookmarkStart w:id="1698" w:name="_Toc1271"/>
      <w:bookmarkStart w:id="1699" w:name="_Toc3387"/>
      <w:bookmarkStart w:id="1700" w:name="_Toc27959"/>
      <w:bookmarkStart w:id="1701" w:name="_Toc21577"/>
      <w:bookmarkStart w:id="1702" w:name="_Toc13607"/>
      <w:bookmarkStart w:id="1703" w:name="_Toc12482"/>
      <w:bookmarkStart w:id="1704" w:name="_Toc14345"/>
      <w:bookmarkStart w:id="1705" w:name="_Toc2221"/>
      <w:bookmarkStart w:id="1706" w:name="_Toc2817"/>
      <w:bookmarkStart w:id="1707" w:name="_Toc29515"/>
      <w:bookmarkStart w:id="1708" w:name="_Toc14946"/>
      <w:bookmarkStart w:id="1709" w:name="_Toc27371"/>
      <w:bookmarkStart w:id="1710" w:name="_Toc30996"/>
      <w:bookmarkStart w:id="1711" w:name="_Toc29191"/>
      <w:bookmarkStart w:id="1712" w:name="_Toc14665"/>
      <w:bookmarkStart w:id="1713" w:name="_Toc10047"/>
      <w:r>
        <w:rPr>
          <w:rFonts w:ascii="Times New Roman" w:hAnsi="Times New Roman" w:eastAsia="方正黑体_GBK" w:cs="Times New Roman"/>
        </w:rPr>
        <w:t>第二十四章  加快培育创新力量</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强化科技战略力量与市场主体的统筹联动，强化创新链产业链协同，推动各类创新主体功能互补、良性互动、开放协同。</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714" w:name="_Toc21650"/>
      <w:bookmarkStart w:id="1715" w:name="_Toc29263"/>
      <w:bookmarkStart w:id="1716" w:name="_Toc13703"/>
      <w:bookmarkStart w:id="1717" w:name="_Toc6049"/>
      <w:bookmarkStart w:id="1718" w:name="_Toc27342"/>
      <w:bookmarkStart w:id="1719" w:name="_Toc6148"/>
      <w:bookmarkStart w:id="1720" w:name="_Toc28086"/>
      <w:bookmarkStart w:id="1721" w:name="_Toc5758"/>
      <w:bookmarkStart w:id="1722" w:name="_Toc19559"/>
      <w:bookmarkStart w:id="1723" w:name="_Toc7935"/>
      <w:bookmarkStart w:id="1724" w:name="_Toc18619"/>
      <w:bookmarkStart w:id="1725" w:name="_Toc10315"/>
      <w:bookmarkStart w:id="1726" w:name="_Toc29347"/>
      <w:bookmarkStart w:id="1727" w:name="_Toc3093"/>
      <w:bookmarkStart w:id="1728" w:name="_Toc30936"/>
      <w:bookmarkStart w:id="1729" w:name="_Toc27956"/>
      <w:bookmarkStart w:id="1730" w:name="_Toc12786"/>
      <w:bookmarkStart w:id="1731" w:name="_Toc3187"/>
      <w:r>
        <w:rPr>
          <w:rFonts w:ascii="Times New Roman" w:hAnsi="Times New Roman" w:eastAsia="方正楷体_GBK"/>
          <w:b/>
          <w:sz w:val="32"/>
          <w:szCs w:val="32"/>
        </w:rPr>
        <w:t>第一节  强化企业创新主体地位</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overflowPunct w:val="0"/>
        <w:adjustRightInd w:val="0"/>
        <w:snapToGrid w:val="0"/>
        <w:spacing w:line="560" w:lineRule="exact"/>
        <w:ind w:firstLine="640" w:firstLineChars="200"/>
        <w:rPr>
          <w:rFonts w:ascii="Times New Roman" w:hAnsi="Times New Roman" w:eastAsia="方正仿宋_GBK"/>
        </w:rPr>
      </w:pPr>
      <w:r>
        <w:rPr>
          <w:rFonts w:ascii="Times New Roman" w:hAnsi="Times New Roman" w:eastAsia="方正仿宋_GBK"/>
          <w:sz w:val="32"/>
          <w:szCs w:val="32"/>
        </w:rPr>
        <w:t>坚持企业主体、市场导向，健全产学研用深度融合的科技创新体系。实施科研投入提升行动，进一步加大科技创新资金在县级财政支出的比例，建立多元化科技投入机制，引导企业、科研机构等全面参与科技研发。实施科技企业成长行动，落实好税收优惠、创业补助、贷款贴息等扶持政策，集成人才、平台、资本、项目等创新要素，构建科技型企业培育链，持续开展创新型企业培育。大力培育引进创新型领军企业和细分领域优质企业，加快科技型企业集聚。依托市级智能化改造和数字化车间奖补政策，积极培育文创产业、数字经济、智能经济市场主体。鼓励企业加强与科研院所合作，推动科技型企业、高新技术企业和高成长性企业快速发展。实施国有企业创新驱动转型发展工程，发挥大企业和共性技术平台带动作用，推动产业链上中下游、大中小企业融通创新、协同发展。到2025年，科技型企业达到100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732" w:name="_Toc9174"/>
      <w:bookmarkStart w:id="1733" w:name="_Toc7518"/>
      <w:bookmarkStart w:id="1734" w:name="_Toc14195"/>
      <w:bookmarkStart w:id="1735" w:name="_Toc5562"/>
      <w:bookmarkStart w:id="1736" w:name="_Toc31175"/>
      <w:bookmarkStart w:id="1737" w:name="_Toc3220"/>
      <w:bookmarkStart w:id="1738" w:name="_Toc16701"/>
      <w:bookmarkStart w:id="1739" w:name="_Toc21236"/>
      <w:bookmarkStart w:id="1740" w:name="_Toc12857"/>
      <w:bookmarkStart w:id="1741" w:name="_Toc27266"/>
      <w:bookmarkStart w:id="1742" w:name="_Toc11995"/>
      <w:bookmarkStart w:id="1743" w:name="_Toc6426"/>
      <w:bookmarkStart w:id="1744" w:name="_Toc21984"/>
      <w:bookmarkStart w:id="1745" w:name="_Toc17056"/>
      <w:bookmarkStart w:id="1746" w:name="_Toc3629"/>
      <w:bookmarkStart w:id="1747" w:name="_Toc4458"/>
      <w:bookmarkStart w:id="1748" w:name="_Toc17695"/>
      <w:bookmarkStart w:id="1749" w:name="_Toc16724"/>
      <w:r>
        <w:rPr>
          <w:rFonts w:ascii="Times New Roman" w:hAnsi="Times New Roman" w:eastAsia="方正楷体_GBK"/>
          <w:b/>
          <w:sz w:val="32"/>
          <w:szCs w:val="32"/>
        </w:rPr>
        <w:t>第二节  加强产学研创新平台建设</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实施引进科技创新资源行动计划，大力引进知名高校、科研院所和优质企业入驻城口设立新型研发机构，推进优势特色产业技术研发、标准制（修）定、品牌打造、产品形态、商业模式、组织模式等产学研合作。实施科技平台建设服务行动，立足主导产业关键共性技术研发和创新链产业链构建，加快建立技术创新中心、智力输出推广中心，成果转化实验基地，增强技术创新能力水平，确保战略性新兴产业增加值占GDP比重、研究与实验发展经费支出占GDP比重逐年提高。到2025年，市级以上创新平台或新型研发机构达到10家。</w:t>
      </w:r>
    </w:p>
    <w:p>
      <w:pPr>
        <w:overflowPunct w:val="0"/>
        <w:adjustRightInd w:val="0"/>
        <w:snapToGrid w:val="0"/>
        <w:spacing w:line="560" w:lineRule="exact"/>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50" w:name="_Toc22388"/>
      <w:bookmarkStart w:id="1751" w:name="_Toc6216"/>
      <w:bookmarkStart w:id="1752" w:name="_Toc9822"/>
      <w:bookmarkStart w:id="1753" w:name="_Toc26962"/>
      <w:bookmarkStart w:id="1754" w:name="_Toc16700"/>
      <w:bookmarkStart w:id="1755" w:name="_Toc21618"/>
      <w:bookmarkStart w:id="1756" w:name="_Toc7142"/>
      <w:bookmarkStart w:id="1757" w:name="_Toc32611"/>
      <w:bookmarkStart w:id="1758" w:name="_Toc8776"/>
      <w:bookmarkStart w:id="1759" w:name="_Toc9383"/>
      <w:bookmarkStart w:id="1760" w:name="_Toc20408"/>
      <w:bookmarkStart w:id="1761" w:name="_Toc19466"/>
      <w:bookmarkStart w:id="1762" w:name="_Toc31087"/>
      <w:bookmarkStart w:id="1763" w:name="_Toc32221"/>
      <w:bookmarkStart w:id="1764" w:name="_Toc8103"/>
      <w:bookmarkStart w:id="1765" w:name="_Toc3352"/>
      <w:bookmarkStart w:id="1766" w:name="_Toc8631"/>
      <w:bookmarkStart w:id="1767" w:name="_Toc32572"/>
      <w:r>
        <w:rPr>
          <w:rFonts w:ascii="Times New Roman" w:hAnsi="Times New Roman" w:eastAsia="方正黑体_GBK"/>
          <w:b/>
          <w:bCs/>
          <w:kern w:val="44"/>
          <w:sz w:val="32"/>
          <w:szCs w:val="32"/>
        </w:rPr>
        <w:t>第二十五章  激发人才创新活力</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贯彻尊重劳动、尊重知识、尊重人才、尊重创造方针，牢固确立人才引领发展的战略地位，深刻认识人才紧缺的资源现状，深化人才发展体制机制改革，建立与人才发展相适应的投入机制，实施人才强县战略，为实现生态优先绿色发展提供坚强的人才保证。</w:t>
      </w:r>
    </w:p>
    <w:p>
      <w:pPr>
        <w:overflowPunct w:val="0"/>
        <w:adjustRightInd w:val="0"/>
        <w:snapToGrid w:val="0"/>
        <w:spacing w:line="560" w:lineRule="exact"/>
        <w:ind w:firstLine="643" w:firstLineChars="200"/>
        <w:jc w:val="center"/>
        <w:rPr>
          <w:rFonts w:ascii="Times New Roman" w:hAnsi="Times New Roman" w:eastAsia="方正楷体_GBK"/>
          <w:b/>
          <w:sz w:val="32"/>
          <w:szCs w:val="32"/>
        </w:rPr>
      </w:pPr>
      <w:bookmarkStart w:id="1768" w:name="_Toc19033"/>
      <w:bookmarkStart w:id="1769" w:name="_Toc2529"/>
      <w:bookmarkStart w:id="1770" w:name="_Toc30265"/>
      <w:bookmarkStart w:id="1771" w:name="_Toc12934"/>
      <w:bookmarkStart w:id="1772" w:name="_Toc8648"/>
      <w:bookmarkStart w:id="1773" w:name="_Toc16886"/>
      <w:bookmarkStart w:id="1774" w:name="_Toc10354"/>
      <w:bookmarkStart w:id="1775" w:name="_Toc31076"/>
      <w:r>
        <w:rPr>
          <w:rFonts w:ascii="Times New Roman" w:hAnsi="Times New Roman" w:eastAsia="方正楷体_GBK"/>
          <w:b/>
          <w:sz w:val="32"/>
          <w:szCs w:val="32"/>
        </w:rPr>
        <w:t>第一节  培养造就高水平人才队伍</w:t>
      </w:r>
      <w:bookmarkEnd w:id="1768"/>
      <w:bookmarkEnd w:id="1769"/>
      <w:bookmarkEnd w:id="1770"/>
      <w:bookmarkEnd w:id="1771"/>
      <w:bookmarkEnd w:id="1772"/>
      <w:bookmarkEnd w:id="1773"/>
      <w:bookmarkEnd w:id="1774"/>
      <w:bookmarkEnd w:id="177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立足战略发展新格局，打造更加积极、更加灵活的引才育才生态。围绕生态优先当标杆、绿色发展当示范目标，紧扣重点产业、重点项目、重点学科，研究制定人才培养和引进的标准、路径和政策，加快引进和培育创新型、应用型、专业型人才。</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产业引领创新型人才培养工程，按照“一重点产业集群一批创新型人才”原则，加强引进和培育有理念、有实践、带技术、带项目、带资金的产业创新人才和重点团队，提高人才队伍与产业发展的融合度、匹配度，形成智力激活资源、人才引领产业的发展格局。实施应用型干部人才引进行动，更加客观、公平、效率配置人力资源，以机关、企事业单位用人需求为主，加大县外编制内应用型干部的引进力度，更加主动开展高校毕业生的机关事业单位招录工作，为服务经济社会发展提供应用型人才支撑。实施民生事业专业人才计划。按照“一行业领域一人才工程”的原则，以补短板、强弱项，提升医疗和教育保障能力为目标，重点实施“城口县百医人才培养工程”“城口县名师人才培养工程”，加强社会工作、农村实用人才、乡土人才、文化艺术等行业人才队伍建设，为推动高质量发展、创造高品质生活聚集素质优良、技术精湛的专业型人才。实施城口籍人才回引工程，制定符合制度要求，满足工作需求的引才政策，回引一批城口籍在外专业人才。实施“名校优生”引进计划，围绕全域旅游业发展、山地特色高效农业、战略性新兴服务业，吸引支持全日制普通高校本科以上毕业生在城口自主创业。</w:t>
      </w: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加大与大院名校共建创新载体力度，深入实施“校（院）企（地）人才合作”，建立健全高校科研院所、企业、政府三位一体的“政校企人才合作”长效机制。鼓励高层次人才通过兼职、咨询、讲学、科研和技术合作、技术入股、投资兴办企业或从事其他专业服务等各种“柔性”方式为城口公共主体服务。</w:t>
      </w:r>
      <w:bookmarkStart w:id="1776" w:name="_Toc3656"/>
      <w:bookmarkStart w:id="1777" w:name="_Toc22977"/>
      <w:bookmarkStart w:id="1778" w:name="_Toc9788"/>
      <w:bookmarkStart w:id="1779" w:name="_Toc10216"/>
      <w:bookmarkStart w:id="1780" w:name="_Toc2352"/>
      <w:bookmarkStart w:id="1781" w:name="_Toc7583"/>
      <w:bookmarkStart w:id="1782" w:name="_Toc9338"/>
    </w:p>
    <w:p>
      <w:pPr>
        <w:overflowPunct w:val="0"/>
        <w:adjustRightInd w:val="0"/>
        <w:snapToGrid w:val="0"/>
        <w:spacing w:line="560" w:lineRule="exact"/>
        <w:ind w:firstLine="643" w:firstLineChars="200"/>
        <w:jc w:val="center"/>
        <w:rPr>
          <w:rFonts w:ascii="Times New Roman" w:hAnsi="Times New Roman" w:eastAsia="方正楷体_GBK"/>
          <w:b/>
          <w:sz w:val="32"/>
          <w:szCs w:val="32"/>
        </w:rPr>
      </w:pPr>
      <w:r>
        <w:rPr>
          <w:rFonts w:ascii="Times New Roman" w:hAnsi="Times New Roman" w:eastAsia="方正楷体_GBK"/>
          <w:b/>
          <w:sz w:val="32"/>
          <w:szCs w:val="32"/>
        </w:rPr>
        <w:t>第二节  激励人才更好发挥作用</w:t>
      </w:r>
      <w:bookmarkEnd w:id="1776"/>
      <w:bookmarkEnd w:id="1777"/>
      <w:bookmarkEnd w:id="1778"/>
      <w:bookmarkEnd w:id="1779"/>
      <w:bookmarkEnd w:id="1780"/>
      <w:bookmarkEnd w:id="1781"/>
      <w:bookmarkEnd w:id="178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优化人才发展政策体系，打造更加完备、更加有效的用才留才生态。制定符合县域实际的人才认定及评价体系，推动人才认定及评价工作公开化、透明化，真正形成发展引才、人尽其才的良性发展。推动专业技术职称评聘，以专业素养为基础，以工作实绩论才干，构建充分体现知识、技术、实绩等要素价值的职称评聘机制。建立健全吸引、激励和留住各类人才在城口创新创业创造的体制机制。开展各类优秀人才的评选，完善党政领导联系人才制度，加大优秀人才奖励力度。健全人才保障体系，实施人才安居工程，优化人才服务，建立人才一站式服务站，为引入人才提供子女就学、住房、医疗等社会服务领域更优惠的政策保障。</w:t>
      </w:r>
    </w:p>
    <w:p>
      <w:pPr>
        <w:overflowPunct w:val="0"/>
        <w:adjustRightInd w:val="0"/>
        <w:snapToGrid w:val="0"/>
        <w:spacing w:line="560" w:lineRule="exact"/>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783" w:name="_Toc1197"/>
      <w:bookmarkStart w:id="1784" w:name="_Toc1388"/>
      <w:bookmarkStart w:id="1785" w:name="_Toc7029"/>
      <w:bookmarkStart w:id="1786" w:name="_Toc26727"/>
      <w:bookmarkStart w:id="1787" w:name="_Toc10463"/>
      <w:bookmarkStart w:id="1788" w:name="_Toc31075"/>
      <w:bookmarkStart w:id="1789" w:name="_Toc21685"/>
      <w:bookmarkStart w:id="1790" w:name="_Toc9770"/>
      <w:bookmarkStart w:id="1791" w:name="_Toc28052"/>
      <w:bookmarkStart w:id="1792" w:name="_Toc23125"/>
      <w:bookmarkStart w:id="1793" w:name="_Toc14805"/>
      <w:bookmarkStart w:id="1794" w:name="_Toc10449"/>
      <w:bookmarkStart w:id="1795" w:name="_Toc1624"/>
      <w:bookmarkStart w:id="1796" w:name="_Toc25406"/>
      <w:bookmarkStart w:id="1797" w:name="_Toc15063"/>
      <w:bookmarkStart w:id="1798" w:name="_Toc23316"/>
      <w:bookmarkStart w:id="1799" w:name="_Toc18069"/>
      <w:bookmarkStart w:id="1800" w:name="_Toc12270"/>
      <w:r>
        <w:rPr>
          <w:rFonts w:ascii="Times New Roman" w:hAnsi="Times New Roman" w:eastAsia="方正黑体_GBK"/>
          <w:b/>
          <w:bCs/>
          <w:kern w:val="44"/>
          <w:sz w:val="32"/>
          <w:szCs w:val="32"/>
        </w:rPr>
        <w:t>第二十六章  完善科技创新机制</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深化落实新一轮全面创新改革，健全创新激励政策体系，营造鼓励创新创业创造的政策环境。</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801" w:name="_Toc23869"/>
      <w:bookmarkStart w:id="1802" w:name="_Toc17102"/>
      <w:bookmarkStart w:id="1803" w:name="_Toc10815"/>
      <w:bookmarkStart w:id="1804" w:name="_Toc1811"/>
      <w:bookmarkStart w:id="1805" w:name="_Toc8066"/>
      <w:bookmarkStart w:id="1806" w:name="_Toc16899"/>
      <w:bookmarkStart w:id="1807" w:name="_Toc27396"/>
      <w:bookmarkStart w:id="1808" w:name="_Toc11139"/>
      <w:bookmarkStart w:id="1809" w:name="_Toc31535"/>
      <w:bookmarkStart w:id="1810" w:name="_Toc18973"/>
      <w:bookmarkStart w:id="1811" w:name="_Toc29204"/>
      <w:bookmarkStart w:id="1812" w:name="_Toc18216"/>
      <w:bookmarkStart w:id="1813" w:name="_Toc13505"/>
      <w:bookmarkStart w:id="1814" w:name="_Toc31014"/>
      <w:bookmarkStart w:id="1815" w:name="_Toc18590"/>
      <w:bookmarkStart w:id="1816" w:name="_Toc10638"/>
      <w:bookmarkStart w:id="1817" w:name="_Toc10945"/>
      <w:bookmarkStart w:id="1818" w:name="_Toc8373"/>
      <w:r>
        <w:rPr>
          <w:rFonts w:ascii="Times New Roman" w:hAnsi="Times New Roman" w:eastAsia="方正楷体_GBK"/>
          <w:b/>
          <w:sz w:val="32"/>
          <w:szCs w:val="32"/>
        </w:rPr>
        <w:t>第一节  深化科技创新机制改革</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落实科技成果转化机制，推动完善科技成果使用、处置和收益管理制度。落实重点科技项目攻关“揭榜挂帅”机制，推动政策、项目、基地、人才、资金一体化配置。深化科研经费管理改革，实行科研项目经费“包干制”。落实知识产权创造、运用、交易、保护制度规则，提高科技成果转移转化成效。深化科研管理体制改革，着力转变科技行政管理方式，强化战略研究、规划制定、监督管理和统筹协调，委托第三方专业机构实施科技创新项目管理。</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819" w:name="_Toc31188"/>
      <w:bookmarkStart w:id="1820" w:name="_Toc18773"/>
      <w:bookmarkStart w:id="1821" w:name="_Toc28344"/>
      <w:bookmarkStart w:id="1822" w:name="_Toc4329"/>
      <w:bookmarkStart w:id="1823" w:name="_Toc32764"/>
      <w:bookmarkStart w:id="1824" w:name="_Toc32494"/>
      <w:bookmarkStart w:id="1825" w:name="_Toc3768"/>
      <w:bookmarkStart w:id="1826" w:name="_Toc34"/>
      <w:bookmarkStart w:id="1827" w:name="_Toc25397"/>
      <w:bookmarkStart w:id="1828" w:name="_Toc8129"/>
      <w:bookmarkStart w:id="1829" w:name="_Toc24425"/>
      <w:bookmarkStart w:id="1830" w:name="_Toc17315"/>
      <w:bookmarkStart w:id="1831" w:name="_Toc32453"/>
      <w:bookmarkStart w:id="1832" w:name="_Toc3496"/>
      <w:bookmarkStart w:id="1833" w:name="_Toc26787"/>
      <w:bookmarkStart w:id="1834" w:name="_Toc26437"/>
      <w:bookmarkStart w:id="1835" w:name="_Toc18778"/>
      <w:bookmarkStart w:id="1836" w:name="_Toc8112"/>
      <w:r>
        <w:rPr>
          <w:rFonts w:ascii="Times New Roman" w:hAnsi="Times New Roman" w:eastAsia="方正楷体_GBK"/>
          <w:b/>
          <w:sz w:val="32"/>
          <w:szCs w:val="32"/>
        </w:rPr>
        <w:t>第二节  完善协同创新机制</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构建以政府为创新支撑、以企业为创新主体、以高校和科研院所为创新平台的产学研协同创新机制，</w:t>
      </w:r>
      <w:r>
        <w:rPr>
          <w:rFonts w:ascii="Times New Roman" w:hAnsi="Times New Roman" w:eastAsia="方正仿宋_GBK"/>
          <w:bCs/>
          <w:sz w:val="32"/>
          <w:szCs w:val="32"/>
        </w:rPr>
        <w:t>分领域实施一批科技重大主题专项，</w:t>
      </w:r>
      <w:r>
        <w:rPr>
          <w:rFonts w:ascii="Times New Roman" w:hAnsi="Times New Roman" w:eastAsia="方正仿宋_GBK"/>
          <w:sz w:val="32"/>
          <w:szCs w:val="32"/>
        </w:rPr>
        <w:t>推进农业科技、畜牧科技、中药研究、新材料、“互联网+”等产业技术创新和产品研发。重点开展锰钡矿产资源综合利用研究与开发，推动锰钡新材料技术创新。</w:t>
      </w:r>
      <w:r>
        <w:rPr>
          <w:rFonts w:ascii="Times New Roman" w:hAnsi="Times New Roman" w:eastAsia="方正仿宋_GBK"/>
          <w:bCs/>
          <w:sz w:val="32"/>
          <w:szCs w:val="32"/>
        </w:rPr>
        <w:t>探索搭建主导产业技术联盟，完善市场化机制、专业化服务和资本化运作方式，推动技术创新合作，形成产业技术标准，实现知识产权共享，提升产业竞争力。</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837" w:name="_Toc32110"/>
      <w:bookmarkStart w:id="1838" w:name="_Toc17354"/>
      <w:bookmarkStart w:id="1839" w:name="_Toc13687"/>
      <w:bookmarkStart w:id="1840" w:name="_Toc4666"/>
      <w:bookmarkStart w:id="1841" w:name="_Toc15160"/>
      <w:bookmarkStart w:id="1842" w:name="_Toc29518"/>
      <w:bookmarkStart w:id="1843" w:name="_Toc30052"/>
      <w:bookmarkStart w:id="1844" w:name="_Toc23186"/>
      <w:bookmarkStart w:id="1845" w:name="_Toc15418"/>
      <w:bookmarkStart w:id="1846" w:name="_Toc15949"/>
      <w:bookmarkStart w:id="1847" w:name="_Toc19810"/>
      <w:bookmarkStart w:id="1848" w:name="_Toc2787"/>
      <w:bookmarkStart w:id="1849" w:name="_Toc22279"/>
      <w:bookmarkStart w:id="1850" w:name="_Toc12900"/>
      <w:bookmarkStart w:id="1851" w:name="_Toc30140"/>
      <w:bookmarkStart w:id="1852" w:name="_Toc14857"/>
      <w:bookmarkStart w:id="1853" w:name="_Toc8729"/>
      <w:bookmarkStart w:id="1854" w:name="_Toc22274"/>
      <w:r>
        <w:rPr>
          <w:rFonts w:ascii="Times New Roman" w:hAnsi="Times New Roman" w:eastAsia="方正楷体_GBK"/>
          <w:b/>
          <w:sz w:val="32"/>
          <w:szCs w:val="32"/>
        </w:rPr>
        <w:t>第三节  健全科技投融资体系</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健全政府投入为主、社会多渠道投入机制，发挥财政资金杠杆作用，运用普惠性政策，引导企业加大研发经费投入。稳定增加财政科技投入，加大县级财政对科技创新的支持力度。探索建立多层次创新创业投资基金，鼓励银行机构加强差异化信贷管理，支持开展知识产权质押融资、信用贷款、科技保险等金融创新业务。政府通过建立风险补偿金、配套财税政策等方式，对为科技型中小微企业提供融资和担保的金融机构，实行差异化财政激励政策。</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855" w:name="_Toc32487"/>
      <w:bookmarkStart w:id="1856" w:name="_Toc938"/>
      <w:bookmarkStart w:id="1857" w:name="_Toc21013"/>
      <w:bookmarkStart w:id="1858" w:name="_Toc925"/>
      <w:bookmarkStart w:id="1859" w:name="_Toc24385"/>
      <w:bookmarkStart w:id="1860" w:name="_Toc9710"/>
      <w:bookmarkStart w:id="1861" w:name="_Toc26348"/>
      <w:bookmarkStart w:id="1862" w:name="_Toc20303"/>
      <w:bookmarkStart w:id="1863" w:name="_Toc12338"/>
      <w:bookmarkStart w:id="1864" w:name="_Toc17898"/>
      <w:bookmarkStart w:id="1865" w:name="_Toc6588"/>
      <w:bookmarkStart w:id="1866" w:name="_Toc24589"/>
      <w:bookmarkStart w:id="1867" w:name="_Toc31068"/>
      <w:bookmarkStart w:id="1868" w:name="_Toc18522"/>
      <w:bookmarkStart w:id="1869" w:name="_Toc8673"/>
      <w:bookmarkStart w:id="1870" w:name="_Toc13390"/>
      <w:bookmarkStart w:id="1871" w:name="_Toc17317"/>
      <w:bookmarkStart w:id="1872" w:name="_Toc9112"/>
      <w:r>
        <w:rPr>
          <w:rFonts w:ascii="Times New Roman" w:hAnsi="Times New Roman" w:eastAsia="方正楷体_GBK"/>
          <w:b/>
          <w:sz w:val="32"/>
          <w:szCs w:val="32"/>
        </w:rPr>
        <w:t>第四节  优化创新创业创造生态</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落实大孵化发展战略，打造高水平创业孵化平台。建立星创天地、众创空间、专家大院、科技孵化器等平台，完善“双创”科技服务功能，创新建立众创、众包、众扶、众筹等支撑平台，打造土城老街“两山”“两化”生态经济共创空间，完善孵化服务功能，打造共学、共创、共建、共享“四共”双创基地。加快建设支撑乡村文化发展的科技创新服务平台，引入和培育新型经营主体和新商业模式。强化产业技术政策引导与监管，推动企业从依靠资源能源竞争向依靠技术创新竞争转变，健全创业专业技术服务平台和“一站式”公共服务平台。弘扬科学精神和工匠精神，加强科普工作，大力营造崇尚创新的社会氛围。</w:t>
      </w: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873" w:name="_Toc19421"/>
      <w:bookmarkStart w:id="1874" w:name="_Toc29644"/>
      <w:bookmarkStart w:id="1875" w:name="_Toc10252"/>
      <w:bookmarkStart w:id="1876" w:name="_Toc11913"/>
      <w:bookmarkStart w:id="1877" w:name="_Toc19725"/>
      <w:bookmarkStart w:id="1878" w:name="_Toc59950086"/>
    </w:p>
    <w:p>
      <w:pPr>
        <w:numPr>
          <w:ilvl w:val="0"/>
          <w:numId w:val="1"/>
        </w:num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1879" w:name="_Toc32434"/>
      <w:bookmarkStart w:id="1880" w:name="_Toc31380"/>
      <w:bookmarkStart w:id="1881" w:name="_Toc2882"/>
      <w:bookmarkStart w:id="1882" w:name="_Toc3606"/>
      <w:bookmarkStart w:id="1883" w:name="_Toc7086"/>
      <w:bookmarkStart w:id="1884" w:name="_Toc13991"/>
      <w:bookmarkStart w:id="1885" w:name="_Toc27047"/>
      <w:bookmarkStart w:id="1886" w:name="_Toc32757"/>
      <w:bookmarkStart w:id="1887" w:name="_Toc597"/>
      <w:bookmarkStart w:id="1888" w:name="_Toc8500"/>
      <w:bookmarkStart w:id="1889" w:name="_Toc5808"/>
      <w:bookmarkStart w:id="1890" w:name="_Toc23751"/>
      <w:bookmarkStart w:id="1891" w:name="_Toc24240"/>
      <w:r>
        <w:rPr>
          <w:rFonts w:ascii="Times New Roman" w:hAnsi="Times New Roman" w:eastAsia="方正小标宋_GBK"/>
          <w:b/>
          <w:bCs/>
          <w:kern w:val="44"/>
          <w:sz w:val="36"/>
          <w:szCs w:val="36"/>
        </w:rPr>
        <w:t>在更高起点推进全面深化改革  构建规范</w:t>
      </w:r>
      <w:bookmarkEnd w:id="1879"/>
      <w:bookmarkEnd w:id="1880"/>
      <w:bookmarkEnd w:id="1881"/>
      <w:bookmarkEnd w:id="1882"/>
      <w:bookmarkEnd w:id="1883"/>
      <w:bookmarkEnd w:id="1884"/>
      <w:bookmarkEnd w:id="1885"/>
      <w:bookmarkEnd w:id="1886"/>
      <w:bookmarkEnd w:id="1887"/>
    </w:p>
    <w:p>
      <w:pPr>
        <w:overflowPunct w:val="0"/>
        <w:adjustRightInd w:val="0"/>
        <w:snapToGrid w:val="0"/>
        <w:spacing w:line="560" w:lineRule="exact"/>
        <w:ind w:firstLine="2168" w:firstLineChars="600"/>
        <w:outlineLvl w:val="0"/>
        <w:rPr>
          <w:rFonts w:ascii="Times New Roman" w:hAnsi="Times New Roman" w:eastAsia="方正小标宋_GBK"/>
          <w:b/>
          <w:bCs/>
          <w:kern w:val="44"/>
          <w:sz w:val="36"/>
          <w:szCs w:val="36"/>
        </w:rPr>
      </w:pPr>
      <w:bookmarkStart w:id="1892" w:name="_Toc27762"/>
      <w:bookmarkStart w:id="1893" w:name="_Toc9868"/>
      <w:bookmarkStart w:id="1894" w:name="_Toc26610"/>
      <w:bookmarkStart w:id="1895" w:name="_Toc7025"/>
      <w:bookmarkStart w:id="1896" w:name="_Toc30138"/>
      <w:bookmarkStart w:id="1897" w:name="_Toc17635"/>
      <w:bookmarkStart w:id="1898" w:name="_Toc2597"/>
      <w:bookmarkStart w:id="1899" w:name="_Toc12291"/>
      <w:bookmarkStart w:id="1900" w:name="_Toc11734"/>
      <w:r>
        <w:rPr>
          <w:rFonts w:ascii="Times New Roman" w:hAnsi="Times New Roman" w:eastAsia="方正小标宋_GBK"/>
          <w:b/>
          <w:bCs/>
          <w:kern w:val="44"/>
          <w:sz w:val="36"/>
          <w:szCs w:val="36"/>
        </w:rPr>
        <w:t>有序的社会主义市场经济体制</w:t>
      </w:r>
      <w:bookmarkEnd w:id="1873"/>
      <w:bookmarkEnd w:id="1874"/>
      <w:bookmarkEnd w:id="1875"/>
      <w:bookmarkEnd w:id="1876"/>
      <w:bookmarkEnd w:id="187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overflowPunct w:val="0"/>
        <w:adjustRightInd w:val="0"/>
        <w:snapToGrid w:val="0"/>
        <w:spacing w:line="560" w:lineRule="exact"/>
        <w:rPr>
          <w:rFonts w:ascii="Times New Roman" w:hAnsi="Times New Roman" w:eastAsia="方正仿宋_GBK"/>
          <w:bCs/>
          <w:sz w:val="32"/>
          <w:szCs w:val="32"/>
        </w:rPr>
      </w:pPr>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坚持社会主义基本经济制度，充分发挥市场在资源配置中的决定性作用，深入推进重点领域和关键环节改革，着力在除障碍、建平台、聚资源、强机制上下功夫，更好发挥政府作用，推动有效市场和有为政府更好结合。</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01" w:name="_Toc17675"/>
      <w:bookmarkStart w:id="1902" w:name="_Toc30595"/>
      <w:bookmarkStart w:id="1903" w:name="_Toc28083"/>
      <w:bookmarkStart w:id="1904" w:name="_Toc1831"/>
      <w:bookmarkStart w:id="1905" w:name="_Toc23923"/>
      <w:bookmarkStart w:id="1906" w:name="_Toc26798"/>
      <w:bookmarkStart w:id="1907" w:name="_Toc25523"/>
      <w:bookmarkStart w:id="1908" w:name="_Toc23089"/>
      <w:bookmarkStart w:id="1909" w:name="_Toc11143"/>
      <w:bookmarkStart w:id="1910" w:name="_Toc22561"/>
      <w:bookmarkStart w:id="1911" w:name="_Toc32184"/>
      <w:bookmarkStart w:id="1912" w:name="_Toc17071"/>
      <w:bookmarkStart w:id="1913" w:name="_Toc6358"/>
      <w:bookmarkStart w:id="1914" w:name="_Toc19753"/>
      <w:bookmarkStart w:id="1915" w:name="_Toc3346"/>
      <w:bookmarkStart w:id="1916" w:name="_Toc20875"/>
      <w:bookmarkStart w:id="1917" w:name="_Toc11743"/>
      <w:bookmarkStart w:id="1918" w:name="_Toc28414"/>
      <w:r>
        <w:rPr>
          <w:rFonts w:ascii="Times New Roman" w:hAnsi="Times New Roman" w:eastAsia="方正黑体_GBK"/>
          <w:b/>
          <w:bCs/>
          <w:kern w:val="44"/>
          <w:sz w:val="32"/>
          <w:szCs w:val="32"/>
        </w:rPr>
        <w:t>第二十七章  激发各类市场主体活力</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毫不动摇巩固和发展公有制经济，毫不动摇鼓励、支持、引导非公有制经济发展，促进各类市场主体发展壮大。</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919" w:name="_Toc8460"/>
      <w:bookmarkStart w:id="1920" w:name="_Toc31580"/>
      <w:bookmarkStart w:id="1921" w:name="_Toc7383"/>
      <w:bookmarkStart w:id="1922" w:name="_Toc1614"/>
      <w:bookmarkStart w:id="1923" w:name="_Toc21125"/>
      <w:bookmarkStart w:id="1924" w:name="_Toc22996"/>
      <w:bookmarkStart w:id="1925" w:name="_Toc20989"/>
      <w:bookmarkStart w:id="1926" w:name="_Toc407"/>
      <w:bookmarkStart w:id="1927" w:name="_Toc336"/>
      <w:bookmarkStart w:id="1928" w:name="_Toc10608"/>
      <w:bookmarkStart w:id="1929" w:name="_Toc4760"/>
      <w:bookmarkStart w:id="1930" w:name="_Toc3933"/>
      <w:bookmarkStart w:id="1931" w:name="_Toc26538"/>
      <w:bookmarkStart w:id="1932" w:name="_Toc13494"/>
      <w:bookmarkStart w:id="1933" w:name="_Toc280"/>
      <w:bookmarkStart w:id="1934" w:name="_Toc22462"/>
      <w:bookmarkStart w:id="1935" w:name="_Toc32424"/>
      <w:bookmarkStart w:id="1936" w:name="_Toc31758"/>
      <w:r>
        <w:rPr>
          <w:rFonts w:ascii="Times New Roman" w:hAnsi="Times New Roman" w:eastAsia="方正楷体_GBK"/>
          <w:b/>
          <w:sz w:val="32"/>
          <w:szCs w:val="32"/>
        </w:rPr>
        <w:t>第一节  深化国资国企改革</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overflowPunct w:val="0"/>
        <w:adjustRightInd w:val="0"/>
        <w:snapToGrid w:val="0"/>
        <w:spacing w:line="560" w:lineRule="exact"/>
        <w:ind w:firstLine="640" w:firstLineChars="200"/>
        <w:jc w:val="left"/>
        <w:rPr>
          <w:rFonts w:ascii="Times New Roman" w:hAnsi="Times New Roman" w:eastAsia="方正仿宋_GBK"/>
        </w:rPr>
      </w:pPr>
      <w:r>
        <w:rPr>
          <w:rFonts w:ascii="Times New Roman" w:hAnsi="Times New Roman" w:eastAsia="方正仿宋_GBK"/>
          <w:bCs/>
          <w:sz w:val="32"/>
          <w:szCs w:val="32"/>
        </w:rPr>
        <w:t>有力有序推进国企混合所有制改革，推动国有企业建立健全有效均衡的现代企业治理体系、高度市场化和灵活高效的现代企业经营机制、激励和约束并重的现代企业激励机制，推动国有企业经理层人员任期制和契约化管理，切实激发国有企业发展活力和内生动力。推动国有经济布局优化和结构调整，围绕服务国家、全市和全县发展战略，推动国有企业战略性重组和专业化整合。完善国有资产监管体制，充分发挥国有资本投资运营公司作用，推动国资监管从管企业向管资本转变，真正实现政企分开、政资分开。深化效率导向的国资经营评价制度改革。</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1937" w:name="_Toc2133"/>
      <w:bookmarkStart w:id="1938" w:name="_Toc29861"/>
      <w:bookmarkStart w:id="1939" w:name="_Toc9826"/>
      <w:bookmarkStart w:id="1940" w:name="_Toc31201"/>
      <w:bookmarkStart w:id="1941" w:name="_Toc15800"/>
      <w:bookmarkStart w:id="1942" w:name="_Toc32320"/>
      <w:bookmarkStart w:id="1943" w:name="_Toc13282"/>
      <w:bookmarkStart w:id="1944" w:name="_Toc29596"/>
      <w:bookmarkStart w:id="1945" w:name="_Toc31687"/>
      <w:bookmarkStart w:id="1946" w:name="_Toc13417"/>
      <w:bookmarkStart w:id="1947" w:name="_Toc11699"/>
      <w:bookmarkStart w:id="1948" w:name="_Toc25331"/>
      <w:bookmarkStart w:id="1949" w:name="_Toc8867"/>
      <w:bookmarkStart w:id="1950" w:name="_Toc8724"/>
      <w:bookmarkStart w:id="1951" w:name="_Toc27271"/>
      <w:bookmarkStart w:id="1952" w:name="_Toc27423"/>
      <w:bookmarkStart w:id="1953" w:name="_Toc3325"/>
      <w:bookmarkStart w:id="1954" w:name="_Toc1864"/>
      <w:r>
        <w:rPr>
          <w:rFonts w:ascii="Times New Roman" w:hAnsi="Times New Roman" w:eastAsia="方正楷体_GBK"/>
          <w:b/>
          <w:sz w:val="32"/>
          <w:szCs w:val="32"/>
        </w:rPr>
        <w:t>第二节  推动民营经济加快发展</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持续放开重点领域市场准入，坚决破除制约民营经济发展的各种壁垒，构建亲清新政商关系，营造依法平等获取资源要素、公开公平公正参与竞争的市场环境。畅通减税降费政策传导机制，持续降低民营企业成本费用。支持民营企业开展科技创新，加快数字化转型，推动“上云、上规、上市”。建立规范化常态化政企沟通机制，畅通民营企业反映问题和诉求的渠道。推动建立面向民营企业的救助补偿机制，缓解中小微企业和个体工商户发展困难。弘扬企业家精神，引导民营企业聚精会神办实业。搭建返乡创业综合服务平台，鼓励全民创新创业。健全平等保护的法治环境，保护民营企业和民营企业家合法权益。</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55" w:name="_Toc8739"/>
      <w:bookmarkStart w:id="1956" w:name="_Toc11678"/>
      <w:bookmarkStart w:id="1957" w:name="_Toc24229"/>
      <w:bookmarkStart w:id="1958" w:name="_Toc6287"/>
      <w:bookmarkStart w:id="1959" w:name="_Toc32354"/>
      <w:bookmarkStart w:id="1960" w:name="_Toc19159"/>
      <w:bookmarkStart w:id="1961" w:name="_Toc9182"/>
      <w:bookmarkStart w:id="1962" w:name="_Toc16656"/>
      <w:bookmarkStart w:id="1963" w:name="_Toc13317"/>
      <w:bookmarkStart w:id="1964" w:name="_Toc12715"/>
      <w:bookmarkStart w:id="1965" w:name="_Toc29797"/>
      <w:bookmarkStart w:id="1966" w:name="_Toc11579"/>
      <w:bookmarkStart w:id="1967" w:name="_Toc8321"/>
      <w:bookmarkStart w:id="1968" w:name="_Toc573"/>
      <w:bookmarkStart w:id="1969" w:name="_Toc18226"/>
      <w:bookmarkStart w:id="1970" w:name="_Toc12527"/>
      <w:bookmarkStart w:id="1971" w:name="_Toc10615"/>
      <w:bookmarkStart w:id="1972" w:name="_Toc8387"/>
      <w:r>
        <w:rPr>
          <w:rFonts w:ascii="Times New Roman" w:hAnsi="Times New Roman" w:eastAsia="方正黑体_GBK"/>
          <w:b/>
          <w:bCs/>
          <w:kern w:val="44"/>
          <w:sz w:val="32"/>
          <w:szCs w:val="32"/>
        </w:rPr>
        <w:t>第二十八章  落实高质量发展政策体系</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pPr>
        <w:overflowPunct w:val="0"/>
        <w:adjustRightInd w:val="0"/>
        <w:snapToGrid w:val="0"/>
        <w:spacing w:line="560" w:lineRule="exact"/>
        <w:ind w:firstLine="640" w:firstLineChars="200"/>
        <w:rPr>
          <w:rFonts w:ascii="Times New Roman" w:hAnsi="Times New Roman" w:eastAsia="方正楷体_GBK"/>
          <w:bCs/>
          <w:sz w:val="32"/>
          <w:szCs w:val="32"/>
        </w:rPr>
      </w:pPr>
      <w:r>
        <w:rPr>
          <w:rFonts w:ascii="Times New Roman" w:hAnsi="Times New Roman" w:eastAsia="方正仿宋_GBK"/>
          <w:bCs/>
          <w:sz w:val="32"/>
          <w:szCs w:val="32"/>
        </w:rPr>
        <w:t>发挥发展规划的战略导向作用，构建发展规划、财政、金融、产业、投资、消费等经济政策协同和工作协调机制。抓好经济有效管理，加强目标管理、运行管理、统计管理和风险管理。</w:t>
      </w:r>
      <w:r>
        <w:rPr>
          <w:rFonts w:ascii="Times New Roman" w:hAnsi="Times New Roman" w:eastAsia="方正仿宋_GBK"/>
          <w:sz w:val="32"/>
          <w:szCs w:val="32"/>
        </w:rPr>
        <w:t>加强财政预算与全县发展规划实施的衔接协调。围绕全县发展规划确定的重点任务，引导金融要素资源配置方向和结构。</w:t>
      </w:r>
      <w:r>
        <w:rPr>
          <w:rFonts w:ascii="Times New Roman" w:hAnsi="Times New Roman" w:eastAsia="方正仿宋_GBK"/>
          <w:bCs/>
          <w:sz w:val="32"/>
          <w:szCs w:val="32"/>
        </w:rPr>
        <w:t>推动产业政策向普惠化和功能性转型，加强招商引资政策协同，防止无序恶性竞争。完善促进投资结构优化和消费升级的政策措施。积极落实“一区两群”协调发展土地、人口、环境、社会等公共政策，实现加快发展。推进统计现代化改革。</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73" w:name="_Toc17901"/>
      <w:bookmarkStart w:id="1974" w:name="_Toc12106"/>
      <w:bookmarkStart w:id="1975" w:name="_Toc18022"/>
      <w:bookmarkStart w:id="1976" w:name="_Toc2945"/>
      <w:bookmarkStart w:id="1977" w:name="_Toc32697"/>
      <w:bookmarkStart w:id="1978" w:name="_Toc28542"/>
      <w:bookmarkStart w:id="1979" w:name="_Toc4380"/>
      <w:bookmarkStart w:id="1980" w:name="_Toc5340"/>
      <w:bookmarkStart w:id="1981" w:name="_Toc8116"/>
      <w:bookmarkStart w:id="1982" w:name="_Toc12651"/>
      <w:bookmarkStart w:id="1983" w:name="_Toc13799"/>
      <w:bookmarkStart w:id="1984" w:name="_Toc22725"/>
      <w:bookmarkStart w:id="1985" w:name="_Toc21740"/>
      <w:bookmarkStart w:id="1986" w:name="_Toc32171"/>
      <w:bookmarkStart w:id="1987" w:name="_Toc2025"/>
      <w:bookmarkStart w:id="1988" w:name="_Toc8220"/>
      <w:bookmarkStart w:id="1989" w:name="_Toc6721"/>
      <w:bookmarkStart w:id="1990" w:name="_Toc25454"/>
      <w:r>
        <w:rPr>
          <w:rFonts w:ascii="Times New Roman" w:hAnsi="Times New Roman" w:eastAsia="方正黑体_GBK"/>
          <w:b/>
          <w:bCs/>
          <w:kern w:val="44"/>
          <w:sz w:val="32"/>
          <w:szCs w:val="32"/>
        </w:rPr>
        <w:t>第二十九章  落实现代财税金融体制</w:t>
      </w:r>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pPr>
        <w:pStyle w:val="53"/>
        <w:overflowPunct w:val="0"/>
        <w:adjustRightInd w:val="0"/>
        <w:snapToGrid w:val="0"/>
        <w:spacing w:line="560" w:lineRule="exact"/>
        <w:ind w:firstLine="640" w:firstLineChars="200"/>
        <w:jc w:val="both"/>
        <w:rPr>
          <w:rFonts w:ascii="Times New Roman" w:hAnsi="Times New Roman" w:eastAsia="方正仿宋_GBK" w:cs="Times New Roman"/>
          <w:bCs/>
          <w:kern w:val="0"/>
          <w:sz w:val="32"/>
          <w:szCs w:val="32"/>
          <w:lang w:eastAsia="zh-CN"/>
        </w:rPr>
      </w:pPr>
      <w:r>
        <w:rPr>
          <w:rFonts w:ascii="Times New Roman" w:hAnsi="Times New Roman" w:eastAsia="方正仿宋_GBK" w:cs="Times New Roman"/>
          <w:bCs/>
          <w:sz w:val="32"/>
          <w:szCs w:val="32"/>
          <w:lang w:eastAsia="zh-CN"/>
        </w:rPr>
        <w:t>加强财政资源统筹，完善政府性基金预算、国有资本经营预算与一般公共预算衔接机制，增强对全县重点任务实施的支撑保障能力。健全预算管理制度，全面推进预算绩效管理，严格预算控制，逐步建立全面规范透明、标准科学、约束有力的预算制度。落实市与县财政事权和支出责任，争取转移支付政策，增强公共服务保障能力。主动配合加快地方税体系建设，培育壮大地方税税源，深化非税收入收缴管理改革，巩固和拓展减税降费成效，持续推动企业降本减负。加强风险防控，深化政府债务管理制度改革。健全财政金融联动机制。</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1991" w:name="_Toc30982"/>
      <w:bookmarkStart w:id="1992" w:name="_Toc575"/>
      <w:bookmarkStart w:id="1993" w:name="_Toc6736"/>
      <w:bookmarkStart w:id="1994" w:name="_Toc24502"/>
      <w:bookmarkStart w:id="1995" w:name="_Toc6451"/>
      <w:bookmarkStart w:id="1996" w:name="_Toc2356"/>
      <w:bookmarkStart w:id="1997" w:name="_Toc26336"/>
      <w:bookmarkStart w:id="1998" w:name="_Toc23648"/>
      <w:bookmarkStart w:id="1999" w:name="_Toc15469"/>
      <w:bookmarkStart w:id="2000" w:name="_Toc22256"/>
      <w:bookmarkStart w:id="2001" w:name="_Toc8627"/>
      <w:bookmarkStart w:id="2002" w:name="_Toc13011"/>
      <w:bookmarkStart w:id="2003" w:name="_Toc30738"/>
      <w:bookmarkStart w:id="2004" w:name="_Toc27691"/>
      <w:bookmarkStart w:id="2005" w:name="_Toc2382"/>
      <w:bookmarkStart w:id="2006" w:name="_Toc28940"/>
      <w:bookmarkStart w:id="2007" w:name="_Toc12450"/>
      <w:bookmarkStart w:id="2008" w:name="_Toc10781"/>
      <w:r>
        <w:rPr>
          <w:rFonts w:ascii="Times New Roman" w:hAnsi="Times New Roman" w:eastAsia="方正黑体_GBK"/>
          <w:b/>
          <w:bCs/>
          <w:kern w:val="44"/>
          <w:sz w:val="32"/>
          <w:szCs w:val="32"/>
        </w:rPr>
        <w:t>第三十章  建设高标准市场体系</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坚持平等准入、公正监管、开放有序、诚信守法，落实高标准市场体系建设行动，聚焦要素市场化配置，</w:t>
      </w:r>
      <w:r>
        <w:rPr>
          <w:rFonts w:ascii="Times New Roman" w:hAnsi="Times New Roman" w:eastAsia="方正仿宋_GBK"/>
          <w:sz w:val="32"/>
          <w:szCs w:val="32"/>
        </w:rPr>
        <w:t>建设统一开放、竞争有序、制度完备、治理完善的高标准市场体系。</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009" w:name="_Toc22238"/>
      <w:bookmarkStart w:id="2010" w:name="_Toc23620"/>
      <w:bookmarkStart w:id="2011" w:name="_Toc9114"/>
      <w:bookmarkStart w:id="2012" w:name="_Toc8834"/>
      <w:bookmarkStart w:id="2013" w:name="_Toc9258"/>
      <w:bookmarkStart w:id="2014" w:name="_Toc6795"/>
      <w:bookmarkStart w:id="2015" w:name="_Toc6993"/>
      <w:bookmarkStart w:id="2016" w:name="_Toc26343"/>
      <w:bookmarkStart w:id="2017" w:name="_Toc2973"/>
      <w:bookmarkStart w:id="2018" w:name="_Toc30121"/>
      <w:bookmarkStart w:id="2019" w:name="_Toc4116"/>
      <w:bookmarkStart w:id="2020" w:name="_Toc1037"/>
      <w:bookmarkStart w:id="2021" w:name="_Toc29031"/>
      <w:bookmarkStart w:id="2022" w:name="_Toc17053"/>
      <w:bookmarkStart w:id="2023" w:name="_Toc4265"/>
      <w:bookmarkStart w:id="2024" w:name="_Toc32483"/>
      <w:bookmarkStart w:id="2025" w:name="_Toc4182"/>
      <w:bookmarkStart w:id="2026" w:name="_Toc8408"/>
      <w:r>
        <w:rPr>
          <w:rFonts w:ascii="Times New Roman" w:hAnsi="Times New Roman" w:eastAsia="方正楷体_GBK"/>
          <w:b/>
          <w:sz w:val="32"/>
          <w:szCs w:val="32"/>
        </w:rPr>
        <w:t>第一节  夯实市场经济基础性制度</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落实归属清晰、权责明确、保护严格、流转顺畅的现代产权制度。加强产权激励，依法平等保护各类产权。深化自然资源资产、农村集体产权、知识产权等产权改革，健全产权执法司法保护机制，实施统一的市场准入负面清单制度，推动“非禁即入”普遍落实。落实竞争政策实施机制，强化公平竞争审查制度刚性约束。强化反垄断和防止资本无序扩张。加强企业商业秘密保护。</w:t>
      </w:r>
      <w:r>
        <w:rPr>
          <w:rFonts w:ascii="Times New Roman" w:hAnsi="Times New Roman" w:eastAsia="方正仿宋_GBK" w:cs="Times New Roman"/>
          <w:sz w:val="32"/>
          <w:szCs w:val="32"/>
          <w:lang w:eastAsia="zh-CN"/>
        </w:rPr>
        <w:t>加强市场领域执法司法，提升市场综合监管能力。</w:t>
      </w:r>
      <w:r>
        <w:rPr>
          <w:rFonts w:ascii="Times New Roman" w:hAnsi="Times New Roman" w:eastAsia="方正仿宋_GBK" w:cs="Times New Roman"/>
          <w:sz w:val="32"/>
          <w:szCs w:val="32"/>
          <w:lang w:val="en-US" w:eastAsia="zh-CN" w:bidi="ar-SA"/>
        </w:rPr>
        <w:t>推进公用事业等行业竞争性环节市场化改革。完善重要民生商品价格调控机制，保障市场供应和价格总体平稳。</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027" w:name="_Toc18271"/>
      <w:bookmarkStart w:id="2028" w:name="_Toc12496"/>
      <w:bookmarkStart w:id="2029" w:name="_Toc8905"/>
      <w:bookmarkStart w:id="2030" w:name="_Toc19669"/>
      <w:bookmarkStart w:id="2031" w:name="_Toc17749"/>
      <w:bookmarkStart w:id="2032" w:name="_Toc7631"/>
      <w:bookmarkStart w:id="2033" w:name="_Toc26014"/>
      <w:bookmarkStart w:id="2034" w:name="_Toc13446"/>
      <w:bookmarkStart w:id="2035" w:name="_Toc4791"/>
      <w:bookmarkStart w:id="2036" w:name="_Toc24953"/>
      <w:bookmarkStart w:id="2037" w:name="_Toc18491"/>
      <w:bookmarkStart w:id="2038" w:name="_Toc16863"/>
      <w:bookmarkStart w:id="2039" w:name="_Toc13178"/>
      <w:bookmarkStart w:id="2040" w:name="_Toc3298"/>
      <w:bookmarkStart w:id="2041" w:name="_Toc4106"/>
      <w:bookmarkStart w:id="2042" w:name="_Toc7001"/>
      <w:bookmarkStart w:id="2043" w:name="_Toc11040"/>
      <w:bookmarkStart w:id="2044" w:name="_Toc17829"/>
      <w:r>
        <w:rPr>
          <w:rFonts w:ascii="Times New Roman" w:hAnsi="Times New Roman" w:eastAsia="方正楷体_GBK"/>
          <w:b/>
          <w:sz w:val="32"/>
          <w:szCs w:val="32"/>
        </w:rPr>
        <w:t>第二节  完善市场化要素配置机制</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pPr>
        <w:pStyle w:val="53"/>
        <w:overflowPunct w:val="0"/>
        <w:adjustRightInd w:val="0"/>
        <w:snapToGrid w:val="0"/>
        <w:spacing w:line="560" w:lineRule="exact"/>
        <w:ind w:firstLine="640" w:firstLineChars="200"/>
        <w:jc w:val="both"/>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bCs/>
          <w:sz w:val="32"/>
          <w:szCs w:val="32"/>
          <w:lang w:eastAsia="zh-CN"/>
        </w:rPr>
        <w:t>推动土地、劳动力、资本、技术、数据等要素市场改革，促进要素自主有序流动，提高要素配置效率。</w:t>
      </w:r>
      <w:r>
        <w:rPr>
          <w:rFonts w:ascii="Times New Roman" w:hAnsi="Times New Roman" w:eastAsia="方正仿宋_GBK" w:cs="Times New Roman"/>
          <w:sz w:val="32"/>
          <w:szCs w:val="32"/>
          <w:lang w:val="en-US" w:eastAsia="zh-CN" w:bidi="ar-SA"/>
        </w:rPr>
        <w:t>深化土地管理制度改革，落实脱贫地区建设用地增减挂钩节余指标和工矿废弃地复垦利用节余指标交易。加强对土地规划整体布局，统一报批、征收，分类供应。积极探索集体建设用地入市政策，确保各类项目顺利落地。健全统一规范的人力资源市场体系，畅通劳动力和人才流动渠道。继续深化公共资源交易监督管理改革。</w:t>
      </w:r>
      <w:r>
        <w:rPr>
          <w:rFonts w:ascii="Times New Roman" w:hAnsi="Times New Roman" w:eastAsia="方正仿宋_GBK" w:cs="Times New Roman"/>
          <w:bCs/>
          <w:sz w:val="32"/>
          <w:szCs w:val="32"/>
          <w:lang w:eastAsia="zh-CN"/>
        </w:rPr>
        <w:t>落实“云长制”，统筹推动管云、管数、管用，加快建设政务数据统一共享开放平台，推动数据高效汇聚、顺畅融通、开放共享和安全运行。</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045" w:name="_Toc26186"/>
      <w:bookmarkStart w:id="2046" w:name="_Toc9177"/>
      <w:bookmarkStart w:id="2047" w:name="_Toc29944"/>
      <w:bookmarkStart w:id="2048" w:name="_Toc14748"/>
      <w:bookmarkStart w:id="2049" w:name="_Toc17962"/>
      <w:bookmarkStart w:id="2050" w:name="_Toc27572"/>
      <w:bookmarkStart w:id="2051" w:name="_Toc3198"/>
      <w:bookmarkStart w:id="2052" w:name="_Toc4153"/>
      <w:bookmarkStart w:id="2053" w:name="_Toc23441"/>
      <w:bookmarkStart w:id="2054" w:name="_Toc21857"/>
      <w:bookmarkStart w:id="2055" w:name="_Toc32263"/>
      <w:bookmarkStart w:id="2056" w:name="_Toc16130"/>
      <w:bookmarkStart w:id="2057" w:name="_Toc14627"/>
      <w:bookmarkStart w:id="2058" w:name="_Toc12102"/>
      <w:bookmarkStart w:id="2059" w:name="_Toc18207"/>
      <w:bookmarkStart w:id="2060" w:name="_Toc2169"/>
      <w:bookmarkStart w:id="2061" w:name="_Toc26731"/>
      <w:bookmarkStart w:id="2062" w:name="_Toc23970"/>
      <w:r>
        <w:rPr>
          <w:rFonts w:ascii="Times New Roman" w:hAnsi="Times New Roman" w:eastAsia="方正黑体_GBK"/>
          <w:b/>
          <w:bCs/>
          <w:kern w:val="44"/>
          <w:sz w:val="32"/>
          <w:szCs w:val="32"/>
        </w:rPr>
        <w:t>第三十一章  持续优化营商环境</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聚焦企业全生命周期服务，对照中国营商环境评价指标体系，进一步打造市场化、法治化、国际化营商环境。</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063" w:name="_Toc17972"/>
      <w:bookmarkStart w:id="2064" w:name="_Toc18534"/>
      <w:bookmarkStart w:id="2065" w:name="_Toc23181"/>
      <w:bookmarkStart w:id="2066" w:name="_Toc29311"/>
      <w:bookmarkStart w:id="2067" w:name="_Toc24857"/>
      <w:bookmarkStart w:id="2068" w:name="_Toc2433"/>
      <w:bookmarkStart w:id="2069" w:name="_Toc23931"/>
      <w:bookmarkStart w:id="2070" w:name="_Toc27929"/>
      <w:bookmarkStart w:id="2071" w:name="_Toc16363"/>
      <w:bookmarkStart w:id="2072" w:name="_Toc20778"/>
      <w:bookmarkStart w:id="2073" w:name="_Toc2613"/>
      <w:bookmarkStart w:id="2074" w:name="_Toc11999"/>
      <w:bookmarkStart w:id="2075" w:name="_Toc8311"/>
      <w:bookmarkStart w:id="2076" w:name="_Toc10671"/>
      <w:bookmarkStart w:id="2077" w:name="_Toc7808"/>
      <w:bookmarkStart w:id="2078" w:name="_Toc17117"/>
      <w:bookmarkStart w:id="2079" w:name="_Toc3433"/>
      <w:bookmarkStart w:id="2080" w:name="_Toc18888"/>
      <w:r>
        <w:rPr>
          <w:rFonts w:ascii="Times New Roman" w:hAnsi="Times New Roman" w:eastAsia="方正楷体_GBK"/>
          <w:b/>
          <w:sz w:val="32"/>
          <w:szCs w:val="32"/>
        </w:rPr>
        <w:t>第一节  加快转变政府职能</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简政放权、放管结合、优化服务改革，建设人民满意的服务型政府，构建职责明确、依法行政的政府治理体系。全面实行政府权责清单制度。推进重大政策科学决策、审慎决策，实行事前评估和事后评价。深化“证照分离”改革，大力推进“照后减证”，实施涉企经营许可事项清单管理，落实企业强制退出机制。创新行政管理和服务方式，深入开展“互联网+政务服务”，提升“渝快办”“渝快政”效能，最大限度精简行政审批事项和环节，推行“最多跑一次”改革，发布“零跑腿”事项清单，推进政务服务标准化、规范化、便利化。利用互联网、大数据、人工智能等技术手段建立智慧型政府，各行政部门数据实现整合共享。深化投资项目审批制度改革，完善并联审批、超期默认制、告知承诺制等制度。提高市场综合监管能力。对新产业新业态新模式实行包容审慎监管。</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专栏17  政务服务重点项目</w:t>
      </w:r>
    </w:p>
    <w:tbl>
      <w:tblPr>
        <w:tblStyle w:val="2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0" w:firstLineChars="200"/>
              <w:rPr>
                <w:rFonts w:ascii="Times New Roman" w:hAnsi="Times New Roman"/>
              </w:rPr>
            </w:pPr>
            <w:r>
              <w:rPr>
                <w:rFonts w:ascii="Times New Roman" w:hAnsi="Times New Roman" w:eastAsia="方正仿宋_GBK"/>
                <w:bCs/>
                <w:sz w:val="24"/>
                <w:szCs w:val="32"/>
              </w:rPr>
              <w:t>完善乡、村政务服务体系，新建村（社区）便民服务中心19个，改扩建村（社区）便民服务中心20个，完善乡镇行政服务大厅功能，实行“综合服务窗口”工作模式，推动医保、社保、民政、农村建房审批等高频事项和办事不出村事项进驻乡镇街道公共服务中心集中办理。建成县级政务服务大厅迁建，从硬件上达到“一窗综办、集成服务”的要求。</w:t>
            </w:r>
          </w:p>
        </w:tc>
      </w:tr>
    </w:tbl>
    <w:p>
      <w:pPr>
        <w:overflowPunct w:val="0"/>
        <w:adjustRightInd w:val="0"/>
        <w:snapToGrid w:val="0"/>
        <w:spacing w:line="560" w:lineRule="exact"/>
        <w:jc w:val="center"/>
        <w:outlineLvl w:val="2"/>
        <w:rPr>
          <w:rFonts w:ascii="Times New Roman" w:hAnsi="Times New Roman" w:eastAsia="方正楷体_GBK"/>
          <w:b/>
          <w:sz w:val="32"/>
          <w:szCs w:val="32"/>
        </w:rPr>
      </w:pPr>
      <w:bookmarkStart w:id="2081" w:name="_Toc16627"/>
      <w:bookmarkStart w:id="2082" w:name="_Toc22731"/>
      <w:bookmarkStart w:id="2083" w:name="_Toc8388"/>
      <w:bookmarkStart w:id="2084" w:name="_Toc9386"/>
      <w:bookmarkStart w:id="2085" w:name="_Toc29483"/>
      <w:bookmarkStart w:id="2086" w:name="_Toc12575"/>
      <w:bookmarkStart w:id="2087" w:name="_Toc7239"/>
      <w:bookmarkStart w:id="2088" w:name="_Toc6985"/>
      <w:bookmarkStart w:id="2089" w:name="_Toc26110"/>
      <w:bookmarkStart w:id="2090" w:name="_Toc4654"/>
      <w:bookmarkStart w:id="2091" w:name="_Toc23417"/>
      <w:bookmarkStart w:id="2092" w:name="_Toc8295"/>
      <w:bookmarkStart w:id="2093" w:name="_Toc13764"/>
      <w:bookmarkStart w:id="2094" w:name="_Toc25073"/>
      <w:bookmarkStart w:id="2095" w:name="_Toc21309"/>
      <w:bookmarkStart w:id="2096" w:name="_Toc32219"/>
      <w:bookmarkStart w:id="2097" w:name="_Toc4542"/>
      <w:bookmarkStart w:id="2098" w:name="_Toc4547"/>
      <w:r>
        <w:rPr>
          <w:rFonts w:ascii="Times New Roman" w:hAnsi="Times New Roman" w:eastAsia="方正楷体_GBK"/>
          <w:b/>
          <w:sz w:val="32"/>
          <w:szCs w:val="32"/>
        </w:rPr>
        <w:t>第二节  优化涉企公共服务</w:t>
      </w:r>
      <w:bookmarkEnd w:id="2081"/>
      <w:bookmarkEnd w:id="2082"/>
      <w:bookmarkEnd w:id="2083"/>
      <w:bookmarkEnd w:id="2084"/>
      <w:bookmarkEnd w:id="2085"/>
      <w:bookmarkEnd w:id="2086"/>
    </w:p>
    <w:p>
      <w:pPr>
        <w:overflowPunct w:val="0"/>
        <w:adjustRightInd w:val="0"/>
        <w:snapToGrid w:val="0"/>
        <w:spacing w:line="56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引导水电气讯等公用企事业单位为市场主体提供安全、便捷、稳定和价格合理的服务，持续减环节、缩时间、提效率、降费用。深化行业协会商会和中介机构改革。发挥行业协会商会扎根行业、贴近企业的独特优势，加强行业自律，助力企业提升服务水平和治理能力。推进中介服务机构与行政机关脱钩，健全中介服务规则，促进中介市场健康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099" w:name="_Toc11246"/>
      <w:bookmarkStart w:id="2100" w:name="_Toc10177"/>
      <w:bookmarkStart w:id="2101" w:name="_Toc12239"/>
      <w:bookmarkStart w:id="2102" w:name="_Toc19597"/>
      <w:bookmarkStart w:id="2103" w:name="_Toc18251"/>
      <w:bookmarkStart w:id="2104" w:name="_Toc17121"/>
      <w:r>
        <w:rPr>
          <w:rFonts w:ascii="Times New Roman" w:hAnsi="Times New Roman" w:eastAsia="方正楷体_GBK"/>
          <w:b/>
          <w:sz w:val="32"/>
          <w:szCs w:val="32"/>
        </w:rPr>
        <w:t>第三节  完善社会信用体系</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信用信息开放共享，落实公共信用信息同金融信息共享整合机制。完善县公共信用信息平台功能，推动政务部门、企业、个人等公共信用信息应用便利化。全面推进重点领域诚信建设，推动信用信息监管全面落地，信用服务实体经济发展。完善守法诚信奖励和违法失信惩戒机制，培育和规范信用服务市场，促进信用服务业健康发展。鼓励信用服务产品开发和创新，积极支持独立的民营商业征信服务机构的组建和运作，并与政府的监管机构实现协同联动建立政务诚信监测治理体系，健全政府失信责任追究制度。积极开展失信主体信用修复。</w:t>
      </w:r>
    </w:p>
    <w:p>
      <w:pPr>
        <w:overflowPunct w:val="0"/>
        <w:rPr>
          <w:rFonts w:ascii="Times New Roman" w:hAnsi="Times New Roman" w:eastAsia="方正小标宋_GBK"/>
          <w:b/>
          <w:bCs/>
          <w:kern w:val="44"/>
          <w:sz w:val="36"/>
          <w:szCs w:val="36"/>
        </w:rPr>
      </w:pPr>
    </w:p>
    <w:bookmarkEnd w:id="1878"/>
    <w:p>
      <w:pPr>
        <w:overflowPunct w:val="0"/>
        <w:adjustRightInd w:val="0"/>
        <w:snapToGrid w:val="0"/>
        <w:spacing w:line="560" w:lineRule="exact"/>
        <w:jc w:val="center"/>
        <w:outlineLvl w:val="0"/>
        <w:rPr>
          <w:rFonts w:ascii="Times New Roman" w:hAnsi="Times New Roman" w:eastAsia="方正小标宋_GBK"/>
          <w:b/>
          <w:bCs/>
          <w:w w:val="94"/>
          <w:kern w:val="44"/>
          <w:sz w:val="36"/>
          <w:szCs w:val="36"/>
        </w:rPr>
      </w:pPr>
      <w:bookmarkStart w:id="2105" w:name="_Toc15519"/>
      <w:bookmarkStart w:id="2106" w:name="_Toc22042"/>
      <w:bookmarkStart w:id="2107" w:name="_Toc22791"/>
      <w:bookmarkStart w:id="2108" w:name="_Toc19839"/>
      <w:bookmarkStart w:id="2109" w:name="_Toc23274"/>
      <w:bookmarkStart w:id="2110" w:name="_Toc1305"/>
      <w:bookmarkStart w:id="2111" w:name="_Toc12508"/>
      <w:bookmarkStart w:id="2112" w:name="_Toc4463"/>
      <w:bookmarkStart w:id="2113" w:name="_Toc12281"/>
      <w:bookmarkStart w:id="2114" w:name="_Toc8132"/>
      <w:bookmarkStart w:id="2115" w:name="_Toc31077"/>
      <w:bookmarkStart w:id="2116" w:name="_Toc10541"/>
      <w:bookmarkStart w:id="2117" w:name="_Toc26093"/>
      <w:bookmarkStart w:id="2118" w:name="_Toc6513"/>
      <w:bookmarkStart w:id="2119" w:name="_Toc4863"/>
      <w:bookmarkStart w:id="2120" w:name="_Toc5472"/>
      <w:bookmarkStart w:id="2121" w:name="_Toc32338"/>
      <w:bookmarkStart w:id="2122" w:name="_Toc28928"/>
      <w:r>
        <w:rPr>
          <w:rFonts w:ascii="Times New Roman" w:hAnsi="Times New Roman" w:eastAsia="方正小标宋_GBK"/>
          <w:b/>
          <w:bCs/>
          <w:w w:val="94"/>
          <w:kern w:val="44"/>
          <w:sz w:val="36"/>
          <w:szCs w:val="36"/>
        </w:rPr>
        <w:t>第九篇  大力发展文化事业和文化产业  提高社会文明程度</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马克思主义在意识形态领域的指导地位，坚持以社会主义核心价值观引领文化建设，紧紧围绕举旗帜、聚民心、育新人、兴文化、展形象的使命任务，加强社会主义精神文明建设，坚定文化自信，促进满足人民文化需求和增强人民精神力量相统一，不断提高文化软实力。</w:t>
      </w: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23" w:name="_Toc9017"/>
      <w:bookmarkStart w:id="2124" w:name="_Toc31394"/>
      <w:bookmarkStart w:id="2125" w:name="_Toc12747"/>
      <w:bookmarkStart w:id="2126" w:name="_Toc27540"/>
      <w:bookmarkStart w:id="2127" w:name="_Toc24395"/>
      <w:bookmarkStart w:id="2128" w:name="_Toc28571"/>
      <w:bookmarkStart w:id="2129" w:name="_Toc22434"/>
      <w:bookmarkStart w:id="2130" w:name="_Toc2371"/>
      <w:bookmarkStart w:id="2131" w:name="_Toc31280"/>
      <w:bookmarkStart w:id="2132" w:name="_Toc2556"/>
      <w:bookmarkStart w:id="2133" w:name="_Toc59950087"/>
      <w:bookmarkStart w:id="2134" w:name="_Toc28726"/>
      <w:bookmarkStart w:id="2135" w:name="_Toc20536"/>
      <w:bookmarkStart w:id="2136" w:name="_Toc14802"/>
      <w:bookmarkStart w:id="2137" w:name="_Toc5514"/>
      <w:bookmarkStart w:id="2138" w:name="_Toc8259"/>
      <w:bookmarkStart w:id="2139" w:name="_Toc24940"/>
      <w:bookmarkStart w:id="2140" w:name="_Toc18824"/>
      <w:bookmarkStart w:id="2141" w:name="_Toc27281"/>
      <w:r>
        <w:rPr>
          <w:rFonts w:ascii="Times New Roman" w:hAnsi="Times New Roman" w:eastAsia="方正黑体_GBK"/>
          <w:b/>
          <w:bCs/>
          <w:kern w:val="44"/>
          <w:sz w:val="32"/>
          <w:szCs w:val="32"/>
        </w:rPr>
        <w:t>第三十二章  提高社会文明程度</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pPr>
        <w:overflowPunct w:val="0"/>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学习贯彻习近平新时代中国特色社会主义思想主题教育</w:t>
      </w:r>
      <w:r>
        <w:rPr>
          <w:rFonts w:ascii="Times New Roman" w:hAnsi="Times New Roman" w:eastAsia="方正仿宋_GBK"/>
          <w:sz w:val="32"/>
          <w:szCs w:val="32"/>
        </w:rPr>
        <w:t>，加强社会主义精神文明建设，推动形成适应新时代要求的思想观念、精神面貌、文明风尚、行为规范。</w:t>
      </w:r>
    </w:p>
    <w:p>
      <w:pPr>
        <w:overflowPunct w:val="0"/>
        <w:adjustRightInd w:val="0"/>
        <w:snapToGrid w:val="0"/>
        <w:spacing w:line="560" w:lineRule="exact"/>
        <w:jc w:val="center"/>
        <w:outlineLvl w:val="2"/>
        <w:rPr>
          <w:rFonts w:ascii="Times New Roman" w:hAnsi="Times New Roman" w:eastAsia="方正仿宋_GBK"/>
          <w:sz w:val="32"/>
          <w:szCs w:val="32"/>
        </w:rPr>
      </w:pPr>
      <w:bookmarkStart w:id="2142" w:name="_Toc59950088"/>
      <w:bookmarkStart w:id="2143" w:name="_Toc29701"/>
      <w:bookmarkStart w:id="2144" w:name="_Toc19642"/>
      <w:bookmarkStart w:id="2145" w:name="_Toc14589"/>
      <w:bookmarkStart w:id="2146" w:name="_Toc31359"/>
      <w:bookmarkStart w:id="2147" w:name="_Toc8698"/>
      <w:bookmarkStart w:id="2148" w:name="_Toc1303"/>
      <w:bookmarkStart w:id="2149" w:name="_Toc17855"/>
      <w:bookmarkStart w:id="2150" w:name="_Toc12908"/>
      <w:bookmarkStart w:id="2151" w:name="_Toc22295"/>
      <w:bookmarkStart w:id="2152" w:name="_Toc27840"/>
      <w:bookmarkStart w:id="2153" w:name="_Toc5668"/>
      <w:bookmarkStart w:id="2154" w:name="_Toc27518"/>
      <w:bookmarkStart w:id="2155" w:name="_Toc15149"/>
      <w:bookmarkStart w:id="2156" w:name="_Toc22744"/>
      <w:bookmarkStart w:id="2157" w:name="_Toc27219"/>
      <w:bookmarkStart w:id="2158" w:name="_Toc5593"/>
      <w:bookmarkStart w:id="2159" w:name="_Toc3448"/>
      <w:bookmarkStart w:id="2160" w:name="_Toc31838"/>
      <w:r>
        <w:rPr>
          <w:rFonts w:ascii="Times New Roman" w:hAnsi="Times New Roman" w:eastAsia="方正楷体_GBK"/>
          <w:b/>
          <w:sz w:val="32"/>
          <w:szCs w:val="32"/>
        </w:rPr>
        <w:t>第一节  践行社会主义核心价值观</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围绕中国共产党为什么“能”、马克思主义为什么“行”、中国特色社会主义为什么“好”等重大问题，加强理论学习、宣传普及、研究阐释。推进理想信念教育常态化制度化，加强党史、新中国史、改革开放史、社会主义发展史教育，加强爱国主义、集体主义、社会主义教育，弘扬党和人民在各个历史时期奋斗中形成的伟大精神。以习近平新时代中国特色社会主义思想为指导，在农村、社区、企业、学校、机关开展各具特色的社会主义核心价值观教育实践活动，用先进文化凝聚人心力量，改善基层文化风貌，形成良好社会风尚。深入学习宣传贯彻《重庆市文明行为促进条例》，推动社会主义核心价值观融入法治建设，坚持德法兼治。以“互联网+”创新文化供给方式，推动社会主义核心价值观宣传全覆盖。</w:t>
      </w:r>
    </w:p>
    <w:p>
      <w:pPr>
        <w:overflowPunct w:val="0"/>
        <w:adjustRightInd w:val="0"/>
        <w:snapToGrid w:val="0"/>
        <w:spacing w:line="560" w:lineRule="exact"/>
        <w:jc w:val="center"/>
        <w:outlineLvl w:val="2"/>
        <w:rPr>
          <w:rFonts w:ascii="Times New Roman" w:hAnsi="Times New Roman" w:eastAsia="方正仿宋_GBK"/>
          <w:bCs/>
          <w:sz w:val="32"/>
          <w:szCs w:val="32"/>
        </w:rPr>
      </w:pPr>
      <w:bookmarkStart w:id="2161" w:name="_Toc1810"/>
      <w:bookmarkStart w:id="2162" w:name="_Toc14068"/>
      <w:bookmarkStart w:id="2163" w:name="_Toc18410"/>
      <w:bookmarkStart w:id="2164" w:name="_Toc2257"/>
      <w:bookmarkStart w:id="2165" w:name="_Toc9474"/>
      <w:bookmarkStart w:id="2166" w:name="_Toc19610"/>
      <w:bookmarkStart w:id="2167" w:name="_Toc4726"/>
      <w:bookmarkStart w:id="2168" w:name="_Toc13000"/>
      <w:bookmarkStart w:id="2169" w:name="_Toc21582"/>
      <w:bookmarkStart w:id="2170" w:name="_Toc6849"/>
      <w:bookmarkStart w:id="2171" w:name="_Toc3957"/>
      <w:bookmarkStart w:id="2172" w:name="_Toc57697350"/>
      <w:bookmarkStart w:id="2173" w:name="_Toc9964"/>
      <w:bookmarkStart w:id="2174" w:name="_Toc31686"/>
      <w:bookmarkStart w:id="2175" w:name="_Toc32"/>
      <w:bookmarkStart w:id="2176" w:name="_Toc20"/>
      <w:bookmarkStart w:id="2177" w:name="_Toc25177"/>
      <w:bookmarkStart w:id="2178" w:name="_Toc6681"/>
      <w:bookmarkStart w:id="2179" w:name="_Toc10720"/>
      <w:r>
        <w:rPr>
          <w:rFonts w:ascii="Times New Roman" w:hAnsi="Times New Roman" w:eastAsia="方正楷体_GBK"/>
          <w:b/>
          <w:sz w:val="32"/>
          <w:szCs w:val="32"/>
        </w:rPr>
        <w:t>第二节  加强社会主义精神文明建设</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pPr>
        <w:overflowPunct w:val="0"/>
        <w:adjustRightInd w:val="0"/>
        <w:snapToGrid w:val="0"/>
        <w:spacing w:line="560" w:lineRule="exact"/>
        <w:ind w:firstLine="640" w:firstLineChars="200"/>
        <w:rPr>
          <w:rFonts w:ascii="Times New Roman" w:hAnsi="Times New Roman" w:eastAsia="方正黑体_GBK"/>
          <w:b/>
          <w:bCs/>
          <w:kern w:val="44"/>
          <w:sz w:val="32"/>
          <w:szCs w:val="32"/>
        </w:rPr>
      </w:pPr>
      <w:r>
        <w:rPr>
          <w:rFonts w:ascii="Times New Roman" w:hAnsi="Times New Roman" w:eastAsia="方正仿宋_GBK"/>
          <w:sz w:val="32"/>
          <w:szCs w:val="32"/>
        </w:rPr>
        <w:t>推动精神文明建设铸魂聚力，深入推进公民道德建设，加强社会公德、职业道德、家庭美德、个人品德建设，引导市民争做时代新人。大力选树和学习宣传道德模范、身边好人、新时代好少年、最美志愿者等先进典型，营造德者有得、好人好报的浓厚氛围。充分挖掘传统文化内涵，大力弘扬传统美德。加强未成年人思想道德建设，推进“德育工作规范化学校”创建。推进诚信建设制度化，塑造诚信城口形象。深入推进群众性精神文明创建活动，持续深化文明县城、文明村镇、文明单位、文明家庭、文明校园“五大创建”活动，着力满足全县群众对美好生活的向往。深化拓展新时代文明实践中心建设，建好用好新时代文明实践积分超市，建立全民参与新时代文明实践机制。广泛组织开展新时代文明实践志愿服务活动，推进学雷锋志愿服务常态化。持续深化移风易俗促进乡风文明行动，常态化开展移风易俗“十抵制十提倡”。深化扶志扶智行动，着力提升群众自我发展能力素质。组织开展文明社会风尚行动，推动“吃得文明”“住得文明”“行得文明”“游得文明”“购得文明”“乐得文明”及网络文明主题活动，大力弘扬时代新风。</w:t>
      </w:r>
      <w:bookmarkStart w:id="2180" w:name="_Toc59950092"/>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81" w:name="_Toc18998"/>
      <w:bookmarkStart w:id="2182" w:name="_Toc28916"/>
      <w:bookmarkStart w:id="2183" w:name="_Toc17541"/>
      <w:bookmarkStart w:id="2184" w:name="_Toc20332"/>
      <w:bookmarkStart w:id="2185" w:name="_Toc28820"/>
      <w:bookmarkStart w:id="2186" w:name="_Toc787"/>
      <w:bookmarkStart w:id="2187" w:name="_Toc17684"/>
      <w:bookmarkStart w:id="2188" w:name="_Toc21440"/>
      <w:bookmarkStart w:id="2189" w:name="_Toc17935"/>
      <w:bookmarkStart w:id="2190" w:name="_Toc17896"/>
      <w:bookmarkStart w:id="2191" w:name="_Toc2600"/>
      <w:bookmarkStart w:id="2192" w:name="_Toc24019"/>
      <w:bookmarkStart w:id="2193" w:name="_Toc28038"/>
      <w:bookmarkStart w:id="2194" w:name="_Toc13580"/>
      <w:bookmarkStart w:id="2195" w:name="_Toc16690"/>
      <w:bookmarkStart w:id="2196" w:name="_Toc28815"/>
      <w:bookmarkStart w:id="2197" w:name="_Toc31567"/>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198" w:name="_Toc25799"/>
      <w:r>
        <w:rPr>
          <w:rFonts w:ascii="Times New Roman" w:hAnsi="Times New Roman" w:eastAsia="方正黑体_GBK"/>
          <w:b/>
          <w:bCs/>
          <w:kern w:val="44"/>
          <w:sz w:val="32"/>
          <w:szCs w:val="32"/>
        </w:rPr>
        <w:t>第三十三章  提升公共文化服务水平</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坚持为人民服务、为社会主义服务的方向，全面繁荣文化艺术事业，健全公共文化服务体系，更好保障全县群众文化权益。</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199" w:name="_Toc59950093"/>
      <w:bookmarkStart w:id="2200" w:name="_Toc7420"/>
      <w:bookmarkStart w:id="2201" w:name="_Toc30087"/>
      <w:bookmarkStart w:id="2202" w:name="_Toc19334"/>
      <w:bookmarkStart w:id="2203" w:name="_Toc12097"/>
      <w:bookmarkStart w:id="2204" w:name="_Toc25029"/>
      <w:bookmarkStart w:id="2205" w:name="_Toc16983"/>
      <w:bookmarkStart w:id="2206" w:name="_Toc6536"/>
      <w:bookmarkStart w:id="2207" w:name="_Toc10116"/>
      <w:bookmarkStart w:id="2208" w:name="_Toc18178"/>
      <w:bookmarkStart w:id="2209" w:name="_Toc21412"/>
      <w:bookmarkStart w:id="2210" w:name="_Toc15577"/>
      <w:bookmarkStart w:id="2211" w:name="_Toc8501"/>
      <w:bookmarkStart w:id="2212" w:name="_Toc19034"/>
      <w:bookmarkStart w:id="2213" w:name="_Toc18197"/>
      <w:bookmarkStart w:id="2214" w:name="_Toc18082"/>
      <w:bookmarkStart w:id="2215" w:name="_Toc22135"/>
      <w:bookmarkStart w:id="2216" w:name="_Toc12605"/>
      <w:bookmarkStart w:id="2217" w:name="_Toc26184"/>
      <w:r>
        <w:rPr>
          <w:rFonts w:ascii="Times New Roman" w:hAnsi="Times New Roman" w:eastAsia="方正楷体_GBK"/>
          <w:b/>
          <w:sz w:val="32"/>
          <w:szCs w:val="32"/>
        </w:rPr>
        <w:t xml:space="preserve">第一节  </w:t>
      </w:r>
      <w:bookmarkEnd w:id="2199"/>
      <w:r>
        <w:rPr>
          <w:rFonts w:ascii="Times New Roman" w:hAnsi="Times New Roman" w:eastAsia="方正楷体_GBK"/>
          <w:b/>
          <w:sz w:val="32"/>
          <w:szCs w:val="32"/>
        </w:rPr>
        <w:t>推进文艺事业繁荣发展</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实施文艺作品质量提升行动，深挖巴渝文化、红色文化内涵，鼓励文化企业、文化名家发扬工匠精神，不断推出反映时代新气象、讴歌人民新创造的文艺精品。培育壮大文艺队伍，鼓励更多的文艺工作者加入国家级、市级文艺家协会。推动文化艺术与科技融合发展。加强文艺理论研究，促进文艺创作生产健康发展。积极发展新闻出版和档案事业。</w:t>
      </w:r>
      <w:bookmarkStart w:id="2218" w:name="_Toc5995009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鼓励本土文艺创作。</w:t>
      </w:r>
      <w:r>
        <w:rPr>
          <w:rFonts w:ascii="Times New Roman" w:hAnsi="Times New Roman" w:eastAsia="方正仿宋_GBK"/>
          <w:sz w:val="32"/>
          <w:szCs w:val="32"/>
        </w:rPr>
        <w:t>鼓励民间文化创作，支持各类文化微产业发展，提高精品创作生产水平，打造一批具有鲜明城口特色、彰显城口文化魅力的精品力作。大力发展网络视听、数字出版、数字教育、动漫游戏等新兴文化业态，丰富优秀网络文化产品供给。积极培育打造影视制作、网红打卡、生态健康产品发布基地。</w:t>
      </w:r>
    </w:p>
    <w:p>
      <w:pPr>
        <w:overflowPunct w:val="0"/>
        <w:adjustRightInd w:val="0"/>
        <w:snapToGrid w:val="0"/>
        <w:spacing w:line="560" w:lineRule="exact"/>
        <w:ind w:firstLine="643" w:firstLineChars="200"/>
        <w:jc w:val="center"/>
        <w:outlineLvl w:val="2"/>
        <w:rPr>
          <w:rFonts w:ascii="Times New Roman" w:hAnsi="Times New Roman" w:eastAsia="方正仿宋_GBK"/>
          <w:sz w:val="32"/>
          <w:szCs w:val="32"/>
        </w:rPr>
      </w:pPr>
      <w:bookmarkStart w:id="2219" w:name="_Toc4524"/>
      <w:bookmarkStart w:id="2220" w:name="_Toc26586"/>
      <w:bookmarkStart w:id="2221" w:name="_Toc5027"/>
      <w:bookmarkStart w:id="2222" w:name="_Toc3080"/>
      <w:bookmarkStart w:id="2223" w:name="_Toc28837"/>
      <w:bookmarkStart w:id="2224" w:name="_Toc6006"/>
      <w:bookmarkStart w:id="2225" w:name="_Toc7173"/>
      <w:bookmarkStart w:id="2226" w:name="_Toc18537"/>
      <w:bookmarkStart w:id="2227" w:name="_Toc19440"/>
      <w:bookmarkStart w:id="2228" w:name="_Toc10826"/>
      <w:bookmarkStart w:id="2229" w:name="_Toc23169"/>
      <w:bookmarkStart w:id="2230" w:name="_Toc32279"/>
      <w:bookmarkStart w:id="2231" w:name="_Toc30972"/>
      <w:bookmarkStart w:id="2232" w:name="_Toc13895"/>
      <w:bookmarkStart w:id="2233" w:name="_Toc29376"/>
      <w:bookmarkStart w:id="2234" w:name="_Toc5223"/>
      <w:bookmarkStart w:id="2235" w:name="_Toc8630"/>
      <w:bookmarkStart w:id="2236" w:name="_Toc13160"/>
      <w:r>
        <w:rPr>
          <w:rFonts w:ascii="Times New Roman" w:hAnsi="Times New Roman" w:eastAsia="方正楷体_GBK"/>
          <w:b/>
          <w:sz w:val="32"/>
          <w:szCs w:val="32"/>
        </w:rPr>
        <w:t>第二节  推进公共文化服务体系建设</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重大文化设施建设，规划建设大巴山文化艺术中心。依托大巴山森林人家集群片区、乡村集居点等，打造一批乡村文旅社区（村落）。优化城乡文化资源配置，推动基层文化设施达标建设、功能提升，提高公共文化设施覆盖率和使用率。实施文化惠民工程，完善城乡社会文化网络建设，广泛开展群众性文化活动。鼓励社会力量参与公共文化服务体系建设，推动公共文化服务社会化发展。发展公共数字文化，建设公共数字文化服务平台。推进媒体深度融合发展，实施全媒体传播工程，加快构建全媒体传播体系，建好用好融媒体中心，巩固壮大主流舆论阵地。发展“智慧广电+公共服务”，提升广播电视传播力和公共服务承载力。</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237" w:name="_Toc18484"/>
      <w:bookmarkStart w:id="2238" w:name="_Toc20245"/>
      <w:bookmarkStart w:id="2239" w:name="_Toc26458"/>
      <w:bookmarkStart w:id="2240" w:name="_Toc23883"/>
      <w:bookmarkStart w:id="2241" w:name="_Toc13384"/>
      <w:bookmarkStart w:id="2242" w:name="_Toc3512"/>
      <w:bookmarkStart w:id="2243" w:name="_Toc29237"/>
      <w:bookmarkStart w:id="2244" w:name="_Toc3508"/>
      <w:bookmarkStart w:id="2245" w:name="_Toc929"/>
      <w:bookmarkStart w:id="2246" w:name="_Toc26077"/>
      <w:bookmarkStart w:id="2247" w:name="_Toc32158"/>
      <w:bookmarkStart w:id="2248" w:name="_Toc16933"/>
      <w:bookmarkStart w:id="2249" w:name="_Toc19938"/>
      <w:bookmarkStart w:id="2250" w:name="_Toc18804"/>
      <w:bookmarkStart w:id="2251" w:name="_Toc4381"/>
      <w:bookmarkStart w:id="2252" w:name="_Toc10321"/>
      <w:bookmarkStart w:id="2253" w:name="_Toc27493"/>
      <w:bookmarkStart w:id="2254" w:name="_Toc12930"/>
      <w:r>
        <w:rPr>
          <w:rFonts w:ascii="Times New Roman" w:hAnsi="Times New Roman" w:eastAsia="方正楷体_GBK"/>
          <w:b/>
          <w:sz w:val="32"/>
          <w:szCs w:val="32"/>
        </w:rPr>
        <w:t>第三节  加强优秀传统文化传承弘扬</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加强文化遗产保护。</w:t>
      </w:r>
      <w:r>
        <w:rPr>
          <w:rFonts w:ascii="Times New Roman" w:hAnsi="Times New Roman" w:eastAsia="方正仿宋_GBK"/>
          <w:sz w:val="32"/>
          <w:szCs w:val="32"/>
        </w:rPr>
        <w:t>加强文物古籍保护、研究、利用，</w:t>
      </w:r>
      <w:r>
        <w:rPr>
          <w:rFonts w:ascii="Times New Roman" w:hAnsi="Times New Roman" w:eastAsia="方正仿宋_GBK"/>
          <w:bCs/>
          <w:sz w:val="32"/>
          <w:szCs w:val="32"/>
        </w:rPr>
        <w:t>健全县、镇（乡）、村三级文物保护网，实施文物保护重点工程，</w:t>
      </w:r>
      <w:r>
        <w:rPr>
          <w:rFonts w:ascii="Times New Roman" w:hAnsi="Times New Roman" w:eastAsia="方正仿宋_GBK"/>
          <w:sz w:val="32"/>
          <w:szCs w:val="32"/>
        </w:rPr>
        <w:t>推进文化遗产传承发展。加强古村落、特色空心村保护、修缮、利用，充分挖掘民俗文化、民间技艺、传统饮食，活化、传承非物质文化遗产，保护传承山歌、狮子舞、钱棍舞、彩船舞、锣鼓等特色民俗文化，培育独具特色的地域文化和人文精神。</w:t>
      </w: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传承弘扬传统文化。将文化作为城口高质量发展的灵魂，深入挖掘城口大巴山农耕文化、巴渝文化、红色文化等传统文化，整理革命先烈生平、故事、文物，用好文化资源，传承文化基因，弘扬中华优秀传统文化。</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弘扬生态文化。深入挖掘大巴山生态要素，解构重构生态文明要素，依托现代科技文明，提升生态文化时代内涵。弘扬现代生态文明理念，引导民众形成绿色消费和绿色生活意识，鼓励百姓选择绿色出行方式，构建全民生态自觉。</w:t>
      </w:r>
    </w:p>
    <w:p>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2255" w:name="_Toc19313"/>
      <w:bookmarkStart w:id="2256" w:name="_Toc12035"/>
      <w:bookmarkStart w:id="2257" w:name="_Toc25763"/>
      <w:bookmarkStart w:id="2258" w:name="_Toc30870"/>
      <w:bookmarkStart w:id="2259" w:name="_Toc14594"/>
      <w:bookmarkStart w:id="2260" w:name="_Toc5929"/>
      <w:bookmarkStart w:id="2261" w:name="_Toc9736"/>
      <w:bookmarkStart w:id="2262" w:name="_Toc11481"/>
      <w:bookmarkStart w:id="2263" w:name="_Toc18982"/>
      <w:bookmarkStart w:id="2264" w:name="_Toc3275"/>
      <w:bookmarkStart w:id="2265" w:name="_Toc22568"/>
      <w:bookmarkStart w:id="2266" w:name="_Toc31444"/>
      <w:bookmarkStart w:id="2267" w:name="_Toc17531"/>
      <w:bookmarkStart w:id="2268" w:name="_Toc12376"/>
      <w:bookmarkStart w:id="2269" w:name="_Toc3891"/>
      <w:bookmarkStart w:id="2270" w:name="_Toc18653"/>
      <w:bookmarkStart w:id="2271" w:name="_Toc18764"/>
      <w:bookmarkStart w:id="2272" w:name="_Toc1319"/>
      <w:r>
        <w:rPr>
          <w:rFonts w:ascii="Times New Roman" w:hAnsi="Times New Roman" w:eastAsia="方正楷体_GBK"/>
          <w:b/>
          <w:sz w:val="32"/>
          <w:szCs w:val="32"/>
        </w:rPr>
        <w:t>第四节  建设长征国家文化公园</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围绕国家建设“长征国家文化公园”“川陕苏区红色文化公园”契机，重点做好红色文化旧址保护、红色文化场馆建设、红色文化旅游教育，加快推进</w:t>
      </w:r>
      <w:r>
        <w:rPr>
          <w:rFonts w:hint="eastAsia" w:ascii="Times New Roman" w:hAnsi="Times New Roman" w:eastAsia="方正仿宋_GBK"/>
          <w:sz w:val="32"/>
          <w:szCs w:val="32"/>
          <w:lang w:eastAsia="zh-CN"/>
        </w:rPr>
        <w:t>长征国家文化公园</w:t>
      </w:r>
      <w:r>
        <w:rPr>
          <w:rFonts w:ascii="Times New Roman" w:hAnsi="Times New Roman" w:eastAsia="方正仿宋_GBK"/>
          <w:sz w:val="32"/>
          <w:szCs w:val="32"/>
        </w:rPr>
        <w:t>（重庆段·城口）建设。</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红色文物旧址保护。实施古佛洞红军生活旧址、红三十三军297团医务所、政治处、295团医务所、团部旧址、徐植林大院等重要长征文物旧址本体修缮工程，加快红花寺红军战斗遗址、小河口红军战斗遗址、五里村碉堡梁和卢家梁红军战斗遗址等战斗遗址的考古调查、清理、现状测绘及局部加固。</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推进红色文化馆所建设。提档升级川陕苏区城口纪念馆、川陕苏区城口县苏维埃政权纪念公园，加快川陕红军干部学院、红色文化小镇建设。</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富红色文化旅游体验。重点推出八台双河（九重花岭、农会遗址）—沿河（297团）—坪坝大梁—庙坝（指挥部旧址、老鹰洞）—高燕红军村—川陕苏区城口纪念馆—川陕红军干部学院的精品红色文旅环线。以歌舞剧、实景演艺、影视剧等形式，推出在全市范围内具有影响力的1—2个红色文化主题活动。引入文创研发设计团队，与县内食品、工艺品加工等龙头企业合作，打造“红色行军粮”主题食品、红色工艺品、红色日用品等红军文创商品体系。</w:t>
      </w:r>
    </w:p>
    <w:bookmarkEnd w:id="2218"/>
    <w:p>
      <w:pPr>
        <w:overflowPunct w:val="0"/>
        <w:spacing w:line="480" w:lineRule="exact"/>
        <w:jc w:val="center"/>
        <w:rPr>
          <w:rFonts w:ascii="Times New Roman" w:hAnsi="Times New Roman" w:eastAsia="方正黑体_GBK"/>
          <w:sz w:val="28"/>
          <w:szCs w:val="28"/>
        </w:rPr>
      </w:pPr>
      <w:bookmarkStart w:id="2273" w:name="_Toc59950096"/>
      <w:r>
        <w:rPr>
          <w:rFonts w:ascii="Times New Roman" w:hAnsi="Times New Roman" w:eastAsia="方正黑体_GBK"/>
          <w:sz w:val="28"/>
          <w:szCs w:val="28"/>
        </w:rPr>
        <w:t>专栏18  公共文化服务重点项目</w:t>
      </w:r>
    </w:p>
    <w:tbl>
      <w:tblPr>
        <w:tblStyle w:val="2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26" w:type="dxa"/>
            <w:tcBorders>
              <w:top w:val="single" w:color="auto" w:sz="4" w:space="0"/>
              <w:left w:val="single" w:color="auto" w:sz="4" w:space="0"/>
              <w:bottom w:val="single" w:color="auto" w:sz="4" w:space="0"/>
              <w:right w:val="single" w:color="auto" w:sz="4" w:space="0"/>
            </w:tcBorders>
          </w:tcPr>
          <w:p>
            <w:pPr>
              <w:overflowPunct w:val="0"/>
              <w:spacing w:line="36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公共文化服务建设工程。</w:t>
            </w:r>
            <w:r>
              <w:rPr>
                <w:rFonts w:ascii="Times New Roman" w:hAnsi="Times New Roman" w:eastAsia="方正仿宋_GBK"/>
                <w:bCs/>
                <w:sz w:val="24"/>
                <w:szCs w:val="32"/>
              </w:rPr>
              <w:t>规划建设集城市规划馆、文化馆、图书馆、大巴山博物馆、妇女儿童及青少年活动中心等于一体的综合性大巴山文化艺术中心。</w:t>
            </w:r>
          </w:p>
          <w:p>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青年创客驿站及创客工坊。</w:t>
            </w:r>
            <w:r>
              <w:rPr>
                <w:rFonts w:ascii="Times New Roman" w:hAnsi="Times New Roman" w:eastAsia="方正仿宋_GBK"/>
                <w:sz w:val="24"/>
                <w:szCs w:val="32"/>
              </w:rPr>
              <w:t>建设集青年创业培训室、创业咨询室、创客服务大厅、创客文化活动室等功能于一体的青年创客驿站及创客工坊。</w:t>
            </w:r>
          </w:p>
          <w:p>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文物保护重点工程。</w:t>
            </w:r>
            <w:r>
              <w:rPr>
                <w:rFonts w:ascii="Times New Roman" w:hAnsi="Times New Roman" w:eastAsia="方正仿宋_GBK"/>
                <w:sz w:val="24"/>
                <w:szCs w:val="32"/>
              </w:rPr>
              <w:t>提高“红三十三军指挥部旧址”等重点文物单位的保护水平，加强双河城万红军指挥所旧址、沿河红三十三军297团医务所旧址和政治处旧址、295团医务所旧址、徐植林大院等历史文化遗址的维护和利用。</w:t>
            </w:r>
          </w:p>
          <w:p>
            <w:pPr>
              <w:overflowPunct w:val="0"/>
              <w:spacing w:line="36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重大文化设施建设。</w:t>
            </w:r>
            <w:r>
              <w:rPr>
                <w:rFonts w:ascii="Times New Roman" w:hAnsi="Times New Roman" w:eastAsia="方正仿宋_GBK"/>
                <w:sz w:val="24"/>
                <w:szCs w:val="32"/>
              </w:rPr>
              <w:t>完善川陕苏区城口纪念馆功能，提档升级红军文化纪念公园，新建川陕红军干部学院、红军小镇等。</w:t>
            </w:r>
          </w:p>
          <w:p>
            <w:pPr>
              <w:overflowPunct w:val="0"/>
              <w:spacing w:line="360" w:lineRule="exact"/>
              <w:ind w:firstLine="482" w:firstLineChars="200"/>
              <w:rPr>
                <w:rFonts w:ascii="Times New Roman" w:hAnsi="Times New Roman"/>
              </w:rPr>
            </w:pPr>
            <w:r>
              <w:rPr>
                <w:rFonts w:ascii="Times New Roman" w:hAnsi="Times New Roman" w:eastAsia="方正仿宋_GBK"/>
                <w:b/>
                <w:bCs/>
                <w:sz w:val="24"/>
                <w:szCs w:val="32"/>
              </w:rPr>
              <w:t>乡村文旅社区（村落）。</w:t>
            </w:r>
            <w:r>
              <w:rPr>
                <w:rFonts w:ascii="Times New Roman" w:hAnsi="Times New Roman" w:eastAsia="方正仿宋_GBK"/>
                <w:bCs/>
                <w:sz w:val="24"/>
                <w:szCs w:val="32"/>
              </w:rPr>
              <w:t>打造</w:t>
            </w:r>
            <w:r>
              <w:rPr>
                <w:rFonts w:ascii="Times New Roman" w:hAnsi="Times New Roman" w:eastAsia="方正仿宋_GBK"/>
                <w:sz w:val="24"/>
                <w:szCs w:val="32"/>
              </w:rPr>
              <w:t>高燕镇红军村、巴山镇坪上村、修齐镇花坪村、修齐镇东和村、明通镇龙泉村、咸宜镇明月村、东安镇兴田村、北屏乡太平社区、高楠镇方斗村、复兴街道友谊社区、双河乡天星村、沿河乡迎红村、厚坪乡龙盘村、治平乡新胜村、岚天乡岚溪村、周溪乡鹿坪村、河鱼乡平溪村、庙坝镇香溪村、明中乡云燕村、龙田乡联丰村等乡村文旅社区（村落）。</w:t>
            </w:r>
          </w:p>
        </w:tc>
      </w:tr>
    </w:tbl>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274" w:name="_Toc14895"/>
      <w:bookmarkStart w:id="2275" w:name="_Toc9579"/>
      <w:bookmarkStart w:id="2276" w:name="_Toc30348"/>
      <w:bookmarkStart w:id="2277" w:name="_Toc31214"/>
      <w:bookmarkStart w:id="2278" w:name="_Toc27457"/>
      <w:bookmarkStart w:id="2279" w:name="_Toc25690"/>
      <w:bookmarkStart w:id="2280" w:name="_Toc31156"/>
      <w:bookmarkStart w:id="2281" w:name="_Toc12225"/>
      <w:bookmarkStart w:id="2282" w:name="_Toc11383"/>
      <w:bookmarkStart w:id="2283" w:name="_Toc5852"/>
      <w:bookmarkStart w:id="2284" w:name="_Toc12864"/>
      <w:bookmarkStart w:id="2285" w:name="_Toc31145"/>
      <w:bookmarkStart w:id="2286" w:name="_Toc7137"/>
      <w:bookmarkStart w:id="2287" w:name="_Toc29314"/>
      <w:bookmarkStart w:id="2288" w:name="_Toc56"/>
      <w:bookmarkStart w:id="2289" w:name="_Toc9958"/>
      <w:bookmarkStart w:id="2290" w:name="_Toc12096"/>
      <w:bookmarkStart w:id="2291" w:name="_Toc30493"/>
      <w:r>
        <w:rPr>
          <w:rFonts w:ascii="Times New Roman" w:hAnsi="Times New Roman" w:eastAsia="方正黑体_GBK"/>
          <w:b/>
          <w:bCs/>
          <w:kern w:val="44"/>
          <w:sz w:val="32"/>
          <w:szCs w:val="32"/>
        </w:rPr>
        <w:t>第三十四章  健全文化产业体系</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坚持把社会效益放在首位、社会效益和经济效益相统一，深化文化体制改革，完善文化产业规划和政策，加强文化市场体系建设，扩大优质文化产品供给。</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292" w:name="_Toc30820"/>
      <w:bookmarkStart w:id="2293" w:name="_Toc2673"/>
      <w:bookmarkStart w:id="2294" w:name="_Toc23763"/>
      <w:bookmarkStart w:id="2295" w:name="_Toc21417"/>
      <w:bookmarkStart w:id="2296" w:name="_Toc9318"/>
      <w:bookmarkStart w:id="2297" w:name="_Toc4687"/>
      <w:bookmarkStart w:id="2298" w:name="_Toc17698"/>
      <w:bookmarkStart w:id="2299" w:name="_Toc1644"/>
      <w:bookmarkStart w:id="2300" w:name="_Toc13757"/>
      <w:bookmarkStart w:id="2301" w:name="_Toc5458"/>
      <w:bookmarkStart w:id="2302" w:name="_Toc21563"/>
      <w:bookmarkStart w:id="2303" w:name="_Toc25332"/>
      <w:bookmarkStart w:id="2304" w:name="_Toc9800"/>
      <w:bookmarkStart w:id="2305" w:name="_Toc12777"/>
      <w:bookmarkStart w:id="2306" w:name="_Toc27681"/>
      <w:bookmarkStart w:id="2307" w:name="_Toc21677"/>
      <w:bookmarkStart w:id="2308" w:name="_Toc5133"/>
      <w:bookmarkStart w:id="2309" w:name="_Toc21915"/>
      <w:r>
        <w:rPr>
          <w:rFonts w:ascii="Times New Roman" w:hAnsi="Times New Roman" w:eastAsia="方正楷体_GBK"/>
          <w:b/>
          <w:sz w:val="32"/>
          <w:szCs w:val="32"/>
        </w:rPr>
        <w:t>第一节  推动文化产业创新发展</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文化与科技深度融合。注重乡村文化传承与创新相结合、保护与利用相结合，创新乡土文化资源利用方式，守住农耕文明根脉，促进传统文化在新时代展现新风采。创新发展文创产业，持续提升文创能力，多样性展现好文创产品。顺应数字化发展趋势，落实文化产业数字化战略，加快发展数字文化新型业态。</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310" w:name="_Toc8624"/>
      <w:bookmarkStart w:id="2311" w:name="_Toc21254"/>
      <w:bookmarkStart w:id="2312" w:name="_Toc1188"/>
      <w:bookmarkStart w:id="2313" w:name="_Toc2416"/>
      <w:bookmarkStart w:id="2314" w:name="_Toc31521"/>
      <w:bookmarkStart w:id="2315" w:name="_Toc8619"/>
      <w:bookmarkStart w:id="2316" w:name="_Toc18501"/>
      <w:bookmarkStart w:id="2317" w:name="_Toc14156"/>
      <w:bookmarkStart w:id="2318" w:name="_Toc21304"/>
      <w:bookmarkStart w:id="2319" w:name="_Toc20596"/>
      <w:bookmarkStart w:id="2320" w:name="_Toc32624"/>
      <w:bookmarkStart w:id="2321" w:name="_Toc19287"/>
      <w:bookmarkStart w:id="2322" w:name="_Toc19573"/>
      <w:bookmarkStart w:id="2323" w:name="_Toc17181"/>
      <w:bookmarkStart w:id="2324" w:name="_Toc7081"/>
      <w:bookmarkStart w:id="2325" w:name="_Toc31211"/>
      <w:bookmarkStart w:id="2326" w:name="_Toc2689"/>
      <w:bookmarkStart w:id="2327" w:name="_Toc8787"/>
      <w:r>
        <w:rPr>
          <w:rFonts w:ascii="Times New Roman" w:hAnsi="Times New Roman" w:eastAsia="方正楷体_GBK"/>
          <w:b/>
          <w:sz w:val="32"/>
          <w:szCs w:val="32"/>
        </w:rPr>
        <w:t>第二节  推动文化产业集聚协同发展</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pPr>
        <w:overflowPunct w:val="0"/>
        <w:adjustRightInd w:val="0"/>
        <w:snapToGrid w:val="0"/>
        <w:spacing w:line="560" w:lineRule="exact"/>
        <w:ind w:firstLine="640" w:firstLineChars="200"/>
        <w:rPr>
          <w:rFonts w:ascii="Times New Roman" w:hAnsi="Times New Roman"/>
        </w:rPr>
      </w:pPr>
      <w:r>
        <w:rPr>
          <w:rFonts w:ascii="Times New Roman" w:hAnsi="Times New Roman" w:eastAsia="方正仿宋_GBK"/>
          <w:sz w:val="32"/>
          <w:szCs w:val="32"/>
        </w:rPr>
        <w:t>引导文化要素资源专业聚集发展，建设一批以内容生产、创意设计、文娱消费为主营业态的文化产业园区。实施文旅产业提升工程，依托山水人文资源，加快文旅产业聚集。建设科研科考、考古探险、影视拍摄基地，创新文化消费模式，培育文化消费市场。</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328" w:name="_Toc14756"/>
      <w:bookmarkStart w:id="2329" w:name="_Toc666"/>
      <w:bookmarkStart w:id="2330" w:name="_Toc24305"/>
      <w:bookmarkStart w:id="2331" w:name="_Toc13262"/>
      <w:bookmarkStart w:id="2332" w:name="_Toc7160"/>
      <w:bookmarkStart w:id="2333" w:name="_Toc2747"/>
      <w:bookmarkStart w:id="2334" w:name="_Toc20188"/>
      <w:bookmarkStart w:id="2335" w:name="_Toc3781"/>
      <w:bookmarkStart w:id="2336" w:name="_Toc30371"/>
      <w:bookmarkStart w:id="2337" w:name="_Toc27094"/>
      <w:bookmarkStart w:id="2338" w:name="_Toc24439"/>
      <w:bookmarkStart w:id="2339" w:name="_Toc14229"/>
      <w:bookmarkStart w:id="2340" w:name="_Toc4009"/>
      <w:bookmarkStart w:id="2341" w:name="_Toc32368"/>
      <w:bookmarkStart w:id="2342" w:name="_Toc18947"/>
      <w:bookmarkStart w:id="2343" w:name="_Toc27238"/>
      <w:bookmarkStart w:id="2344" w:name="_Toc15319"/>
      <w:bookmarkStart w:id="2345" w:name="_Toc16122"/>
      <w:r>
        <w:rPr>
          <w:rFonts w:ascii="Times New Roman" w:hAnsi="Times New Roman" w:eastAsia="方正楷体_GBK"/>
          <w:b/>
          <w:sz w:val="32"/>
          <w:szCs w:val="32"/>
        </w:rPr>
        <w:t>第三节  大力打造文化品牌</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谋划举办大型文化节会。</w:t>
      </w:r>
      <w:r>
        <w:rPr>
          <w:rFonts w:ascii="Times New Roman" w:hAnsi="Times New Roman" w:eastAsia="方正仿宋_GBK"/>
          <w:sz w:val="32"/>
          <w:szCs w:val="32"/>
        </w:rPr>
        <w:t>构建文化品牌培育体系。打造一批代表城口文化形象、体现一流艺术水准、深受人民群众喜爱的大型文化节会，擦亮“消夏养生节”“彩叶文化旅游节”两大招牌旅游文化活动，提升“巴山开门”赏春和“老家耍雪”炼冬文化活动影响力，配套开展大巴山民俗风情展演、非遗技艺比赛、土特产品博览、金牌美食展评等系列特色文化活动，推动文化与旅游深度融合发展，以文化提升旅游，以旅游传播文化。</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实施文化赋能行动计划。</w:t>
      </w:r>
      <w:r>
        <w:rPr>
          <w:rFonts w:ascii="Times New Roman" w:hAnsi="Times New Roman" w:eastAsia="方正仿宋_GBK"/>
          <w:sz w:val="32"/>
          <w:szCs w:val="32"/>
        </w:rPr>
        <w:t>坚持以文润城、以城营文，以文铸乡、以乡活文，以文塑旅、以旅彰文，全方位赋能空间格局、产业结构、生产方式、生活方式建设，打造城口文化名片，提升民众文化自信。建设一批文化教育基地，满足人民群众对高质量文化的需求。</w:t>
      </w:r>
    </w:p>
    <w:p>
      <w:pPr>
        <w:pStyle w:val="25"/>
        <w:overflowPunct w:val="0"/>
        <w:adjustRightInd w:val="0"/>
        <w:snapToGrid w:val="0"/>
        <w:spacing w:line="560" w:lineRule="exact"/>
        <w:ind w:firstLine="210"/>
        <w:rPr>
          <w:rFonts w:ascii="Times New Roman" w:hAnsi="Times New Roman"/>
        </w:rPr>
      </w:pP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346" w:name="_Toc32517"/>
      <w:bookmarkStart w:id="2347" w:name="_Toc26792"/>
      <w:bookmarkStart w:id="2348" w:name="_Toc11587"/>
      <w:bookmarkStart w:id="2349" w:name="_Toc21021"/>
      <w:bookmarkStart w:id="2350" w:name="_Toc11253"/>
      <w:bookmarkStart w:id="2351" w:name="_Toc59950100"/>
      <w:bookmarkStart w:id="2352" w:name="_Toc31638"/>
      <w:bookmarkStart w:id="2353" w:name="_Toc1168"/>
      <w:bookmarkStart w:id="2354" w:name="_Toc23003"/>
      <w:bookmarkStart w:id="2355" w:name="_Toc24524"/>
      <w:bookmarkStart w:id="2356" w:name="_Toc25059"/>
      <w:bookmarkStart w:id="2357" w:name="_Toc1469"/>
      <w:bookmarkStart w:id="2358" w:name="_Toc6435"/>
      <w:bookmarkStart w:id="2359" w:name="_Toc64"/>
      <w:bookmarkStart w:id="2360" w:name="_Toc25310"/>
      <w:bookmarkStart w:id="2361" w:name="_Toc19719"/>
      <w:bookmarkStart w:id="2362" w:name="_Toc31269"/>
      <w:bookmarkStart w:id="2363" w:name="_Toc18886"/>
      <w:bookmarkStart w:id="2364" w:name="_Toc4351"/>
      <w:bookmarkStart w:id="2365" w:name="_Toc17650"/>
      <w:r>
        <w:rPr>
          <w:rFonts w:ascii="Times New Roman" w:hAnsi="Times New Roman" w:eastAsia="方正小标宋_GBK"/>
          <w:b/>
          <w:bCs/>
          <w:kern w:val="44"/>
          <w:sz w:val="36"/>
          <w:szCs w:val="36"/>
        </w:rPr>
        <w:t>第十篇  努力创造高品质生活，提高社会建设水平</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366" w:name="_Toc59950101"/>
      <w:r>
        <w:rPr>
          <w:rFonts w:ascii="Times New Roman" w:hAnsi="Times New Roman" w:eastAsia="方正仿宋_GBK"/>
          <w:sz w:val="32"/>
          <w:szCs w:val="32"/>
        </w:rPr>
        <w:t>坚持把实现好、维护好、发展好最广大人民利益作为发展的出发点和落脚点，提升公共服务质量和水平，完善共建共治共享的社会治理制度，扎实推进共同富裕，不断增强人民群众获得感、幸福感、安全感，促进人的全面发展和社会进步。</w:t>
      </w:r>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367" w:name="_Toc31409"/>
      <w:bookmarkStart w:id="2368" w:name="_Toc12041"/>
      <w:bookmarkStart w:id="2369" w:name="_Toc1546"/>
      <w:bookmarkStart w:id="2370" w:name="_Toc9491"/>
      <w:bookmarkStart w:id="2371" w:name="_Toc12429"/>
      <w:bookmarkStart w:id="2372" w:name="_Toc32712"/>
      <w:bookmarkStart w:id="2373" w:name="_Toc9394"/>
      <w:bookmarkStart w:id="2374" w:name="_Toc29732"/>
      <w:bookmarkStart w:id="2375" w:name="_Toc27508"/>
      <w:bookmarkStart w:id="2376" w:name="_Toc12601"/>
      <w:bookmarkStart w:id="2377" w:name="_Toc16053"/>
      <w:bookmarkStart w:id="2378" w:name="_Toc16141"/>
      <w:bookmarkStart w:id="2379" w:name="_Toc28496"/>
      <w:bookmarkStart w:id="2380" w:name="_Toc6397"/>
      <w:bookmarkStart w:id="2381" w:name="_Toc26684"/>
      <w:bookmarkStart w:id="2382" w:name="_Toc18027"/>
      <w:bookmarkStart w:id="2383" w:name="_Toc15882"/>
      <w:bookmarkStart w:id="2384" w:name="_Toc5432"/>
      <w:r>
        <w:rPr>
          <w:rFonts w:ascii="Times New Roman" w:hAnsi="Times New Roman" w:eastAsia="方正黑体_GBK"/>
          <w:b/>
          <w:bCs/>
          <w:kern w:val="44"/>
          <w:sz w:val="32"/>
          <w:szCs w:val="32"/>
        </w:rPr>
        <w:t>第三十五章  提高人民收入水平</w:t>
      </w:r>
      <w:bookmarkEnd w:id="2367"/>
      <w:bookmarkEnd w:id="2368"/>
      <w:bookmarkEnd w:id="2369"/>
      <w:bookmarkEnd w:id="2370"/>
      <w:bookmarkEnd w:id="2371"/>
      <w:bookmarkEnd w:id="2372"/>
      <w:bookmarkEnd w:id="2373"/>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坚持以人民为中心的发展思想，完善共建共治共享的社会治理制度，扎实推动共同富裕，不断增强人民群众获得感、幸福感、安全感。</w:t>
      </w:r>
      <w:r>
        <w:rPr>
          <w:rFonts w:ascii="Times New Roman" w:hAnsi="Times New Roman" w:eastAsia="方正仿宋_GBK"/>
          <w:bCs/>
          <w:sz w:val="32"/>
          <w:szCs w:val="32"/>
        </w:rPr>
        <w:t>坚持按劳分配的原则，完善工资制度，健全工资合理增长机制，努力扩大中等收入群体数量。</w:t>
      </w:r>
      <w:r>
        <w:rPr>
          <w:rFonts w:ascii="Times New Roman" w:hAnsi="Times New Roman" w:eastAsia="方正仿宋_GBK"/>
          <w:sz w:val="32"/>
          <w:szCs w:val="32"/>
        </w:rPr>
        <w:t>鼓励勤劳守法致富，保护居民合法收入，增加低收入者收入，缩小城乡、行业收入差距。</w:t>
      </w:r>
    </w:p>
    <w:p>
      <w:pPr>
        <w:overflowPunct w:val="0"/>
        <w:adjustRightInd w:val="0"/>
        <w:snapToGrid w:val="0"/>
        <w:spacing w:line="560" w:lineRule="exact"/>
        <w:jc w:val="center"/>
        <w:outlineLvl w:val="1"/>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385" w:name="_Toc15107"/>
      <w:bookmarkStart w:id="2386" w:name="_Toc32147"/>
      <w:bookmarkStart w:id="2387" w:name="_Toc28657"/>
      <w:bookmarkStart w:id="2388" w:name="_Toc3896"/>
      <w:bookmarkStart w:id="2389" w:name="_Toc2781"/>
      <w:bookmarkStart w:id="2390" w:name="_Toc30546"/>
      <w:bookmarkStart w:id="2391" w:name="_Toc14351"/>
      <w:r>
        <w:rPr>
          <w:rFonts w:ascii="Times New Roman" w:hAnsi="Times New Roman" w:eastAsia="方正黑体_GBK"/>
          <w:b/>
          <w:bCs/>
          <w:kern w:val="44"/>
          <w:sz w:val="32"/>
          <w:szCs w:val="32"/>
        </w:rPr>
        <w:t>第三十六章  促进更加充分更高质量就业</w:t>
      </w:r>
      <w:bookmarkEnd w:id="2385"/>
      <w:bookmarkEnd w:id="2386"/>
      <w:bookmarkEnd w:id="2387"/>
      <w:bookmarkEnd w:id="2388"/>
      <w:bookmarkEnd w:id="2389"/>
      <w:bookmarkEnd w:id="2390"/>
      <w:bookmarkEnd w:id="239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千方百计稳定和扩大就业，坚持经济发展与就业增长良性互动，扩大就业容量，提升就业质量，促进充分就业，保障劳动者待遇和权益。</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392" w:name="_Toc30800"/>
      <w:bookmarkStart w:id="2393" w:name="_Toc28310"/>
      <w:bookmarkStart w:id="2394" w:name="_Toc25538"/>
      <w:bookmarkStart w:id="2395" w:name="_Toc23504"/>
      <w:bookmarkStart w:id="2396" w:name="_Toc10523"/>
      <w:bookmarkStart w:id="2397" w:name="_Toc17240"/>
      <w:bookmarkStart w:id="2398" w:name="_Toc31734"/>
      <w:r>
        <w:rPr>
          <w:rFonts w:ascii="Times New Roman" w:hAnsi="Times New Roman" w:eastAsia="方正楷体_GBK"/>
          <w:b/>
          <w:sz w:val="32"/>
          <w:szCs w:val="32"/>
        </w:rPr>
        <w:t>第一节  健全就业创业服务体系</w:t>
      </w:r>
      <w:bookmarkEnd w:id="2392"/>
      <w:bookmarkEnd w:id="2393"/>
      <w:bookmarkEnd w:id="2394"/>
      <w:bookmarkEnd w:id="2395"/>
      <w:bookmarkEnd w:id="2396"/>
      <w:bookmarkEnd w:id="2397"/>
      <w:bookmarkEnd w:id="239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快推进公共就业创业服务标准化、专业化建设。健全覆盖城乡、服务均等的公共服务就业体系。完善农民工就业体系，提高创新就业服务能力，构建“互联网+就业创业服务”全流程线上服务生态。推行终身职业技能培训制度，培养“技能+职能”双能人才。</w:t>
      </w:r>
      <w:r>
        <w:rPr>
          <w:rFonts w:ascii="Times New Roman" w:hAnsi="Times New Roman" w:eastAsia="方正仿宋_GBK"/>
          <w:bCs/>
          <w:sz w:val="32"/>
          <w:szCs w:val="32"/>
        </w:rPr>
        <w:t>积极培育人力资源服务机构和劳务经纪人，健全三级服务体系，大力推动劳务经济发展。</w:t>
      </w:r>
      <w:r>
        <w:rPr>
          <w:rFonts w:ascii="Times New Roman" w:hAnsi="Times New Roman" w:eastAsia="方正仿宋_GBK"/>
          <w:sz w:val="32"/>
          <w:szCs w:val="32"/>
        </w:rPr>
        <w:t>建立健全就业失业统计监测预警体系，加强规模性失业预警。落实和谐劳动关系的体制机制，提升劳动关系基层治理能力。建立健全失业保险制度，形成促进就业、防范失业的长效机制。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399" w:name="_Toc2660"/>
      <w:bookmarkStart w:id="2400" w:name="_Toc16911"/>
      <w:bookmarkStart w:id="2401" w:name="_Toc30746"/>
      <w:bookmarkStart w:id="2402" w:name="_Toc15932"/>
      <w:bookmarkStart w:id="2403" w:name="_Toc1304"/>
      <w:bookmarkStart w:id="2404" w:name="_Toc3732"/>
      <w:bookmarkStart w:id="2405" w:name="_Toc23468"/>
      <w:r>
        <w:rPr>
          <w:rFonts w:ascii="Times New Roman" w:hAnsi="Times New Roman" w:eastAsia="方正楷体_GBK"/>
          <w:b/>
          <w:sz w:val="32"/>
          <w:szCs w:val="32"/>
        </w:rPr>
        <w:t>第二节  促进重点群体就业</w:t>
      </w:r>
      <w:bookmarkEnd w:id="2399"/>
      <w:bookmarkEnd w:id="2400"/>
      <w:bookmarkEnd w:id="2401"/>
      <w:bookmarkEnd w:id="2402"/>
      <w:bookmarkEnd w:id="2403"/>
      <w:bookmarkEnd w:id="2404"/>
      <w:bookmarkEnd w:id="2405"/>
    </w:p>
    <w:p>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大力开发就业岗位，注重提高产业发展、重大项目、重点民生工程等就业吸纳能力。充分发挥平台经济、共享经济等新经济的促进作用，鼓励新职业、新就业形态发展，支持多渠道灵活就业。落实百万青年就业促进计划、高校毕业生就业创业促进计划和基层成长计划。强化农民工职业技能培训和就业引导，提高农民工劳务输出组织化程度。落实“渝创渝新”创业促进计划，扶持创业项目发展，促进创业带动就业。加强困难人员就业援助，规范公益性岗位开发管理，对长期失业人员实施“一对一”帮扶，积极拓展退役军人、残疾人等重点群体就业渠道，确保城镇零就业家庭动态清零。</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highlight w:val="yellow"/>
        </w:rPr>
      </w:pPr>
      <w:bookmarkStart w:id="2406" w:name="_Toc18775"/>
      <w:bookmarkStart w:id="2407" w:name="_Toc30542"/>
      <w:bookmarkStart w:id="2408" w:name="_Toc15678"/>
      <w:bookmarkStart w:id="2409" w:name="_Toc3510"/>
      <w:bookmarkStart w:id="2410" w:name="_Toc11147"/>
      <w:bookmarkStart w:id="2411" w:name="_Toc28152"/>
      <w:bookmarkStart w:id="2412" w:name="_Toc12500"/>
      <w:r>
        <w:rPr>
          <w:rFonts w:ascii="Times New Roman" w:hAnsi="Times New Roman" w:eastAsia="方正黑体_GBK"/>
          <w:b/>
          <w:bCs/>
          <w:kern w:val="44"/>
          <w:sz w:val="32"/>
          <w:szCs w:val="32"/>
        </w:rPr>
        <w:t>第三十七章  优先发展教育事业</w:t>
      </w:r>
      <w:bookmarkEnd w:id="2366"/>
      <w:bookmarkEnd w:id="2374"/>
      <w:bookmarkEnd w:id="2375"/>
      <w:bookmarkEnd w:id="2376"/>
      <w:bookmarkEnd w:id="2377"/>
      <w:bookmarkEnd w:id="2378"/>
      <w:bookmarkEnd w:id="2379"/>
      <w:bookmarkEnd w:id="2380"/>
      <w:bookmarkEnd w:id="2381"/>
      <w:bookmarkEnd w:id="2382"/>
      <w:bookmarkEnd w:id="2383"/>
      <w:bookmarkEnd w:id="2384"/>
      <w:bookmarkEnd w:id="2406"/>
      <w:bookmarkEnd w:id="2407"/>
      <w:bookmarkEnd w:id="2408"/>
      <w:bookmarkEnd w:id="2409"/>
      <w:bookmarkEnd w:id="2410"/>
      <w:bookmarkEnd w:id="2411"/>
      <w:bookmarkEnd w:id="2412"/>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413" w:name="_Toc59950102"/>
      <w:r>
        <w:rPr>
          <w:rFonts w:ascii="Times New Roman" w:hAnsi="Times New Roman" w:eastAsia="方正仿宋_GBK"/>
          <w:sz w:val="32"/>
          <w:szCs w:val="32"/>
        </w:rPr>
        <w:t>树牢“红色城口·多彩教育”发展理念，聚焦建设教育强县奋斗目标，加快教育改革，促进教育公平，加快教育现代化，提升教育水平，努力办好人民满意教育。</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414" w:name="_Toc23167"/>
      <w:bookmarkStart w:id="2415" w:name="_Toc31234"/>
      <w:bookmarkStart w:id="2416" w:name="_Toc29641"/>
      <w:bookmarkStart w:id="2417" w:name="_Toc7140"/>
      <w:bookmarkStart w:id="2418" w:name="_Toc28439"/>
      <w:bookmarkStart w:id="2419" w:name="_Toc18943"/>
      <w:bookmarkStart w:id="2420" w:name="_Toc12586"/>
      <w:bookmarkStart w:id="2421" w:name="_Toc19127"/>
      <w:bookmarkStart w:id="2422" w:name="_Toc22861"/>
      <w:bookmarkStart w:id="2423" w:name="_Toc7573"/>
      <w:bookmarkStart w:id="2424" w:name="_Toc11429"/>
      <w:bookmarkStart w:id="2425" w:name="_Toc19991"/>
      <w:bookmarkStart w:id="2426" w:name="_Toc30687"/>
      <w:bookmarkStart w:id="2427" w:name="_Toc25778"/>
      <w:bookmarkStart w:id="2428" w:name="_Toc32294"/>
      <w:bookmarkStart w:id="2429" w:name="_Toc17323"/>
      <w:bookmarkStart w:id="2430" w:name="_Toc14006"/>
      <w:bookmarkStart w:id="2431" w:name="_Toc20444"/>
      <w:r>
        <w:rPr>
          <w:rFonts w:ascii="Times New Roman" w:hAnsi="Times New Roman" w:eastAsia="方正楷体_GBK"/>
          <w:b/>
          <w:sz w:val="32"/>
          <w:szCs w:val="32"/>
        </w:rPr>
        <w:t xml:space="preserve">第一节  </w:t>
      </w:r>
      <w:bookmarkEnd w:id="2413"/>
      <w:r>
        <w:rPr>
          <w:rFonts w:ascii="Times New Roman" w:hAnsi="Times New Roman" w:eastAsia="方正楷体_GBK"/>
          <w:b/>
          <w:sz w:val="32"/>
          <w:szCs w:val="32"/>
        </w:rPr>
        <w:t>推进基本公共教育优质发展</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坚持教育公益性原则，适应人口变化，全面优化基本公共教育布局结构和资源配置。</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义务教育优质均衡发展。统筹推进城乡义务教育一体化发展，努力创建义务教育发展优质均衡县。加快推进木瓜坝小学、茅坪小学、蓼子乡第一中心小学、教师进修校迁建等项目，消除“大班额”，解决义务教育“乡村弱、城镇挤”问题。完善特殊教育保障机制，为特殊儿童提供更公平、更优质教育条件。</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普通高中特色差异发展。新建城口高级中学。全面推进高中教育资源升级改造工程，深化优生联合培养计划，打造区域高中教育特色品牌。积极融入临沂东西协作联盟、九龙坡对口协同联盟，继续深化与重庆师范大学合作办学。</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学前教育普惠发展。努力扩充普惠性学前教育资源供给，着力解决“入好园难”问题。充分利用撤并学校资源合理设置幼儿园、托儿所等，大力发展学前幼儿教育。新建明通镇、庙坝镇等幼儿园，整顿规范小区配套幼儿园，合理新增教学及辅助用房、生活用房，完善配套设施。</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432" w:name="_Toc28531"/>
      <w:bookmarkStart w:id="2433" w:name="_Toc16791"/>
      <w:bookmarkStart w:id="2434" w:name="_Toc31063"/>
      <w:bookmarkStart w:id="2435" w:name="_Toc32760"/>
      <w:bookmarkStart w:id="2436" w:name="_Toc1875"/>
      <w:bookmarkStart w:id="2437" w:name="_Toc16288"/>
      <w:bookmarkStart w:id="2438" w:name="_Toc23242"/>
      <w:bookmarkStart w:id="2439" w:name="_Toc8255"/>
      <w:bookmarkStart w:id="2440" w:name="_Toc13993"/>
      <w:bookmarkStart w:id="2441" w:name="_Toc11399"/>
      <w:bookmarkStart w:id="2442" w:name="_Toc19498"/>
      <w:bookmarkStart w:id="2443" w:name="_Toc19302"/>
      <w:bookmarkStart w:id="2444" w:name="_Toc3974"/>
      <w:bookmarkStart w:id="2445" w:name="_Toc21785"/>
      <w:bookmarkStart w:id="2446" w:name="_Toc22083"/>
      <w:bookmarkStart w:id="2447" w:name="_Toc17127"/>
      <w:bookmarkStart w:id="2448" w:name="_Toc31040"/>
      <w:bookmarkStart w:id="2449" w:name="_Toc7282"/>
      <w:r>
        <w:rPr>
          <w:rFonts w:ascii="Times New Roman" w:hAnsi="Times New Roman" w:eastAsia="方正楷体_GBK"/>
          <w:b/>
          <w:sz w:val="32"/>
          <w:szCs w:val="32"/>
        </w:rPr>
        <w:t>第二节  增强教育服务支撑高质量发展能力</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pPr>
        <w:overflowPunct w:val="0"/>
        <w:adjustRightInd w:val="0"/>
        <w:snapToGrid w:val="0"/>
        <w:spacing w:line="56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建设新时代高素质教师队伍。推进教师队伍建设改革。优化全县教师资源配置，合理核定教职工编制，盘活编制存量，优化编制结构。加强师德师风建设，完善教师全员聘用制和优秀教师定期评选制度。推进职业教育产教融合。深化产教融合，强化“PPP托管模式”的研究与应用。完善职业教育“双基地”“双师型”“双证书”职教培训机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450" w:name="_Toc59950104"/>
      <w:bookmarkStart w:id="2451" w:name="_Toc17274"/>
      <w:bookmarkStart w:id="2452" w:name="_Toc18951"/>
      <w:bookmarkStart w:id="2453" w:name="_Toc29071"/>
      <w:bookmarkStart w:id="2454" w:name="_Toc10429"/>
      <w:bookmarkStart w:id="2455" w:name="_Toc22510"/>
      <w:bookmarkStart w:id="2456" w:name="_Toc19951"/>
      <w:bookmarkStart w:id="2457" w:name="_Toc17526"/>
      <w:bookmarkStart w:id="2458" w:name="_Toc22636"/>
      <w:bookmarkStart w:id="2459" w:name="_Toc22439"/>
      <w:bookmarkStart w:id="2460" w:name="_Toc18422"/>
      <w:bookmarkStart w:id="2461" w:name="_Toc8051"/>
      <w:bookmarkStart w:id="2462" w:name="_Toc3265"/>
      <w:bookmarkStart w:id="2463" w:name="_Toc27415"/>
      <w:bookmarkStart w:id="2464" w:name="_Toc21157"/>
      <w:bookmarkStart w:id="2465" w:name="_Toc24147"/>
      <w:bookmarkStart w:id="2466" w:name="_Toc5168"/>
      <w:bookmarkStart w:id="2467" w:name="_Toc25922"/>
      <w:bookmarkStart w:id="2468" w:name="_Toc23141"/>
      <w:r>
        <w:rPr>
          <w:rFonts w:ascii="Times New Roman" w:hAnsi="Times New Roman" w:eastAsia="方正楷体_GBK"/>
          <w:b/>
          <w:sz w:val="32"/>
          <w:szCs w:val="32"/>
        </w:rPr>
        <w:t xml:space="preserve">第三节  </w:t>
      </w:r>
      <w:bookmarkEnd w:id="2450"/>
      <w:r>
        <w:rPr>
          <w:rFonts w:ascii="Times New Roman" w:hAnsi="Times New Roman" w:eastAsia="方正楷体_GBK"/>
          <w:b/>
          <w:sz w:val="32"/>
          <w:szCs w:val="32"/>
        </w:rPr>
        <w:t>加快完善现代教育治理体系</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469" w:name="_Toc59950105"/>
      <w:r>
        <w:rPr>
          <w:rFonts w:ascii="Times New Roman" w:hAnsi="Times New Roman" w:eastAsia="方正仿宋_GBK"/>
          <w:sz w:val="32"/>
          <w:szCs w:val="32"/>
        </w:rPr>
        <w:t>健全立德树人系统化落实机制、教育领导体制和学校家庭社会协同育人机制。全面加强素质教育，重视青少年身体素质和心理健康教育。赋予学校更大办学自主权，激发各类学校办学活力。深化新时代教育督导体制机制改革，系统推进教育评价改革。进一步规范办学、招生和教学等秩序，积极稳妥推进考试招生改革。规范民办教育和校外培训机构。构建覆盖全县的智慧教育体系，推动优质教育资源辐射乡村薄弱学校。大力发展社区教育，建设学习型社会。落实教育投入优先保障机制。</w:t>
      </w:r>
      <w:bookmarkEnd w:id="2469"/>
    </w:p>
    <w:p>
      <w:pPr>
        <w:overflowPunct w:val="0"/>
        <w:spacing w:line="480" w:lineRule="exact"/>
        <w:jc w:val="center"/>
        <w:rPr>
          <w:rFonts w:ascii="Times New Roman" w:hAnsi="Times New Roman" w:eastAsia="方正黑体_GBK"/>
          <w:sz w:val="28"/>
          <w:szCs w:val="28"/>
        </w:rPr>
      </w:pPr>
      <w:bookmarkStart w:id="2470" w:name="_Toc59950106"/>
      <w:r>
        <w:rPr>
          <w:rFonts w:ascii="Times New Roman" w:hAnsi="Times New Roman" w:eastAsia="方正黑体_GBK"/>
          <w:sz w:val="28"/>
          <w:szCs w:val="28"/>
        </w:rPr>
        <w:t>专栏19  教育重点工程</w:t>
      </w:r>
    </w:p>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6"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基础教育。</w:t>
            </w:r>
            <w:r>
              <w:rPr>
                <w:rFonts w:ascii="Times New Roman" w:hAnsi="Times New Roman" w:eastAsia="方正仿宋_GBK"/>
                <w:bCs/>
                <w:sz w:val="24"/>
                <w:szCs w:val="32"/>
              </w:rPr>
              <w:t>实施学前教育普惠优质发展计划，推进示范幼儿园集团化办学建设项目。到2025年，全县公办幼儿园占比提高到95%以上，普惠率巩固在90%以上，二级及以上幼儿园占比达到60%以上。实施义务教育优质资源拓展计划，新建及改扩建幼儿园12所、义务教育学校11所、高中2所。</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职业教育。</w:t>
            </w:r>
            <w:r>
              <w:rPr>
                <w:rFonts w:ascii="Times New Roman" w:hAnsi="Times New Roman" w:eastAsia="方正仿宋_GBK"/>
                <w:bCs/>
                <w:sz w:val="24"/>
                <w:szCs w:val="32"/>
              </w:rPr>
              <w:t>实施职业教育融合规范发展计划，推进职业教育中心改扩建项目建设，到2025年，中职“双师型”教师数量占比达到75%以上，学生技能等级证获得率95%以上，学生就业稳定率90%以上，建成2个市级职教高水平专业</w:t>
            </w:r>
            <w:r>
              <w:rPr>
                <w:rFonts w:ascii="Times New Roman" w:hAnsi="Times New Roman" w:eastAsia="方正仿宋_GBK"/>
                <w:sz w:val="24"/>
                <w:szCs w:val="32"/>
              </w:rPr>
              <w:t>。</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民办教育。</w:t>
            </w:r>
            <w:r>
              <w:rPr>
                <w:rFonts w:ascii="Times New Roman" w:hAnsi="Times New Roman" w:eastAsia="方正仿宋_GBK"/>
                <w:bCs/>
                <w:sz w:val="24"/>
                <w:szCs w:val="32"/>
              </w:rPr>
              <w:t>实施民办教育融合规范发展计划，推进北大街高品质民办幼儿园、市级技工院校（城口分校）建设项目</w:t>
            </w:r>
            <w:r>
              <w:rPr>
                <w:rFonts w:ascii="Times New Roman" w:hAnsi="Times New Roman" w:eastAsia="方正仿宋_GBK"/>
                <w:sz w:val="24"/>
                <w:szCs w:val="32"/>
              </w:rPr>
              <w:t>。</w:t>
            </w:r>
          </w:p>
          <w:p>
            <w:pPr>
              <w:overflowPunct w:val="0"/>
              <w:spacing w:line="400" w:lineRule="exact"/>
              <w:ind w:firstLine="482" w:firstLineChars="200"/>
              <w:rPr>
                <w:rFonts w:ascii="Times New Roman" w:hAnsi="Times New Roman" w:eastAsia="方正仿宋_GBK"/>
                <w:sz w:val="24"/>
                <w:szCs w:val="32"/>
              </w:rPr>
            </w:pPr>
            <w:r>
              <w:rPr>
                <w:rFonts w:ascii="Times New Roman" w:hAnsi="Times New Roman" w:eastAsia="方正仿宋_GBK"/>
                <w:b/>
                <w:bCs/>
                <w:sz w:val="24"/>
                <w:szCs w:val="32"/>
              </w:rPr>
              <w:t>教育信息化。</w:t>
            </w:r>
            <w:r>
              <w:rPr>
                <w:rFonts w:ascii="Times New Roman" w:hAnsi="Times New Roman" w:eastAsia="方正仿宋_GBK"/>
                <w:bCs/>
                <w:sz w:val="24"/>
                <w:szCs w:val="32"/>
              </w:rPr>
              <w:t>推进“智慧校园”建设、“互联网+教育”，推动智能技术与教育教学深度融合，搭建集基础支撑平台、人人通空间、资源中心和智能教学管理系统于一体的县级教育云计算数据中心，推进5G+智慧教育硬件环境建设及5G+智慧教育创新应用建设，促进教学内容、教学形式、学习方式、学习评价创新，实现教学模式转变。</w:t>
            </w:r>
            <w:r>
              <w:rPr>
                <w:rFonts w:ascii="Times New Roman" w:hAnsi="Times New Roman" w:eastAsia="方正仿宋_GBK"/>
                <w:sz w:val="24"/>
                <w:szCs w:val="32"/>
              </w:rPr>
              <w:t>建设市级智慧校园示范学校</w:t>
            </w:r>
            <w:r>
              <w:rPr>
                <w:rFonts w:ascii="Times New Roman" w:hAnsi="Times New Roman" w:eastAsia="方正仿宋_GBK"/>
                <w:bCs/>
                <w:sz w:val="24"/>
                <w:szCs w:val="32"/>
              </w:rPr>
              <w:t>15</w:t>
            </w:r>
            <w:r>
              <w:rPr>
                <w:rFonts w:ascii="Times New Roman" w:hAnsi="Times New Roman" w:eastAsia="方正仿宋_GBK"/>
                <w:sz w:val="24"/>
                <w:szCs w:val="32"/>
              </w:rPr>
              <w:t>所、市级“名校网络课堂”示范学校</w:t>
            </w:r>
            <w:r>
              <w:rPr>
                <w:rFonts w:ascii="Times New Roman" w:hAnsi="Times New Roman" w:eastAsia="方正仿宋_GBK"/>
                <w:bCs/>
                <w:sz w:val="24"/>
                <w:szCs w:val="32"/>
              </w:rPr>
              <w:t>10</w:t>
            </w:r>
            <w:r>
              <w:rPr>
                <w:rFonts w:ascii="Times New Roman" w:hAnsi="Times New Roman" w:eastAsia="方正仿宋_GBK"/>
                <w:sz w:val="24"/>
                <w:szCs w:val="32"/>
              </w:rPr>
              <w:t>所。</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bCs/>
                <w:sz w:val="24"/>
                <w:szCs w:val="32"/>
              </w:rPr>
              <w:t>教师队伍。</w:t>
            </w:r>
            <w:r>
              <w:rPr>
                <w:rFonts w:ascii="Times New Roman" w:hAnsi="Times New Roman" w:eastAsia="方正仿宋_GBK"/>
                <w:bCs/>
                <w:sz w:val="24"/>
                <w:szCs w:val="32"/>
              </w:rPr>
              <w:t>建成9个县级名师工作室，3个名校长工作室。培育市级骨干校长5人、市级骨干教师50人、市级学科名师20名，全县教师学历达标率100%。</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教育基地建设。</w:t>
            </w:r>
            <w:r>
              <w:rPr>
                <w:rFonts w:ascii="Times New Roman" w:hAnsi="Times New Roman" w:eastAsia="方正仿宋_GBK"/>
                <w:bCs/>
                <w:sz w:val="24"/>
                <w:szCs w:val="32"/>
              </w:rPr>
              <w:t>建成一批教育示范基地，推进社会实践与劳动教育基地、农民田间学校等项目建设。</w:t>
            </w:r>
          </w:p>
        </w:tc>
      </w:tr>
    </w:tbl>
    <w:p>
      <w:pPr>
        <w:overflowPunct w:val="0"/>
        <w:adjustRightInd w:val="0"/>
        <w:snapToGrid w:val="0"/>
        <w:spacing w:line="560" w:lineRule="exact"/>
        <w:rPr>
          <w:rFonts w:ascii="Times New Roman" w:hAnsi="Times New Roman" w:eastAsia="方正仿宋_GBK"/>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471" w:name="_Toc25590"/>
      <w:bookmarkStart w:id="2472" w:name="_Toc2183"/>
      <w:bookmarkStart w:id="2473" w:name="_Toc31824"/>
      <w:bookmarkStart w:id="2474" w:name="_Toc3709"/>
      <w:bookmarkStart w:id="2475" w:name="_Toc31233"/>
      <w:bookmarkStart w:id="2476" w:name="_Toc7354"/>
      <w:bookmarkStart w:id="2477" w:name="_Toc8104"/>
      <w:bookmarkStart w:id="2478" w:name="_Toc5958"/>
      <w:bookmarkStart w:id="2479" w:name="_Toc21372"/>
      <w:bookmarkStart w:id="2480" w:name="_Toc20933"/>
      <w:bookmarkStart w:id="2481" w:name="_Toc24624"/>
      <w:bookmarkStart w:id="2482" w:name="_Toc7090"/>
      <w:bookmarkStart w:id="2483" w:name="_Toc24859"/>
      <w:bookmarkStart w:id="2484" w:name="_Toc29915"/>
      <w:bookmarkStart w:id="2485" w:name="_Toc18416"/>
      <w:bookmarkStart w:id="2486" w:name="_Toc600"/>
      <w:bookmarkStart w:id="2487" w:name="_Toc27424"/>
      <w:bookmarkStart w:id="2488" w:name="_Toc8748"/>
      <w:r>
        <w:rPr>
          <w:rFonts w:ascii="Times New Roman" w:hAnsi="Times New Roman" w:eastAsia="方正黑体_GBK"/>
          <w:b/>
          <w:bCs/>
          <w:kern w:val="44"/>
          <w:sz w:val="32"/>
          <w:szCs w:val="32"/>
        </w:rPr>
        <w:t>第三十八章  实施健康中国</w:t>
      </w:r>
      <w:bookmarkEnd w:id="2470"/>
      <w:r>
        <w:rPr>
          <w:rFonts w:ascii="Times New Roman" w:hAnsi="Times New Roman" w:eastAsia="方正黑体_GBK"/>
          <w:b/>
          <w:bCs/>
          <w:kern w:val="44"/>
          <w:sz w:val="32"/>
          <w:szCs w:val="32"/>
        </w:rPr>
        <w:t>城口行动</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保障人民健康，坚持预防为主，加强卫生健康体系建设，织牢公共卫生防护网，为人民提供全方位全周期健康服务。</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489" w:name="_Toc23311"/>
      <w:bookmarkStart w:id="2490" w:name="_Toc29970"/>
      <w:bookmarkStart w:id="2491" w:name="_Toc14826"/>
      <w:bookmarkStart w:id="2492" w:name="_Toc14686"/>
      <w:bookmarkStart w:id="2493" w:name="_Toc429"/>
      <w:bookmarkStart w:id="2494" w:name="_Toc12558"/>
      <w:bookmarkStart w:id="2495" w:name="_Toc13805"/>
      <w:bookmarkStart w:id="2496" w:name="_Toc15431"/>
      <w:bookmarkStart w:id="2497" w:name="_Toc15501"/>
      <w:bookmarkStart w:id="2498" w:name="_Toc9410"/>
      <w:bookmarkStart w:id="2499" w:name="_Toc30231"/>
      <w:bookmarkStart w:id="2500" w:name="_Toc14818"/>
      <w:bookmarkStart w:id="2501" w:name="_Toc17910"/>
      <w:bookmarkStart w:id="2502" w:name="_Toc1206"/>
      <w:bookmarkStart w:id="2503" w:name="_Toc12365"/>
      <w:bookmarkStart w:id="2504" w:name="_Toc28558"/>
      <w:bookmarkStart w:id="2505" w:name="_Toc59950107"/>
      <w:bookmarkStart w:id="2506" w:name="_Toc19032"/>
      <w:bookmarkStart w:id="2507" w:name="_Toc7309"/>
      <w:r>
        <w:rPr>
          <w:rFonts w:ascii="Times New Roman" w:hAnsi="Times New Roman" w:eastAsia="方正楷体_GBK"/>
          <w:b/>
          <w:sz w:val="32"/>
          <w:szCs w:val="32"/>
        </w:rPr>
        <w:t>第一节  全面加强公共卫生服务体系建设</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508" w:name="_Toc59950108"/>
      <w:r>
        <w:rPr>
          <w:rFonts w:ascii="Times New Roman" w:hAnsi="Times New Roman" w:eastAsia="方正仿宋_GBK"/>
          <w:sz w:val="32"/>
          <w:szCs w:val="32"/>
        </w:rPr>
        <w:t>完善疾病预防控制体系，加强疾病预防控制基础设施建设。完善公共卫生服务购买机制和重大疾病联合防控机制。推动疾控机构标准化建设，完善社区网络化疫情防治体系，构建县—镇（乡）—村（社区）三级疾控网络，全面强化新发突发急性传染病防控能力。加强应急医疗物资储备，提升慢性、非传染性疾病防治能力，健全完善职业病防治体系，提升精神卫生和心理健康服务保障能力。建设智慧疾控大数据平台，提升疾病早期监测预警能力。衔接市级中心医院，畅通紧急医学救援通道，提升紧急医学救援能力。</w:t>
      </w:r>
    </w:p>
    <w:bookmarkEnd w:id="2508"/>
    <w:p>
      <w:pPr>
        <w:overflowPunct w:val="0"/>
        <w:adjustRightInd w:val="0"/>
        <w:snapToGrid w:val="0"/>
        <w:spacing w:line="560" w:lineRule="exact"/>
        <w:jc w:val="center"/>
        <w:outlineLvl w:val="2"/>
        <w:rPr>
          <w:rFonts w:ascii="Times New Roman" w:hAnsi="Times New Roman" w:eastAsia="方正楷体_GBK"/>
          <w:b/>
          <w:sz w:val="32"/>
          <w:szCs w:val="32"/>
        </w:rPr>
      </w:pPr>
      <w:r>
        <w:rPr>
          <w:rFonts w:ascii="Times New Roman" w:hAnsi="Times New Roman" w:eastAsia="方正楷体_GBK"/>
          <w:b/>
          <w:sz w:val="32"/>
          <w:szCs w:val="32"/>
        </w:rPr>
        <w:t>第二节</w:t>
      </w:r>
      <w:bookmarkStart w:id="2509" w:name="_Toc6627"/>
      <w:bookmarkStart w:id="2510" w:name="_Toc17822"/>
      <w:bookmarkStart w:id="2511" w:name="_Toc6611"/>
      <w:bookmarkStart w:id="2512" w:name="_Toc30041"/>
      <w:bookmarkStart w:id="2513" w:name="_Toc18756"/>
      <w:bookmarkStart w:id="2514" w:name="_Toc4874"/>
      <w:bookmarkStart w:id="2515" w:name="_Toc28312"/>
      <w:bookmarkStart w:id="2516" w:name="_Toc19711"/>
      <w:bookmarkStart w:id="2517" w:name="_Toc6046"/>
      <w:bookmarkStart w:id="2518" w:name="_Toc27229"/>
      <w:bookmarkStart w:id="2519" w:name="_Toc32011"/>
      <w:bookmarkStart w:id="2520" w:name="_Toc13438"/>
      <w:bookmarkStart w:id="2521" w:name="_Toc3791"/>
      <w:bookmarkStart w:id="2522" w:name="_Toc19431"/>
      <w:bookmarkStart w:id="2523" w:name="_Toc9871"/>
      <w:bookmarkStart w:id="2524" w:name="_Toc24745"/>
      <w:bookmarkStart w:id="2525" w:name="_Toc4435"/>
      <w:bookmarkStart w:id="2526" w:name="_Toc1968"/>
      <w:r>
        <w:rPr>
          <w:rFonts w:ascii="Times New Roman" w:hAnsi="Times New Roman" w:eastAsia="方正楷体_GBK"/>
          <w:b/>
          <w:sz w:val="32"/>
          <w:szCs w:val="32"/>
        </w:rPr>
        <w:t>全面提高医疗卫生服务水平</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p>
    <w:p>
      <w:pPr>
        <w:overflowPunct w:val="0"/>
        <w:spacing w:line="560" w:lineRule="exact"/>
        <w:ind w:firstLine="640" w:firstLineChars="200"/>
        <w:rPr>
          <w:rFonts w:ascii="Times New Roman" w:hAnsi="Times New Roman" w:eastAsia="方正仿宋_GBK"/>
          <w:sz w:val="32"/>
          <w:szCs w:val="32"/>
        </w:rPr>
      </w:pPr>
      <w:bookmarkStart w:id="2527" w:name="_Toc59950110"/>
      <w:r>
        <w:rPr>
          <w:rFonts w:ascii="Times New Roman" w:hAnsi="Times New Roman" w:eastAsia="方正仿宋_GBK"/>
          <w:sz w:val="32"/>
          <w:szCs w:val="32"/>
        </w:rPr>
        <w:t>坚持医疗卫生事业公益属性，深化医药卫生体制改革，建设优质高效的医疗卫生服务体系。加强县人民医院、县中医院、县妇幼保健院重点学科、特色专科建设。建立新型医疗卫生服务体系，完善家庭医生制度，提升卫生人才队伍素质，基本形成“基层首诊、双向转诊、急慢分治、上下联动”的分级诊疗格局，提升防病治病和健康管理能力。引导社会办医规范发展。推进智慧医疗建设，积极对接重庆市及国内的优质医疗资源，承接优质医疗资源下沉，支持医疗机构运用智能辅助技术提高诊疗水平，实现县级医联体和市级中心医院远程医疗服务联通。统筹推进医疗管理体制、运行机制、服务价格、绩效分配等综合性改革。县人民医院创建成为三级综合医院，县中医院达到二级甲等综合医院水平，县妇幼保健院达到二级甲等专科医院水平，县疾控中心达到二级水平，建成基层医疗卫生服务示范中心。</w:t>
      </w:r>
    </w:p>
    <w:p>
      <w:pPr>
        <w:overflowPunct w:val="0"/>
        <w:adjustRightInd w:val="0"/>
        <w:snapToGrid w:val="0"/>
        <w:spacing w:line="560" w:lineRule="exact"/>
        <w:ind w:firstLine="643" w:firstLineChars="200"/>
        <w:jc w:val="center"/>
        <w:outlineLvl w:val="2"/>
        <w:rPr>
          <w:rFonts w:ascii="Times New Roman" w:hAnsi="Times New Roman" w:eastAsia="方正楷体_GBK"/>
          <w:b/>
          <w:bCs/>
        </w:rPr>
      </w:pPr>
      <w:bookmarkStart w:id="2528" w:name="_Toc32594"/>
      <w:bookmarkStart w:id="2529" w:name="_Toc26103"/>
      <w:bookmarkStart w:id="2530" w:name="_Toc10173"/>
      <w:bookmarkStart w:id="2531" w:name="_Toc21992"/>
      <w:bookmarkStart w:id="2532" w:name="_Toc30760"/>
      <w:bookmarkStart w:id="2533" w:name="_Toc17415"/>
      <w:bookmarkStart w:id="2534" w:name="_Toc26331"/>
      <w:bookmarkStart w:id="2535" w:name="_Toc15500"/>
      <w:bookmarkStart w:id="2536" w:name="_Toc11513"/>
      <w:bookmarkStart w:id="2537" w:name="_Toc16446"/>
      <w:bookmarkStart w:id="2538" w:name="_Toc27106"/>
      <w:bookmarkStart w:id="2539" w:name="_Toc10612"/>
      <w:bookmarkStart w:id="2540" w:name="_Toc28867"/>
      <w:bookmarkStart w:id="2541" w:name="_Toc19288"/>
      <w:bookmarkStart w:id="2542" w:name="_Toc1992"/>
      <w:bookmarkStart w:id="2543" w:name="_Toc2052"/>
      <w:bookmarkStart w:id="2544" w:name="_Toc4732"/>
      <w:bookmarkStart w:id="2545" w:name="_Toc18240"/>
      <w:r>
        <w:rPr>
          <w:rFonts w:ascii="Times New Roman" w:hAnsi="Times New Roman" w:eastAsia="方正楷体_GBK"/>
          <w:b/>
          <w:sz w:val="32"/>
          <w:szCs w:val="32"/>
        </w:rPr>
        <w:t xml:space="preserve">第三节  </w:t>
      </w:r>
      <w:bookmarkEnd w:id="2527"/>
      <w:r>
        <w:rPr>
          <w:rFonts w:ascii="Times New Roman" w:hAnsi="Times New Roman" w:eastAsia="方正楷体_GBK"/>
          <w:b/>
          <w:sz w:val="32"/>
          <w:szCs w:val="32"/>
        </w:rPr>
        <w:t>加强全方位全生命周期健康保障</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546" w:name="_Toc59950111"/>
      <w:r>
        <w:rPr>
          <w:rFonts w:ascii="Times New Roman" w:hAnsi="Times New Roman" w:eastAsia="方正仿宋_GBK"/>
          <w:sz w:val="32"/>
          <w:szCs w:val="32"/>
        </w:rPr>
        <w:t>坚持以健康需求和健康问题为导向，加强疾病综合预防，以慢性病为重点，为全县人民提供全程化、规范化的健康管理，实现医防深度融合。优化基本公共卫生服务，提高民众健康档案建档率和利用率，加强生命全周期管理。提升妇女儿童健康服务能力，推进生育全程服务。深入开展爱国卫生运动，实施国民营养计划，普及健康知识，倡导文明健康生活方式。加强老年医疗服务供给，推动老年病科建设。全县二级以上综合医院设立老年医学科，县中医院设置康复科。</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547" w:name="_Toc28203"/>
      <w:bookmarkStart w:id="2548" w:name="_Toc25740"/>
      <w:bookmarkStart w:id="2549" w:name="_Toc3270"/>
      <w:bookmarkStart w:id="2550" w:name="_Toc28468"/>
      <w:bookmarkStart w:id="2551" w:name="_Toc28380"/>
      <w:bookmarkStart w:id="2552" w:name="_Toc4067"/>
      <w:bookmarkStart w:id="2553" w:name="_Toc23849"/>
      <w:bookmarkStart w:id="2554" w:name="_Toc19341"/>
      <w:bookmarkStart w:id="2555" w:name="_Toc23036"/>
      <w:bookmarkStart w:id="2556" w:name="_Toc31526"/>
      <w:bookmarkStart w:id="2557" w:name="_Toc27243"/>
      <w:bookmarkStart w:id="2558" w:name="_Toc5023"/>
      <w:bookmarkStart w:id="2559" w:name="_Toc5000"/>
      <w:bookmarkStart w:id="2560" w:name="_Toc20649"/>
      <w:bookmarkStart w:id="2561" w:name="_Toc3390"/>
      <w:bookmarkStart w:id="2562" w:name="_Toc2129"/>
      <w:bookmarkStart w:id="2563" w:name="_Toc181"/>
      <w:bookmarkStart w:id="2564" w:name="_Toc8401"/>
      <w:r>
        <w:rPr>
          <w:rFonts w:ascii="Times New Roman" w:hAnsi="Times New Roman" w:eastAsia="方正楷体_GBK"/>
          <w:b/>
          <w:sz w:val="32"/>
          <w:szCs w:val="32"/>
        </w:rPr>
        <w:t>第四节  促进中医药传承与创新</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县中医院建设，鼓励中医特色医院发展，完善中医医院基础设施，提升中医应急和救治能力。加快中西医结合发展，提升医疗机构中医药服务能力，提供中医临床疗效和综合服务能力。培养一批高层次复合型中医药人才、高水平中医临床人才和多学科交叉中医药创新团队，开展名医学术经验传承。</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565" w:name="_Toc28918"/>
      <w:bookmarkStart w:id="2566" w:name="_Toc2057"/>
      <w:bookmarkStart w:id="2567" w:name="_Toc3355"/>
      <w:bookmarkStart w:id="2568" w:name="_Toc4892"/>
      <w:bookmarkStart w:id="2569" w:name="_Toc8747"/>
      <w:bookmarkStart w:id="2570" w:name="_Toc3147"/>
      <w:bookmarkStart w:id="2571" w:name="_Toc2040"/>
      <w:bookmarkStart w:id="2572" w:name="_Toc13061"/>
      <w:bookmarkStart w:id="2573" w:name="_Toc7163"/>
      <w:bookmarkStart w:id="2574" w:name="_Toc24617"/>
      <w:bookmarkStart w:id="2575" w:name="_Toc28367"/>
      <w:bookmarkStart w:id="2576" w:name="_Toc6251"/>
      <w:bookmarkStart w:id="2577" w:name="_Toc12218"/>
      <w:bookmarkStart w:id="2578" w:name="_Toc16601"/>
      <w:bookmarkStart w:id="2579" w:name="_Toc18194"/>
      <w:bookmarkStart w:id="2580" w:name="_Toc785"/>
      <w:bookmarkStart w:id="2581" w:name="_Toc1348"/>
      <w:bookmarkStart w:id="2582" w:name="_Toc29021"/>
      <w:r>
        <w:rPr>
          <w:rFonts w:ascii="Times New Roman" w:hAnsi="Times New Roman" w:eastAsia="方正楷体_GBK"/>
          <w:b/>
          <w:sz w:val="32"/>
          <w:szCs w:val="32"/>
        </w:rPr>
        <w:t>第五节  推进体育事业</w:t>
      </w:r>
      <w:bookmarkEnd w:id="2546"/>
      <w:bookmarkEnd w:id="2565"/>
      <w:bookmarkEnd w:id="2566"/>
      <w:bookmarkEnd w:id="2567"/>
      <w:bookmarkEnd w:id="2568"/>
      <w:bookmarkEnd w:id="2569"/>
      <w:r>
        <w:rPr>
          <w:rFonts w:ascii="Times New Roman" w:hAnsi="Times New Roman" w:eastAsia="方正楷体_GBK"/>
          <w:b/>
          <w:sz w:val="32"/>
          <w:szCs w:val="32"/>
        </w:rPr>
        <w:t>发展</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拓展全民健身事业。加强全民健身中心、乡镇健身广场（农体工程）、社区健身点建设，构建县级、乡镇（街道）和村（社区）三级全民健身服务体系。积极推动县体育中心等体育服务设施建设，推进体育服务水平提档升级。建立乡镇国民体质监测分中心，保障全民健身和全民健康深度融合。推进“青少年阳光体育工程”“中老年健康生活工程”，统筹全县群众科学健身。深化“全民健身月、周、日”等群体活动，创新活动内容和组织渠道、方式，组织开展群众日常健身活动。</w:t>
      </w:r>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提升竞技体育实力。重点发展举重、射箭、田径、摔跤等竞技项目，着力提升市内竞争力。完善后备人才培养体系，引进高水平体育专业人才2—5名，培养基层优秀教练员10名以上。</w:t>
      </w:r>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丰富体育赛事供给。创新举办“双城经济圈”运动会、“穿越大巴山”运动会等精品赛事，力争承办1—2个市级单项赛事。持续开展县运会、周末球赛、老区运动会、全国门球邀请赛等原有品牌赛事。</w:t>
      </w:r>
    </w:p>
    <w:p>
      <w:pPr>
        <w:overflowPunct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壮大“体育+”产业。着重推动体育+旅游、体育+文化、体育+康养、体育+医疗、体育+教育融合发展。积极推动九重山山地户外运动基地、九重山滑雪场、巴山湖水上运动基地等体育项目落地。进一步壮大体育彩票事业。</w:t>
      </w:r>
    </w:p>
    <w:p>
      <w:pPr>
        <w:overflowPunct w:val="0"/>
        <w:spacing w:line="480" w:lineRule="exact"/>
        <w:jc w:val="center"/>
        <w:rPr>
          <w:rFonts w:ascii="Times New Roman" w:hAnsi="Times New Roman" w:eastAsia="方正黑体_GBK"/>
          <w:sz w:val="28"/>
          <w:szCs w:val="28"/>
        </w:rPr>
      </w:pPr>
      <w:bookmarkStart w:id="2583" w:name="_Toc59950112"/>
      <w:r>
        <w:rPr>
          <w:rFonts w:ascii="Times New Roman" w:hAnsi="Times New Roman" w:eastAsia="方正黑体_GBK"/>
          <w:sz w:val="28"/>
          <w:szCs w:val="28"/>
        </w:rPr>
        <w:t>专栏20  卫生健康重点项目</w:t>
      </w:r>
    </w:p>
    <w:tbl>
      <w:tblPr>
        <w:tblStyle w:val="27"/>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2"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综合及专科医院建设项目。</w:t>
            </w:r>
            <w:r>
              <w:rPr>
                <w:rFonts w:ascii="Times New Roman" w:hAnsi="Times New Roman" w:eastAsia="方正仿宋_GBK"/>
                <w:kern w:val="0"/>
                <w:sz w:val="24"/>
                <w:szCs w:val="28"/>
              </w:rPr>
              <w:t>推进县妇幼保健院儿童保健部迁建、县人民医院东部新区分院、县人民医院巴山分院住院楼、县中医医院迁建等项目建设。</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乡镇、村社卫生基建项目。</w:t>
            </w:r>
            <w:r>
              <w:rPr>
                <w:rFonts w:ascii="Times New Roman" w:hAnsi="Times New Roman" w:eastAsia="方正仿宋_GBK"/>
                <w:kern w:val="0"/>
                <w:sz w:val="24"/>
                <w:szCs w:val="28"/>
              </w:rPr>
              <w:t>推进乡镇卫生院建设项目、乡镇卫生院医疗设备配置项目、村卫生室建设项目，促进优质医疗资源下沉。</w:t>
            </w:r>
          </w:p>
          <w:p>
            <w:pPr>
              <w:overflowPunct w:val="0"/>
              <w:spacing w:line="400" w:lineRule="exact"/>
              <w:ind w:firstLine="482" w:firstLineChars="200"/>
              <w:rPr>
                <w:rFonts w:ascii="Times New Roman" w:hAnsi="Times New Roman" w:eastAsia="方正仿宋_GBK"/>
                <w:b/>
                <w:bCs/>
                <w:kern w:val="0"/>
                <w:sz w:val="24"/>
                <w:szCs w:val="28"/>
              </w:rPr>
            </w:pPr>
            <w:r>
              <w:rPr>
                <w:rFonts w:ascii="Times New Roman" w:hAnsi="Times New Roman" w:eastAsia="方正仿宋_GBK"/>
                <w:b/>
                <w:bCs/>
                <w:kern w:val="0"/>
                <w:sz w:val="24"/>
                <w:szCs w:val="28"/>
              </w:rPr>
              <w:t>卫生服务能力提升工程。</w:t>
            </w:r>
            <w:r>
              <w:rPr>
                <w:rFonts w:ascii="Times New Roman" w:hAnsi="Times New Roman" w:eastAsia="方正仿宋_GBK"/>
                <w:kern w:val="0"/>
                <w:sz w:val="24"/>
                <w:szCs w:val="28"/>
              </w:rPr>
              <w:t>推进县属医疗机构设备配置项目、医养结合建设项目，全面提升城口卫生服务能级。</w:t>
            </w:r>
          </w:p>
          <w:p>
            <w:pPr>
              <w:overflowPunct w:val="0"/>
              <w:spacing w:line="400" w:lineRule="exact"/>
              <w:ind w:firstLine="482" w:firstLineChars="200"/>
              <w:rPr>
                <w:rFonts w:ascii="Times New Roman" w:hAnsi="Times New Roman" w:eastAsia="方正仿宋_GBK"/>
                <w:kern w:val="0"/>
                <w:sz w:val="24"/>
                <w:szCs w:val="28"/>
              </w:rPr>
            </w:pPr>
            <w:r>
              <w:rPr>
                <w:rFonts w:ascii="Times New Roman" w:hAnsi="Times New Roman" w:eastAsia="方正仿宋_GBK"/>
                <w:b/>
                <w:bCs/>
                <w:kern w:val="0"/>
                <w:sz w:val="24"/>
                <w:szCs w:val="28"/>
              </w:rPr>
              <w:t>体育服务设施项目。</w:t>
            </w:r>
            <w:r>
              <w:rPr>
                <w:rFonts w:ascii="Times New Roman" w:hAnsi="Times New Roman" w:eastAsia="方正仿宋_GBK"/>
                <w:kern w:val="0"/>
                <w:sz w:val="24"/>
                <w:szCs w:val="28"/>
              </w:rPr>
              <w:t>推进县体育中心等体育服务设施建设。</w:t>
            </w:r>
          </w:p>
          <w:p>
            <w:pPr>
              <w:overflowPunct w:val="0"/>
              <w:spacing w:line="400" w:lineRule="exact"/>
              <w:ind w:firstLine="482" w:firstLineChars="200"/>
              <w:rPr>
                <w:rFonts w:ascii="Times New Roman" w:hAnsi="Times New Roman" w:eastAsia="方正仿宋_GBK"/>
              </w:rPr>
            </w:pPr>
            <w:r>
              <w:rPr>
                <w:rFonts w:ascii="Times New Roman" w:hAnsi="Times New Roman" w:eastAsia="方正仿宋_GBK"/>
                <w:b/>
                <w:bCs/>
                <w:kern w:val="0"/>
                <w:sz w:val="24"/>
                <w:szCs w:val="28"/>
              </w:rPr>
              <w:t>实施重大疫情防控体系和公共卫生应急管理体系推进行动。</w:t>
            </w:r>
            <w:r>
              <w:rPr>
                <w:rFonts w:ascii="Times New Roman" w:hAnsi="Times New Roman" w:eastAsia="方正仿宋_GBK"/>
                <w:kern w:val="0"/>
                <w:sz w:val="24"/>
                <w:szCs w:val="28"/>
              </w:rPr>
              <w:t>完善突发重大疫情和公共卫生事件应急状态下基础设施、机构、人员和技术转换征用机制，做好医院应对突发公共卫生事件应急腾空预案。加快县人民医院传染病区改造建设，新建医院按照传染病防治标准设计建设。</w:t>
            </w:r>
          </w:p>
        </w:tc>
      </w:tr>
      <w:bookmarkEnd w:id="2583"/>
    </w:tbl>
    <w:p>
      <w:pPr>
        <w:overflowPunct w:val="0"/>
        <w:rPr>
          <w:rFonts w:ascii="Times New Roman" w:hAnsi="Times New Roman" w:eastAsia="方正黑体_GBK"/>
          <w:b/>
          <w:bCs/>
          <w:kern w:val="44"/>
          <w:sz w:val="32"/>
          <w:szCs w:val="32"/>
        </w:rPr>
      </w:pPr>
      <w:bookmarkStart w:id="2584" w:name="_Toc59950115"/>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585" w:name="_Toc17190"/>
      <w:bookmarkStart w:id="2586" w:name="_Toc23056"/>
      <w:bookmarkStart w:id="2587" w:name="_Toc24320"/>
      <w:bookmarkStart w:id="2588" w:name="_Toc24626"/>
      <w:bookmarkStart w:id="2589" w:name="_Toc11853"/>
      <w:bookmarkStart w:id="2590" w:name="_Toc4245"/>
      <w:bookmarkStart w:id="2591" w:name="_Toc2047"/>
      <w:bookmarkStart w:id="2592" w:name="_Toc8432"/>
      <w:bookmarkStart w:id="2593" w:name="_Toc13018"/>
      <w:bookmarkStart w:id="2594" w:name="_Toc25057"/>
      <w:bookmarkStart w:id="2595" w:name="_Toc19430"/>
      <w:bookmarkStart w:id="2596" w:name="_Toc19654"/>
      <w:bookmarkStart w:id="2597" w:name="_Toc25904"/>
      <w:bookmarkStart w:id="2598" w:name="_Toc18097"/>
      <w:bookmarkStart w:id="2599" w:name="_Toc26231"/>
      <w:bookmarkStart w:id="2600" w:name="_Toc5813"/>
      <w:bookmarkStart w:id="2601" w:name="_Toc24301"/>
      <w:bookmarkStart w:id="2602" w:name="_Toc13511"/>
      <w:r>
        <w:rPr>
          <w:rFonts w:ascii="Times New Roman" w:hAnsi="Times New Roman" w:eastAsia="方正黑体_GBK"/>
          <w:b/>
          <w:bCs/>
          <w:kern w:val="44"/>
          <w:sz w:val="32"/>
          <w:szCs w:val="32"/>
        </w:rPr>
        <w:t>第三十九章  加强社会保障体系建设</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完善基本社会保险制度，健全社会救助和住房保障体系，加快建立覆盖全民、统筹城乡、公平统一、可持续的多层次社会保障体系。</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603" w:name="_Toc25681"/>
      <w:bookmarkStart w:id="2604" w:name="_Toc28314"/>
      <w:bookmarkStart w:id="2605" w:name="_Toc28868"/>
      <w:bookmarkStart w:id="2606" w:name="_Toc20063"/>
      <w:bookmarkStart w:id="2607" w:name="_Toc20024"/>
      <w:bookmarkStart w:id="2608" w:name="_Toc59950116"/>
      <w:bookmarkStart w:id="2609" w:name="_Toc12530"/>
      <w:bookmarkStart w:id="2610" w:name="_Toc29494"/>
      <w:bookmarkStart w:id="2611" w:name="_Toc26942"/>
      <w:bookmarkStart w:id="2612" w:name="_Toc30361"/>
      <w:bookmarkStart w:id="2613" w:name="_Toc27891"/>
      <w:bookmarkStart w:id="2614" w:name="_Toc15682"/>
      <w:bookmarkStart w:id="2615" w:name="_Toc11849"/>
      <w:bookmarkStart w:id="2616" w:name="_Toc15219"/>
      <w:bookmarkStart w:id="2617" w:name="_Toc21842"/>
      <w:bookmarkStart w:id="2618" w:name="_Toc2513"/>
      <w:bookmarkStart w:id="2619" w:name="_Toc27574"/>
      <w:bookmarkStart w:id="2620" w:name="_Toc10898"/>
      <w:bookmarkStart w:id="2621" w:name="_Toc14355"/>
      <w:r>
        <w:rPr>
          <w:rFonts w:ascii="Times New Roman" w:hAnsi="Times New Roman" w:eastAsia="方正楷体_GBK"/>
          <w:b/>
          <w:sz w:val="32"/>
          <w:szCs w:val="32"/>
        </w:rPr>
        <w:t>第一节  完善社会保险和医疗保障体系</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入推进全民参保计划，推动实现社会保险法定人员全覆盖。对接全国统一的社保公共服务平台，推广以社会保障卡为载体的“一卡通”服务管理模式。全面落实基本养老保险制度，完善城乡社会保险衔接机制，推进实施适合灵活就业特点的社保制度，基本养老保险参保率稳定在95%以上。深化医保制度改革，完善医保支付、待遇保障、医药服务、基金监管机制，全面落实医疗救助制度及重大疫情医疗保障制度，促进多层次医疗保障体系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622" w:name="_Toc7441"/>
      <w:bookmarkStart w:id="2623" w:name="_Toc59950117"/>
      <w:bookmarkStart w:id="2624" w:name="_Toc27018"/>
      <w:bookmarkStart w:id="2625" w:name="_Toc27668"/>
      <w:bookmarkStart w:id="2626" w:name="_Toc4391"/>
      <w:bookmarkStart w:id="2627" w:name="_Toc30716"/>
      <w:bookmarkStart w:id="2628" w:name="_Toc13182"/>
      <w:bookmarkStart w:id="2629" w:name="_Toc12325"/>
      <w:bookmarkStart w:id="2630" w:name="_Toc10068"/>
      <w:bookmarkStart w:id="2631" w:name="_Toc16780"/>
      <w:bookmarkStart w:id="2632" w:name="_Toc5330"/>
      <w:bookmarkStart w:id="2633" w:name="_Toc1148"/>
      <w:bookmarkStart w:id="2634" w:name="_Toc19250"/>
      <w:bookmarkStart w:id="2635" w:name="_Toc510"/>
      <w:bookmarkStart w:id="2636" w:name="_Toc3731"/>
      <w:bookmarkStart w:id="2637" w:name="_Toc6829"/>
      <w:bookmarkStart w:id="2638" w:name="_Toc26709"/>
      <w:bookmarkStart w:id="2639" w:name="_Toc5163"/>
      <w:bookmarkStart w:id="2640" w:name="_Toc24736"/>
      <w:r>
        <w:rPr>
          <w:rFonts w:ascii="Times New Roman" w:hAnsi="Times New Roman" w:eastAsia="方正楷体_GBK"/>
          <w:b/>
          <w:sz w:val="32"/>
          <w:szCs w:val="32"/>
        </w:rPr>
        <w:t>第二节  健全社会救助体系</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稳步扩大基本生活救助范围，落实保障标准调整机制，逐步实现城乡低保标准统一。加强救助对象分类动态管理，落实低保渐退制度。加强急难社会救助，全面建立乡镇（街道）临时救助备用金制度。加大孤儿、事实无抚养儿童兜底保障力度。强化特殊救助帮扶，加强特困人员照料护理服务。进一步加强和改进生活无着落的流浪乞讨人员救助管理。实施惠民殡葬政策，倡导绿色祭祀，构建县建殡葬服务中心、乡镇建殡仪服务站、村建集中安葬点的三级殡葬服务体系，保障人民群众基本丧葬需求。规范引导志愿服务活动，促进志愿服务制度化、规范化、常态化。广泛发动社会力量参与，大力发展慈善救助，扩大社会救助服务供给。</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641" w:name="_Toc13259"/>
      <w:bookmarkStart w:id="2642" w:name="_Toc17686"/>
      <w:bookmarkStart w:id="2643" w:name="_Toc26009"/>
      <w:bookmarkStart w:id="2644" w:name="_Toc22912"/>
      <w:bookmarkStart w:id="2645" w:name="_Toc22897"/>
      <w:bookmarkStart w:id="2646" w:name="_Toc4306"/>
      <w:bookmarkStart w:id="2647" w:name="_Toc1204"/>
      <w:bookmarkStart w:id="2648" w:name="_Toc24391"/>
      <w:bookmarkStart w:id="2649" w:name="_Toc32023"/>
      <w:bookmarkStart w:id="2650" w:name="_Toc27414"/>
      <w:bookmarkStart w:id="2651" w:name="_Toc29601"/>
      <w:bookmarkStart w:id="2652" w:name="_Toc18692"/>
      <w:bookmarkStart w:id="2653" w:name="_Toc8659"/>
      <w:bookmarkStart w:id="2654" w:name="_Toc18814"/>
      <w:bookmarkStart w:id="2655" w:name="_Toc59950118"/>
      <w:bookmarkStart w:id="2656" w:name="_Toc25575"/>
      <w:bookmarkStart w:id="2657" w:name="_Toc16811"/>
      <w:bookmarkStart w:id="2658" w:name="_Toc10708"/>
      <w:bookmarkStart w:id="2659" w:name="_Toc11788"/>
      <w:r>
        <w:rPr>
          <w:rFonts w:ascii="Times New Roman" w:hAnsi="Times New Roman" w:eastAsia="方正楷体_GBK"/>
          <w:b/>
          <w:sz w:val="32"/>
          <w:szCs w:val="32"/>
        </w:rPr>
        <w:t>第三节  完善住房保障体系</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积极落实多主体供给、多渠道保障、租购并举的住房保障制度，实现全县人民住有所居。坚持房子是用来住的、不是用来炒的定位，促进房地产市场平稳健康发展。实施按需保障、分类供给、规范管理，扩大保障性租赁住房供给，规范发展长租房市场，逐步使租购住房在享受公共服务上具有同等权利。稳步推进住房公积金制度改革，落实住房公积金缴存、提取、贷款机制。</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660" w:name="_Toc3653"/>
      <w:bookmarkStart w:id="2661" w:name="_Toc28425"/>
      <w:bookmarkStart w:id="2662" w:name="_Toc26883"/>
      <w:bookmarkStart w:id="2663" w:name="_Toc14565"/>
      <w:bookmarkStart w:id="2664" w:name="_Toc31272"/>
      <w:bookmarkStart w:id="2665" w:name="_Toc10091"/>
      <w:bookmarkStart w:id="2666" w:name="_Toc16303"/>
      <w:bookmarkStart w:id="2667" w:name="_Toc22053"/>
      <w:bookmarkStart w:id="2668" w:name="_Toc59950119"/>
      <w:bookmarkStart w:id="2669" w:name="_Toc4736"/>
      <w:bookmarkStart w:id="2670" w:name="_Toc22448"/>
      <w:bookmarkStart w:id="2671" w:name="_Toc17588"/>
      <w:bookmarkStart w:id="2672" w:name="_Toc21909"/>
      <w:bookmarkStart w:id="2673" w:name="_Toc27204"/>
      <w:bookmarkStart w:id="2674" w:name="_Toc23109"/>
      <w:bookmarkStart w:id="2675" w:name="_Toc30036"/>
      <w:bookmarkStart w:id="2676" w:name="_Toc27720"/>
      <w:bookmarkStart w:id="2677" w:name="_Toc11616"/>
      <w:bookmarkStart w:id="2678" w:name="_Toc21884"/>
      <w:r>
        <w:rPr>
          <w:rFonts w:ascii="Times New Roman" w:hAnsi="Times New Roman" w:eastAsia="方正楷体_GBK"/>
          <w:b/>
          <w:sz w:val="32"/>
          <w:szCs w:val="32"/>
        </w:rPr>
        <w:t>第四节  健全退役军人服务和保障体系</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深化退役军人安置制度改革，加大教育培训和就业扶持力度，提升安置质量。落实退役军人保障标准，加强退役军人保险制度衔接，落实伤病残退役军人移交安置、收治收养制度。大力弘扬英烈精神，加强烈士纪念设施修缮保护，推进烈士陵园建设。扎实做好新时代拥军优属工作。</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679" w:name="_Toc24748"/>
      <w:bookmarkStart w:id="2680" w:name="_Toc14226"/>
      <w:bookmarkStart w:id="2681" w:name="_Toc24978"/>
      <w:bookmarkStart w:id="2682" w:name="_Toc16224"/>
      <w:bookmarkStart w:id="2683" w:name="_Toc21245"/>
      <w:bookmarkStart w:id="2684" w:name="_Toc27400"/>
      <w:bookmarkStart w:id="2685" w:name="_Toc10119"/>
      <w:bookmarkStart w:id="2686" w:name="_Toc4383"/>
      <w:bookmarkStart w:id="2687" w:name="_Toc1583"/>
      <w:bookmarkStart w:id="2688" w:name="_Toc30771"/>
      <w:bookmarkStart w:id="2689" w:name="_Toc18834"/>
      <w:bookmarkStart w:id="2690" w:name="_Toc3382"/>
      <w:bookmarkStart w:id="2691" w:name="_Toc15376"/>
      <w:bookmarkStart w:id="2692" w:name="_Toc20705"/>
      <w:bookmarkStart w:id="2693" w:name="_Toc9096"/>
      <w:bookmarkStart w:id="2694" w:name="_Toc6376"/>
      <w:bookmarkStart w:id="2695" w:name="_Toc31249"/>
      <w:bookmarkStart w:id="2696" w:name="_Toc8567"/>
      <w:bookmarkStart w:id="2697" w:name="_Toc59950120"/>
      <w:r>
        <w:rPr>
          <w:rFonts w:ascii="Times New Roman" w:hAnsi="Times New Roman" w:eastAsia="方正黑体_GBK"/>
          <w:b/>
          <w:bCs/>
          <w:kern w:val="44"/>
          <w:sz w:val="32"/>
          <w:szCs w:val="32"/>
        </w:rPr>
        <w:t>第四十章  落实积极应对人口老龄化国家战略</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积极应对人口老龄化，加快构建生育政策、养老服务、健康保障、环境支撑、社会参与等为支撑的人口老龄化应对体系，促进人口均衡发展。</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698" w:name="_Toc25668"/>
      <w:bookmarkStart w:id="2699" w:name="_Toc7729"/>
      <w:bookmarkStart w:id="2700" w:name="_Toc16866"/>
      <w:bookmarkStart w:id="2701" w:name="_Toc32005"/>
      <w:bookmarkStart w:id="2702" w:name="_Toc14619"/>
      <w:bookmarkStart w:id="2703" w:name="_Toc59950121"/>
      <w:bookmarkStart w:id="2704" w:name="_Toc3721"/>
      <w:bookmarkStart w:id="2705" w:name="_Toc30405"/>
      <w:bookmarkStart w:id="2706" w:name="_Toc2674"/>
      <w:bookmarkStart w:id="2707" w:name="_Toc1731"/>
      <w:bookmarkStart w:id="2708" w:name="_Toc16204"/>
      <w:bookmarkStart w:id="2709" w:name="_Toc22947"/>
      <w:bookmarkStart w:id="2710" w:name="_Toc1306"/>
      <w:bookmarkStart w:id="2711" w:name="_Toc32649"/>
      <w:bookmarkStart w:id="2712" w:name="_Toc30281"/>
      <w:bookmarkStart w:id="2713" w:name="_Toc11318"/>
      <w:bookmarkStart w:id="2714" w:name="_Toc29093"/>
      <w:bookmarkStart w:id="2715" w:name="_Toc119"/>
      <w:bookmarkStart w:id="2716" w:name="_Toc12234"/>
      <w:r>
        <w:rPr>
          <w:rFonts w:ascii="Times New Roman" w:hAnsi="Times New Roman" w:eastAsia="方正楷体_GBK"/>
          <w:b/>
          <w:sz w:val="32"/>
          <w:szCs w:val="32"/>
        </w:rPr>
        <w:t>第一节  提高生育托育服务水平</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pPr>
        <w:overflowPunct w:val="0"/>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落实国家生育政策，增强政策包容性，引导生育水平稳定提升，适度减缓人口老龄化进程。全面落实生育延长产假、生育保险政策和生育补贴津贴制度，提升居民生育意愿。提高优生优育服务水平，提高出生人口素质。实施城企联动普惠托育专项行动，支持社会力量开展托育服务，多元化增加托育服务供给。积极推进健康家庭及发展能力建设，营造生育友好的社会环境、家庭环境。</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717" w:name="_Toc59950122"/>
      <w:bookmarkStart w:id="2718" w:name="_Toc16242"/>
      <w:bookmarkStart w:id="2719" w:name="_Toc22330"/>
      <w:bookmarkStart w:id="2720" w:name="_Toc28663"/>
      <w:bookmarkStart w:id="2721" w:name="_Toc16920"/>
      <w:bookmarkStart w:id="2722" w:name="_Toc11394"/>
      <w:bookmarkStart w:id="2723" w:name="_Toc29632"/>
      <w:bookmarkStart w:id="2724" w:name="_Toc21231"/>
      <w:bookmarkStart w:id="2725" w:name="_Toc23076"/>
      <w:bookmarkStart w:id="2726" w:name="_Toc2015"/>
      <w:bookmarkStart w:id="2727" w:name="_Toc7877"/>
      <w:bookmarkStart w:id="2728" w:name="_Toc6198"/>
      <w:bookmarkStart w:id="2729" w:name="_Toc26122"/>
      <w:bookmarkStart w:id="2730" w:name="_Toc25978"/>
      <w:bookmarkStart w:id="2731" w:name="_Toc28703"/>
      <w:bookmarkStart w:id="2732" w:name="_Toc11251"/>
      <w:bookmarkStart w:id="2733" w:name="_Toc23617"/>
      <w:bookmarkStart w:id="2734" w:name="_Toc7604"/>
      <w:bookmarkStart w:id="2735" w:name="_Toc7071"/>
      <w:r>
        <w:rPr>
          <w:rFonts w:ascii="Times New Roman" w:hAnsi="Times New Roman" w:eastAsia="方正楷体_GBK"/>
          <w:b/>
          <w:sz w:val="32"/>
          <w:szCs w:val="32"/>
        </w:rPr>
        <w:t xml:space="preserve">第二节  </w:t>
      </w:r>
      <w:bookmarkEnd w:id="2717"/>
      <w:r>
        <w:rPr>
          <w:rFonts w:ascii="Times New Roman" w:hAnsi="Times New Roman" w:eastAsia="方正楷体_GBK"/>
          <w:b/>
          <w:sz w:val="32"/>
          <w:szCs w:val="32"/>
        </w:rPr>
        <w:t>推动养老事业和养老产业协同发展</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健全养老服务体系。建立基本公共养老服务清单，发展普惠性养老服务和互助性养老，加快构建以居家为基础、社区为依托、机构充分发展、医养康养有机结合的多层次养老服务体系。支持家庭承担养老功能，推进街道养老服务中心、社区养老服务站建设，提升居家社区养老服务能力。推动城乡养老服务均衡发展，加快农村养老服务设施提档升级，合理布局农村失能特困人员集中照护中心，发展城乡互助养老等新型养老模式。深化公办养老机构改革。持续发展市场化、专业化的居家养老服务组织，大力发展护理型养老机构和社区嵌入式养老机构。加强养老服务专业队伍建设和养老服务综合监管。加快各类公共设施适老化改造，构建老年人友好型社区，支持居家适老化改造，创造无障碍生活环境。</w:t>
      </w: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大力发展银发经济。支持企业积极开发老年人用品、用具和服务产品，加快发展养老护理服务、康复保健、文化娱乐等老龄产业，打造一批养老产业集聚区。引导金融机构开发适合老年人的理财、信贷等金融产品。积极推进“互联网+养老”，推进智慧养老大数据平台开发应用。发展老年教育，积极开发老龄人力资源，发挥老年人社会价值。鼓励开发老年住宅、老年公寓。</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专栏21  社会保障重点项目</w:t>
      </w:r>
    </w:p>
    <w:tbl>
      <w:tblPr>
        <w:tblStyle w:val="2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6"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
                <w:sz w:val="24"/>
                <w:szCs w:val="32"/>
              </w:rPr>
            </w:pPr>
            <w:r>
              <w:rPr>
                <w:rFonts w:ascii="Times New Roman" w:hAnsi="Times New Roman" w:eastAsia="方正仿宋_GBK"/>
                <w:b/>
                <w:sz w:val="24"/>
                <w:szCs w:val="32"/>
              </w:rPr>
              <w:t>养老服务。</w:t>
            </w:r>
            <w:r>
              <w:rPr>
                <w:rFonts w:ascii="Times New Roman" w:hAnsi="Times New Roman" w:eastAsia="方正仿宋_GBK"/>
                <w:bCs/>
                <w:sz w:val="24"/>
                <w:szCs w:val="32"/>
              </w:rPr>
              <w:t>推进高燕镇、蓼子乡中心敬老院建设项目，规划建设居家养老服务中心（站）。规划建设城区养老服务中心。</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退役军人重点工程。</w:t>
            </w:r>
            <w:r>
              <w:rPr>
                <w:rFonts w:ascii="Times New Roman" w:hAnsi="Times New Roman" w:eastAsia="方正仿宋_GBK"/>
                <w:bCs/>
                <w:sz w:val="24"/>
                <w:szCs w:val="32"/>
              </w:rPr>
              <w:t>推进烈士陵园建设工程、军队离退休干部管理服务中心、乡镇（街道）退役军人服务站建设等项目建设。</w:t>
            </w:r>
          </w:p>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社会保障。</w:t>
            </w:r>
            <w:r>
              <w:rPr>
                <w:rFonts w:ascii="Times New Roman" w:hAnsi="Times New Roman" w:eastAsia="方正仿宋_GBK"/>
                <w:bCs/>
                <w:sz w:val="24"/>
                <w:szCs w:val="32"/>
              </w:rPr>
              <w:t>推进城市第二公益性公墓建设项目、乡镇场镇简易殡仪服务站及农村集中安葬点建设项目、殡葬服务设施建设项目。</w:t>
            </w:r>
          </w:p>
          <w:p>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社会救助。</w:t>
            </w:r>
            <w:r>
              <w:rPr>
                <w:rFonts w:ascii="Times New Roman" w:hAnsi="Times New Roman" w:eastAsia="方正仿宋_GBK"/>
                <w:bCs/>
                <w:sz w:val="24"/>
                <w:szCs w:val="32"/>
              </w:rPr>
              <w:t>推进儿童福利院、未成年人救助保护中心（救助站）、流浪乞讨人员救助管理站建设等项目。</w:t>
            </w:r>
          </w:p>
        </w:tc>
      </w:tr>
    </w:tbl>
    <w:p>
      <w:pPr>
        <w:pStyle w:val="26"/>
        <w:overflowPunct w:val="0"/>
        <w:adjustRightInd w:val="0"/>
        <w:snapToGrid w:val="0"/>
        <w:spacing w:after="0" w:line="560" w:lineRule="exact"/>
        <w:ind w:leftChars="0"/>
        <w:rPr>
          <w:rFonts w:ascii="Times New Roman" w:hAnsi="Times New Roman"/>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736" w:name="_Toc4089"/>
      <w:bookmarkStart w:id="2737" w:name="_Toc27093"/>
      <w:bookmarkStart w:id="2738" w:name="_Toc7638"/>
      <w:bookmarkStart w:id="2739" w:name="_Toc19273"/>
      <w:bookmarkStart w:id="2740" w:name="_Toc1055"/>
      <w:bookmarkStart w:id="2741" w:name="_Toc25237"/>
      <w:bookmarkStart w:id="2742" w:name="_Toc30973"/>
      <w:bookmarkStart w:id="2743" w:name="_Toc18101"/>
      <w:bookmarkStart w:id="2744" w:name="_Toc26233"/>
      <w:bookmarkStart w:id="2745" w:name="_Toc15936"/>
      <w:bookmarkStart w:id="2746" w:name="_Toc27057"/>
      <w:bookmarkStart w:id="2747" w:name="_Toc13983"/>
      <w:bookmarkStart w:id="2748" w:name="_Toc15911"/>
      <w:bookmarkStart w:id="2749" w:name="_Toc22007"/>
      <w:bookmarkStart w:id="2750" w:name="_Toc1412"/>
      <w:bookmarkStart w:id="2751" w:name="_Toc19872"/>
      <w:bookmarkStart w:id="2752" w:name="_Toc59950123"/>
      <w:bookmarkStart w:id="2753" w:name="_Toc6537"/>
      <w:bookmarkStart w:id="2754" w:name="_Toc30286"/>
      <w:r>
        <w:rPr>
          <w:rFonts w:ascii="Times New Roman" w:hAnsi="Times New Roman" w:eastAsia="方正黑体_GBK"/>
          <w:b/>
          <w:bCs/>
          <w:kern w:val="44"/>
          <w:sz w:val="32"/>
          <w:szCs w:val="32"/>
        </w:rPr>
        <w:t>第四十一章  关心关爱重点群体发展</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注重机会公平，聚焦妇女儿童、青少年和残疾人等重点群体，切实保障基本权益，共享社会发展成果。</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755" w:name="_Toc24493"/>
      <w:bookmarkStart w:id="2756" w:name="_Toc27733"/>
      <w:bookmarkStart w:id="2757" w:name="_Toc1787"/>
      <w:bookmarkStart w:id="2758" w:name="_Toc32209"/>
      <w:bookmarkStart w:id="2759" w:name="_Toc27530"/>
      <w:bookmarkStart w:id="2760" w:name="_Toc4699"/>
      <w:bookmarkStart w:id="2761" w:name="_Toc11396"/>
      <w:bookmarkStart w:id="2762" w:name="_Toc23124"/>
      <w:bookmarkStart w:id="2763" w:name="_Toc18721"/>
      <w:bookmarkStart w:id="2764" w:name="_Toc17126"/>
      <w:bookmarkStart w:id="2765" w:name="_Toc701"/>
      <w:bookmarkStart w:id="2766" w:name="_Toc17358"/>
      <w:bookmarkStart w:id="2767" w:name="_Toc27521"/>
      <w:bookmarkStart w:id="2768" w:name="_Toc3013"/>
      <w:bookmarkStart w:id="2769" w:name="_Toc7716"/>
      <w:bookmarkStart w:id="2770" w:name="_Toc8466"/>
      <w:bookmarkStart w:id="2771" w:name="_Toc9079"/>
      <w:bookmarkStart w:id="2772" w:name="_Toc23773"/>
      <w:bookmarkStart w:id="2773" w:name="_Toc59950124"/>
      <w:r>
        <w:rPr>
          <w:rFonts w:ascii="Times New Roman" w:hAnsi="Times New Roman" w:eastAsia="方正楷体_GBK"/>
          <w:b/>
          <w:sz w:val="32"/>
          <w:szCs w:val="32"/>
        </w:rPr>
        <w:t>第一节  促进妇女全面发展</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bookmarkEnd w:id="2773"/>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男女平等基本国策，坚持和完善促进男女平等、妇女全面发展的制度机制。落实中国妇女发展纲要，畅通妇女诉求表达、利益协调、权益保障通道。聚焦就业性别歧视、性侵妇女和二孩政策下妇女权益保护、婚姻家庭纠纷人民调解等重点问题，保障妇女合法权益。加强女性人才队伍建设，提升女性素质，提高妇女参与经济社会发展的能力与水平。全方位优化妇女发展环境，提高妇女参与经济文化社会事务管理水平，充分发挥妇女在全面建设社会主义现代化国家中的“半边天”作用。拓宽妇女就业渠道，培养女性优秀人才，高质量促进妇女成长成才。推进基层妇女之家活动阵地规范化建设。提高妇幼保健公共服务水平。加强特殊困难妇女群体民生保障，实施城乡低收入“两癌”患病妇女救助。</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774" w:name="_Toc14341"/>
      <w:bookmarkStart w:id="2775" w:name="_Toc32342"/>
      <w:bookmarkStart w:id="2776" w:name="_Toc11566"/>
      <w:bookmarkStart w:id="2777" w:name="_Toc16339"/>
      <w:bookmarkStart w:id="2778" w:name="_Toc28486"/>
      <w:bookmarkStart w:id="2779" w:name="_Toc16705"/>
      <w:bookmarkStart w:id="2780" w:name="_Toc11155"/>
      <w:bookmarkStart w:id="2781" w:name="_Toc17921"/>
      <w:bookmarkStart w:id="2782" w:name="_Toc4394"/>
      <w:bookmarkStart w:id="2783" w:name="_Toc31695"/>
      <w:bookmarkStart w:id="2784" w:name="_Toc12626"/>
      <w:bookmarkStart w:id="2785" w:name="_Toc20524"/>
      <w:bookmarkStart w:id="2786" w:name="_Toc25910"/>
      <w:bookmarkStart w:id="2787" w:name="_Toc26457"/>
      <w:bookmarkStart w:id="2788" w:name="_Toc24629"/>
      <w:bookmarkStart w:id="2789" w:name="_Toc7268"/>
      <w:bookmarkStart w:id="2790" w:name="_Toc28159"/>
      <w:bookmarkStart w:id="2791" w:name="_Toc15701"/>
      <w:r>
        <w:rPr>
          <w:rFonts w:ascii="Times New Roman" w:hAnsi="Times New Roman" w:eastAsia="方正楷体_GBK"/>
          <w:b/>
          <w:sz w:val="32"/>
          <w:szCs w:val="32"/>
        </w:rPr>
        <w:t>第二节  保障儿童健康发展</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面贯彻落实儿童优先原则，建立和完善促进儿童优先发展和全面发展的制度体系。优化儿童发展环境，探索创建儿童友好城区和儿童友好社区，提高城乡社区儿童之家建设水平。缩小儿童发展的城乡、区域、群体差距，保障儿童生存、发展、受保护和参与的权利。加强儿童早期教育和心理健康教育指导。完善学校家庭社会协同育人机制，落实立德树人根本任务。促进儿童早期发展，探索实施学龄前儿童营养改善计划，全面提升儿童综合素质。完善儿童监护制度，健全基层儿童保护机制，加强留守儿童关爱服务，落实困境儿童保障制度，增加婴幼儿普惠性托育服务有效供给。健全未成年人网络保护综合治理机制，提升儿童网络素养，严厉打击危害儿童身心健康的违法犯罪行为。完善困境儿童、留守儿童等特殊群体关爱服务体系，实施“情暖童心 相伴成长”关爱服务项目。</w:t>
      </w:r>
    </w:p>
    <w:p>
      <w:pPr>
        <w:overflowPunct w:val="0"/>
        <w:adjustRightInd w:val="0"/>
        <w:snapToGrid w:val="0"/>
        <w:spacing w:line="560" w:lineRule="exact"/>
        <w:jc w:val="center"/>
        <w:outlineLvl w:val="2"/>
        <w:rPr>
          <w:rFonts w:ascii="Times New Roman" w:hAnsi="Times New Roman" w:eastAsia="方正仿宋_GBK"/>
          <w:sz w:val="32"/>
          <w:szCs w:val="32"/>
        </w:rPr>
      </w:pPr>
      <w:bookmarkStart w:id="2792" w:name="_Toc2726"/>
      <w:bookmarkStart w:id="2793" w:name="_Toc11070"/>
      <w:bookmarkStart w:id="2794" w:name="_Toc148"/>
      <w:bookmarkStart w:id="2795" w:name="_Toc174"/>
      <w:bookmarkStart w:id="2796" w:name="_Toc21543"/>
      <w:bookmarkStart w:id="2797" w:name="_Toc11865"/>
      <w:bookmarkStart w:id="2798" w:name="_Toc2913"/>
      <w:bookmarkStart w:id="2799" w:name="_Toc12314"/>
      <w:bookmarkStart w:id="2800" w:name="_Toc19455"/>
      <w:bookmarkStart w:id="2801" w:name="_Toc18832"/>
      <w:bookmarkStart w:id="2802" w:name="_Toc18365"/>
      <w:bookmarkStart w:id="2803" w:name="_Toc14647"/>
      <w:bookmarkStart w:id="2804" w:name="_Toc4154"/>
      <w:bookmarkStart w:id="2805" w:name="_Toc22043"/>
      <w:bookmarkStart w:id="2806" w:name="_Toc29537"/>
      <w:bookmarkStart w:id="2807" w:name="_Toc7486"/>
      <w:bookmarkStart w:id="2808" w:name="_Toc7227"/>
      <w:bookmarkStart w:id="2809" w:name="_Toc5066"/>
      <w:r>
        <w:rPr>
          <w:rFonts w:ascii="Times New Roman" w:hAnsi="Times New Roman" w:eastAsia="方正楷体_GBK"/>
          <w:b/>
          <w:sz w:val="32"/>
          <w:szCs w:val="32"/>
        </w:rPr>
        <w:t>第三节  高质量推动青少年发展事业</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Start w:id="2810" w:name="_Toc5995012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贯彻落实全市中长期青年发展规划，让青年成为经济社会发展的生力军和中坚力量。提升“青少年之家”的服务功能，新建青少年活动中心，打造集思想引领、艺体培训、素质拓展为一体的校外教育阵地。打造青年创客工坊和返乡青年创业示范基地，引导广大青年参与乡村振兴战略，促进乡村建设发展。充分利用良好的生态资源，创建国家级青少年社会实践基地及营地，实施青少年自然教育，助推农文旅融合发展。打造“城宣万”青年合作联盟，强化人才互动和成果合作，为助推城宣万革命老区振兴发展贡献青年力量。实施青年体质健康提升工程，在城乡社区建设更多适应青少年需求的体育设施和场所，在全县建立青少年心理健康工作室，解决青年在学业、职业和生活等方面的问题和压力。打造青少年社会工作专业人才队伍，培育青少年事务社会工作服务机构，提升青年全面参与社会工作的能力。</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811" w:name="_Toc30191"/>
      <w:bookmarkStart w:id="2812" w:name="_Toc12345"/>
      <w:bookmarkStart w:id="2813" w:name="_Toc11053"/>
      <w:bookmarkStart w:id="2814" w:name="_Toc24805"/>
      <w:bookmarkStart w:id="2815" w:name="_Toc24470"/>
      <w:bookmarkStart w:id="2816" w:name="_Toc17544"/>
      <w:bookmarkStart w:id="2817" w:name="_Toc29743"/>
      <w:bookmarkStart w:id="2818" w:name="_Toc21361"/>
      <w:bookmarkStart w:id="2819" w:name="_Toc1163"/>
      <w:bookmarkStart w:id="2820" w:name="_Toc340"/>
      <w:bookmarkStart w:id="2821" w:name="_Toc7214"/>
      <w:bookmarkStart w:id="2822" w:name="_Toc31186"/>
      <w:bookmarkStart w:id="2823" w:name="_Toc23460"/>
      <w:bookmarkStart w:id="2824" w:name="_Toc19887"/>
      <w:bookmarkStart w:id="2825" w:name="_Toc23858"/>
      <w:bookmarkStart w:id="2826" w:name="_Toc21395"/>
      <w:bookmarkStart w:id="2827" w:name="_Toc12961"/>
      <w:bookmarkStart w:id="2828" w:name="_Toc25116"/>
      <w:r>
        <w:rPr>
          <w:rFonts w:ascii="Times New Roman" w:hAnsi="Times New Roman" w:eastAsia="方正楷体_GBK"/>
          <w:b/>
          <w:sz w:val="32"/>
          <w:szCs w:val="32"/>
        </w:rPr>
        <w:t>第四节  加强家庭建设</w:t>
      </w:r>
    </w:p>
    <w:p>
      <w:pPr>
        <w:pStyle w:val="2"/>
        <w:overflowPunct w:val="0"/>
        <w:adjustRightInd w:val="0"/>
        <w:snapToGrid w:val="0"/>
        <w:spacing w:before="0" w:after="0" w:line="560" w:lineRule="exact"/>
        <w:ind w:firstLine="643" w:firstLineChars="200"/>
        <w:rPr>
          <w:rFonts w:ascii="Times New Roman" w:hAnsi="Times New Roman" w:eastAsia="方正仿宋_GBK" w:cs="Times New Roman"/>
          <w:bCs w:val="0"/>
        </w:rPr>
      </w:pPr>
      <w:r>
        <w:rPr>
          <w:rFonts w:ascii="Times New Roman" w:hAnsi="Times New Roman" w:eastAsia="方正仿宋_GBK" w:cs="Times New Roman"/>
          <w:bCs w:val="0"/>
        </w:rPr>
        <w:t>以建设文明家庭、实施科学家教、传承优良家风为重点，深入实施家家幸福安康工程。推动实施《重庆市家庭教育促进条例》，加大反家庭暴力法宣传力度，加强婚姻家庭辅导服务，进一步完善婚姻家庭纠纷人民调解机制，预防和化解婚姻家庭矛盾纠纷。构建覆盖城乡的家庭教育指导服务体系，健全学校家庭社会协同育人机制。促进家庭服务多元化发展。充分发挥家庭家教家风在基层社会治理中的作用。</w:t>
      </w:r>
    </w:p>
    <w:p>
      <w:pPr>
        <w:overflowPunct w:val="0"/>
        <w:adjustRightInd w:val="0"/>
        <w:snapToGrid w:val="0"/>
        <w:spacing w:line="560" w:lineRule="exact"/>
        <w:jc w:val="center"/>
        <w:outlineLvl w:val="2"/>
        <w:rPr>
          <w:rFonts w:ascii="Times New Roman" w:hAnsi="Times New Roman" w:eastAsia="方正仿宋_GBK"/>
          <w:sz w:val="32"/>
          <w:szCs w:val="32"/>
        </w:rPr>
      </w:pPr>
      <w:r>
        <w:rPr>
          <w:rFonts w:ascii="Times New Roman" w:hAnsi="Times New Roman" w:eastAsia="方正楷体_GBK"/>
          <w:b/>
          <w:sz w:val="32"/>
          <w:szCs w:val="32"/>
        </w:rPr>
        <w:t>第五节  提升残疾人服务保障水平</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落实贫困残疾人生活补贴、重度残疾人互利补贴标准，持续解决残疾人特殊生活困难和长期照顾困难。完善残疾人社会福利制度，扩大残疾人社会保险覆盖面，加快发展重度残疾人照护和托养服务。推进残疾人集中就业，多渠道多形式扶持残疾人自主创业和灵活就业。加强残疾人健康管理，提升残疾人康复服务水平。完善残疾人服务基础设施，提高无障碍环境建设水平。建设残疾人康复中心，逐步满足残疾人康复或托养需求。</w:t>
      </w:r>
    </w:p>
    <w:p>
      <w:pPr>
        <w:overflowPunct w:val="0"/>
        <w:rPr>
          <w:rFonts w:ascii="Times New Roman" w:hAnsi="Times New Roman" w:eastAsia="方正黑体_GBK"/>
          <w:b/>
          <w:bCs/>
          <w:kern w:val="44"/>
          <w:sz w:val="32"/>
          <w:szCs w:val="32"/>
        </w:rPr>
      </w:pPr>
      <w:bookmarkStart w:id="2829" w:name="_Toc59950126"/>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830" w:name="_Toc12260"/>
      <w:bookmarkStart w:id="2831" w:name="_Toc25441"/>
      <w:bookmarkStart w:id="2832" w:name="_Toc6359"/>
      <w:bookmarkStart w:id="2833" w:name="_Toc22233"/>
      <w:bookmarkStart w:id="2834" w:name="_Toc24278"/>
      <w:bookmarkStart w:id="2835" w:name="_Toc11641"/>
      <w:bookmarkStart w:id="2836" w:name="_Toc23614"/>
      <w:bookmarkStart w:id="2837" w:name="_Toc1773"/>
      <w:bookmarkStart w:id="2838" w:name="_Toc5131"/>
      <w:bookmarkStart w:id="2839" w:name="_Toc25334"/>
      <w:bookmarkStart w:id="2840" w:name="_Toc24085"/>
      <w:bookmarkStart w:id="2841" w:name="_Toc27648"/>
      <w:bookmarkStart w:id="2842" w:name="_Toc1552"/>
      <w:bookmarkStart w:id="2843" w:name="_Toc13263"/>
      <w:bookmarkStart w:id="2844" w:name="_Toc7749"/>
      <w:bookmarkStart w:id="2845" w:name="_Toc2518"/>
      <w:bookmarkStart w:id="2846" w:name="_Toc26966"/>
      <w:bookmarkStart w:id="2847" w:name="_Toc8833"/>
      <w:r>
        <w:rPr>
          <w:rFonts w:ascii="Times New Roman" w:hAnsi="Times New Roman" w:eastAsia="方正黑体_GBK"/>
          <w:b/>
          <w:bCs/>
          <w:kern w:val="44"/>
          <w:sz w:val="32"/>
          <w:szCs w:val="32"/>
        </w:rPr>
        <w:t>第四十二章  加强和创新社会治理</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坚持系统治理、依法治理、综合治理、源头治理，建设人人有责、人人尽责、人人享有的社会治理共同体，推进社会治理体系和治理能力现代化。</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848" w:name="_Toc21142"/>
      <w:bookmarkStart w:id="2849" w:name="_Toc26015"/>
      <w:bookmarkStart w:id="2850" w:name="_Toc31468"/>
      <w:bookmarkStart w:id="2851" w:name="_Toc17442"/>
      <w:bookmarkStart w:id="2852" w:name="_Toc3333"/>
      <w:bookmarkStart w:id="2853" w:name="_Toc15646"/>
      <w:bookmarkStart w:id="2854" w:name="_Toc59950127"/>
      <w:bookmarkStart w:id="2855" w:name="_Toc3806"/>
      <w:bookmarkStart w:id="2856" w:name="_Toc30277"/>
      <w:bookmarkStart w:id="2857" w:name="_Toc5319"/>
      <w:bookmarkStart w:id="2858" w:name="_Toc17505"/>
      <w:bookmarkStart w:id="2859" w:name="_Toc28069"/>
      <w:bookmarkStart w:id="2860" w:name="_Toc25517"/>
      <w:bookmarkStart w:id="2861" w:name="_Toc11006"/>
      <w:bookmarkStart w:id="2862" w:name="_Toc31324"/>
      <w:bookmarkStart w:id="2863" w:name="_Toc26651"/>
      <w:bookmarkStart w:id="2864" w:name="_Toc26440"/>
      <w:bookmarkStart w:id="2865" w:name="_Toc1278"/>
      <w:bookmarkStart w:id="2866" w:name="_Toc541"/>
      <w:r>
        <w:rPr>
          <w:rFonts w:ascii="Times New Roman" w:hAnsi="Times New Roman" w:eastAsia="方正楷体_GBK"/>
          <w:b/>
          <w:sz w:val="32"/>
          <w:szCs w:val="32"/>
        </w:rPr>
        <w:t>第一节  完善社会治理体系</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推进县域社会治理现代化试点工作为抓手，健全完善共建共治共享的基层社会治理体系。强化政治引领。自觉把政治引领落实到社会治理各领域各方面各环节，进一步巩固党的执政根基，不断增强社会治理的政治优势、组织优势。强化自治基础。健全基层群众自治机制，广泛开展村民说事、民情恳谈等协商活动，明确政府管理权和村民自治权的边界。不断创新丰富全县基层社会治理品牌的时代内涵，进一步提升品牌知名度和影响力。</w:t>
      </w:r>
    </w:p>
    <w:p>
      <w:pPr>
        <w:overflowPunct w:val="0"/>
        <w:adjustRightInd w:val="0"/>
        <w:snapToGrid w:val="0"/>
        <w:spacing w:line="560" w:lineRule="exact"/>
        <w:rPr>
          <w:rFonts w:ascii="Times New Roman" w:hAnsi="Times New Roman" w:eastAsia="方正仿宋_GBK"/>
          <w:sz w:val="32"/>
          <w:szCs w:val="32"/>
        </w:rPr>
      </w:pPr>
      <w:r>
        <w:rPr>
          <w:rFonts w:ascii="Times New Roman" w:hAnsi="Times New Roman" w:eastAsia="方正仿宋_GBK"/>
          <w:sz w:val="32"/>
          <w:szCs w:val="32"/>
        </w:rPr>
        <w:t>强化法治保障。建立健全扫黑除恶专项斗争长效常治机制，不断加强公共法律服务建设，充分发挥“一村一警”“一村一法律顾问”在基层调解、法律服务方面的作用。全面落实“谁执法谁普法”普法责任制，推动行政执法与刑事司法有机衔接。强化德治教化。广泛开展道德模范、身边好人等选树活动，完善见义勇为人员奖励和保障政策，健全守信联合激励和失信联合惩戒机制，弘扬公序良俗。强化智治支撑。推动大数据、人工智能等现代科技与社会治理深度融合。开展“互联网+政务服务”，打通部门、企事业单位之间的数据壁垒，实现设施联通、信息互通、工作联动。</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867" w:name="_Toc12990"/>
      <w:bookmarkStart w:id="2868" w:name="_Toc12707"/>
      <w:bookmarkStart w:id="2869" w:name="_Toc17328"/>
      <w:bookmarkStart w:id="2870" w:name="_Toc17118"/>
      <w:bookmarkStart w:id="2871" w:name="_Toc19377"/>
      <w:bookmarkStart w:id="2872" w:name="_Toc59950128"/>
      <w:bookmarkStart w:id="2873" w:name="_Toc12219"/>
      <w:bookmarkStart w:id="2874" w:name="_Toc22009"/>
      <w:bookmarkStart w:id="2875" w:name="_Toc18643"/>
      <w:bookmarkStart w:id="2876" w:name="_Toc25368"/>
      <w:bookmarkStart w:id="2877" w:name="_Toc19599"/>
      <w:bookmarkStart w:id="2878" w:name="_Toc20730"/>
      <w:bookmarkStart w:id="2879" w:name="_Toc10293"/>
      <w:bookmarkStart w:id="2880" w:name="_Toc26750"/>
      <w:bookmarkStart w:id="2881" w:name="_Toc28499"/>
      <w:bookmarkStart w:id="2882" w:name="_Toc19801"/>
      <w:bookmarkStart w:id="2883" w:name="_Toc30386"/>
      <w:bookmarkStart w:id="2884" w:name="_Toc19327"/>
      <w:bookmarkStart w:id="2885" w:name="_Toc31795"/>
      <w:r>
        <w:rPr>
          <w:rFonts w:ascii="Times New Roman" w:hAnsi="Times New Roman" w:eastAsia="方正楷体_GBK"/>
          <w:b/>
          <w:sz w:val="32"/>
          <w:szCs w:val="32"/>
        </w:rPr>
        <w:t xml:space="preserve">第二节  </w:t>
      </w:r>
      <w:bookmarkEnd w:id="2867"/>
      <w:bookmarkEnd w:id="2868"/>
      <w:bookmarkEnd w:id="2869"/>
      <w:bookmarkEnd w:id="2870"/>
      <w:bookmarkEnd w:id="2871"/>
      <w:bookmarkEnd w:id="2872"/>
      <w:bookmarkEnd w:id="2873"/>
      <w:bookmarkEnd w:id="2874"/>
      <w:bookmarkEnd w:id="2875"/>
      <w:bookmarkEnd w:id="2876"/>
      <w:r>
        <w:rPr>
          <w:rFonts w:ascii="Times New Roman" w:hAnsi="Times New Roman" w:eastAsia="方正楷体_GBK"/>
          <w:b/>
          <w:sz w:val="32"/>
          <w:szCs w:val="32"/>
        </w:rPr>
        <w:t>加强基层社会治理</w:t>
      </w:r>
      <w:bookmarkEnd w:id="2877"/>
      <w:bookmarkEnd w:id="2878"/>
      <w:bookmarkEnd w:id="2879"/>
      <w:bookmarkEnd w:id="2880"/>
      <w:bookmarkEnd w:id="2881"/>
      <w:bookmarkEnd w:id="2882"/>
      <w:bookmarkEnd w:id="2883"/>
      <w:bookmarkEnd w:id="2884"/>
      <w:bookmarkEnd w:id="288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社会治理重心向基层下移，完善基层网格化管理，向基层放权赋能，加强基层组织、基础工作、基本能力建设，减轻基层特别是村级组织负担。推进县、乡、村综治中心规范化、实体化建设，完善城乡社区治理和服务体系，深入落实“县—乡—村—基础”四级网格管理体系，进一步提升基层社会治理效能。健全完善“党建+三治”治理机制。探索建立党建引领下的社区居民委员会、业主委员会、物业服务企业协调运行机制，加强社区物业党建联建，形成社区治理合力。加强基层社会治理队伍建设，构建网格化管理、精细化服务、信息化支撑、开放共享的基层管理服务平台。推动大数据智能化等现代科技与社会治理深度融合。</w:t>
      </w:r>
    </w:p>
    <w:p>
      <w:pPr>
        <w:overflowPunct w:val="0"/>
        <w:spacing w:line="480" w:lineRule="exact"/>
        <w:jc w:val="center"/>
        <w:rPr>
          <w:rFonts w:ascii="Times New Roman" w:hAnsi="Times New Roman" w:eastAsia="方正黑体_GBK"/>
          <w:sz w:val="28"/>
          <w:szCs w:val="28"/>
        </w:rPr>
      </w:pPr>
      <w:r>
        <w:rPr>
          <w:rFonts w:ascii="Times New Roman" w:hAnsi="Times New Roman" w:eastAsia="方正黑体_GBK"/>
          <w:sz w:val="28"/>
          <w:szCs w:val="28"/>
        </w:rPr>
        <w:t>专栏22  社会治理重点项目</w:t>
      </w:r>
    </w:p>
    <w:tbl>
      <w:tblPr>
        <w:tblStyle w:val="2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2"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社会治理。</w:t>
            </w:r>
            <w:r>
              <w:rPr>
                <w:rFonts w:ascii="Times New Roman" w:hAnsi="Times New Roman" w:eastAsia="方正仿宋_GBK"/>
                <w:bCs/>
                <w:sz w:val="24"/>
                <w:szCs w:val="32"/>
              </w:rPr>
              <w:t>加快建设“雪亮工程”、社会治安综合治理中心、执法办案中心建设，规划建设车管服务中心、公安巡逻执法中心、基层派出所、毒品预防教育基地。</w:t>
            </w:r>
          </w:p>
        </w:tc>
      </w:tr>
    </w:tbl>
    <w:p>
      <w:pPr>
        <w:overflowPunct w:val="0"/>
        <w:rPr>
          <w:rFonts w:ascii="Times New Roman" w:hAnsi="Times New Roman" w:eastAsia="方正小标宋_GBK"/>
          <w:b/>
          <w:bCs/>
          <w:kern w:val="44"/>
          <w:sz w:val="36"/>
          <w:szCs w:val="36"/>
        </w:rPr>
      </w:pP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886" w:name="_Toc3915"/>
      <w:bookmarkStart w:id="2887" w:name="_Toc13346"/>
      <w:bookmarkStart w:id="2888" w:name="_Toc3366"/>
      <w:bookmarkStart w:id="2889" w:name="_Toc29690"/>
      <w:bookmarkStart w:id="2890" w:name="_Toc21057"/>
      <w:bookmarkStart w:id="2891" w:name="_Toc29879"/>
      <w:bookmarkStart w:id="2892" w:name="_Toc22747"/>
      <w:bookmarkStart w:id="2893" w:name="_Toc4255"/>
      <w:bookmarkStart w:id="2894" w:name="_Toc19053"/>
      <w:bookmarkStart w:id="2895" w:name="_Toc29703"/>
      <w:bookmarkStart w:id="2896" w:name="_Toc5207"/>
      <w:bookmarkStart w:id="2897" w:name="_Toc16517"/>
      <w:bookmarkStart w:id="2898" w:name="_Toc4303"/>
      <w:bookmarkStart w:id="2899" w:name="_Toc15555"/>
      <w:bookmarkStart w:id="2900" w:name="_Toc4755"/>
      <w:bookmarkStart w:id="2901" w:name="_Toc6371"/>
      <w:bookmarkStart w:id="2902" w:name="_Toc5351"/>
      <w:bookmarkStart w:id="2903" w:name="_Toc3738"/>
      <w:r>
        <w:rPr>
          <w:rFonts w:ascii="Times New Roman" w:hAnsi="Times New Roman" w:eastAsia="方正小标宋_GBK"/>
          <w:b/>
          <w:bCs/>
          <w:kern w:val="44"/>
          <w:sz w:val="36"/>
          <w:szCs w:val="36"/>
        </w:rPr>
        <w:t>第十一篇  统筹发展和安全  守住安全发展底线</w:t>
      </w:r>
      <w:bookmarkEnd w:id="2886"/>
      <w:bookmarkEnd w:id="2887"/>
      <w:bookmarkEnd w:id="2888"/>
      <w:bookmarkEnd w:id="2889"/>
      <w:bookmarkEnd w:id="2890"/>
      <w:bookmarkEnd w:id="2891"/>
      <w:bookmarkEnd w:id="2892"/>
      <w:bookmarkEnd w:id="2893"/>
      <w:bookmarkEnd w:id="2894"/>
      <w:bookmarkEnd w:id="2895"/>
      <w:bookmarkEnd w:id="2896"/>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jc w:val="left"/>
        <w:rPr>
          <w:rFonts w:ascii="Times New Roman" w:hAnsi="Times New Roman"/>
        </w:rPr>
      </w:pPr>
      <w:r>
        <w:rPr>
          <w:rFonts w:ascii="Times New Roman" w:hAnsi="Times New Roman" w:eastAsia="方正仿宋_GBK"/>
          <w:sz w:val="32"/>
          <w:szCs w:val="32"/>
        </w:rPr>
        <w:t>坚持总体国家安全观，牢固树立安全发展理念，统筹传统安全和非传统安全，把安全发展贯穿发展各领域和全过程，提高重点领域防范抵御风险能力，确保全县人民安居乐业、社会安定有序。</w:t>
      </w:r>
    </w:p>
    <w:p>
      <w:pPr>
        <w:overflowPunct w:val="0"/>
        <w:adjustRightInd w:val="0"/>
        <w:snapToGrid w:val="0"/>
        <w:spacing w:line="560" w:lineRule="exact"/>
        <w:jc w:val="center"/>
        <w:outlineLvl w:val="1"/>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904" w:name="_Toc22732"/>
      <w:bookmarkStart w:id="2905" w:name="_Toc11470"/>
      <w:bookmarkStart w:id="2906" w:name="_Toc28400"/>
      <w:bookmarkStart w:id="2907" w:name="_Toc26352"/>
      <w:bookmarkStart w:id="2908" w:name="_Toc3282"/>
      <w:bookmarkStart w:id="2909" w:name="_Toc13386"/>
      <w:bookmarkStart w:id="2910" w:name="_Toc8948"/>
      <w:bookmarkStart w:id="2911" w:name="_Toc18267"/>
      <w:bookmarkStart w:id="2912" w:name="_Toc32751"/>
      <w:bookmarkStart w:id="2913" w:name="_Toc17775"/>
      <w:bookmarkStart w:id="2914" w:name="_Toc13892"/>
      <w:r>
        <w:rPr>
          <w:rFonts w:ascii="Times New Roman" w:hAnsi="Times New Roman" w:eastAsia="方正黑体_GBK"/>
          <w:b/>
          <w:bCs/>
          <w:kern w:val="44"/>
          <w:sz w:val="32"/>
          <w:szCs w:val="32"/>
        </w:rPr>
        <w:t>第四十三章  全力维护国家安全</w:t>
      </w:r>
      <w:bookmarkEnd w:id="2904"/>
      <w:bookmarkEnd w:id="2905"/>
      <w:bookmarkEnd w:id="2906"/>
      <w:bookmarkEnd w:id="2907"/>
      <w:bookmarkEnd w:id="2908"/>
      <w:bookmarkEnd w:id="2909"/>
      <w:bookmarkEnd w:id="2910"/>
      <w:bookmarkEnd w:id="2911"/>
      <w:bookmarkEnd w:id="2912"/>
      <w:bookmarkEnd w:id="2913"/>
      <w:bookmarkEnd w:id="2914"/>
    </w:p>
    <w:p>
      <w:pPr>
        <w:overflowPunct w:val="0"/>
        <w:adjustRightInd w:val="0"/>
        <w:snapToGrid w:val="0"/>
        <w:spacing w:line="560" w:lineRule="exact"/>
        <w:ind w:firstLine="640" w:firstLineChars="200"/>
        <w:jc w:val="left"/>
        <w:rPr>
          <w:rFonts w:ascii="Times New Roman" w:hAnsi="Times New Roman" w:eastAsia="方正仿宋_GBK"/>
          <w:sz w:val="32"/>
          <w:szCs w:val="32"/>
        </w:rPr>
      </w:pPr>
      <w:bookmarkStart w:id="2915" w:name="_Toc4991"/>
      <w:r>
        <w:rPr>
          <w:rFonts w:ascii="Times New Roman" w:hAnsi="Times New Roman" w:eastAsia="方正仿宋_GBK"/>
          <w:sz w:val="32"/>
          <w:szCs w:val="32"/>
        </w:rPr>
        <w:t>落实国家安全战略，坚持人民安全、政治安全、国家利益至上有机统一，坚决维护国家主权、安全、发展利益。落实国家安全审查和监管制度，完善跨部门会商、风险监测评估和预警、危机管控等专项工作机制。加强维护国家安全所需资金、物资、技术、装备等保障。用好红色资源，深入开展国家安全宣传教育，增强全县群众国家安全意识，筑牢国家安全群众基础。</w:t>
      </w:r>
      <w:bookmarkEnd w:id="2915"/>
    </w:p>
    <w:p>
      <w:pPr>
        <w:overflowPunct w:val="0"/>
        <w:adjustRightInd w:val="0"/>
        <w:snapToGrid w:val="0"/>
        <w:spacing w:line="560" w:lineRule="exact"/>
        <w:ind w:firstLine="640" w:firstLineChars="200"/>
        <w:jc w:val="left"/>
        <w:rPr>
          <w:rFonts w:ascii="Times New Roman" w:hAnsi="Times New Roman" w:eastAsia="方正仿宋_GBK"/>
          <w:sz w:val="32"/>
          <w:szCs w:val="32"/>
        </w:rPr>
      </w:pPr>
      <w:bookmarkStart w:id="2916" w:name="_Toc23233"/>
      <w:r>
        <w:rPr>
          <w:rFonts w:ascii="Times New Roman" w:hAnsi="Times New Roman" w:eastAsia="方正仿宋_GBK"/>
          <w:sz w:val="32"/>
          <w:szCs w:val="32"/>
        </w:rPr>
        <w:t>坚决维护国家政权安全、制度安全、意识形态安全，深入抓好政治安全风险隐患排查化解，严密防范和严厉打击各种渗透、破坏、颠覆、分裂活动。扎实开展反邪教斗争，依法处置非法宗教活动。坚决落实党委（党组）意识形态工作责任制，加强宣传思想文化阵地建设和管理。全面加强网络安全保障体系和能力建设，做好网络意识形态工作。</w:t>
      </w:r>
      <w:bookmarkEnd w:id="2916"/>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增强国防动员和保障能力，落实国防动员体制改革各项任务，巩固强化党管国防动员的职能定位，抓实民兵队伍建设，完善民兵队伍建设、训练、管理、保障机制。抓实全民国防教育，创新培养国防动员人才，开创军政军民团结新局面。</w:t>
      </w:r>
    </w:p>
    <w:p>
      <w:pPr>
        <w:overflowPunct w:val="0"/>
        <w:adjustRightInd w:val="0"/>
        <w:snapToGrid w:val="0"/>
        <w:spacing w:line="560" w:lineRule="exact"/>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2917" w:name="_Toc9287"/>
      <w:bookmarkStart w:id="2918" w:name="_Toc2091"/>
      <w:bookmarkStart w:id="2919" w:name="_Toc25442"/>
      <w:bookmarkStart w:id="2920" w:name="_Toc29550"/>
      <w:bookmarkStart w:id="2921" w:name="_Toc14447"/>
      <w:bookmarkStart w:id="2922" w:name="_Toc20113"/>
      <w:bookmarkStart w:id="2923" w:name="_Toc6942"/>
      <w:bookmarkStart w:id="2924" w:name="_Toc962"/>
      <w:bookmarkStart w:id="2925" w:name="_Toc19420"/>
      <w:bookmarkStart w:id="2926" w:name="_Toc11210"/>
      <w:bookmarkStart w:id="2927" w:name="_Toc21049"/>
      <w:r>
        <w:rPr>
          <w:rFonts w:ascii="Times New Roman" w:hAnsi="Times New Roman" w:eastAsia="方正黑体_GBK"/>
          <w:b/>
          <w:bCs/>
          <w:kern w:val="44"/>
          <w:sz w:val="32"/>
          <w:szCs w:val="32"/>
        </w:rPr>
        <w:t>第四十四章  突出抓好经济安全</w:t>
      </w:r>
      <w:bookmarkEnd w:id="2917"/>
      <w:bookmarkEnd w:id="2918"/>
      <w:bookmarkEnd w:id="2919"/>
      <w:bookmarkEnd w:id="2920"/>
      <w:bookmarkEnd w:id="2921"/>
      <w:bookmarkEnd w:id="2922"/>
      <w:bookmarkEnd w:id="2923"/>
      <w:bookmarkEnd w:id="2924"/>
      <w:bookmarkEnd w:id="2925"/>
      <w:bookmarkEnd w:id="2926"/>
      <w:bookmarkEnd w:id="2927"/>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加强经济安全风险预警、防控机制和能力建设，织密织牢开放安全网，确保金融、战略资源等关键领域安全可控，增强生存力、竞争力、发展力、持续力。强化金融风险监测、评估、预警和处置，切实提高防范化解金融风险能力。严厉打击非法金融活动，稳妥处置重大非法集资案件，加强国有企业资产负债约束和管理，稳妥推动“僵尸企业”处置，防止政府债务违约风险。稳妥化解重点企业信用风险，防止信贷违约风险集中爆发，严厉打击恶意“逃废债”行为。加强存量债券兑付风险排查和债券发行事前事中事后监管，稳妥化解公开市场风险，营造良好金融法治环境。加强战略物资储备，统筹建设与经济社会发展相协调、与应急管理体系相衔接的新型战略物资储备体系，强化交通、生活、医疗等战略物资保障。坚决维护粮食安全，全面加强粮食生产、储备和流通能力建设。加强战略物资储备设施建设，完善重要商品应急保供重点企业制度。</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仿宋_GBK"/>
          <w:sz w:val="32"/>
          <w:szCs w:val="32"/>
        </w:rPr>
      </w:pPr>
      <w:bookmarkStart w:id="2928" w:name="_Toc16337"/>
      <w:bookmarkStart w:id="2929" w:name="_Toc5052"/>
      <w:bookmarkStart w:id="2930" w:name="_Toc17028"/>
      <w:bookmarkStart w:id="2931" w:name="_Toc26140"/>
      <w:bookmarkStart w:id="2932" w:name="_Toc1800"/>
      <w:bookmarkStart w:id="2933" w:name="_Toc23255"/>
      <w:bookmarkStart w:id="2934" w:name="_Toc1350"/>
      <w:bookmarkStart w:id="2935" w:name="_Toc15738"/>
      <w:bookmarkStart w:id="2936" w:name="_Toc1310"/>
      <w:bookmarkStart w:id="2937" w:name="_Toc17634"/>
      <w:bookmarkStart w:id="2938" w:name="_Toc13878"/>
      <w:r>
        <w:rPr>
          <w:rFonts w:ascii="Times New Roman" w:hAnsi="Times New Roman" w:eastAsia="方正黑体_GBK"/>
          <w:b/>
          <w:bCs/>
          <w:kern w:val="44"/>
          <w:sz w:val="32"/>
          <w:szCs w:val="32"/>
        </w:rPr>
        <w:t>第四十五章  切实保障公共安全</w:t>
      </w:r>
      <w:bookmarkEnd w:id="2928"/>
      <w:bookmarkEnd w:id="2929"/>
      <w:bookmarkEnd w:id="2930"/>
      <w:bookmarkEnd w:id="2931"/>
      <w:bookmarkEnd w:id="2932"/>
      <w:bookmarkEnd w:id="2933"/>
      <w:bookmarkEnd w:id="2934"/>
      <w:bookmarkEnd w:id="2935"/>
      <w:bookmarkEnd w:id="2936"/>
      <w:bookmarkEnd w:id="2937"/>
      <w:bookmarkEnd w:id="2938"/>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坚持人民至上、生命至上，把保护人民生命安全摆在首位，织密织牢全方位立体化的公共安全网，让人民群众的安全感更有保障。</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939" w:name="_Toc15963"/>
      <w:bookmarkStart w:id="2940" w:name="_Toc18233"/>
      <w:bookmarkStart w:id="2941" w:name="_Toc4258"/>
      <w:bookmarkStart w:id="2942" w:name="_Toc22920"/>
      <w:bookmarkStart w:id="2943" w:name="_Toc22635"/>
      <w:bookmarkStart w:id="2944" w:name="_Toc553"/>
      <w:bookmarkStart w:id="2945" w:name="_Toc23938"/>
      <w:bookmarkStart w:id="2946" w:name="_Toc13158"/>
      <w:bookmarkStart w:id="2947" w:name="_Toc11539"/>
      <w:r>
        <w:rPr>
          <w:rFonts w:ascii="Times New Roman" w:hAnsi="Times New Roman" w:eastAsia="方正楷体_GBK"/>
          <w:b/>
          <w:sz w:val="32"/>
          <w:szCs w:val="32"/>
        </w:rPr>
        <w:t>第一节  全面提升安全生产水平</w:t>
      </w:r>
      <w:bookmarkEnd w:id="2939"/>
      <w:bookmarkEnd w:id="2940"/>
      <w:bookmarkEnd w:id="2941"/>
      <w:bookmarkEnd w:id="2942"/>
      <w:bookmarkEnd w:id="2943"/>
      <w:bookmarkEnd w:id="2944"/>
      <w:bookmarkEnd w:id="2945"/>
      <w:bookmarkEnd w:id="2946"/>
      <w:bookmarkEnd w:id="2947"/>
    </w:p>
    <w:p>
      <w:pPr>
        <w:overflowPunct w:val="0"/>
        <w:adjustRightInd w:val="0"/>
        <w:snapToGrid w:val="0"/>
        <w:spacing w:line="560" w:lineRule="exact"/>
        <w:ind w:firstLine="640" w:firstLineChars="200"/>
        <w:rPr>
          <w:rFonts w:ascii="Times New Roman" w:hAnsi="Times New Roman" w:eastAsia="方正仿宋_GBK"/>
          <w:sz w:val="32"/>
          <w:szCs w:val="32"/>
        </w:rPr>
      </w:pPr>
      <w:bookmarkStart w:id="2948" w:name="_Toc30223"/>
      <w:bookmarkStart w:id="2949" w:name="_Toc16917"/>
      <w:bookmarkStart w:id="2950" w:name="_Toc18546"/>
      <w:r>
        <w:rPr>
          <w:rFonts w:ascii="Times New Roman" w:hAnsi="Times New Roman" w:eastAsia="方正仿宋_GBK"/>
          <w:sz w:val="32"/>
          <w:szCs w:val="32"/>
        </w:rPr>
        <w:t>完善和落实安全生产责任制，推进安全生产标准化建设，构建风险分级管控和隐患排查治理双重预防体系，落实企业安全管理主体责任。持续推进矿山、交通、建设施工、校园、医院、高层建筑消防和旅游景区等重点领域安全专项整治，有效防范较大及以上安全事故。实施公路安全生命防护、消防生命通道等重大安全风险控制工程。加强重点行业领域安全风险监测预警，完善事故信息发布机制。完善安全生产执法体系，提升安全生产治理基础保障能力。推进安全生产网格化管理，强化城市运行安全保障。</w:t>
      </w:r>
      <w:bookmarkStart w:id="2951" w:name="_Toc27828"/>
      <w:bookmarkStart w:id="2952" w:name="_Toc31089"/>
      <w:bookmarkStart w:id="2953" w:name="_Toc2943"/>
      <w:bookmarkStart w:id="2954" w:name="_Toc10053"/>
    </w:p>
    <w:p>
      <w:pPr>
        <w:overflowPunct w:val="0"/>
        <w:adjustRightInd w:val="0"/>
        <w:snapToGrid w:val="0"/>
        <w:spacing w:line="560" w:lineRule="exact"/>
        <w:jc w:val="center"/>
        <w:outlineLvl w:val="2"/>
        <w:rPr>
          <w:rFonts w:ascii="Times New Roman" w:hAnsi="Times New Roman" w:eastAsia="方正楷体_GBK"/>
          <w:b/>
          <w:sz w:val="32"/>
          <w:szCs w:val="32"/>
        </w:rPr>
      </w:pPr>
      <w:bookmarkStart w:id="2955" w:name="_Toc23755"/>
      <w:bookmarkStart w:id="2956" w:name="_Toc10641"/>
      <w:r>
        <w:rPr>
          <w:rFonts w:ascii="Times New Roman" w:hAnsi="Times New Roman" w:eastAsia="方正楷体_GBK"/>
          <w:b/>
          <w:sz w:val="32"/>
          <w:szCs w:val="32"/>
        </w:rPr>
        <w:t>第二节  严格食品药品安全监管</w:t>
      </w:r>
      <w:bookmarkEnd w:id="2948"/>
      <w:bookmarkEnd w:id="2949"/>
      <w:bookmarkEnd w:id="2950"/>
      <w:bookmarkEnd w:id="2951"/>
      <w:bookmarkEnd w:id="2952"/>
      <w:bookmarkEnd w:id="2953"/>
      <w:bookmarkEnd w:id="2954"/>
      <w:bookmarkEnd w:id="2955"/>
      <w:bookmarkEnd w:id="2956"/>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最严谨的标准、最严格的监管、最严厉的处罚、最严肃的问责，加快完善食品药品治理体系，建立健全覆盖生产、流通、储备、使用等各个环节的全链式、可追溯式管理机制，牢牢守住食品药品安全底线。强化准入源头监管，完善药品生产、流通全过程监管，严格实施食药领域惩罚性赔偿制度，依法打击食品药品安全违法违规行为。强化智慧监管，加强监管数据的开发应用和开放共享，坚守生命安全红线和健康底线。</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957" w:name="_Toc27385"/>
      <w:bookmarkStart w:id="2958" w:name="_Toc22766"/>
      <w:bookmarkStart w:id="2959" w:name="_Toc517"/>
      <w:bookmarkStart w:id="2960" w:name="_Toc22392"/>
      <w:bookmarkStart w:id="2961" w:name="_Toc14427"/>
      <w:bookmarkStart w:id="2962" w:name="_Toc5445"/>
      <w:bookmarkStart w:id="2963" w:name="_Toc12818"/>
      <w:bookmarkStart w:id="2964" w:name="_Toc19304"/>
      <w:bookmarkStart w:id="2965" w:name="_Toc20542"/>
      <w:r>
        <w:rPr>
          <w:rFonts w:ascii="Times New Roman" w:hAnsi="Times New Roman" w:eastAsia="方正楷体_GBK"/>
          <w:b/>
          <w:sz w:val="32"/>
          <w:szCs w:val="32"/>
        </w:rPr>
        <w:t>第三节  提高事故灾害防范应对能力</w:t>
      </w:r>
      <w:bookmarkEnd w:id="2957"/>
      <w:bookmarkEnd w:id="2958"/>
      <w:bookmarkEnd w:id="2959"/>
      <w:bookmarkEnd w:id="2960"/>
      <w:bookmarkEnd w:id="2961"/>
      <w:bookmarkEnd w:id="2962"/>
      <w:bookmarkEnd w:id="2963"/>
      <w:bookmarkEnd w:id="2964"/>
      <w:bookmarkEnd w:id="296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构建统一指挥、专常兼备、反应灵敏、上下联动的应急管理体制，优化全县应急管理体系，提高防灾、减灾、救灾能力。健全县、乡镇（街道）、村分级响应机制，强化跨区域跨流域灾害事故应急协同联动。加强灾害综合检测预警能力建设，完善重点地区自然灾害监测站网布局。开展自然灾害风险普查，建立完善全县自然灾害风险数据库。实施公共基础设施安全加固，加强防御自然灾害基础设施建设。加强应急救援队伍建设，完善应急物资储备，提高快速调配和紧急运输能力。建设全县统一的事故灾害应急调度指挥信息系统。完善灾后救助和恢复重建补助机制，发展巨灾保险。加强城市规划建设管理各环节安全管控，推进安全风险网格化管理，保障城市运行安全。</w:t>
      </w:r>
    </w:p>
    <w:p>
      <w:pPr>
        <w:overflowPunct w:val="0"/>
        <w:adjustRightInd w:val="0"/>
        <w:snapToGrid w:val="0"/>
        <w:spacing w:line="560" w:lineRule="exact"/>
        <w:ind w:firstLine="560" w:firstLineChars="200"/>
        <w:jc w:val="center"/>
        <w:rPr>
          <w:rFonts w:ascii="Times New Roman" w:hAnsi="Times New Roman" w:eastAsia="方正黑体_GBK"/>
          <w:sz w:val="28"/>
          <w:szCs w:val="28"/>
        </w:rPr>
      </w:pPr>
      <w:r>
        <w:rPr>
          <w:rFonts w:ascii="Times New Roman" w:hAnsi="Times New Roman" w:eastAsia="方正黑体_GBK"/>
          <w:sz w:val="28"/>
          <w:szCs w:val="28"/>
        </w:rPr>
        <w:t>专栏23  应急和安全重点工程</w:t>
      </w:r>
    </w:p>
    <w:tbl>
      <w:tblPr>
        <w:tblStyle w:val="27"/>
        <w:tblW w:w="886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0" w:type="dxa"/>
            <w:tcBorders>
              <w:top w:val="single" w:color="auto" w:sz="4" w:space="0"/>
              <w:left w:val="single" w:color="auto" w:sz="4" w:space="0"/>
              <w:bottom w:val="single" w:color="auto" w:sz="4" w:space="0"/>
              <w:right w:val="single" w:color="auto" w:sz="4" w:space="0"/>
            </w:tcBorders>
          </w:tcPr>
          <w:p>
            <w:pPr>
              <w:overflowPunct w:val="0"/>
              <w:spacing w:line="400" w:lineRule="exact"/>
              <w:ind w:firstLine="482" w:firstLineChars="200"/>
              <w:rPr>
                <w:rFonts w:ascii="Times New Roman" w:hAnsi="Times New Roman" w:eastAsia="方正仿宋_GBK"/>
                <w:bCs/>
                <w:sz w:val="24"/>
                <w:szCs w:val="32"/>
              </w:rPr>
            </w:pPr>
            <w:r>
              <w:rPr>
                <w:rFonts w:ascii="Times New Roman" w:hAnsi="Times New Roman" w:eastAsia="方正仿宋_GBK"/>
                <w:b/>
                <w:sz w:val="24"/>
                <w:szCs w:val="32"/>
              </w:rPr>
              <w:t>应急管理。</w:t>
            </w:r>
            <w:r>
              <w:rPr>
                <w:rFonts w:ascii="Times New Roman" w:hAnsi="Times New Roman" w:eastAsia="方正仿宋_GBK"/>
                <w:bCs/>
                <w:sz w:val="24"/>
                <w:szCs w:val="32"/>
              </w:rPr>
              <w:t>建成救灾物资储备库与应急管理实训基地、村级防灾减灾预警工作站、应急能力建设等，规划建设城口县避难场所等项目。</w:t>
            </w:r>
          </w:p>
          <w:p>
            <w:pPr>
              <w:overflowPunct w:val="0"/>
              <w:spacing w:line="400" w:lineRule="exact"/>
              <w:ind w:firstLine="482" w:firstLineChars="200"/>
              <w:rPr>
                <w:rFonts w:ascii="Times New Roman" w:hAnsi="Times New Roman"/>
              </w:rPr>
            </w:pPr>
            <w:r>
              <w:rPr>
                <w:rFonts w:ascii="Times New Roman" w:hAnsi="Times New Roman" w:eastAsia="方正仿宋_GBK"/>
                <w:b/>
                <w:sz w:val="24"/>
                <w:szCs w:val="32"/>
              </w:rPr>
              <w:t>国防安全。</w:t>
            </w:r>
            <w:r>
              <w:rPr>
                <w:rFonts w:ascii="Times New Roman" w:hAnsi="Times New Roman" w:eastAsia="方正仿宋_GBK"/>
                <w:bCs/>
                <w:sz w:val="24"/>
                <w:szCs w:val="32"/>
              </w:rPr>
              <w:t>建设集国防教育、民兵训练、学生军训、干部轮训、会议培训、拓展训练、民警战训等功能于一体的国防教育综合训练基地。</w:t>
            </w:r>
          </w:p>
        </w:tc>
      </w:tr>
    </w:tbl>
    <w:p>
      <w:pPr>
        <w:overflowPunct w:val="0"/>
        <w:adjustRightInd w:val="0"/>
        <w:snapToGrid w:val="0"/>
        <w:spacing w:line="560" w:lineRule="exact"/>
        <w:rPr>
          <w:rFonts w:ascii="Times New Roman" w:hAnsi="Times New Roman"/>
        </w:rPr>
      </w:pPr>
    </w:p>
    <w:p>
      <w:pPr>
        <w:overflowPunct w:val="0"/>
        <w:adjustRightInd w:val="0"/>
        <w:snapToGrid w:val="0"/>
        <w:spacing w:line="560" w:lineRule="exact"/>
        <w:jc w:val="center"/>
        <w:outlineLvl w:val="1"/>
        <w:rPr>
          <w:rFonts w:ascii="Times New Roman" w:hAnsi="Times New Roman"/>
        </w:rPr>
      </w:pPr>
      <w:bookmarkStart w:id="2966" w:name="_Toc29572"/>
      <w:bookmarkStart w:id="2967" w:name="_Toc31549"/>
      <w:bookmarkStart w:id="2968" w:name="_Toc30324"/>
      <w:bookmarkStart w:id="2969" w:name="_Toc29507"/>
      <w:bookmarkStart w:id="2970" w:name="_Toc10784"/>
      <w:bookmarkStart w:id="2971" w:name="_Toc22231"/>
      <w:bookmarkStart w:id="2972" w:name="_Toc13743"/>
      <w:bookmarkStart w:id="2973" w:name="_Toc8750"/>
      <w:bookmarkStart w:id="2974" w:name="_Toc6602"/>
      <w:bookmarkStart w:id="2975" w:name="_Toc29156"/>
      <w:bookmarkStart w:id="2976" w:name="_Toc1807"/>
      <w:r>
        <w:rPr>
          <w:rFonts w:ascii="Times New Roman" w:hAnsi="Times New Roman" w:eastAsia="方正黑体_GBK"/>
          <w:b/>
          <w:bCs/>
          <w:kern w:val="44"/>
          <w:sz w:val="32"/>
          <w:szCs w:val="32"/>
        </w:rPr>
        <w:t>第四十六章  维护社会稳定和安全</w:t>
      </w:r>
      <w:bookmarkEnd w:id="2966"/>
      <w:bookmarkEnd w:id="2967"/>
      <w:bookmarkEnd w:id="2968"/>
      <w:bookmarkEnd w:id="2969"/>
      <w:bookmarkEnd w:id="2970"/>
      <w:bookmarkEnd w:id="2971"/>
      <w:bookmarkEnd w:id="2972"/>
      <w:bookmarkEnd w:id="2973"/>
      <w:bookmarkEnd w:id="2974"/>
      <w:bookmarkEnd w:id="2975"/>
      <w:bookmarkEnd w:id="2976"/>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正确处理新形势下群众内部矛盾，加强社会风险预防和治安防控，将矛盾化解在基层，将和谐稳定在基层，确保群众安居乐业、社会安定有序。</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977" w:name="_Toc30236"/>
      <w:bookmarkStart w:id="2978" w:name="_Toc11904"/>
      <w:bookmarkStart w:id="2979" w:name="_Toc23436"/>
      <w:bookmarkStart w:id="2980" w:name="_Toc3153"/>
      <w:bookmarkStart w:id="2981" w:name="_Toc15498"/>
      <w:bookmarkStart w:id="2982" w:name="_Toc20970"/>
      <w:bookmarkStart w:id="2983" w:name="_Toc24508"/>
      <w:bookmarkStart w:id="2984" w:name="_Toc15557"/>
      <w:bookmarkStart w:id="2985" w:name="_Toc16653"/>
      <w:r>
        <w:rPr>
          <w:rFonts w:ascii="Times New Roman" w:hAnsi="Times New Roman" w:eastAsia="方正楷体_GBK"/>
          <w:b/>
          <w:sz w:val="32"/>
          <w:szCs w:val="32"/>
        </w:rPr>
        <w:t>第一节  防范化解社会矛盾风险</w:t>
      </w:r>
      <w:bookmarkEnd w:id="2977"/>
      <w:bookmarkEnd w:id="2978"/>
      <w:bookmarkEnd w:id="2979"/>
      <w:bookmarkEnd w:id="2980"/>
      <w:bookmarkEnd w:id="2981"/>
      <w:bookmarkEnd w:id="2982"/>
      <w:bookmarkEnd w:id="2983"/>
      <w:bookmarkEnd w:id="2984"/>
      <w:bookmarkEnd w:id="2985"/>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化“枫桥经验”重庆实践，打造源头防控、排查梳理、纠纷化解、应急处置的社会矛盾综合治理机制。畅通和规范群众诉求表达、利益协调、权益保障通道，落实重大决策社会稳定风险评估制度机制。完善信访制度，落实领导干部接访下访制度。健全矛盾纠纷多元化解机制，构建各类调解联动工作体系。巩固充实乡镇（街道）人民调解委员会，加强人民调解员队伍和行业性、专业性调解组织建设。健全群体性事件预防处置机制。健全社会心理服务体系和危机干预机制，完善社会心理服务网络。</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2986" w:name="_Toc31036"/>
      <w:bookmarkStart w:id="2987" w:name="_Toc6223"/>
      <w:bookmarkStart w:id="2988" w:name="_Toc32103"/>
      <w:bookmarkStart w:id="2989" w:name="_Toc15446"/>
      <w:bookmarkStart w:id="2990" w:name="_Toc1396"/>
      <w:bookmarkStart w:id="2991" w:name="_Toc3845"/>
      <w:bookmarkStart w:id="2992" w:name="_Toc16114"/>
      <w:bookmarkStart w:id="2993" w:name="_Toc15415"/>
      <w:bookmarkStart w:id="2994" w:name="_Toc4692"/>
      <w:r>
        <w:rPr>
          <w:rFonts w:ascii="Times New Roman" w:hAnsi="Times New Roman" w:eastAsia="方正楷体_GBK"/>
          <w:b/>
          <w:sz w:val="32"/>
          <w:szCs w:val="32"/>
        </w:rPr>
        <w:t>第二节  推进社会治安防控体系现代化</w:t>
      </w:r>
      <w:bookmarkEnd w:id="2986"/>
      <w:bookmarkEnd w:id="2987"/>
      <w:bookmarkEnd w:id="2988"/>
      <w:bookmarkEnd w:id="2989"/>
      <w:bookmarkEnd w:id="2990"/>
      <w:bookmarkEnd w:id="2991"/>
      <w:bookmarkEnd w:id="2992"/>
      <w:bookmarkEnd w:id="2993"/>
      <w:bookmarkEnd w:id="2994"/>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专群结合、群防群治，深化平安县、平安乡镇（街道）、平安村（社区）示范创建活动，提高社会治理社会化、法治化、智能化、专业化水平，构建城乡统筹、网上网下融合、人防物防技防结合、打防管控一体的社会治安防控新格局。构建扫黑除恶长效常治机制，防范和打击暴力恐怖、新型网络犯罪和毒品犯罪。以“雪亮工程”项目建设为牵引，加强智慧警务建设，深入推进社会面智能安防，强化派出所、警务室等治安防控支点建设。加强社会面圈层查控、县域单元防控、治安要素管控、基础工程建设，规范快递物理、网约车等新业态安全监管，提高预测预警预防各类风险能力。</w:t>
      </w:r>
    </w:p>
    <w:p>
      <w:pPr>
        <w:overflowPunct w:val="0"/>
        <w:rPr>
          <w:rFonts w:ascii="Times New Roman" w:hAnsi="Times New Roman" w:eastAsia="方正小标宋_GBK"/>
          <w:b/>
          <w:bCs/>
          <w:kern w:val="44"/>
          <w:sz w:val="36"/>
          <w:szCs w:val="36"/>
        </w:rPr>
      </w:pPr>
    </w:p>
    <w:p>
      <w:pPr>
        <w:overflowPunct w:val="0"/>
        <w:adjustRightInd w:val="0"/>
        <w:snapToGrid w:val="0"/>
        <w:spacing w:line="560" w:lineRule="exact"/>
        <w:jc w:val="center"/>
        <w:outlineLvl w:val="0"/>
        <w:rPr>
          <w:rFonts w:ascii="Times New Roman" w:hAnsi="Times New Roman" w:eastAsia="方正小标宋_GBK"/>
          <w:b/>
          <w:bCs/>
          <w:kern w:val="44"/>
          <w:sz w:val="36"/>
          <w:szCs w:val="36"/>
        </w:rPr>
      </w:pPr>
      <w:bookmarkStart w:id="2995" w:name="_Toc31293"/>
      <w:bookmarkStart w:id="2996" w:name="_Toc4653"/>
      <w:bookmarkStart w:id="2997" w:name="_Toc12677"/>
      <w:bookmarkStart w:id="2998" w:name="_Toc28129"/>
      <w:bookmarkStart w:id="2999" w:name="_Toc810"/>
      <w:bookmarkStart w:id="3000" w:name="_Toc20129"/>
      <w:bookmarkStart w:id="3001" w:name="_Toc23183"/>
      <w:bookmarkStart w:id="3002" w:name="_Toc15356"/>
      <w:bookmarkStart w:id="3003" w:name="_Toc27387"/>
      <w:bookmarkStart w:id="3004" w:name="_Toc28756"/>
      <w:bookmarkStart w:id="3005" w:name="_Toc24925"/>
      <w:r>
        <w:rPr>
          <w:rFonts w:ascii="Times New Roman" w:hAnsi="Times New Roman" w:eastAsia="方正小标宋_GBK"/>
          <w:b/>
          <w:bCs/>
          <w:kern w:val="44"/>
          <w:sz w:val="36"/>
          <w:szCs w:val="36"/>
        </w:rPr>
        <w:t>第十二篇  健全规划的领导和保障机制</w:t>
      </w:r>
      <w:bookmarkEnd w:id="2995"/>
      <w:bookmarkEnd w:id="2996"/>
      <w:bookmarkEnd w:id="2997"/>
      <w:bookmarkEnd w:id="2998"/>
      <w:bookmarkEnd w:id="2999"/>
      <w:bookmarkEnd w:id="3000"/>
      <w:bookmarkEnd w:id="3001"/>
      <w:bookmarkEnd w:id="3002"/>
      <w:bookmarkEnd w:id="3003"/>
      <w:bookmarkEnd w:id="3004"/>
      <w:bookmarkEnd w:id="3005"/>
    </w:p>
    <w:p>
      <w:pPr>
        <w:overflowPunct w:val="0"/>
        <w:adjustRightInd w:val="0"/>
        <w:snapToGrid w:val="0"/>
        <w:spacing w:line="560" w:lineRule="exact"/>
        <w:ind w:firstLine="640" w:firstLineChars="200"/>
        <w:rPr>
          <w:rFonts w:ascii="Times New Roman" w:hAnsi="Times New Roman" w:eastAsia="方正仿宋_GBK"/>
          <w:sz w:val="32"/>
          <w:szCs w:val="32"/>
        </w:rPr>
      </w:pPr>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建立健全规划实施机制，最大程度激发全社会的积极性、主动性、创造性，形成推动规划实施的强大合力，确保各项目标任务顺利实施。</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06" w:name="_Toc17432"/>
      <w:bookmarkStart w:id="3007" w:name="_Toc7318"/>
      <w:bookmarkStart w:id="3008" w:name="_Toc30570"/>
      <w:bookmarkStart w:id="3009" w:name="_Toc9179"/>
      <w:bookmarkStart w:id="3010" w:name="_Toc4612"/>
      <w:bookmarkStart w:id="3011" w:name="_Toc23770"/>
      <w:bookmarkStart w:id="3012" w:name="_Toc25961"/>
      <w:bookmarkStart w:id="3013" w:name="_Toc6571"/>
      <w:bookmarkStart w:id="3014" w:name="_Toc20958"/>
      <w:bookmarkStart w:id="3015" w:name="_Toc7023"/>
      <w:bookmarkStart w:id="3016" w:name="_Toc4999"/>
      <w:r>
        <w:rPr>
          <w:rFonts w:ascii="Times New Roman" w:hAnsi="Times New Roman" w:eastAsia="方正黑体_GBK"/>
          <w:b/>
          <w:bCs/>
          <w:kern w:val="44"/>
          <w:sz w:val="32"/>
          <w:szCs w:val="32"/>
        </w:rPr>
        <w:t>第四十七章  坚持党对经济社会发展的领导</w:t>
      </w:r>
      <w:bookmarkEnd w:id="3006"/>
      <w:bookmarkEnd w:id="3007"/>
      <w:bookmarkEnd w:id="3008"/>
      <w:bookmarkEnd w:id="3009"/>
      <w:bookmarkEnd w:id="3010"/>
      <w:bookmarkEnd w:id="3011"/>
      <w:bookmarkEnd w:id="3012"/>
      <w:bookmarkEnd w:id="3013"/>
      <w:bookmarkEnd w:id="3014"/>
      <w:bookmarkEnd w:id="3015"/>
      <w:bookmarkEnd w:id="3016"/>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深入学习贯彻习近平新时代中国特色社会主义思想，以精神文明建设铸魂聚力，进一步增强“四个意识”、坚定“四个自信”、做到“两个维护”，用实际行动统筹推进“五位一体”总体布局、协调推进“四个全面”战略布局，贯彻党把方向、谋大局、定政策、促改革的要求，完善上下贯通、执行有力的组织体系，切实推进全县生态优先绿色发展。发挥党统揽全局、协调各方的领导核心作用，把党的集中统一领导落实到各方面各领域各环节，加强党对全县经济社会发展工作的统筹指导、督促协调，确保中央和市委市政府决策部署有效落实。切实提高党的领导能力，提升党领导经济社会发展制度化、规范化、程序化水平，加强前瞻性思考、全局性谋划、战略性布局、整体性推进，促进经济社会发展各个环节有效对接、紧密协同、相互促进。强化党委决策和监督作用，把握正确发展方向，加强调查研究，强化创新理念，善于用政治眼光观察和分析经济社会问题，提升政治判断力、政治领悟力、政治执行力，提高决策科学化、民主化、法治化水平，把制度优势转为治理效能。</w:t>
      </w:r>
    </w:p>
    <w:p>
      <w:pPr>
        <w:pStyle w:val="26"/>
        <w:overflowPunct w:val="0"/>
        <w:adjustRightInd w:val="0"/>
        <w:snapToGrid w:val="0"/>
        <w:spacing w:after="0" w:line="560" w:lineRule="exact"/>
        <w:ind w:leftChars="0"/>
        <w:rPr>
          <w:rFonts w:ascii="Times New Roman" w:hAnsi="Times New Roman"/>
        </w:rPr>
      </w:pPr>
    </w:p>
    <w:p>
      <w:pPr>
        <w:overflowPunct w:val="0"/>
        <w:adjustRightInd w:val="0"/>
        <w:snapToGrid w:val="0"/>
        <w:spacing w:line="560" w:lineRule="exact"/>
        <w:jc w:val="center"/>
        <w:outlineLvl w:val="1"/>
        <w:rPr>
          <w:rFonts w:ascii="Times New Roman" w:hAnsi="Times New Roman" w:eastAsia="方正仿宋_GBK"/>
          <w:bCs/>
          <w:sz w:val="32"/>
          <w:szCs w:val="32"/>
        </w:rPr>
      </w:pPr>
      <w:bookmarkStart w:id="3017" w:name="_Toc23136"/>
      <w:bookmarkStart w:id="3018" w:name="_Toc8326"/>
      <w:bookmarkStart w:id="3019" w:name="_Toc2171"/>
      <w:bookmarkStart w:id="3020" w:name="_Toc19922"/>
      <w:bookmarkStart w:id="3021" w:name="_Toc14413"/>
      <w:bookmarkStart w:id="3022" w:name="_Toc10733"/>
      <w:bookmarkStart w:id="3023" w:name="_Toc3229"/>
      <w:bookmarkStart w:id="3024" w:name="_Toc17422"/>
      <w:bookmarkStart w:id="3025" w:name="_Toc20853"/>
      <w:bookmarkStart w:id="3026" w:name="_Toc1180"/>
      <w:bookmarkStart w:id="3027" w:name="_Toc13985"/>
      <w:r>
        <w:rPr>
          <w:rFonts w:ascii="Times New Roman" w:hAnsi="Times New Roman" w:eastAsia="方正黑体_GBK"/>
          <w:b/>
          <w:bCs/>
          <w:kern w:val="44"/>
          <w:sz w:val="32"/>
          <w:szCs w:val="32"/>
        </w:rPr>
        <w:t>第四十八章  持续营造风清气正良好政治生态</w:t>
      </w:r>
      <w:bookmarkEnd w:id="3017"/>
      <w:bookmarkEnd w:id="3018"/>
      <w:bookmarkEnd w:id="3019"/>
      <w:bookmarkEnd w:id="3020"/>
      <w:bookmarkEnd w:id="3021"/>
      <w:bookmarkEnd w:id="3022"/>
      <w:bookmarkEnd w:id="3023"/>
      <w:bookmarkEnd w:id="3024"/>
      <w:bookmarkEnd w:id="3025"/>
      <w:bookmarkEnd w:id="3026"/>
      <w:bookmarkEnd w:id="3027"/>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坚持不懈加强党的政治建设，推动主体责任与监督责任双压实、管权管事与管人管责双结合，坚决防止党的领导弱化、党的建设缺失、全面从严治党不力的问题，提高党的建设质量。深入开展贯彻落实习近平总书记对重庆所作重要讲话和系列重要指示批示精神“回头看”，巩固深化“不忘初心、牢记使命”主题教育成果，全面彻底干净肃清孙政才恶劣影响和薄熙来、王立军流毒。驰而不息整治“四风”，严格落实中央八项规定精神，深化治理各种歪风邪气，深入开展形式主义、官僚主义问题整治，落实基层减负各项措施。完善党和国家监督体系，加强政治监督，强化对公权力运行的制约和监督。把严的主基调长期坚持下去，坚定不移正风肃纪反腐，坚决查处腐败案件，惩治不收敛不收手、群众反映强烈、侵害群众利益的党员干部，一体推进不敢腐、不能腐、不想腐。坚持法治与德治相结合，加强党员干部政德建设，深化拓展“以案说纪、以案说法、以案说德、以案说责”警示教育，深入推进“以案改治理、以案改监管、以案改制度、以案改作风”，发扬积极健康的党内政治文化，以政治生态持续净化促进发展环境不断优化。</w:t>
      </w:r>
    </w:p>
    <w:p>
      <w:pPr>
        <w:overflowPunct w:val="0"/>
        <w:adjustRightInd w:val="0"/>
        <w:snapToGrid w:val="0"/>
        <w:spacing w:line="560" w:lineRule="exact"/>
        <w:ind w:firstLine="640" w:firstLineChars="200"/>
        <w:rPr>
          <w:rFonts w:ascii="Times New Roman" w:hAnsi="Times New Roman" w:eastAsia="方正仿宋_GBK"/>
          <w:bCs/>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28" w:name="_Toc9392"/>
      <w:bookmarkStart w:id="3029" w:name="_Toc15726"/>
      <w:bookmarkStart w:id="3030" w:name="_Toc27003"/>
      <w:bookmarkStart w:id="3031" w:name="_Toc22866"/>
      <w:bookmarkStart w:id="3032" w:name="_Toc11249"/>
      <w:bookmarkStart w:id="3033" w:name="_Toc26467"/>
      <w:bookmarkStart w:id="3034" w:name="_Toc14433"/>
      <w:bookmarkStart w:id="3035" w:name="_Toc13233"/>
      <w:bookmarkStart w:id="3036" w:name="_Toc9837"/>
      <w:bookmarkStart w:id="3037" w:name="_Toc12905"/>
      <w:bookmarkStart w:id="3038" w:name="_Toc15391"/>
      <w:r>
        <w:rPr>
          <w:rFonts w:ascii="Times New Roman" w:hAnsi="Times New Roman" w:eastAsia="方正黑体_GBK"/>
          <w:b/>
          <w:bCs/>
          <w:kern w:val="44"/>
          <w:sz w:val="32"/>
          <w:szCs w:val="32"/>
        </w:rPr>
        <w:t>第四十九章  建设高素质专业化干部队伍</w:t>
      </w:r>
      <w:bookmarkEnd w:id="3028"/>
      <w:bookmarkEnd w:id="3029"/>
      <w:bookmarkEnd w:id="3030"/>
      <w:bookmarkEnd w:id="3031"/>
      <w:bookmarkEnd w:id="3032"/>
      <w:bookmarkEnd w:id="3033"/>
      <w:bookmarkEnd w:id="3034"/>
      <w:bookmarkEnd w:id="3035"/>
      <w:bookmarkEnd w:id="3036"/>
      <w:bookmarkEnd w:id="3037"/>
      <w:bookmarkEnd w:id="3038"/>
    </w:p>
    <w:p>
      <w:pPr>
        <w:pStyle w:val="26"/>
        <w:overflowPunct w:val="0"/>
        <w:adjustRightInd w:val="0"/>
        <w:snapToGrid w:val="0"/>
        <w:spacing w:after="0" w:line="560" w:lineRule="exact"/>
        <w:ind w:leftChars="0" w:firstLine="640" w:firstLineChars="200"/>
        <w:rPr>
          <w:rFonts w:ascii="Times New Roman" w:hAnsi="Times New Roman" w:eastAsia="方正仿宋_GBK"/>
          <w:bCs/>
          <w:sz w:val="32"/>
          <w:szCs w:val="32"/>
        </w:rPr>
      </w:pPr>
      <w:r>
        <w:rPr>
          <w:rFonts w:ascii="Times New Roman" w:hAnsi="Times New Roman" w:eastAsia="方正仿宋_GBK"/>
          <w:sz w:val="32"/>
          <w:szCs w:val="32"/>
        </w:rPr>
        <w:t>全面贯彻新时代党的组织路线，大力倡导实干创业绩、有为才有位的用人导向，落实新时期好干部标准，加强各级领导和干部队伍建设，大力发现培养选拔优秀年轻干部，着力把符合党和人民事业的好干部选出来、用出来、管出来、带出来。大力开展理想信念教育，强化党性锤炼，深入总结和运用中国共产党一百年的宝贵经验，教育引导广大党员干部坚持共产主义远大理想和中国特色社会主义共同理想，为党和人民事业不懈奋斗。聚焦增强“八项本领”，提升“七种能力”，加强干部政治历练、专业训练、实践锻炼，推动党员干部理论水平、政治素养、专业能力、实践本领适应治理体系和治理能力现代化的新要求。综合运用激励约束举措，对表现出色的给予褒奖、对慵懒无为的给予惩处，落实“三个区分开来”和容错免责机制，激发和保护干部干事创业积极性。坚持大抓基层、抓实基层导向，发挥基层党组织在重大任务落实中的战斗堡垒和先锋模范作用，加大村（社区）干部培养力度，打通工作落实的“最后一公里”</w:t>
      </w:r>
      <w:r>
        <w:rPr>
          <w:rFonts w:ascii="Times New Roman" w:hAnsi="Times New Roman" w:eastAsia="方正仿宋_GBK"/>
          <w:bCs/>
          <w:sz w:val="32"/>
          <w:szCs w:val="32"/>
        </w:rPr>
        <w:t>。</w:t>
      </w:r>
    </w:p>
    <w:p>
      <w:pPr>
        <w:pStyle w:val="25"/>
        <w:overflowPunct w:val="0"/>
        <w:adjustRightInd w:val="0"/>
        <w:snapToGrid w:val="0"/>
        <w:spacing w:line="560" w:lineRule="exact"/>
        <w:ind w:firstLine="210"/>
        <w:rPr>
          <w:rFonts w:ascii="Times New Roman" w:hAnsi="Times New Roman"/>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39" w:name="_Toc24179"/>
      <w:bookmarkStart w:id="3040" w:name="_Toc3039"/>
      <w:bookmarkStart w:id="3041" w:name="_Toc655"/>
      <w:bookmarkStart w:id="3042" w:name="_Toc15448"/>
      <w:bookmarkStart w:id="3043" w:name="_Toc21530"/>
      <w:bookmarkStart w:id="3044" w:name="_Toc3969"/>
      <w:bookmarkStart w:id="3045" w:name="_Toc16820"/>
      <w:bookmarkStart w:id="3046" w:name="_Toc12830"/>
      <w:bookmarkStart w:id="3047" w:name="_Toc16455"/>
      <w:bookmarkStart w:id="3048" w:name="_Toc15155"/>
      <w:bookmarkStart w:id="3049" w:name="_Toc19131"/>
      <w:r>
        <w:rPr>
          <w:rFonts w:ascii="Times New Roman" w:hAnsi="Times New Roman" w:eastAsia="方正黑体_GBK"/>
          <w:b/>
          <w:bCs/>
          <w:kern w:val="44"/>
          <w:sz w:val="32"/>
          <w:szCs w:val="32"/>
        </w:rPr>
        <w:t>第五十章  凝聚全社会力量共同奋斗</w:t>
      </w:r>
      <w:bookmarkEnd w:id="3039"/>
      <w:bookmarkEnd w:id="3040"/>
      <w:bookmarkEnd w:id="3041"/>
      <w:bookmarkEnd w:id="3042"/>
      <w:bookmarkEnd w:id="3043"/>
      <w:bookmarkEnd w:id="3044"/>
      <w:bookmarkEnd w:id="3045"/>
      <w:bookmarkEnd w:id="3046"/>
      <w:bookmarkEnd w:id="3047"/>
      <w:bookmarkEnd w:id="3048"/>
      <w:bookmarkEnd w:id="3049"/>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持党的领导、人民当家作主、依法治国有机统一，坚定不移走中国特色社会主义政治发展道路。坚持和完善人民代表大会制度，支持和保障人大及其常委会依法行使职权，加强人大对“一府一委两院”的监督，深入推进人大讨论决定重大事项，保障人民依法通过各种途径和形式管理国家事务、经济文化事业、社会事务。坚持和完善中国共产党领导的多党合作和政治协商制度，支持政协充分发挥人民政协专门协商机构作用，加强思想政治引领，广泛凝聚共识，积极开展协商议政。完善大统战工作格局，促进政党关系、民族关系、宗教关系、阶层关系、海内外同胞关系和谐，巩固和发展大团结大联合局面。全面贯彻党的侨务政策，凝聚侨心、服务大局。进一步发挥工商联、工会、共青团、妇联、科协等群团组织的挑梁纽带作用，引导企业家、工人、青年等各界人士增强爱国情怀和干事创业热情，最大限度凝聚社会各级力量，形成人人思发展、人人为发展、人人抓发展的浓厚氛围。</w:t>
      </w:r>
    </w:p>
    <w:p>
      <w:pPr>
        <w:overflowPunct w:val="0"/>
        <w:rPr>
          <w:rFonts w:ascii="Times New Roman" w:hAnsi="Times New Roman" w:eastAsia="方正黑体_GBK"/>
          <w:b/>
          <w:bCs/>
          <w:kern w:val="44"/>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50" w:name="_Toc14376"/>
      <w:bookmarkStart w:id="3051" w:name="_Toc11898"/>
      <w:bookmarkStart w:id="3052" w:name="_Toc13549"/>
      <w:bookmarkStart w:id="3053" w:name="_Toc11309"/>
      <w:bookmarkStart w:id="3054" w:name="_Toc21054"/>
      <w:bookmarkStart w:id="3055" w:name="_Toc3072"/>
      <w:bookmarkStart w:id="3056" w:name="_Toc25415"/>
      <w:bookmarkStart w:id="3057" w:name="_Toc13345"/>
      <w:bookmarkStart w:id="3058" w:name="_Toc11094"/>
      <w:bookmarkStart w:id="3059" w:name="_Toc14257"/>
      <w:bookmarkStart w:id="3060" w:name="_Toc22655"/>
      <w:r>
        <w:rPr>
          <w:rFonts w:ascii="Times New Roman" w:hAnsi="Times New Roman" w:eastAsia="方正黑体_GBK"/>
          <w:b/>
          <w:bCs/>
          <w:kern w:val="44"/>
          <w:sz w:val="32"/>
          <w:szCs w:val="32"/>
        </w:rPr>
        <w:t>第五十一章  推进全面依法治县</w:t>
      </w:r>
      <w:bookmarkEnd w:id="3050"/>
      <w:bookmarkEnd w:id="3051"/>
      <w:bookmarkEnd w:id="3052"/>
      <w:bookmarkEnd w:id="3053"/>
      <w:bookmarkEnd w:id="3054"/>
      <w:bookmarkEnd w:id="3055"/>
      <w:bookmarkEnd w:id="3056"/>
      <w:bookmarkEnd w:id="3057"/>
      <w:bookmarkEnd w:id="3058"/>
      <w:bookmarkEnd w:id="3059"/>
      <w:bookmarkEnd w:id="3060"/>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坚定不移走中国特色社会主义法治道路，更好发挥法治对改革发展稳定的引领、规范、保障作用，推动经济社会各项事业发展在法治轨道上运行，切实维护人民权益、维护公平正义、维护社会和谐稳定。维护宪法尊严，保证宪法实施，扎实推动法治政府建设，深入推进依法行政，严格规范公正文明执法，深化行政复议体制改革，加强和改进公益诉讼和行政审判工作。提高执法司法的质量、效率、公信力，深化司法体制综合配套改革，大力推行民事诉讼繁简分流，继续深化以审判为中心的刑事诉讼制度改革，建立健全执法司法制约监督体系。加快建设信仰法治、公平正义、保障权利、守法诚信、充满活力、和谐有序的社会主义法治社会，弘扬社会主义法治精神，积极推进法治乡村建设，提高各级领导干部运用法治思维和法治方式深化改革、推动发展、化解矛盾、维护稳定、应对风险的能力。广泛开展全民法治素养提升行动，抓好“八五”普法工作，建立健全覆盖城乡、便捷高效、均等普惠的公共法律服务体系。加大对公德失范、诚信缺失等行为惩处力度，在全社会营造尊法学法守法用法的良好氛围。</w:t>
      </w:r>
    </w:p>
    <w:p>
      <w:pPr>
        <w:overflowPunct w:val="0"/>
        <w:adjustRightInd w:val="0"/>
        <w:snapToGrid w:val="0"/>
        <w:spacing w:line="560" w:lineRule="exact"/>
        <w:rPr>
          <w:rFonts w:ascii="Times New Roman" w:hAnsi="Times New Roman" w:eastAsia="方正仿宋_GBK"/>
          <w:sz w:val="32"/>
          <w:szCs w:val="32"/>
        </w:rPr>
      </w:pPr>
    </w:p>
    <w:p>
      <w:pPr>
        <w:overflowPunct w:val="0"/>
        <w:adjustRightInd w:val="0"/>
        <w:snapToGrid w:val="0"/>
        <w:spacing w:line="560" w:lineRule="exact"/>
        <w:jc w:val="center"/>
        <w:outlineLvl w:val="1"/>
        <w:rPr>
          <w:rFonts w:ascii="Times New Roman" w:hAnsi="Times New Roman" w:eastAsia="方正黑体_GBK"/>
          <w:b/>
          <w:bCs/>
          <w:kern w:val="44"/>
          <w:sz w:val="32"/>
          <w:szCs w:val="32"/>
        </w:rPr>
      </w:pPr>
      <w:bookmarkStart w:id="3061" w:name="_Toc24598"/>
      <w:bookmarkStart w:id="3062" w:name="_Toc20238"/>
      <w:bookmarkStart w:id="3063" w:name="_Toc25604"/>
      <w:bookmarkStart w:id="3064" w:name="_Toc20103"/>
      <w:bookmarkStart w:id="3065" w:name="_Toc24285"/>
      <w:bookmarkStart w:id="3066" w:name="_Toc18181"/>
      <w:bookmarkStart w:id="3067" w:name="_Toc32699"/>
      <w:bookmarkStart w:id="3068" w:name="_Toc16786"/>
      <w:bookmarkStart w:id="3069" w:name="_Toc24290"/>
      <w:bookmarkStart w:id="3070" w:name="_Toc28678"/>
      <w:bookmarkStart w:id="3071" w:name="_Toc27645"/>
      <w:r>
        <w:rPr>
          <w:rFonts w:ascii="Times New Roman" w:hAnsi="Times New Roman" w:eastAsia="方正黑体_GBK"/>
          <w:b/>
          <w:bCs/>
          <w:kern w:val="44"/>
          <w:sz w:val="32"/>
          <w:szCs w:val="32"/>
        </w:rPr>
        <w:t>第五十二章  加强规划实施和管理</w:t>
      </w:r>
      <w:bookmarkEnd w:id="3061"/>
      <w:bookmarkEnd w:id="3062"/>
      <w:bookmarkEnd w:id="3063"/>
      <w:bookmarkEnd w:id="3064"/>
      <w:bookmarkEnd w:id="3065"/>
      <w:bookmarkEnd w:id="3066"/>
      <w:bookmarkEnd w:id="3067"/>
      <w:bookmarkEnd w:id="3068"/>
      <w:bookmarkEnd w:id="3069"/>
      <w:bookmarkEnd w:id="3070"/>
      <w:bookmarkEnd w:id="3071"/>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本规划经县人民代表大会审议批准，具有法律效力。要充分发挥规划对资源配置的导向作用，建立健全规划有效实施的保障机制，确保发展目标和各项重点任务顺利完成。</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3072" w:name="_Toc22047"/>
      <w:bookmarkStart w:id="3073" w:name="_Toc26821"/>
      <w:bookmarkStart w:id="3074" w:name="_Toc3171"/>
      <w:bookmarkStart w:id="3075" w:name="_Toc2323"/>
      <w:bookmarkStart w:id="3076" w:name="_Toc9245"/>
      <w:bookmarkStart w:id="3077" w:name="_Toc3658"/>
      <w:bookmarkStart w:id="3078" w:name="_Toc8341"/>
      <w:bookmarkStart w:id="3079" w:name="_Toc8048"/>
      <w:bookmarkStart w:id="3080" w:name="_Toc28028"/>
      <w:bookmarkStart w:id="3081" w:name="_Toc1282"/>
      <w:bookmarkStart w:id="3082" w:name="_Toc14918"/>
      <w:r>
        <w:rPr>
          <w:rFonts w:ascii="Times New Roman" w:hAnsi="Times New Roman" w:eastAsia="方正楷体_GBK"/>
          <w:b/>
          <w:sz w:val="32"/>
          <w:szCs w:val="32"/>
        </w:rPr>
        <w:t>第一节  建立统一规划体系</w:t>
      </w:r>
      <w:bookmarkEnd w:id="3072"/>
      <w:bookmarkEnd w:id="3073"/>
      <w:bookmarkEnd w:id="3074"/>
      <w:bookmarkEnd w:id="3075"/>
      <w:bookmarkEnd w:id="3076"/>
      <w:bookmarkEnd w:id="3077"/>
      <w:bookmarkEnd w:id="3078"/>
      <w:bookmarkEnd w:id="3079"/>
      <w:bookmarkEnd w:id="3080"/>
      <w:bookmarkEnd w:id="3081"/>
      <w:bookmarkEnd w:id="3082"/>
    </w:p>
    <w:p>
      <w:pPr>
        <w:overflowPunct w:val="0"/>
        <w:adjustRightInd w:val="0"/>
        <w:snapToGrid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建立以全县发展规划为统领，以空间规划为基础，以专项规划为支撑，定位准确、边界清晰、功能互补、统一衔接的全县规划体系。根据全县发展规划对特定领域提出的战略任务，同步编制和实施一批专项规划、空间规划，确保全县发展规划确定的战略任务精准落地。</w:t>
      </w:r>
    </w:p>
    <w:p>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3083" w:name="_Toc18500"/>
      <w:bookmarkStart w:id="3084" w:name="_Toc12790"/>
      <w:bookmarkStart w:id="3085" w:name="_Toc14204"/>
      <w:bookmarkStart w:id="3086" w:name="_Toc16693"/>
      <w:bookmarkStart w:id="3087" w:name="_Toc3737"/>
      <w:bookmarkStart w:id="3088" w:name="_Toc9999"/>
      <w:bookmarkStart w:id="3089" w:name="_Toc30077"/>
      <w:bookmarkStart w:id="3090" w:name="_Toc21613"/>
      <w:bookmarkStart w:id="3091" w:name="_Toc9157"/>
      <w:bookmarkStart w:id="3092" w:name="_Toc24437"/>
      <w:bookmarkStart w:id="3093" w:name="_Toc24018"/>
      <w:r>
        <w:rPr>
          <w:rFonts w:ascii="Times New Roman" w:hAnsi="Times New Roman" w:eastAsia="方正楷体_GBK"/>
          <w:b/>
          <w:sz w:val="32"/>
          <w:szCs w:val="32"/>
        </w:rPr>
        <w:t>第二节  落实规划实施主体责任</w:t>
      </w:r>
      <w:bookmarkEnd w:id="3083"/>
      <w:bookmarkEnd w:id="3084"/>
      <w:bookmarkEnd w:id="3085"/>
      <w:bookmarkEnd w:id="3086"/>
      <w:bookmarkEnd w:id="3087"/>
      <w:bookmarkEnd w:id="3088"/>
      <w:bookmarkEnd w:id="3089"/>
      <w:bookmarkEnd w:id="3090"/>
      <w:bookmarkEnd w:id="3091"/>
      <w:bookmarkEnd w:id="3092"/>
      <w:bookmarkEnd w:id="3093"/>
    </w:p>
    <w:p>
      <w:pPr>
        <w:pStyle w:val="2"/>
        <w:overflowPunct w:val="0"/>
        <w:spacing w:before="0" w:after="0" w:line="560" w:lineRule="exact"/>
        <w:ind w:firstLine="643" w:firstLineChars="200"/>
        <w:rPr>
          <w:rFonts w:ascii="Times New Roman" w:hAnsi="Times New Roman" w:cs="Times New Roman"/>
        </w:rPr>
      </w:pPr>
      <w:r>
        <w:rPr>
          <w:rFonts w:ascii="Times New Roman" w:hAnsi="Times New Roman" w:eastAsia="方正仿宋_GBK" w:cs="Times New Roman"/>
        </w:rPr>
        <w:t>各级各部门要根据职责分工，制定本规划涉及本行业、本领域、本辖区的主要目标任务实施方案。本规划确定的约束性指标、重大工程项目和公共服务、生态环保、安全保障等领域任务，要明确责任主体和进度要求，合理配置公共资源，集聚要素保障，确保如期完成。本规划提出的预期性指标和产业发展、结构调整等任务，各级各部门要创造良好的政策环境、体制环境和法治环境，充分激发市场主体的主观能动性，全力推动预期目标顺利实现。年度计划要贯彻本规划提出的发展目标和重点任务，将本规划确定的主要指标分解纳入年度计划指标体系，设置年度目标并做好年度间综合平衡，合理确定年度工作重点。</w:t>
      </w:r>
    </w:p>
    <w:p>
      <w:pPr>
        <w:overflowPunct w:val="0"/>
        <w:adjustRightInd w:val="0"/>
        <w:snapToGrid w:val="0"/>
        <w:spacing w:line="560" w:lineRule="exact"/>
        <w:jc w:val="center"/>
        <w:outlineLvl w:val="2"/>
        <w:rPr>
          <w:rFonts w:ascii="Times New Roman" w:hAnsi="Times New Roman" w:eastAsia="方正楷体_GBK"/>
          <w:b/>
          <w:sz w:val="32"/>
          <w:szCs w:val="32"/>
        </w:rPr>
      </w:pPr>
      <w:bookmarkStart w:id="3094" w:name="_Toc18903"/>
      <w:bookmarkStart w:id="3095" w:name="_Toc6625"/>
      <w:bookmarkStart w:id="3096" w:name="_Toc27737"/>
      <w:bookmarkStart w:id="3097" w:name="_Toc16502"/>
      <w:bookmarkStart w:id="3098" w:name="_Toc6338"/>
      <w:bookmarkStart w:id="3099" w:name="_Toc19394"/>
      <w:r>
        <w:rPr>
          <w:rFonts w:ascii="Times New Roman" w:hAnsi="Times New Roman" w:eastAsia="方正楷体_GBK"/>
          <w:b/>
          <w:sz w:val="32"/>
          <w:szCs w:val="32"/>
        </w:rPr>
        <w:t>第三节</w:t>
      </w:r>
      <w:bookmarkStart w:id="3100" w:name="_Toc22078"/>
      <w:bookmarkStart w:id="3101" w:name="_Toc23699"/>
      <w:bookmarkStart w:id="3102" w:name="_Toc29673"/>
      <w:bookmarkStart w:id="3103" w:name="_Toc1995"/>
      <w:bookmarkStart w:id="3104" w:name="_Toc8318"/>
      <w:r>
        <w:rPr>
          <w:rFonts w:ascii="Times New Roman" w:hAnsi="Times New Roman" w:eastAsia="方正楷体_GBK"/>
          <w:b/>
          <w:sz w:val="32"/>
          <w:szCs w:val="32"/>
        </w:rPr>
        <w:t xml:space="preserve">  强化项目支撑</w:t>
      </w:r>
      <w:bookmarkEnd w:id="3094"/>
      <w:bookmarkEnd w:id="3095"/>
      <w:bookmarkEnd w:id="3096"/>
      <w:bookmarkEnd w:id="3097"/>
      <w:bookmarkEnd w:id="3098"/>
      <w:bookmarkEnd w:id="3099"/>
      <w:bookmarkEnd w:id="3100"/>
      <w:bookmarkEnd w:id="3101"/>
      <w:bookmarkEnd w:id="3102"/>
      <w:bookmarkEnd w:id="3103"/>
      <w:bookmarkEnd w:id="3104"/>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全县发展定位和产业布局，科学论证、谋划、筛选一批“十四五”重大项目，科学建立“十四五”重大项目库。健全重大项目服务机制，强化项目科学化和精细化管理，落实项目建设目标责任。根据实际情况进行项目动态有序调整，形成“规划一批、储备一批、争取一批、实施一批”的滚动推进项目实施机制，为“十四五”时期经济社会高质量发展提供有力支撑。</w:t>
      </w:r>
    </w:p>
    <w:p>
      <w:pPr>
        <w:overflowPunct w:val="0"/>
        <w:adjustRightInd w:val="0"/>
        <w:snapToGrid w:val="0"/>
        <w:spacing w:line="560" w:lineRule="exact"/>
        <w:ind w:firstLine="643" w:firstLineChars="200"/>
        <w:jc w:val="center"/>
        <w:outlineLvl w:val="2"/>
        <w:rPr>
          <w:rFonts w:ascii="Times New Roman" w:hAnsi="Times New Roman" w:eastAsia="方正楷体_GBK"/>
          <w:b/>
          <w:sz w:val="32"/>
          <w:szCs w:val="32"/>
        </w:rPr>
      </w:pPr>
      <w:bookmarkStart w:id="3105" w:name="_Toc31313"/>
      <w:bookmarkStart w:id="3106" w:name="_Toc27666"/>
      <w:bookmarkStart w:id="3107" w:name="_Toc8613"/>
      <w:bookmarkStart w:id="3108" w:name="_Toc22843"/>
      <w:bookmarkStart w:id="3109" w:name="_Toc21274"/>
      <w:bookmarkStart w:id="3110" w:name="_Toc27185"/>
      <w:bookmarkStart w:id="3111" w:name="_Toc26375"/>
      <w:bookmarkStart w:id="3112" w:name="_Toc8585"/>
      <w:bookmarkStart w:id="3113" w:name="_Toc17673"/>
      <w:bookmarkStart w:id="3114" w:name="_Toc3385"/>
      <w:bookmarkStart w:id="3115" w:name="_Toc12987"/>
      <w:r>
        <w:rPr>
          <w:rFonts w:ascii="Times New Roman" w:hAnsi="Times New Roman" w:eastAsia="方正楷体_GBK"/>
          <w:b/>
          <w:sz w:val="32"/>
          <w:szCs w:val="32"/>
        </w:rPr>
        <w:t>第四节  完善规划评估监督机制</w:t>
      </w:r>
      <w:bookmarkEnd w:id="3105"/>
      <w:bookmarkEnd w:id="3106"/>
      <w:bookmarkEnd w:id="3107"/>
      <w:bookmarkEnd w:id="3108"/>
      <w:bookmarkEnd w:id="3109"/>
      <w:bookmarkEnd w:id="3110"/>
      <w:bookmarkEnd w:id="3111"/>
      <w:bookmarkEnd w:id="3112"/>
      <w:bookmarkEnd w:id="3113"/>
      <w:bookmarkEnd w:id="3114"/>
      <w:bookmarkEnd w:id="3115"/>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对本规划明确的重大政策、重大工程、重要事项等跟踪监督，及时开展监测评估。创新监测方式，有效整合互联网数据和统计数据，全面真实反映规划实施情况，为科学评估提供支撑。创新评估方式，组织开展规划实施年度监测分析、中期评估和总结评估，鼓励开展第三方评估，增强对规划评估的客观性和准确性。强化监测评估结果应用，进一步完善规划实施的公众参与和民主监督机制，及时公开规划实施相关信息，接受全社会监督。</w:t>
      </w:r>
    </w:p>
    <w:p>
      <w:pPr>
        <w:overflowPunct w:val="0"/>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部门要自觉接受县人民代表大会及其常务委员会对本规划实施情况的监督检查，依法向县人大报告实施情况。实施过程中宏观环境发生重大变化，需要对纲要进行调整时，按程序报县人民代表大会常务委员会批准。</w:t>
      </w:r>
      <w:bookmarkEnd w:id="2365"/>
      <w:bookmarkEnd w:id="2897"/>
      <w:bookmarkEnd w:id="2898"/>
      <w:bookmarkEnd w:id="2899"/>
      <w:bookmarkEnd w:id="2900"/>
      <w:bookmarkEnd w:id="2901"/>
      <w:bookmarkEnd w:id="2902"/>
      <w:bookmarkEnd w:id="2903"/>
    </w:p>
    <w:p>
      <w:pPr>
        <w:pStyle w:val="2"/>
        <w:overflowPunct w:val="0"/>
        <w:rPr>
          <w:rFonts w:ascii="Times New Roman" w:hAnsi="Times New Roman" w:cs="Times New Roman"/>
        </w:rPr>
      </w:pPr>
    </w:p>
    <w:p>
      <w:pPr>
        <w:overflowPunct w:val="0"/>
        <w:rPr>
          <w:rFonts w:ascii="Times New Roman" w:hAnsi="Times New Roman"/>
        </w:rPr>
      </w:pPr>
    </w:p>
    <w:p>
      <w:pPr>
        <w:pStyle w:val="2"/>
        <w:overflowPunct w:val="0"/>
        <w:rPr>
          <w:rFonts w:ascii="Times New Roman" w:hAnsi="Times New Roman" w:cs="Times New Roman"/>
        </w:rPr>
      </w:pPr>
    </w:p>
    <w:p>
      <w:pPr>
        <w:overflowPunct w:val="0"/>
        <w:rPr>
          <w:rFonts w:ascii="Times New Roman" w:hAnsi="Times New Roman"/>
        </w:rPr>
      </w:pPr>
    </w:p>
    <w:p>
      <w:pPr>
        <w:pStyle w:val="2"/>
        <w:overflowPunct w:val="0"/>
        <w:rPr>
          <w:rFonts w:ascii="Times New Roman" w:hAnsi="Times New Roman" w:cs="Times New Roman"/>
        </w:rPr>
      </w:pPr>
    </w:p>
    <w:p>
      <w:pPr>
        <w:overflowPunct w:val="0"/>
        <w:rPr>
          <w:rFonts w:ascii="Times New Roman" w:hAnsi="Times New Roman"/>
        </w:rPr>
      </w:pPr>
    </w:p>
    <w:p>
      <w:pPr>
        <w:pStyle w:val="2"/>
        <w:overflowPunct w:val="0"/>
        <w:rPr>
          <w:rFonts w:ascii="Times New Roman" w:hAnsi="Times New Roman" w:cs="Times New Roman"/>
        </w:rPr>
      </w:pPr>
    </w:p>
    <w:p>
      <w:pPr>
        <w:overflowPunct w:val="0"/>
        <w:rPr>
          <w:rFonts w:ascii="Times New Roman" w:hAnsi="Times New Roman"/>
        </w:rPr>
      </w:pPr>
    </w:p>
    <w:p>
      <w:pPr>
        <w:pStyle w:val="2"/>
        <w:overflowPunct w:val="0"/>
        <w:rPr>
          <w:rFonts w:ascii="Times New Roman" w:hAnsi="Times New Roman" w:cs="Times New Roman"/>
        </w:rPr>
      </w:pPr>
    </w:p>
    <w:p>
      <w:pPr>
        <w:overflowPunct w:val="0"/>
        <w:rPr>
          <w:rFonts w:ascii="Times New Roman" w:hAnsi="Times New Roman"/>
        </w:rPr>
      </w:pPr>
    </w:p>
    <w:p>
      <w:pPr>
        <w:pStyle w:val="2"/>
        <w:overflowPunct w:val="0"/>
        <w:rPr>
          <w:rFonts w:ascii="Times New Roman" w:hAnsi="Times New Roman" w:cs="Times New Roman"/>
        </w:rPr>
      </w:pPr>
    </w:p>
    <w:p>
      <w:pPr>
        <w:overflowPunct w:val="0"/>
        <w:rPr>
          <w:rFonts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478236"/>
      <w:docPartObj>
        <w:docPartGallery w:val="autotext"/>
      </w:docPartObj>
    </w:sdtPr>
    <w:sdtEndPr>
      <w:rPr>
        <w:rFonts w:asciiTheme="minorEastAsia" w:hAnsiTheme="minorEastAsia" w:eastAsiaTheme="minorEastAsia"/>
        <w:sz w:val="28"/>
        <w:szCs w:val="28"/>
      </w:rPr>
    </w:sdtEndPr>
    <w:sdtContent>
      <w:p>
        <w:pPr>
          <w:pStyle w:val="16"/>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11061749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A96D0"/>
    <w:multiLevelType w:val="singleLevel"/>
    <w:tmpl w:val="4FEA96D0"/>
    <w:lvl w:ilvl="0" w:tentative="0">
      <w:start w:val="8"/>
      <w:numFmt w:val="chineseCounting"/>
      <w:suff w:val="space"/>
      <w:lvlText w:val="第%1篇"/>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GE1ZWM4MDM1NDE2ZjZhZmFmNzgzN2EzMTc1MDAifQ=="/>
  </w:docVars>
  <w:rsids>
    <w:rsidRoot w:val="004E6B69"/>
    <w:rsid w:val="00005B41"/>
    <w:rsid w:val="000064B6"/>
    <w:rsid w:val="00012EC1"/>
    <w:rsid w:val="00014FD6"/>
    <w:rsid w:val="0002127F"/>
    <w:rsid w:val="00073CC5"/>
    <w:rsid w:val="0009039F"/>
    <w:rsid w:val="00093A5D"/>
    <w:rsid w:val="000962C1"/>
    <w:rsid w:val="000B401A"/>
    <w:rsid w:val="000C2932"/>
    <w:rsid w:val="000C30A7"/>
    <w:rsid w:val="000F3454"/>
    <w:rsid w:val="001045BB"/>
    <w:rsid w:val="001063BE"/>
    <w:rsid w:val="00120ED2"/>
    <w:rsid w:val="001223DB"/>
    <w:rsid w:val="0013275F"/>
    <w:rsid w:val="00144DFB"/>
    <w:rsid w:val="001450E1"/>
    <w:rsid w:val="00163E3E"/>
    <w:rsid w:val="00175290"/>
    <w:rsid w:val="00177210"/>
    <w:rsid w:val="0018585A"/>
    <w:rsid w:val="001940E9"/>
    <w:rsid w:val="001962C6"/>
    <w:rsid w:val="00196C4C"/>
    <w:rsid w:val="001A12F7"/>
    <w:rsid w:val="001B30CB"/>
    <w:rsid w:val="00205806"/>
    <w:rsid w:val="00212C87"/>
    <w:rsid w:val="002341AB"/>
    <w:rsid w:val="00242924"/>
    <w:rsid w:val="00244B3F"/>
    <w:rsid w:val="00250E34"/>
    <w:rsid w:val="002554CC"/>
    <w:rsid w:val="00256B9D"/>
    <w:rsid w:val="00272DDF"/>
    <w:rsid w:val="00277242"/>
    <w:rsid w:val="00284857"/>
    <w:rsid w:val="0029571B"/>
    <w:rsid w:val="002C39AA"/>
    <w:rsid w:val="002E1A31"/>
    <w:rsid w:val="002E32D0"/>
    <w:rsid w:val="002E6C92"/>
    <w:rsid w:val="002F76D0"/>
    <w:rsid w:val="00304BF2"/>
    <w:rsid w:val="003058C8"/>
    <w:rsid w:val="003065F6"/>
    <w:rsid w:val="00315E3C"/>
    <w:rsid w:val="00336508"/>
    <w:rsid w:val="003408A7"/>
    <w:rsid w:val="00340B77"/>
    <w:rsid w:val="00353656"/>
    <w:rsid w:val="00355578"/>
    <w:rsid w:val="00370C6E"/>
    <w:rsid w:val="00371EE8"/>
    <w:rsid w:val="00375E6C"/>
    <w:rsid w:val="0038227F"/>
    <w:rsid w:val="00395A5F"/>
    <w:rsid w:val="003A7F3A"/>
    <w:rsid w:val="003D347C"/>
    <w:rsid w:val="003E4E79"/>
    <w:rsid w:val="00411C59"/>
    <w:rsid w:val="00415F28"/>
    <w:rsid w:val="00416CBB"/>
    <w:rsid w:val="00421F35"/>
    <w:rsid w:val="004271A1"/>
    <w:rsid w:val="00446BB7"/>
    <w:rsid w:val="004473BC"/>
    <w:rsid w:val="0045421D"/>
    <w:rsid w:val="00472312"/>
    <w:rsid w:val="00474FBB"/>
    <w:rsid w:val="0048594D"/>
    <w:rsid w:val="004B7CC9"/>
    <w:rsid w:val="004E5507"/>
    <w:rsid w:val="004E6B69"/>
    <w:rsid w:val="004F1EA9"/>
    <w:rsid w:val="004F712E"/>
    <w:rsid w:val="00505225"/>
    <w:rsid w:val="00505867"/>
    <w:rsid w:val="0050709D"/>
    <w:rsid w:val="00512B8B"/>
    <w:rsid w:val="00523AAD"/>
    <w:rsid w:val="0052577A"/>
    <w:rsid w:val="00542F77"/>
    <w:rsid w:val="00544C78"/>
    <w:rsid w:val="00553B9D"/>
    <w:rsid w:val="0056762A"/>
    <w:rsid w:val="00587BF1"/>
    <w:rsid w:val="005925A4"/>
    <w:rsid w:val="00595972"/>
    <w:rsid w:val="005A46C3"/>
    <w:rsid w:val="005B0F49"/>
    <w:rsid w:val="005D2390"/>
    <w:rsid w:val="005D7783"/>
    <w:rsid w:val="005F0F18"/>
    <w:rsid w:val="00603663"/>
    <w:rsid w:val="00624EFF"/>
    <w:rsid w:val="00626FBD"/>
    <w:rsid w:val="00646538"/>
    <w:rsid w:val="00667C3F"/>
    <w:rsid w:val="006722AD"/>
    <w:rsid w:val="00682639"/>
    <w:rsid w:val="006965FD"/>
    <w:rsid w:val="006C0A3F"/>
    <w:rsid w:val="006D3B17"/>
    <w:rsid w:val="006D45EE"/>
    <w:rsid w:val="006D74B2"/>
    <w:rsid w:val="006E3DE8"/>
    <w:rsid w:val="006E4C3D"/>
    <w:rsid w:val="006F7A26"/>
    <w:rsid w:val="0070224B"/>
    <w:rsid w:val="00711401"/>
    <w:rsid w:val="00715217"/>
    <w:rsid w:val="00726407"/>
    <w:rsid w:val="00751C14"/>
    <w:rsid w:val="007B21A5"/>
    <w:rsid w:val="007D43D7"/>
    <w:rsid w:val="007E5371"/>
    <w:rsid w:val="007F56C1"/>
    <w:rsid w:val="008120A2"/>
    <w:rsid w:val="00814614"/>
    <w:rsid w:val="00823F36"/>
    <w:rsid w:val="008411B0"/>
    <w:rsid w:val="008423ED"/>
    <w:rsid w:val="00846994"/>
    <w:rsid w:val="0085194E"/>
    <w:rsid w:val="00863C40"/>
    <w:rsid w:val="008671F3"/>
    <w:rsid w:val="008749CD"/>
    <w:rsid w:val="00886A59"/>
    <w:rsid w:val="00892926"/>
    <w:rsid w:val="008A2BFA"/>
    <w:rsid w:val="008B2092"/>
    <w:rsid w:val="008B4651"/>
    <w:rsid w:val="008C0630"/>
    <w:rsid w:val="008D19E0"/>
    <w:rsid w:val="008E5F73"/>
    <w:rsid w:val="009064DE"/>
    <w:rsid w:val="00922898"/>
    <w:rsid w:val="009337FA"/>
    <w:rsid w:val="00952732"/>
    <w:rsid w:val="00976840"/>
    <w:rsid w:val="00981C5B"/>
    <w:rsid w:val="00987984"/>
    <w:rsid w:val="00996662"/>
    <w:rsid w:val="009A3515"/>
    <w:rsid w:val="009A6A4D"/>
    <w:rsid w:val="009E2891"/>
    <w:rsid w:val="00A1674F"/>
    <w:rsid w:val="00A2781C"/>
    <w:rsid w:val="00A37420"/>
    <w:rsid w:val="00A37B3B"/>
    <w:rsid w:val="00A41BDB"/>
    <w:rsid w:val="00A53862"/>
    <w:rsid w:val="00A756A8"/>
    <w:rsid w:val="00A8135E"/>
    <w:rsid w:val="00A82E91"/>
    <w:rsid w:val="00A923A9"/>
    <w:rsid w:val="00AB6BC5"/>
    <w:rsid w:val="00AD50FD"/>
    <w:rsid w:val="00AE1B36"/>
    <w:rsid w:val="00B11C1C"/>
    <w:rsid w:val="00B12BA7"/>
    <w:rsid w:val="00B4485A"/>
    <w:rsid w:val="00B471CE"/>
    <w:rsid w:val="00B60277"/>
    <w:rsid w:val="00B625A9"/>
    <w:rsid w:val="00B729EA"/>
    <w:rsid w:val="00BA142C"/>
    <w:rsid w:val="00BE0663"/>
    <w:rsid w:val="00BE6F65"/>
    <w:rsid w:val="00BE701A"/>
    <w:rsid w:val="00BF0426"/>
    <w:rsid w:val="00C053E8"/>
    <w:rsid w:val="00C1730D"/>
    <w:rsid w:val="00C32720"/>
    <w:rsid w:val="00C4392F"/>
    <w:rsid w:val="00C5192A"/>
    <w:rsid w:val="00C67B41"/>
    <w:rsid w:val="00C80E6D"/>
    <w:rsid w:val="00C92C6C"/>
    <w:rsid w:val="00C97C10"/>
    <w:rsid w:val="00CA3464"/>
    <w:rsid w:val="00CB431F"/>
    <w:rsid w:val="00CB5802"/>
    <w:rsid w:val="00CC02DF"/>
    <w:rsid w:val="00CD4567"/>
    <w:rsid w:val="00CD5C74"/>
    <w:rsid w:val="00CF444F"/>
    <w:rsid w:val="00CF60B9"/>
    <w:rsid w:val="00D06483"/>
    <w:rsid w:val="00D07DAC"/>
    <w:rsid w:val="00D53FD2"/>
    <w:rsid w:val="00D63110"/>
    <w:rsid w:val="00D84569"/>
    <w:rsid w:val="00DA0FE1"/>
    <w:rsid w:val="00DC4E9C"/>
    <w:rsid w:val="00DC589E"/>
    <w:rsid w:val="00DC67A6"/>
    <w:rsid w:val="00DD54F6"/>
    <w:rsid w:val="00DE03CE"/>
    <w:rsid w:val="00DF7125"/>
    <w:rsid w:val="00E05E32"/>
    <w:rsid w:val="00E10761"/>
    <w:rsid w:val="00E222D1"/>
    <w:rsid w:val="00E2608A"/>
    <w:rsid w:val="00E67F25"/>
    <w:rsid w:val="00E743CB"/>
    <w:rsid w:val="00E87F1C"/>
    <w:rsid w:val="00EA4DEF"/>
    <w:rsid w:val="00ED0303"/>
    <w:rsid w:val="00ED3224"/>
    <w:rsid w:val="00EE6CC2"/>
    <w:rsid w:val="00EF0CB5"/>
    <w:rsid w:val="00F13EB5"/>
    <w:rsid w:val="00F16573"/>
    <w:rsid w:val="00F439BD"/>
    <w:rsid w:val="00F45AF0"/>
    <w:rsid w:val="00F84BA8"/>
    <w:rsid w:val="00F85F93"/>
    <w:rsid w:val="00F968AD"/>
    <w:rsid w:val="00FA288E"/>
    <w:rsid w:val="00FD2347"/>
    <w:rsid w:val="0F586779"/>
    <w:rsid w:val="0FFA52A0"/>
    <w:rsid w:val="35393A34"/>
    <w:rsid w:val="3E9010D7"/>
    <w:rsid w:val="496762C1"/>
    <w:rsid w:val="5AFFD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0"/>
    <w:pPr>
      <w:keepNext/>
      <w:keepLines/>
      <w:spacing w:line="576" w:lineRule="auto"/>
      <w:outlineLvl w:val="0"/>
    </w:pPr>
    <w:rPr>
      <w:rFonts w:cs="宋体"/>
      <w:b/>
      <w:kern w:val="44"/>
      <w:sz w:val="44"/>
    </w:rPr>
  </w:style>
  <w:style w:type="paragraph" w:styleId="2">
    <w:name w:val="heading 2"/>
    <w:basedOn w:val="1"/>
    <w:next w:val="1"/>
    <w:link w:val="37"/>
    <w:semiHidden/>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8"/>
    <w:semiHidden/>
    <w:unhideWhenUsed/>
    <w:qFormat/>
    <w:uiPriority w:val="0"/>
    <w:pPr>
      <w:keepNext/>
      <w:keepLines/>
      <w:spacing w:before="260" w:after="260" w:line="415" w:lineRule="auto"/>
      <w:outlineLvl w:val="2"/>
    </w:pPr>
    <w:rPr>
      <w:rFonts w:cs="宋体"/>
      <w:b/>
      <w:bCs/>
      <w:sz w:val="32"/>
      <w:szCs w:val="32"/>
    </w:rPr>
  </w:style>
  <w:style w:type="paragraph" w:styleId="5">
    <w:name w:val="heading 4"/>
    <w:basedOn w:val="1"/>
    <w:next w:val="1"/>
    <w:link w:val="39"/>
    <w:semiHidden/>
    <w:unhideWhenUsed/>
    <w:qFormat/>
    <w:uiPriority w:val="0"/>
    <w:pPr>
      <w:jc w:val="left"/>
      <w:outlineLvl w:val="3"/>
    </w:pPr>
    <w:rPr>
      <w:rFonts w:eastAsia="仿宋" w:cs="宋体"/>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2520" w:leftChars="1200"/>
    </w:pPr>
    <w:rPr>
      <w:szCs w:val="22"/>
    </w:rPr>
  </w:style>
  <w:style w:type="paragraph" w:styleId="7">
    <w:name w:val="index 5"/>
    <w:basedOn w:val="1"/>
    <w:next w:val="1"/>
    <w:semiHidden/>
    <w:unhideWhenUsed/>
    <w:qFormat/>
    <w:uiPriority w:val="99"/>
    <w:pPr>
      <w:ind w:left="1680"/>
    </w:pPr>
    <w:rPr>
      <w:szCs w:val="22"/>
    </w:rPr>
  </w:style>
  <w:style w:type="paragraph" w:styleId="8">
    <w:name w:val="Document Map"/>
    <w:basedOn w:val="1"/>
    <w:link w:val="45"/>
    <w:semiHidden/>
    <w:unhideWhenUsed/>
    <w:qFormat/>
    <w:uiPriority w:val="99"/>
    <w:rPr>
      <w:rFonts w:ascii="宋体"/>
      <w:sz w:val="18"/>
      <w:szCs w:val="18"/>
    </w:rPr>
  </w:style>
  <w:style w:type="paragraph" w:styleId="9">
    <w:name w:val="annotation text"/>
    <w:basedOn w:val="1"/>
    <w:link w:val="40"/>
    <w:semiHidden/>
    <w:unhideWhenUsed/>
    <w:qFormat/>
    <w:uiPriority w:val="99"/>
    <w:pPr>
      <w:jc w:val="left"/>
    </w:pPr>
  </w:style>
  <w:style w:type="paragraph" w:styleId="10">
    <w:name w:val="Body Text"/>
    <w:basedOn w:val="1"/>
    <w:link w:val="41"/>
    <w:semiHidden/>
    <w:unhideWhenUsed/>
    <w:qFormat/>
    <w:uiPriority w:val="99"/>
    <w:pPr>
      <w:spacing w:after="120"/>
    </w:pPr>
  </w:style>
  <w:style w:type="paragraph" w:styleId="11">
    <w:name w:val="Body Text Indent"/>
    <w:basedOn w:val="1"/>
    <w:link w:val="42"/>
    <w:semiHidden/>
    <w:unhideWhenUsed/>
    <w:qFormat/>
    <w:uiPriority w:val="99"/>
    <w:pPr>
      <w:spacing w:after="120"/>
      <w:ind w:left="420" w:leftChars="200"/>
    </w:pPr>
  </w:style>
  <w:style w:type="paragraph" w:styleId="12">
    <w:name w:val="toc 5"/>
    <w:basedOn w:val="1"/>
    <w:next w:val="1"/>
    <w:semiHidden/>
    <w:unhideWhenUsed/>
    <w:qFormat/>
    <w:uiPriority w:val="39"/>
    <w:pPr>
      <w:ind w:left="1680" w:leftChars="800"/>
    </w:pPr>
    <w:rPr>
      <w:szCs w:val="22"/>
    </w:rPr>
  </w:style>
  <w:style w:type="paragraph" w:styleId="13">
    <w:name w:val="toc 3"/>
    <w:basedOn w:val="1"/>
    <w:next w:val="1"/>
    <w:semiHidden/>
    <w:unhideWhenUsed/>
    <w:qFormat/>
    <w:uiPriority w:val="39"/>
    <w:pPr>
      <w:ind w:left="840" w:leftChars="400"/>
    </w:pPr>
  </w:style>
  <w:style w:type="paragraph" w:styleId="14">
    <w:name w:val="toc 8"/>
    <w:basedOn w:val="1"/>
    <w:next w:val="1"/>
    <w:semiHidden/>
    <w:unhideWhenUsed/>
    <w:qFormat/>
    <w:uiPriority w:val="39"/>
    <w:pPr>
      <w:ind w:left="2940" w:leftChars="1400"/>
    </w:pPr>
    <w:rPr>
      <w:szCs w:val="22"/>
    </w:rPr>
  </w:style>
  <w:style w:type="paragraph" w:styleId="15">
    <w:name w:val="Balloon Text"/>
    <w:basedOn w:val="1"/>
    <w:link w:val="47"/>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4"/>
    <w:basedOn w:val="1"/>
    <w:next w:val="1"/>
    <w:semiHidden/>
    <w:unhideWhenUsed/>
    <w:qFormat/>
    <w:uiPriority w:val="39"/>
    <w:pPr>
      <w:ind w:left="1260" w:leftChars="600"/>
    </w:pPr>
  </w:style>
  <w:style w:type="paragraph" w:styleId="20">
    <w:name w:val="toc 6"/>
    <w:basedOn w:val="1"/>
    <w:next w:val="1"/>
    <w:semiHidden/>
    <w:unhideWhenUsed/>
    <w:qFormat/>
    <w:uiPriority w:val="39"/>
    <w:pPr>
      <w:ind w:left="2100" w:leftChars="1000"/>
    </w:pPr>
    <w:rPr>
      <w:szCs w:val="22"/>
    </w:rPr>
  </w:style>
  <w:style w:type="paragraph" w:styleId="21">
    <w:name w:val="toc 2"/>
    <w:basedOn w:val="1"/>
    <w:next w:val="1"/>
    <w:semiHidden/>
    <w:unhideWhenUsed/>
    <w:qFormat/>
    <w:uiPriority w:val="39"/>
    <w:rPr>
      <w:rFonts w:eastAsia="楷体"/>
    </w:rPr>
  </w:style>
  <w:style w:type="paragraph" w:styleId="22">
    <w:name w:val="toc 9"/>
    <w:basedOn w:val="1"/>
    <w:next w:val="1"/>
    <w:semiHidden/>
    <w:unhideWhenUsed/>
    <w:qFormat/>
    <w:uiPriority w:val="39"/>
    <w:pPr>
      <w:ind w:left="3360" w:leftChars="1600"/>
    </w:pPr>
    <w:rPr>
      <w:szCs w:val="22"/>
    </w:rPr>
  </w:style>
  <w:style w:type="paragraph" w:styleId="23">
    <w:name w:val="Normal (Web)"/>
    <w:basedOn w:val="1"/>
    <w:semiHidden/>
    <w:unhideWhenUsed/>
    <w:qFormat/>
    <w:uiPriority w:val="99"/>
    <w:pPr>
      <w:spacing w:before="100" w:beforeAutospacing="1" w:after="100" w:afterAutospacing="1"/>
      <w:jc w:val="left"/>
    </w:pPr>
    <w:rPr>
      <w:kern w:val="0"/>
      <w:sz w:val="24"/>
    </w:rPr>
  </w:style>
  <w:style w:type="paragraph" w:styleId="24">
    <w:name w:val="annotation subject"/>
    <w:basedOn w:val="9"/>
    <w:next w:val="9"/>
    <w:link w:val="46"/>
    <w:semiHidden/>
    <w:unhideWhenUsed/>
    <w:qFormat/>
    <w:uiPriority w:val="99"/>
    <w:rPr>
      <w:b/>
      <w:bCs/>
    </w:rPr>
  </w:style>
  <w:style w:type="paragraph" w:styleId="25">
    <w:name w:val="Body Text First Indent"/>
    <w:basedOn w:val="10"/>
    <w:link w:val="43"/>
    <w:unhideWhenUsed/>
    <w:qFormat/>
    <w:uiPriority w:val="99"/>
    <w:pPr>
      <w:ind w:firstLine="420" w:firstLineChars="100"/>
    </w:pPr>
  </w:style>
  <w:style w:type="paragraph" w:styleId="26">
    <w:name w:val="Body Text First Indent 2"/>
    <w:basedOn w:val="11"/>
    <w:next w:val="25"/>
    <w:link w:val="44"/>
    <w:semiHidden/>
    <w:unhideWhenUsed/>
    <w:qFormat/>
    <w:uiPriority w:val="99"/>
    <w:pPr>
      <w:widowControl/>
      <w:ind w:left="0" w:leftChars="100" w:firstLine="420"/>
    </w:pPr>
    <w:rPr>
      <w:szCs w:val="21"/>
    </w:rPr>
  </w:style>
  <w:style w:type="table" w:styleId="28">
    <w:name w:val="Table Grid"/>
    <w:basedOn w:val="27"/>
    <w:qFormat/>
    <w:uiPriority w:val="5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FollowedHyperlink"/>
    <w:basedOn w:val="29"/>
    <w:semiHidden/>
    <w:unhideWhenUsed/>
    <w:qFormat/>
    <w:uiPriority w:val="99"/>
    <w:rPr>
      <w:color w:val="800080" w:themeColor="followedHyperlink"/>
      <w:u w:val="single"/>
    </w:rPr>
  </w:style>
  <w:style w:type="character" w:styleId="32">
    <w:name w:val="Hyperlink"/>
    <w:basedOn w:val="29"/>
    <w:semiHidden/>
    <w:unhideWhenUsed/>
    <w:qFormat/>
    <w:uiPriority w:val="99"/>
    <w:rPr>
      <w:color w:val="0000FF"/>
      <w:u w:val="single"/>
    </w:rPr>
  </w:style>
  <w:style w:type="character" w:styleId="33">
    <w:name w:val="annotation reference"/>
    <w:basedOn w:val="29"/>
    <w:semiHidden/>
    <w:unhideWhenUsed/>
    <w:qFormat/>
    <w:uiPriority w:val="0"/>
    <w:rPr>
      <w:sz w:val="21"/>
      <w:szCs w:val="21"/>
    </w:rPr>
  </w:style>
  <w:style w:type="character" w:customStyle="1" w:styleId="34">
    <w:name w:val="页眉 字符"/>
    <w:basedOn w:val="29"/>
    <w:link w:val="17"/>
    <w:qFormat/>
    <w:uiPriority w:val="99"/>
    <w:rPr>
      <w:sz w:val="18"/>
      <w:szCs w:val="18"/>
    </w:rPr>
  </w:style>
  <w:style w:type="character" w:customStyle="1" w:styleId="35">
    <w:name w:val="页脚 字符"/>
    <w:basedOn w:val="29"/>
    <w:link w:val="16"/>
    <w:qFormat/>
    <w:uiPriority w:val="99"/>
    <w:rPr>
      <w:sz w:val="18"/>
      <w:szCs w:val="18"/>
    </w:rPr>
  </w:style>
  <w:style w:type="character" w:customStyle="1" w:styleId="36">
    <w:name w:val="标题 1 字符"/>
    <w:basedOn w:val="29"/>
    <w:link w:val="3"/>
    <w:qFormat/>
    <w:uiPriority w:val="0"/>
    <w:rPr>
      <w:rFonts w:ascii="Calibri" w:hAnsi="Calibri" w:eastAsia="宋体" w:cs="宋体"/>
      <w:b/>
      <w:kern w:val="44"/>
      <w:sz w:val="44"/>
      <w:szCs w:val="24"/>
    </w:rPr>
  </w:style>
  <w:style w:type="character" w:customStyle="1" w:styleId="37">
    <w:name w:val="标题 2 字符"/>
    <w:basedOn w:val="29"/>
    <w:link w:val="2"/>
    <w:semiHidden/>
    <w:qFormat/>
    <w:uiPriority w:val="0"/>
    <w:rPr>
      <w:rFonts w:asciiTheme="majorHAnsi" w:hAnsiTheme="majorHAnsi" w:eastAsiaTheme="majorEastAsia" w:cstheme="majorBidi"/>
      <w:b/>
      <w:bCs/>
      <w:sz w:val="32"/>
      <w:szCs w:val="32"/>
    </w:rPr>
  </w:style>
  <w:style w:type="character" w:customStyle="1" w:styleId="38">
    <w:name w:val="标题 3 字符"/>
    <w:basedOn w:val="29"/>
    <w:link w:val="4"/>
    <w:semiHidden/>
    <w:qFormat/>
    <w:uiPriority w:val="0"/>
    <w:rPr>
      <w:rFonts w:ascii="Calibri" w:hAnsi="Calibri" w:eastAsia="宋体" w:cs="宋体"/>
      <w:b/>
      <w:bCs/>
      <w:sz w:val="32"/>
      <w:szCs w:val="32"/>
    </w:rPr>
  </w:style>
  <w:style w:type="character" w:customStyle="1" w:styleId="39">
    <w:name w:val="标题 4 字符"/>
    <w:basedOn w:val="29"/>
    <w:link w:val="5"/>
    <w:semiHidden/>
    <w:qFormat/>
    <w:uiPriority w:val="0"/>
    <w:rPr>
      <w:rFonts w:ascii="Calibri" w:hAnsi="Calibri" w:eastAsia="仿宋" w:cs="宋体"/>
      <w:bCs/>
      <w:szCs w:val="28"/>
    </w:rPr>
  </w:style>
  <w:style w:type="character" w:customStyle="1" w:styleId="40">
    <w:name w:val="批注文字 字符"/>
    <w:basedOn w:val="29"/>
    <w:link w:val="9"/>
    <w:semiHidden/>
    <w:qFormat/>
    <w:uiPriority w:val="99"/>
    <w:rPr>
      <w:rFonts w:ascii="Calibri" w:hAnsi="Calibri" w:eastAsia="宋体" w:cs="Times New Roman"/>
      <w:szCs w:val="24"/>
    </w:rPr>
  </w:style>
  <w:style w:type="character" w:customStyle="1" w:styleId="41">
    <w:name w:val="正文文本 字符"/>
    <w:basedOn w:val="29"/>
    <w:link w:val="10"/>
    <w:semiHidden/>
    <w:qFormat/>
    <w:uiPriority w:val="99"/>
    <w:rPr>
      <w:rFonts w:ascii="Calibri" w:hAnsi="Calibri" w:eastAsia="宋体" w:cs="Times New Roman"/>
      <w:szCs w:val="24"/>
    </w:rPr>
  </w:style>
  <w:style w:type="character" w:customStyle="1" w:styleId="42">
    <w:name w:val="正文文本缩进 字符"/>
    <w:basedOn w:val="29"/>
    <w:link w:val="11"/>
    <w:semiHidden/>
    <w:qFormat/>
    <w:uiPriority w:val="99"/>
    <w:rPr>
      <w:rFonts w:ascii="Calibri" w:hAnsi="Calibri" w:eastAsia="宋体" w:cs="Times New Roman"/>
      <w:szCs w:val="24"/>
    </w:rPr>
  </w:style>
  <w:style w:type="character" w:customStyle="1" w:styleId="43">
    <w:name w:val="正文文本首行缩进 字符"/>
    <w:basedOn w:val="41"/>
    <w:link w:val="25"/>
    <w:qFormat/>
    <w:uiPriority w:val="99"/>
    <w:rPr>
      <w:rFonts w:ascii="Calibri" w:hAnsi="Calibri" w:eastAsia="宋体" w:cs="Times New Roman"/>
      <w:szCs w:val="24"/>
    </w:rPr>
  </w:style>
  <w:style w:type="character" w:customStyle="1" w:styleId="44">
    <w:name w:val="正文文本首行缩进 2 字符"/>
    <w:basedOn w:val="42"/>
    <w:link w:val="26"/>
    <w:semiHidden/>
    <w:qFormat/>
    <w:uiPriority w:val="99"/>
    <w:rPr>
      <w:rFonts w:ascii="Calibri" w:hAnsi="Calibri" w:eastAsia="宋体" w:cs="Times New Roman"/>
      <w:szCs w:val="21"/>
    </w:rPr>
  </w:style>
  <w:style w:type="character" w:customStyle="1" w:styleId="45">
    <w:name w:val="文档结构图 字符"/>
    <w:basedOn w:val="29"/>
    <w:link w:val="8"/>
    <w:semiHidden/>
    <w:qFormat/>
    <w:uiPriority w:val="99"/>
    <w:rPr>
      <w:rFonts w:ascii="宋体" w:hAnsi="Calibri" w:eastAsia="宋体" w:cs="Times New Roman"/>
      <w:sz w:val="18"/>
      <w:szCs w:val="18"/>
    </w:rPr>
  </w:style>
  <w:style w:type="character" w:customStyle="1" w:styleId="46">
    <w:name w:val="批注主题 字符"/>
    <w:basedOn w:val="40"/>
    <w:link w:val="24"/>
    <w:semiHidden/>
    <w:qFormat/>
    <w:uiPriority w:val="99"/>
    <w:rPr>
      <w:rFonts w:ascii="Calibri" w:hAnsi="Calibri" w:eastAsia="宋体" w:cs="Times New Roman"/>
      <w:b/>
      <w:bCs/>
      <w:szCs w:val="24"/>
    </w:rPr>
  </w:style>
  <w:style w:type="character" w:customStyle="1" w:styleId="47">
    <w:name w:val="批注框文本 字符"/>
    <w:basedOn w:val="29"/>
    <w:link w:val="15"/>
    <w:semiHidden/>
    <w:qFormat/>
    <w:uiPriority w:val="99"/>
    <w:rPr>
      <w:rFonts w:ascii="Calibri" w:hAnsi="Calibri" w:eastAsia="宋体" w:cs="Times New Roman"/>
      <w:sz w:val="18"/>
      <w:szCs w:val="18"/>
    </w:rPr>
  </w:style>
  <w:style w:type="paragraph" w:styleId="48">
    <w:name w:val="List Paragraph"/>
    <w:basedOn w:val="1"/>
    <w:qFormat/>
    <w:uiPriority w:val="99"/>
    <w:pPr>
      <w:ind w:firstLine="420" w:firstLineChars="200"/>
    </w:pPr>
  </w:style>
  <w:style w:type="paragraph" w:customStyle="1" w:styleId="49">
    <w:name w:val="_Style 6"/>
    <w:basedOn w:val="1"/>
    <w:next w:val="1"/>
    <w:qFormat/>
    <w:uiPriority w:val="99"/>
    <w:pPr>
      <w:pBdr>
        <w:bottom w:val="single" w:color="auto" w:sz="6" w:space="1"/>
      </w:pBdr>
      <w:jc w:val="center"/>
    </w:pPr>
    <w:rPr>
      <w:rFonts w:ascii="Arial"/>
      <w:vanish/>
      <w:sz w:val="16"/>
    </w:rPr>
  </w:style>
  <w:style w:type="paragraph" w:customStyle="1" w:styleId="50">
    <w:name w:val="_Style 7"/>
    <w:basedOn w:val="1"/>
    <w:next w:val="1"/>
    <w:qFormat/>
    <w:uiPriority w:val="99"/>
    <w:pPr>
      <w:pBdr>
        <w:top w:val="single" w:color="auto" w:sz="6" w:space="1"/>
      </w:pBdr>
      <w:jc w:val="center"/>
    </w:pPr>
    <w:rPr>
      <w:rFonts w:ascii="Arial"/>
      <w:vanish/>
      <w:sz w:val="16"/>
    </w:rPr>
  </w:style>
  <w:style w:type="paragraph" w:customStyle="1" w:styleId="51">
    <w:name w:val="报告正文"/>
    <w:basedOn w:val="1"/>
    <w:qFormat/>
    <w:uiPriority w:val="99"/>
    <w:pPr>
      <w:adjustRightInd w:val="0"/>
      <w:ind w:firstLine="200" w:firstLineChars="200"/>
    </w:pPr>
    <w:rPr>
      <w:sz w:val="28"/>
      <w:szCs w:val="28"/>
    </w:rPr>
  </w:style>
  <w:style w:type="character" w:customStyle="1" w:styleId="52">
    <w:name w:val="Body text|1_"/>
    <w:basedOn w:val="29"/>
    <w:link w:val="53"/>
    <w:qFormat/>
    <w:locked/>
    <w:uiPriority w:val="0"/>
    <w:rPr>
      <w:rFonts w:ascii="宋体" w:hAnsi="宋体" w:eastAsia="宋体" w:cs="宋体"/>
      <w:sz w:val="30"/>
      <w:szCs w:val="30"/>
      <w:lang w:val="zh-TW" w:eastAsia="zh-TW" w:bidi="zh-TW"/>
    </w:rPr>
  </w:style>
  <w:style w:type="paragraph" w:customStyle="1" w:styleId="53">
    <w:name w:val="Body text|1"/>
    <w:basedOn w:val="1"/>
    <w:link w:val="52"/>
    <w:qFormat/>
    <w:uiPriority w:val="0"/>
    <w:pPr>
      <w:spacing w:line="424" w:lineRule="auto"/>
      <w:ind w:firstLine="400"/>
      <w:jc w:val="left"/>
    </w:pPr>
    <w:rPr>
      <w:rFonts w:ascii="宋体" w:hAnsi="宋体" w:cs="宋体"/>
      <w:sz w:val="30"/>
      <w:szCs w:val="30"/>
      <w:lang w:val="zh-TW" w:eastAsia="zh-TW" w:bidi="zh-TW"/>
    </w:rPr>
  </w:style>
  <w:style w:type="paragraph" w:customStyle="1" w:styleId="54">
    <w:name w:val="修订1"/>
    <w:semiHidden/>
    <w:qFormat/>
    <w:uiPriority w:val="99"/>
    <w:rPr>
      <w:rFonts w:ascii="Calibri" w:hAnsi="Calibri" w:eastAsia="宋体" w:cs="Times New Roman"/>
      <w:kern w:val="2"/>
      <w:sz w:val="21"/>
      <w:szCs w:val="24"/>
      <w:lang w:val="en-US" w:eastAsia="zh-CN" w:bidi="ar-SA"/>
    </w:rPr>
  </w:style>
  <w:style w:type="paragraph" w:customStyle="1" w:styleId="55">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56">
    <w:name w:val="p0"/>
    <w:basedOn w:val="1"/>
    <w:qFormat/>
    <w:uiPriority w:val="99"/>
    <w:pPr>
      <w:widowControl/>
    </w:pPr>
    <w:rPr>
      <w:rFonts w:cs="宋体"/>
      <w:kern w:val="0"/>
      <w:szCs w:val="21"/>
    </w:rPr>
  </w:style>
  <w:style w:type="paragraph" w:customStyle="1" w:styleId="57">
    <w:name w:val="修订2"/>
    <w:semiHidden/>
    <w:qFormat/>
    <w:uiPriority w:val="99"/>
    <w:rPr>
      <w:rFonts w:ascii="Calibri" w:hAnsi="Calibri" w:eastAsia="宋体" w:cs="Times New Roman"/>
      <w:kern w:val="2"/>
      <w:sz w:val="21"/>
      <w:szCs w:val="24"/>
      <w:lang w:val="en-US" w:eastAsia="zh-CN" w:bidi="ar-SA"/>
    </w:rPr>
  </w:style>
  <w:style w:type="character" w:customStyle="1" w:styleId="58">
    <w:name w:val="NormalCharacter"/>
    <w:semiHidden/>
    <w:qFormat/>
    <w:uiPriority w:val="0"/>
  </w:style>
  <w:style w:type="character" w:customStyle="1" w:styleId="59">
    <w:name w:val="fontstyle01"/>
    <w:qFormat/>
    <w:uiPriority w:val="0"/>
    <w:rPr>
      <w:rFonts w:hint="eastAsia" w:ascii="方正仿宋_GBK" w:eastAsia="方正仿宋_GBK"/>
      <w:color w:val="000000"/>
      <w:sz w:val="32"/>
      <w:szCs w:val="32"/>
    </w:rPr>
  </w:style>
  <w:style w:type="table" w:customStyle="1" w:styleId="60">
    <w:name w:val="网格型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61">
    <w:name w:val="网格型1"/>
    <w:basedOn w:val="2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122</Pages>
  <Words>65631</Words>
  <Characters>66661</Characters>
  <Lines>724</Lines>
  <Paragraphs>203</Paragraphs>
  <TotalTime>6</TotalTime>
  <ScaleCrop>false</ScaleCrop>
  <LinksUpToDate>false</LinksUpToDate>
  <CharactersWithSpaces>67637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2021-06-25T17:56:00Z</dcterms:created>
  <dc:creator>薛晓晓</dc:creator>
  <cp:lastModifiedBy>彼岸花开七色天</cp:lastModifiedBy>
  <cp:lastPrinted>2021-06-25T18:03:00Z</cp:lastPrinted>
  <dcterms:modified xsi:type="dcterms:W3CDTF">2023-09-21T10:34:43Z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AD544480676C4A8E9E8383CF695F1CE6_12</vt:lpwstr>
  </property>
</Properties>
</file>