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pacing w:line="600" w:lineRule="exact"/>
        <w:ind w:firstLine="880" w:firstLineChars="2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中共左岚乡委员会  左岚乡人民政府</w:t>
      </w:r>
    </w:p>
    <w:p>
      <w:pPr>
        <w:keepNext w:val="0"/>
        <w:keepLines w:val="0"/>
        <w:pageBreakBefore w:val="0"/>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左岚乡</w:t>
      </w:r>
      <w:r>
        <w:rPr>
          <w:rFonts w:hint="default" w:ascii="Times New Roman" w:hAnsi="Times New Roman" w:eastAsia="方正小标宋_GBK" w:cs="Times New Roman"/>
          <w:sz w:val="44"/>
          <w:szCs w:val="44"/>
        </w:rPr>
        <w:t>义务教育阶段控辍保学工作</w:t>
      </w:r>
    </w:p>
    <w:p>
      <w:pPr>
        <w:keepNext w:val="0"/>
        <w:keepLines w:val="0"/>
        <w:pageBreakBefore w:val="0"/>
        <w:kinsoku/>
        <w:wordWrap/>
        <w:overflowPunct/>
        <w:topLinePunct w:val="0"/>
        <w:autoSpaceDE/>
        <w:autoSpaceDN/>
        <w:bidi w:val="0"/>
        <w:adjustRightInd/>
        <w:snapToGrid w:val="0"/>
        <w:spacing w:line="600" w:lineRule="exact"/>
        <w:contextualSpacing/>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实施方案》的通知</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kern w:val="0"/>
          <w:sz w:val="32"/>
          <w:szCs w:val="32"/>
          <w:lang w:val="en-US" w:eastAsia="zh-CN" w:bidi="ar"/>
        </w:rPr>
        <w:t>各村、各版块、各岗位，乡属各单位：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sz w:val="32"/>
          <w:szCs w:val="32"/>
          <w:lang w:eastAsia="zh-CN"/>
        </w:rPr>
      </w:pPr>
      <w:r>
        <w:rPr>
          <w:rStyle w:val="16"/>
          <w:rFonts w:hint="default" w:ascii="Times New Roman" w:hAnsi="Times New Roman" w:eastAsia="方正楷体_GBK" w:cs="Times New Roman"/>
        </w:rPr>
        <w:t>现将</w:t>
      </w:r>
      <w:r>
        <w:rPr>
          <w:rFonts w:hint="default" w:ascii="Times New Roman" w:hAnsi="Times New Roman" w:eastAsia="方正楷体_GBK" w:cs="Times New Roman"/>
          <w:color w:val="000000"/>
          <w:szCs w:val="32"/>
        </w:rPr>
        <w:t>《</w:t>
      </w:r>
      <w:r>
        <w:rPr>
          <w:rFonts w:hint="default" w:ascii="Times New Roman" w:hAnsi="Times New Roman" w:eastAsia="方正楷体_GBK" w:cs="Times New Roman"/>
          <w:color w:val="000000"/>
          <w:kern w:val="0"/>
          <w:sz w:val="32"/>
          <w:szCs w:val="32"/>
          <w:lang w:val="en-US" w:eastAsia="zh-CN" w:bidi="ar"/>
        </w:rPr>
        <w:t>左岚乡义务教育阶段控辍保学工作实施方案</w:t>
      </w:r>
      <w:r>
        <w:rPr>
          <w:rFonts w:hint="default" w:ascii="Times New Roman" w:hAnsi="Times New Roman" w:eastAsia="方正楷体_GBK" w:cs="Times New Roman"/>
          <w:color w:val="000000"/>
          <w:sz w:val="32"/>
          <w:szCs w:val="32"/>
        </w:rPr>
        <w:t>》印发给你们。请</w:t>
      </w:r>
      <w:r>
        <w:rPr>
          <w:rFonts w:hint="default" w:ascii="Times New Roman" w:hAnsi="Times New Roman" w:eastAsia="方正楷体_GBK" w:cs="Times New Roman"/>
          <w:color w:val="000000"/>
          <w:sz w:val="32"/>
          <w:szCs w:val="32"/>
          <w:lang w:eastAsia="zh-CN"/>
        </w:rPr>
        <w:t>认真</w:t>
      </w:r>
      <w:r>
        <w:rPr>
          <w:rFonts w:hint="default" w:ascii="Times New Roman" w:hAnsi="Times New Roman" w:eastAsia="方正楷体_GBK" w:cs="Times New Roman"/>
          <w:sz w:val="32"/>
          <w:szCs w:val="32"/>
        </w:rPr>
        <w:t>抓好落实</w:t>
      </w:r>
      <w:r>
        <w:rPr>
          <w:rFonts w:hint="default" w:ascii="Times New Roman" w:hAnsi="Times New Roman" w:eastAsia="方正楷体_GBK" w:cs="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Chars="10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 xml:space="preserve">                            中共左岚乡委员会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5430" w:firstLineChars="15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spacing w:val="21"/>
          <w:kern w:val="0"/>
          <w:sz w:val="32"/>
          <w:szCs w:val="32"/>
          <w:fitText w:val="2496" w:id="1602251283"/>
          <w:lang w:val="en-US" w:eastAsia="zh-CN" w:bidi="ar"/>
        </w:rPr>
        <w:t>左岚乡人民政</w:t>
      </w:r>
      <w:r>
        <w:rPr>
          <w:rFonts w:hint="default" w:ascii="Times New Roman" w:hAnsi="Times New Roman" w:eastAsia="方正楷体_GBK" w:cs="Times New Roman"/>
          <w:color w:val="000000"/>
          <w:spacing w:val="2"/>
          <w:kern w:val="0"/>
          <w:sz w:val="32"/>
          <w:szCs w:val="32"/>
          <w:fitText w:val="2496" w:id="1602251283"/>
          <w:lang w:val="en-US" w:eastAsia="zh-CN" w:bidi="ar"/>
        </w:rPr>
        <w:t>府</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 xml:space="preserve">                                </w:t>
      </w:r>
      <w:r>
        <w:rPr>
          <w:rFonts w:hint="eastAsia" w:ascii="Times New Roman" w:hAnsi="Times New Roman" w:eastAsia="方正楷体_GBK" w:cs="Times New Roman"/>
          <w:color w:val="000000"/>
          <w:kern w:val="0"/>
          <w:sz w:val="32"/>
          <w:szCs w:val="32"/>
          <w:lang w:val="en-US" w:eastAsia="zh-CN" w:bidi="ar"/>
        </w:rPr>
        <w:t xml:space="preserve"> </w:t>
      </w:r>
      <w:r>
        <w:rPr>
          <w:rFonts w:hint="default" w:ascii="Times New Roman" w:hAnsi="Times New Roman" w:eastAsia="方正楷体_GBK" w:cs="Times New Roman"/>
          <w:color w:val="000000"/>
          <w:kern w:val="0"/>
          <w:sz w:val="32"/>
          <w:szCs w:val="32"/>
          <w:lang w:val="en-US" w:eastAsia="zh-CN" w:bidi="ar"/>
        </w:rPr>
        <w:t>2024年</w:t>
      </w:r>
      <w:r>
        <w:rPr>
          <w:rFonts w:hint="eastAsia" w:ascii="Times New Roman" w:hAnsi="Times New Roman" w:eastAsia="方正楷体_GBK" w:cs="Times New Roman"/>
          <w:color w:val="000000"/>
          <w:kern w:val="0"/>
          <w:sz w:val="32"/>
          <w:szCs w:val="32"/>
          <w:lang w:val="en-US" w:eastAsia="zh-CN" w:bidi="ar"/>
        </w:rPr>
        <w:t>11</w:t>
      </w:r>
      <w:r>
        <w:rPr>
          <w:rFonts w:hint="default" w:ascii="Times New Roman" w:hAnsi="Times New Roman" w:eastAsia="方正楷体_GBK" w:cs="Times New Roman"/>
          <w:color w:val="000000"/>
          <w:kern w:val="0"/>
          <w:sz w:val="32"/>
          <w:szCs w:val="32"/>
          <w:lang w:val="en-US" w:eastAsia="zh-CN" w:bidi="ar"/>
        </w:rPr>
        <w:t>月</w:t>
      </w:r>
      <w:r>
        <w:rPr>
          <w:rFonts w:hint="eastAsia" w:ascii="Times New Roman" w:hAnsi="Times New Roman" w:eastAsia="方正楷体_GBK" w:cs="Times New Roman"/>
          <w:color w:val="000000"/>
          <w:kern w:val="0"/>
          <w:sz w:val="32"/>
          <w:szCs w:val="32"/>
          <w:lang w:val="en-US" w:eastAsia="zh-CN" w:bidi="ar"/>
        </w:rPr>
        <w:t>29</w:t>
      </w:r>
      <w:r>
        <w:rPr>
          <w:rFonts w:hint="default" w:ascii="Times New Roman" w:hAnsi="Times New Roman" w:eastAsia="方正楷体_GBK" w:cs="Times New Roman"/>
          <w:color w:val="000000"/>
          <w:kern w:val="0"/>
          <w:sz w:val="32"/>
          <w:szCs w:val="32"/>
          <w:lang w:val="en-US" w:eastAsia="zh-CN" w:bidi="ar"/>
        </w:rPr>
        <w:t>日</w:t>
      </w:r>
    </w:p>
    <w:p>
      <w:pPr>
        <w:shd w:val="clear" w:color="auto" w:fill="auto"/>
        <w:spacing w:line="560" w:lineRule="exact"/>
        <w:ind w:firstLine="572" w:firstLineChars="200"/>
        <w:jc w:val="both"/>
        <w:rPr>
          <w:rFonts w:hint="eastAsia" w:ascii="方正仿宋_GBK" w:hAnsi="方正仿宋_GBK" w:eastAsia="方正仿宋_GBK" w:cs="方正仿宋_GBK"/>
          <w:spacing w:val="-17"/>
          <w:sz w:val="32"/>
          <w:szCs w:val="32"/>
          <w:lang w:val="en-US" w:eastAsia="zh-CN"/>
        </w:rPr>
      </w:pPr>
      <w:r>
        <w:rPr>
          <w:rFonts w:hint="eastAsia" w:ascii="方正仿宋_GBK" w:hAnsi="方正仿宋_GBK" w:eastAsia="方正仿宋_GBK" w:cs="方正仿宋_GBK"/>
          <w:spacing w:val="-17"/>
          <w:sz w:val="32"/>
          <w:szCs w:val="32"/>
          <w:lang w:val="en-US" w:eastAsia="zh-CN"/>
        </w:rPr>
        <w:t>（此件公开发布）</w:t>
      </w:r>
    </w:p>
    <w:p>
      <w:pPr>
        <w:shd w:val="clear" w:color="auto" w:fill="auto"/>
        <w:spacing w:line="560" w:lineRule="exact"/>
        <w:ind w:firstLine="572" w:firstLineChars="200"/>
        <w:jc w:val="both"/>
        <w:rPr>
          <w:rFonts w:hint="eastAsia" w:ascii="方正仿宋_GBK" w:hAnsi="方正仿宋_GBK" w:eastAsia="方正仿宋_GBK" w:cs="方正仿宋_GBK"/>
          <w:spacing w:val="-17"/>
          <w:sz w:val="32"/>
          <w:szCs w:val="32"/>
          <w:lang w:val="en-US" w:eastAsia="zh-CN"/>
        </w:rPr>
      </w:pPr>
    </w:p>
    <w:p>
      <w:pPr>
        <w:shd w:val="clear" w:color="auto" w:fill="auto"/>
        <w:spacing w:line="560" w:lineRule="exact"/>
        <w:jc w:val="center"/>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lang w:val="en-US" w:eastAsia="zh-CN"/>
        </w:rPr>
        <w:t>左岚乡</w:t>
      </w:r>
      <w:r>
        <w:rPr>
          <w:rFonts w:hint="default" w:ascii="Times New Roman" w:hAnsi="Times New Roman" w:eastAsia="方正小标宋_GBK" w:cs="Times New Roman"/>
          <w:spacing w:val="-17"/>
          <w:sz w:val="44"/>
          <w:szCs w:val="44"/>
        </w:rPr>
        <w:t>义务教育阶段控辍保学工作实施方案</w:t>
      </w:r>
    </w:p>
    <w:p>
      <w:pPr>
        <w:shd w:val="clear" w:color="auto" w:fill="auto"/>
        <w:spacing w:line="560" w:lineRule="exact"/>
        <w:jc w:val="center"/>
        <w:rPr>
          <w:rFonts w:hint="default" w:ascii="Times New Roman" w:hAnsi="Times New Roman" w:eastAsia="方正仿宋_GBK" w:cs="Times New Roman"/>
          <w:sz w:val="44"/>
          <w:szCs w:val="44"/>
        </w:rPr>
      </w:pPr>
    </w:p>
    <w:p>
      <w:pPr>
        <w:suppressAutoHyphens/>
        <w:spacing w:line="579" w:lineRule="exact"/>
        <w:ind w:firstLine="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依法保障适龄少年儿童接受义务教育的权利，精准实施控辍保学措施，全面提高我乡义务教育巩固水平，根据《中共城口县委教育工作领导小组关于印发〈城口县2023年义务教育阶段控辍保学工作实施方案〉的通知》（城委教发〔2023〕1号）和《中共城口县委教育工作领导小组秘书组关于印发〈城口县控辍保学三访一验六处置办法〉的通知》（城委教秘发〔2024〕4号）</w:t>
      </w:r>
    </w:p>
    <w:p>
      <w:pPr>
        <w:suppressAutoHyphens/>
        <w:spacing w:line="579"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精神，结合我乡实际，制定本实施方案。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指导思想</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和党的二十大精神为指导，深入贯彻习近平总书记关于教育工作的重要论述精神，加大义务教育阶段控辍保学工作力度，强化未成年人权益保障，促进巩固拓展脱贫攻坚成果同乡村振兴有效衔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工作</w:t>
      </w:r>
      <w:r>
        <w:rPr>
          <w:rFonts w:hint="default" w:ascii="Times New Roman" w:hAnsi="Times New Roman" w:eastAsia="方正黑体_GBK" w:cs="Times New Roman"/>
          <w:sz w:val="32"/>
          <w:szCs w:val="32"/>
          <w:lang w:val="en-US" w:eastAsia="zh-CN"/>
        </w:rPr>
        <w:t>目标</w:t>
      </w:r>
    </w:p>
    <w:p>
      <w:pPr>
        <w:suppressAutoHyphens/>
        <w:spacing w:line="579" w:lineRule="exact"/>
        <w:ind w:firstLine="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按照《中共城口县委教育工作领导小组秘书组关于印发〈城口县控辍保学三访一验六处置办法〉的通知》 （城委教秘〔2024〕</w:t>
      </w:r>
    </w:p>
    <w:p>
      <w:pPr>
        <w:suppressAutoHyphens/>
        <w:spacing w:line="579"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4号）要求，切实加强领导，压实工作责任，认真细致做好控辍保学工作，实现控辍保学工作常态清零的目标。</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三、工作措施</w:t>
      </w:r>
    </w:p>
    <w:p>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（一）全面部署，落实责任。</w:t>
      </w:r>
      <w:r>
        <w:rPr>
          <w:rFonts w:hint="default" w:ascii="Times New Roman" w:hAnsi="Times New Roman" w:eastAsia="方正仿宋_GBK" w:cs="Times New Roman"/>
          <w:kern w:val="2"/>
          <w:sz w:val="32"/>
          <w:szCs w:val="32"/>
          <w:lang w:val="en-US" w:eastAsia="zh-CN" w:bidi="ar-SA"/>
        </w:rPr>
        <w:t>义务教育有保障是</w:t>
      </w:r>
      <w:r>
        <w:rPr>
          <w:rFonts w:hint="eastAsia" w:ascii="方正仿宋_GBK" w:hAnsi="方正仿宋_GBK" w:eastAsia="方正仿宋_GBK" w:cs="方正仿宋_GBK"/>
          <w:kern w:val="2"/>
          <w:sz w:val="32"/>
          <w:szCs w:val="32"/>
          <w:lang w:val="en-US" w:eastAsia="zh-CN" w:bidi="ar-SA"/>
        </w:rPr>
        <w:t>“两不愁三保障”的底</w:t>
      </w:r>
      <w:r>
        <w:rPr>
          <w:rFonts w:hint="default" w:ascii="Times New Roman" w:hAnsi="Times New Roman" w:eastAsia="方正仿宋_GBK" w:cs="Times New Roman"/>
          <w:kern w:val="2"/>
          <w:sz w:val="32"/>
          <w:szCs w:val="32"/>
          <w:lang w:val="en-US" w:eastAsia="zh-CN" w:bidi="ar-SA"/>
        </w:rPr>
        <w:t>线目标之一，核心是控辍保学工作。各</w:t>
      </w:r>
      <w:r>
        <w:rPr>
          <w:rFonts w:hint="default" w:ascii="Times New Roman" w:hAnsi="Times New Roman" w:eastAsia="方正仿宋_GBK" w:cs="Times New Roman"/>
          <w:sz w:val="32"/>
          <w:szCs w:val="32"/>
          <w:lang w:val="en-US" w:eastAsia="zh-CN"/>
        </w:rPr>
        <w:t>村和学校要切实提高政治站位，扎实做好义务教育各项工作，实现控辍保学目标。要不定期召开控辍保学专题会，安排落实控辍保学工作，压实责任，明确职责、目标任务和工作进度，切实把辍学学生的核查、劝返、复学等各项工作落细落实。</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摸清底数</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建立台账。</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政府牵头组织，学校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rPr>
        <w:t>全力配合落实。结合辖区适龄儿童户籍、学校学籍，摸清义务教育阶段适龄儿童就读情况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摸清义务教育阶段适龄儿童</w:t>
      </w:r>
      <w:r>
        <w:rPr>
          <w:rFonts w:hint="default" w:ascii="Times New Roman" w:hAnsi="Times New Roman" w:eastAsia="方正仿宋_GBK" w:cs="Times New Roman"/>
          <w:sz w:val="32"/>
          <w:szCs w:val="32"/>
          <w:lang w:val="en-US" w:eastAsia="zh-CN"/>
        </w:rPr>
        <w:t>辍学</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对疑似辍学学生进行逐一现场核查，摸清辍学学生具体去向，全面了解未返校原因，确认为辍学的要纳入工作台账管理，立即启动劝返复学工作。建立辍学学生花名册、其他未入学花名册。</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（三）完善制度，动态监管。</w:t>
      </w:r>
      <w:r>
        <w:rPr>
          <w:rFonts w:hint="default" w:ascii="Times New Roman" w:hAnsi="Times New Roman" w:eastAsia="方正仿宋_GBK" w:cs="Times New Roman"/>
          <w:kern w:val="2"/>
          <w:sz w:val="32"/>
          <w:szCs w:val="32"/>
          <w:lang w:val="en-US" w:eastAsia="zh-CN" w:bidi="ar-SA"/>
        </w:rPr>
        <w:t>严格落实控辍保学报告制度，各村、中心校要在每学期开学后10日内，向乡控辍保学工作领导小组办公室报送《 左岚乡动态摸排未到校学生名单》（附件2），同时，加强校地协作，对疑似辍学学生及时劝返复学。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（四）多策并举，上门劝返。</w:t>
      </w: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发现学生疑似</w:t>
      </w:r>
      <w:r>
        <w:rPr>
          <w:rFonts w:hint="default" w:ascii="Times New Roman" w:hAnsi="Times New Roman" w:eastAsia="方正仿宋_GBK" w:cs="Times New Roman"/>
          <w:sz w:val="32"/>
          <w:szCs w:val="32"/>
          <w:lang w:val="en-US" w:eastAsia="zh-CN"/>
        </w:rPr>
        <w:t>辍学</w:t>
      </w:r>
      <w:r>
        <w:rPr>
          <w:rFonts w:hint="default" w:ascii="Times New Roman" w:hAnsi="Times New Roman" w:eastAsia="方正仿宋_GBK" w:cs="Times New Roman"/>
          <w:sz w:val="32"/>
          <w:szCs w:val="32"/>
        </w:rPr>
        <w:t>（含已确定</w:t>
      </w:r>
      <w:r>
        <w:rPr>
          <w:rFonts w:hint="default" w:ascii="Times New Roman" w:hAnsi="Times New Roman" w:eastAsia="方正仿宋_GBK" w:cs="Times New Roman"/>
          <w:sz w:val="32"/>
          <w:szCs w:val="32"/>
          <w:lang w:val="en-US" w:eastAsia="zh-CN"/>
        </w:rPr>
        <w:t>辍学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政府、学校和各村要及时信息共享，要因地、因家、因人施策，切实做好劝返复学工作。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（五）因人施策，个性安置</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lang w:val="en-US" w:eastAsia="zh-CN"/>
        </w:rPr>
        <w:t>政府、学校和各村要切实掌握《控辍保学三访一验六处置办法》（附件1），因人施策，分类施教，确保每一名复学学生稳得住、学得好。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、组织保障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val="en-US" w:eastAsia="zh-CN"/>
        </w:rPr>
        <w:t>提高政治站位</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各村要切实提高政治站位，按照中央、市委、县委关于控辍保学工作的统一部署和要求，强化政治担当，始终加强对控辍保学的组织领导，压实责任，保持政策不变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力度不减，增强工作开展的主动性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积极性。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val="en-US" w:eastAsia="zh-CN"/>
        </w:rPr>
        <w:t>加强组织领导</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成立乡控辍保学工作领导小组，全面负责辖区控辍保学责任落实。各联系村领导和支部书记负责所在村的控辍保学工作，运用好一体化治理智治平台，充分发挥各网格作用，确保义务教育阶段适龄学生全覆盖。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val="en-US" w:eastAsia="zh-CN"/>
        </w:rPr>
        <w:t>抓好过程落实</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乡村两级要细化目标任务和工作措施，责任到户、到人，逐一落实辍学学生劝返责任，建立乡村两级控辍保学档案（附件3）。</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附件：1.控辍保学三访一验六处置办法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2.左岚乡动态摸排未到校学生名单</w:t>
      </w:r>
    </w:p>
    <w:p>
      <w:pPr>
        <w:keepNext w:val="0"/>
        <w:keepLines w:val="0"/>
        <w:widowControl/>
        <w:suppressLineNumbers w:val="0"/>
        <w:ind w:firstLine="1600" w:firstLineChars="500"/>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3.左岚乡（乡、村）控辍保学档案资料清单</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color w:val="000000"/>
          <w:kern w:val="0"/>
          <w:sz w:val="44"/>
          <w:szCs w:val="44"/>
          <w:lang w:val="en-US" w:eastAsia="zh-CN" w:bidi="ar"/>
        </w:rPr>
        <w:t>控辍保学三访一验六处置办法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黑体_GBK" w:cs="Times New Roman"/>
          <w:b w:val="0"/>
          <w:bCs w:val="0"/>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三访：</w:t>
      </w:r>
      <w:r>
        <w:rPr>
          <w:rFonts w:hint="default" w:ascii="Times New Roman" w:hAnsi="Times New Roman" w:eastAsia="方正仿宋_GBK" w:cs="Times New Roman"/>
          <w:b w:val="0"/>
          <w:bCs w:val="0"/>
          <w:color w:val="000000"/>
          <w:sz w:val="32"/>
          <w:szCs w:val="32"/>
        </w:rPr>
        <w:t>户籍查访、村社走访、入户遍访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一验：</w:t>
      </w:r>
      <w:r>
        <w:rPr>
          <w:rFonts w:hint="default" w:ascii="Times New Roman" w:hAnsi="Times New Roman" w:eastAsia="方正仿宋_GBK" w:cs="Times New Roman"/>
          <w:b w:val="0"/>
          <w:bCs w:val="0"/>
          <w:color w:val="000000"/>
          <w:sz w:val="32"/>
          <w:szCs w:val="32"/>
        </w:rPr>
        <w:t>切实做好入学验证工作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黑体_GBK" w:cs="Times New Roman"/>
          <w:b w:val="0"/>
          <w:bCs w:val="0"/>
          <w:color w:val="000000"/>
          <w:sz w:val="32"/>
          <w:szCs w:val="32"/>
        </w:rPr>
        <w:t>六类处置办法：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1.</w:t>
      </w:r>
      <w:r>
        <w:rPr>
          <w:rFonts w:hint="default" w:ascii="Times New Roman" w:hAnsi="Times New Roman" w:eastAsia="方正仿宋_GBK" w:cs="Times New Roman"/>
          <w:b/>
          <w:bCs/>
          <w:color w:val="000000"/>
          <w:sz w:val="32"/>
          <w:szCs w:val="32"/>
        </w:rPr>
        <w:t>办理毕业（结业）证。</w:t>
      </w:r>
      <w:r>
        <w:rPr>
          <w:rFonts w:hint="default" w:ascii="Times New Roman" w:hAnsi="Times New Roman" w:eastAsia="方正仿宋_GBK" w:cs="Times New Roman"/>
          <w:b w:val="0"/>
          <w:bCs w:val="0"/>
          <w:color w:val="000000"/>
          <w:sz w:val="32"/>
          <w:szCs w:val="32"/>
        </w:rPr>
        <w:t>凡是在初三下期疑似辍学的学生，经3次联合劝返（劝返时学生</w:t>
      </w:r>
      <w:r>
        <w:rPr>
          <w:rFonts w:hint="eastAsia" w:ascii="Times New Roman" w:hAnsi="Times New Roman" w:eastAsia="方正仿宋_GBK" w:cs="Times New Roman"/>
          <w:b w:val="0"/>
          <w:bCs w:val="0"/>
          <w:color w:val="000000"/>
          <w:sz w:val="32"/>
          <w:szCs w:val="32"/>
          <w:lang w:eastAsia="zh-CN"/>
        </w:rPr>
        <w:t>必须</w:t>
      </w:r>
      <w:r>
        <w:rPr>
          <w:rFonts w:hint="default" w:ascii="Times New Roman" w:hAnsi="Times New Roman" w:eastAsia="方正仿宋_GBK" w:cs="Times New Roman"/>
          <w:b w:val="0"/>
          <w:bCs w:val="0"/>
          <w:color w:val="000000"/>
          <w:sz w:val="32"/>
          <w:szCs w:val="32"/>
        </w:rPr>
        <w:t>在场）仍不返校的，可以组织补习考试后发放毕业或结业证。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2.</w:t>
      </w:r>
      <w:r>
        <w:rPr>
          <w:rFonts w:hint="default" w:ascii="Times New Roman" w:hAnsi="Times New Roman" w:eastAsia="方正仿宋_GBK" w:cs="Times New Roman"/>
          <w:b/>
          <w:bCs/>
          <w:color w:val="000000"/>
          <w:sz w:val="32"/>
          <w:szCs w:val="32"/>
        </w:rPr>
        <w:t>办理休学证明。</w:t>
      </w:r>
      <w:r>
        <w:rPr>
          <w:rFonts w:hint="default" w:ascii="Times New Roman" w:hAnsi="Times New Roman" w:eastAsia="方正仿宋_GBK" w:cs="Times New Roman"/>
          <w:b w:val="0"/>
          <w:bCs w:val="0"/>
          <w:color w:val="000000"/>
          <w:sz w:val="32"/>
          <w:szCs w:val="32"/>
        </w:rPr>
        <w:t>因病休假治疗的学生，持县级人民医院及以上（医院等级）医院诊断证明向学校申请，经学校和教育行政部门同意办理休学证明。</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3.</w:t>
      </w:r>
      <w:r>
        <w:rPr>
          <w:rFonts w:hint="default" w:ascii="Times New Roman" w:hAnsi="Times New Roman" w:eastAsia="方正仿宋_GBK" w:cs="Times New Roman"/>
          <w:b/>
          <w:bCs/>
          <w:color w:val="000000"/>
          <w:sz w:val="32"/>
          <w:szCs w:val="32"/>
        </w:rPr>
        <w:t>采取送教上门。</w:t>
      </w:r>
      <w:r>
        <w:rPr>
          <w:rFonts w:hint="default" w:ascii="Times New Roman" w:hAnsi="Times New Roman" w:eastAsia="方正仿宋_GBK" w:cs="Times New Roman"/>
          <w:b w:val="0"/>
          <w:bCs w:val="0"/>
          <w:color w:val="000000"/>
          <w:sz w:val="32"/>
          <w:szCs w:val="32"/>
        </w:rPr>
        <w:t>对无基本的生活自理能力又没有完全丧失学习能力的重度残疾儿童采取送教上门。要求每生每周送教1 次，每次不低于 2 个学时，每年不少于80学时。送教上门的学生纳入学籍管理。</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4.</w:t>
      </w:r>
      <w:r>
        <w:rPr>
          <w:rFonts w:hint="default" w:ascii="Times New Roman" w:hAnsi="Times New Roman" w:eastAsia="方正仿宋_GBK" w:cs="Times New Roman"/>
          <w:b/>
          <w:bCs/>
          <w:color w:val="000000"/>
          <w:sz w:val="32"/>
          <w:szCs w:val="32"/>
        </w:rPr>
        <w:t>办理免学缓学。</w:t>
      </w:r>
      <w:r>
        <w:rPr>
          <w:rFonts w:hint="default" w:ascii="Times New Roman" w:hAnsi="Times New Roman" w:eastAsia="方正仿宋_GBK" w:cs="Times New Roman"/>
          <w:b w:val="0"/>
          <w:bCs w:val="0"/>
          <w:color w:val="000000"/>
          <w:sz w:val="32"/>
          <w:szCs w:val="32"/>
        </w:rPr>
        <w:t>对已经完全丧失学习能力的重度残疾少年儿童，可以申请办免学。对正在康复治疗中的残疾少年儿童，可以办理缓学。</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5.</w:t>
      </w:r>
      <w:r>
        <w:rPr>
          <w:rFonts w:hint="default" w:ascii="Times New Roman" w:hAnsi="Times New Roman" w:eastAsia="方正仿宋_GBK" w:cs="Times New Roman"/>
          <w:b/>
          <w:bCs/>
          <w:color w:val="000000"/>
          <w:sz w:val="32"/>
          <w:szCs w:val="32"/>
        </w:rPr>
        <w:t>移交县级核处。</w:t>
      </w:r>
      <w:r>
        <w:rPr>
          <w:rFonts w:hint="default" w:ascii="Times New Roman" w:hAnsi="Times New Roman" w:eastAsia="方正仿宋_GBK" w:cs="Times New Roman"/>
          <w:b w:val="0"/>
          <w:bCs w:val="0"/>
          <w:color w:val="000000"/>
          <w:sz w:val="32"/>
          <w:szCs w:val="32"/>
        </w:rPr>
        <w:t>对于极度厌学经多次（3次以上且学生本人在场）联合劝返拒不返校的学生，可移交县委农村工作暨实施乡村振兴战略领导小组，经核实同意，认定为达到</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义务教育有保障</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条件</w:t>
      </w:r>
      <w:r>
        <w:rPr>
          <w:rFonts w:hint="default" w:ascii="Times New Roman" w:hAnsi="Times New Roman" w:eastAsia="方正仿宋_GBK" w:cs="Times New Roman"/>
          <w:b w:val="0"/>
          <w:bCs w:val="0"/>
          <w:color w:val="000000"/>
          <w:sz w:val="32"/>
          <w:szCs w:val="32"/>
        </w:rPr>
        <w:t>，准许先办理延缓入学或休学手续，并每月至少一次持续联合劝返。</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textAlignment w:val="auto"/>
        <w:rPr>
          <w:rFonts w:hint="default" w:ascii="Times New Roman" w:hAnsi="Times New Roman" w:eastAsia="方正仿宋_GBK" w:cs="Times New Roman"/>
          <w:b w:val="0"/>
          <w:bCs w:val="0"/>
          <w:color w:val="000000"/>
          <w:sz w:val="32"/>
          <w:szCs w:val="32"/>
        </w:rPr>
      </w:pPr>
      <w:r>
        <w:rPr>
          <w:rFonts w:hint="eastAsia" w:ascii="Times New Roman" w:hAnsi="Times New Roman" w:eastAsia="方正仿宋_GBK" w:cs="Times New Roman"/>
          <w:b/>
          <w:bCs/>
          <w:color w:val="000000"/>
          <w:sz w:val="32"/>
          <w:szCs w:val="32"/>
          <w:lang w:val="en-US" w:eastAsia="zh-CN"/>
        </w:rPr>
        <w:t>6.</w:t>
      </w:r>
      <w:r>
        <w:rPr>
          <w:rFonts w:hint="default" w:ascii="Times New Roman" w:hAnsi="Times New Roman" w:eastAsia="方正仿宋_GBK" w:cs="Times New Roman"/>
          <w:b/>
          <w:bCs/>
          <w:color w:val="000000"/>
          <w:sz w:val="32"/>
          <w:szCs w:val="32"/>
        </w:rPr>
        <w:t>送读专门学校。</w:t>
      </w:r>
      <w:r>
        <w:rPr>
          <w:rFonts w:hint="default" w:ascii="Times New Roman" w:hAnsi="Times New Roman" w:eastAsia="方正仿宋_GBK" w:cs="Times New Roman"/>
          <w:b w:val="0"/>
          <w:bCs w:val="0"/>
          <w:color w:val="000000"/>
          <w:sz w:val="32"/>
          <w:szCs w:val="32"/>
        </w:rPr>
        <w:t>对长期违规违纪且犯法的学生，经家长、本人同意，由公安局牵头送万州新仪学校（限男生）就读。</w:t>
      </w: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left="0" w:firstLine="641"/>
        <w:textAlignment w:val="auto"/>
        <w:rPr>
          <w:rFonts w:hint="default" w:ascii="Times New Roman" w:hAnsi="Times New Roman" w:eastAsia="方正仿宋_GBK" w:cs="Times New Roman"/>
          <w:b w:val="0"/>
          <w:bCs w:val="0"/>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left="0" w:firstLine="641"/>
        <w:textAlignment w:val="auto"/>
        <w:rPr>
          <w:rFonts w:hint="default" w:ascii="Times New Roman" w:hAnsi="Times New Roman" w:eastAsia="方正仿宋_GBK" w:cs="Times New Roman"/>
          <w:b w:val="0"/>
          <w:bCs w:val="0"/>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left="0" w:firstLine="641"/>
        <w:textAlignment w:val="auto"/>
        <w:rPr>
          <w:rFonts w:hint="default" w:ascii="Times New Roman" w:hAnsi="Times New Roman" w:eastAsia="方正仿宋_GBK" w:cs="Times New Roman"/>
          <w:b w:val="0"/>
          <w:bCs w:val="0"/>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ind w:left="0" w:firstLine="641"/>
        <w:textAlignment w:val="auto"/>
        <w:rPr>
          <w:rFonts w:hint="default" w:ascii="Times New Roman" w:hAnsi="Times New Roman" w:eastAsia="方正仿宋_GBK" w:cs="Times New Roman"/>
          <w:b w:val="0"/>
          <w:bCs w:val="0"/>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000000"/>
          <w:sz w:val="32"/>
          <w:szCs w:val="32"/>
          <w:lang w:val="en-US" w:eastAsia="zh-CN"/>
        </w:rPr>
      </w:pPr>
      <w:bookmarkStart w:id="0" w:name="_GoBack"/>
      <w:bookmarkEnd w:id="0"/>
    </w:p>
    <w:p>
      <w:pPr>
        <w:pStyle w:val="7"/>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 w:val="0"/>
          <w:bCs w:val="0"/>
          <w:color w:val="000000"/>
          <w:sz w:val="32"/>
          <w:szCs w:val="32"/>
          <w:lang w:val="en-US" w:eastAsia="zh-CN"/>
        </w:rPr>
      </w:pPr>
      <w:r>
        <w:rPr>
          <w:rFonts w:hint="default" w:ascii="Times New Roman" w:hAnsi="Times New Roman" w:eastAsia="方正黑体_GBK" w:cs="Times New Roman"/>
          <w:b w:val="0"/>
          <w:bCs w:val="0"/>
          <w:color w:val="000000"/>
          <w:sz w:val="32"/>
          <w:szCs w:val="32"/>
          <w:lang w:val="en-US" w:eastAsia="zh-CN"/>
        </w:rPr>
        <w:t>附件2</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左岚乡动态摸排未到校学生名单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1"/>
        <w:jc w:val="center"/>
        <w:textAlignment w:val="auto"/>
        <w:rPr>
          <w:rFonts w:hint="default" w:ascii="Times New Roman" w:hAnsi="Times New Roman" w:eastAsia="方正小标宋_GBK" w:cs="Times New Roman"/>
          <w:kern w:val="2"/>
          <w:sz w:val="44"/>
          <w:szCs w:val="44"/>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823"/>
        <w:gridCol w:w="823"/>
        <w:gridCol w:w="824"/>
        <w:gridCol w:w="824"/>
        <w:gridCol w:w="824"/>
        <w:gridCol w:w="824"/>
        <w:gridCol w:w="824"/>
        <w:gridCol w:w="82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sz w:val="21"/>
                <w:szCs w:val="21"/>
                <w:vertAlign w:val="baseline"/>
              </w:rPr>
            </w:pPr>
            <w:r>
              <w:rPr>
                <w:rFonts w:hint="default" w:ascii="Times New Roman" w:hAnsi="Times New Roman" w:eastAsia="方正黑体_GBK" w:cs="Times New Roman"/>
                <w:color w:val="000000"/>
                <w:sz w:val="21"/>
                <w:szCs w:val="21"/>
              </w:rPr>
              <w:t>序号</w:t>
            </w:r>
          </w:p>
        </w:tc>
        <w:tc>
          <w:tcPr>
            <w:tcW w:w="82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sz w:val="21"/>
                <w:szCs w:val="21"/>
                <w:vertAlign w:val="baseline"/>
                <w:lang w:val="en-US" w:eastAsia="zh-CN"/>
              </w:rPr>
            </w:pPr>
            <w:r>
              <w:rPr>
                <w:rFonts w:hint="default" w:ascii="Times New Roman" w:hAnsi="Times New Roman" w:eastAsia="方正黑体_GBK" w:cs="Times New Roman"/>
                <w:b w:val="0"/>
                <w:bCs w:val="0"/>
                <w:color w:val="000000"/>
                <w:sz w:val="21"/>
                <w:szCs w:val="21"/>
                <w:vertAlign w:val="baseline"/>
                <w:lang w:val="en-US" w:eastAsia="zh-CN"/>
              </w:rPr>
              <w:t>村名</w:t>
            </w:r>
          </w:p>
        </w:tc>
        <w:tc>
          <w:tcPr>
            <w:tcW w:w="82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kern w:val="0"/>
                <w:sz w:val="21"/>
                <w:szCs w:val="21"/>
                <w:vertAlign w:val="baseline"/>
                <w:lang w:val="en-US" w:eastAsia="zh-CN" w:bidi="ar"/>
              </w:rPr>
            </w:pPr>
            <w:r>
              <w:rPr>
                <w:rFonts w:hint="default" w:ascii="Times New Roman" w:hAnsi="Times New Roman" w:eastAsia="方正黑体_GBK" w:cs="Times New Roman"/>
                <w:color w:val="000000"/>
                <w:sz w:val="21"/>
                <w:szCs w:val="21"/>
              </w:rPr>
              <w:t>学生姓名</w:t>
            </w:r>
          </w:p>
        </w:tc>
        <w:tc>
          <w:tcPr>
            <w:tcW w:w="82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kern w:val="0"/>
                <w:sz w:val="21"/>
                <w:szCs w:val="21"/>
                <w:vertAlign w:val="baseline"/>
                <w:lang w:val="en-US" w:eastAsia="zh-CN" w:bidi="ar"/>
              </w:rPr>
            </w:pPr>
            <w:r>
              <w:rPr>
                <w:rFonts w:hint="default" w:ascii="Times New Roman" w:hAnsi="Times New Roman" w:eastAsia="方正黑体_GBK" w:cs="Times New Roman"/>
                <w:color w:val="000000"/>
                <w:sz w:val="21"/>
                <w:szCs w:val="21"/>
              </w:rPr>
              <w:t>性别</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kern w:val="0"/>
                <w:sz w:val="21"/>
                <w:szCs w:val="21"/>
                <w:vertAlign w:val="baseline"/>
                <w:lang w:val="en-US" w:eastAsia="zh-CN" w:bidi="ar"/>
              </w:rPr>
            </w:pPr>
            <w:r>
              <w:rPr>
                <w:rFonts w:hint="default" w:ascii="Times New Roman" w:hAnsi="Times New Roman" w:eastAsia="方正黑体_GBK" w:cs="Times New Roman"/>
                <w:b w:val="0"/>
                <w:bCs w:val="0"/>
                <w:color w:val="000000"/>
                <w:sz w:val="21"/>
                <w:szCs w:val="21"/>
                <w:vertAlign w:val="baseline"/>
                <w:lang w:val="en-US" w:eastAsia="zh-CN"/>
              </w:rPr>
              <w:t>就读学校</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kern w:val="0"/>
                <w:sz w:val="21"/>
                <w:szCs w:val="21"/>
                <w:vertAlign w:val="baseline"/>
                <w:lang w:val="en-US" w:eastAsia="zh-CN" w:bidi="ar"/>
              </w:rPr>
            </w:pPr>
            <w:r>
              <w:rPr>
                <w:rFonts w:hint="default" w:ascii="Times New Roman" w:hAnsi="Times New Roman" w:eastAsia="方正黑体_GBK" w:cs="Times New Roman"/>
                <w:b w:val="0"/>
                <w:bCs w:val="0"/>
                <w:color w:val="000000"/>
                <w:sz w:val="21"/>
                <w:szCs w:val="21"/>
                <w:vertAlign w:val="baseline"/>
                <w:lang w:val="en-US" w:eastAsia="zh-CN"/>
              </w:rPr>
              <w:t>就读年级班级</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kern w:val="0"/>
                <w:sz w:val="21"/>
                <w:szCs w:val="21"/>
                <w:vertAlign w:val="baseline"/>
                <w:lang w:val="en-US" w:eastAsia="zh-CN" w:bidi="ar"/>
              </w:rPr>
            </w:pPr>
            <w:r>
              <w:rPr>
                <w:rFonts w:hint="default" w:ascii="Times New Roman" w:hAnsi="Times New Roman" w:eastAsia="方正黑体_GBK" w:cs="Times New Roman"/>
                <w:color w:val="000000"/>
                <w:sz w:val="21"/>
                <w:szCs w:val="21"/>
              </w:rPr>
              <w:t>身份证号码</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color w:val="000000"/>
                <w:sz w:val="21"/>
                <w:szCs w:val="21"/>
                <w:lang w:val="en-US" w:eastAsia="zh-CN"/>
              </w:rPr>
              <w:t>户主</w:t>
            </w:r>
            <w:r>
              <w:rPr>
                <w:rFonts w:hint="default" w:ascii="Times New Roman" w:hAnsi="Times New Roman" w:eastAsia="方正黑体_GBK" w:cs="Times New Roman"/>
                <w:color w:val="000000"/>
                <w:sz w:val="21"/>
                <w:szCs w:val="21"/>
              </w:rPr>
              <w:t>姓名</w:t>
            </w:r>
          </w:p>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sz w:val="21"/>
                <w:szCs w:val="21"/>
                <w:vertAlign w:val="baseline"/>
              </w:rPr>
            </w:pP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sz w:val="21"/>
                <w:szCs w:val="21"/>
                <w:vertAlign w:val="baseline"/>
                <w:lang w:val="en-US" w:eastAsia="zh-CN"/>
              </w:rPr>
            </w:pPr>
            <w:r>
              <w:rPr>
                <w:rFonts w:hint="default" w:ascii="Times New Roman" w:hAnsi="Times New Roman" w:eastAsia="方正黑体_GBK" w:cs="Times New Roman"/>
                <w:b w:val="0"/>
                <w:bCs w:val="0"/>
                <w:color w:val="000000"/>
                <w:sz w:val="21"/>
                <w:szCs w:val="21"/>
                <w:vertAlign w:val="baseline"/>
                <w:lang w:val="en-US" w:eastAsia="zh-CN"/>
              </w:rPr>
              <w:t>联系电话</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b w:val="0"/>
                <w:bCs w:val="0"/>
                <w:color w:val="000000"/>
                <w:sz w:val="21"/>
                <w:szCs w:val="21"/>
                <w:vertAlign w:val="baseline"/>
                <w:lang w:val="en-US" w:eastAsia="zh-CN"/>
              </w:rPr>
            </w:pPr>
            <w:r>
              <w:rPr>
                <w:rFonts w:hint="default" w:ascii="Times New Roman" w:hAnsi="Times New Roman" w:eastAsia="方正黑体_GBK" w:cs="Times New Roman"/>
                <w:b w:val="0"/>
                <w:bCs w:val="0"/>
                <w:color w:val="000000"/>
                <w:sz w:val="21"/>
                <w:szCs w:val="21"/>
                <w:vertAlign w:val="baseline"/>
                <w:lang w:val="en-US" w:eastAsia="zh-CN"/>
              </w:rPr>
              <w:t>是否脱贫户/监测户</w:t>
            </w:r>
          </w:p>
        </w:tc>
        <w:tc>
          <w:tcPr>
            <w:tcW w:w="824"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val="0"/>
                <w:color w:val="000000"/>
                <w:sz w:val="32"/>
                <w:szCs w:val="32"/>
                <w:vertAlign w:val="baseline"/>
                <w:lang w:val="en-US" w:eastAsia="zh-CN"/>
              </w:rPr>
            </w:pPr>
            <w:r>
              <w:rPr>
                <w:rFonts w:hint="default" w:ascii="Times New Roman" w:hAnsi="Times New Roman" w:eastAsia="方正黑体_GBK" w:cs="Times New Roman"/>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tabs>
                <w:tab w:val="clear" w:pos="916"/>
                <w:tab w:val="clear" w:pos="2748"/>
                <w:tab w:val="clear" w:pos="4580"/>
                <w:tab w:val="clear" w:pos="6412"/>
                <w:tab w:val="clear" w:pos="8244"/>
                <w:tab w:val="clear" w:pos="10076"/>
                <w:tab w:val="clear" w:pos="11908"/>
                <w:tab w:val="clear" w:pos="13740"/>
              </w:tabs>
              <w:kinsoku/>
              <w:wordWrap/>
              <w:overflowPunct/>
              <w:topLinePunct w:val="0"/>
              <w:autoSpaceDE/>
              <w:autoSpaceDN/>
              <w:bidi w:val="0"/>
              <w:adjustRightInd/>
              <w:snapToGrid/>
              <w:spacing w:line="560" w:lineRule="exact"/>
              <w:ind w:firstLine="551"/>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3"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c>
          <w:tcPr>
            <w:tcW w:w="824"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color w:val="000000"/>
                <w:sz w:val="32"/>
                <w:szCs w:val="32"/>
                <w:vertAlign w:val="baseline"/>
              </w:rPr>
            </w:pPr>
          </w:p>
        </w:tc>
      </w:tr>
    </w:tbl>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p>
    <w:p>
      <w:pPr>
        <w:bidi w:val="0"/>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widowControl/>
        <w:suppressLineNumbers w:val="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color w:val="000000"/>
          <w:kern w:val="0"/>
          <w:sz w:val="44"/>
          <w:szCs w:val="44"/>
          <w:lang w:val="en-US" w:eastAsia="zh-CN" w:bidi="ar"/>
        </w:rPr>
        <w:t>左岚乡（乡、村）控辍保学档案资料清单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730"/>
        <w:gridCol w:w="2535"/>
        <w:gridCol w:w="94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000000"/>
                <w:sz w:val="24"/>
                <w:szCs w:val="24"/>
                <w:vertAlign w:val="baseline"/>
              </w:rPr>
            </w:pPr>
            <w:r>
              <w:rPr>
                <w:rFonts w:hint="default" w:ascii="Times New Roman" w:hAnsi="Times New Roman" w:eastAsia="方正黑体_GBK" w:cs="Times New Roman"/>
                <w:color w:val="000000"/>
                <w:sz w:val="24"/>
                <w:szCs w:val="24"/>
              </w:rPr>
              <w:t>卷宗序号</w:t>
            </w: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000000"/>
                <w:sz w:val="24"/>
                <w:szCs w:val="24"/>
                <w:vertAlign w:val="baseline"/>
              </w:rPr>
            </w:pPr>
            <w:r>
              <w:rPr>
                <w:rFonts w:hint="default" w:ascii="Times New Roman" w:hAnsi="Times New Roman" w:eastAsia="方正黑体_GBK" w:cs="Times New Roman"/>
                <w:color w:val="000000"/>
                <w:sz w:val="24"/>
                <w:szCs w:val="24"/>
              </w:rPr>
              <w:t>内容</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000000"/>
                <w:sz w:val="24"/>
                <w:szCs w:val="24"/>
                <w:vertAlign w:val="baseline"/>
              </w:rPr>
            </w:pPr>
            <w:r>
              <w:rPr>
                <w:rFonts w:hint="default" w:ascii="Times New Roman" w:hAnsi="Times New Roman" w:eastAsia="方正黑体_GBK" w:cs="Times New Roman"/>
                <w:color w:val="000000"/>
                <w:sz w:val="24"/>
                <w:szCs w:val="24"/>
              </w:rPr>
              <w:t>标准、要求</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000000"/>
                <w:sz w:val="24"/>
                <w:szCs w:val="24"/>
                <w:vertAlign w:val="baseline"/>
              </w:rPr>
            </w:pPr>
            <w:r>
              <w:rPr>
                <w:rFonts w:hint="default" w:ascii="Times New Roman" w:hAnsi="Times New Roman" w:eastAsia="方正黑体_GBK" w:cs="Times New Roman"/>
                <w:color w:val="000000"/>
                <w:sz w:val="24"/>
                <w:szCs w:val="24"/>
              </w:rPr>
              <w:t>建档单位</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000000"/>
                <w:sz w:val="24"/>
                <w:szCs w:val="24"/>
                <w:vertAlign w:val="baseline"/>
              </w:rPr>
            </w:pPr>
            <w:r>
              <w:rPr>
                <w:rFonts w:hint="default" w:ascii="Times New Roman" w:hAnsi="Times New Roman" w:eastAsia="方正黑体_GBK"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相关文件</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640"/>
              <w:jc w:val="center"/>
              <w:textAlignment w:val="auto"/>
              <w:rPr>
                <w:rFonts w:hint="default" w:ascii="Times New Roman" w:hAnsi="Times New Roman" w:eastAsia="方正仿宋_GBK" w:cs="Times New Roman"/>
                <w:color w:val="000000"/>
                <w:sz w:val="21"/>
                <w:szCs w:val="21"/>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各级有关控辍保学相关文件</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640"/>
              <w:jc w:val="center"/>
              <w:textAlignment w:val="auto"/>
              <w:rPr>
                <w:rFonts w:hint="default" w:ascii="Times New Roman" w:hAnsi="Times New Roman" w:eastAsia="方正仿宋_GBK" w:cs="Times New Roman"/>
                <w:color w:val="000000"/>
                <w:sz w:val="21"/>
                <w:szCs w:val="21"/>
              </w:rPr>
            </w:pP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按级别</w:t>
            </w:r>
            <w:r>
              <w:rPr>
                <w:rFonts w:hint="default" w:ascii="Times New Roman" w:hAnsi="Times New Roman" w:eastAsia="方正仿宋_GBK" w:cs="Times New Roman"/>
                <w:color w:val="000000"/>
                <w:sz w:val="21"/>
                <w:szCs w:val="21"/>
                <w:lang w:eastAsia="zh-CN"/>
              </w:rPr>
              <w:t>从高到低</w:t>
            </w:r>
            <w:r>
              <w:rPr>
                <w:rFonts w:hint="default" w:ascii="Times New Roman" w:hAnsi="Times New Roman" w:eastAsia="方正仿宋_GBK" w:cs="Times New Roman"/>
                <w:color w:val="000000"/>
                <w:sz w:val="21"/>
                <w:szCs w:val="21"/>
              </w:rPr>
              <w:t>、按时间从远到近排列</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工作机制</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控辍保学</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工作领导小组</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13" w:type="dxa"/>
            <w:vMerge w:val="continue"/>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控辍保学工作方案</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监测户等贫困学生关爱帮扶机制</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lang w:val="en-US" w:eastAsia="zh-CN"/>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会议记录</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宣传专栏、法律法规、宣传单、海报、标语等</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简报或亮点案例或汇报材料</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乡级</w:t>
            </w:r>
          </w:p>
        </w:tc>
        <w:tc>
          <w:tcPr>
            <w:tcW w:w="1437" w:type="dxa"/>
            <w:noWrap w:val="0"/>
            <w:vAlign w:val="top"/>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义务教育适龄儿童就</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读台账</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rPr>
              <w:t>义务教育阶段适龄儿童少年就读情况统计表</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分村统计</w:t>
            </w:r>
            <w:r>
              <w:rPr>
                <w:rFonts w:hint="default" w:ascii="Times New Roman" w:hAnsi="Times New Roman" w:eastAsia="方正仿宋_GBK" w:cs="Times New Roman"/>
                <w:color w:val="000000"/>
                <w:sz w:val="21"/>
                <w:szCs w:val="21"/>
                <w:lang w:eastAsia="zh-CN"/>
              </w:rPr>
              <w:t>）</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4</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佐证材料</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eastAsia" w:ascii="Times New Roman" w:hAnsi="Times New Roman" w:eastAsia="方正仿宋_GBK" w:cs="Times New Roman"/>
                <w:color w:val="000000"/>
                <w:sz w:val="21"/>
                <w:szCs w:val="21"/>
              </w:rPr>
              <w:t>办理毕业（结业）证</w:t>
            </w:r>
          </w:p>
        </w:tc>
        <w:tc>
          <w:tcPr>
            <w:tcW w:w="2535" w:type="dxa"/>
            <w:shd w:val="clear" w:color="auto" w:fill="auto"/>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rPr>
              <w:t>1、限期复学通知书；2、至少</w:t>
            </w:r>
            <w:r>
              <w:rPr>
                <w:rFonts w:hint="eastAsia" w:ascii="Times New Roman" w:hAnsi="Times New Roman" w:eastAsia="方正仿宋_GBK" w:cs="Times New Roman"/>
                <w:color w:val="000000"/>
                <w:sz w:val="21"/>
                <w:szCs w:val="21"/>
                <w:lang w:val="en-US" w:eastAsia="zh-CN"/>
              </w:rPr>
              <w:t>3</w:t>
            </w:r>
            <w:r>
              <w:rPr>
                <w:rFonts w:hint="eastAsia" w:ascii="Times New Roman" w:hAnsi="Times New Roman" w:eastAsia="方正仿宋_GBK" w:cs="Times New Roman"/>
                <w:color w:val="000000"/>
                <w:sz w:val="21"/>
                <w:szCs w:val="21"/>
              </w:rPr>
              <w:t>次联合劝返记录</w:t>
            </w:r>
            <w:r>
              <w:rPr>
                <w:rFonts w:hint="eastAsia" w:ascii="Times New Roman" w:hAnsi="Times New Roman" w:eastAsia="方正仿宋_GBK" w:cs="Times New Roman"/>
                <w:color w:val="000000"/>
                <w:sz w:val="21"/>
                <w:szCs w:val="21"/>
                <w:lang w:eastAsia="zh-CN"/>
              </w:rPr>
              <w:t>，资料必须能证明学生本人在场</w:t>
            </w:r>
            <w:r>
              <w:rPr>
                <w:rFonts w:hint="eastAsia" w:ascii="Times New Roman" w:hAnsi="Times New Roman" w:eastAsia="方正仿宋_GBK" w:cs="Times New Roman"/>
                <w:color w:val="000000"/>
                <w:sz w:val="21"/>
                <w:szCs w:val="21"/>
              </w:rPr>
              <w:t>（最后一次是劝返成功同意补习参加毕业考试，时间不能在考试月）；3、考试图片材料；4、毕业（结业）证（时间在劝返后）；5、考试试卷（存教务处）</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lang w:val="en-US" w:eastAsia="zh-CN"/>
              </w:rPr>
            </w:pPr>
            <w:r>
              <w:rPr>
                <w:rFonts w:hint="eastAsia" w:cs="方正仿宋_GBK"/>
                <w:kern w:val="0"/>
                <w:sz w:val="21"/>
                <w:szCs w:val="21"/>
                <w:lang w:bidi="ar"/>
              </w:rPr>
              <w:t>一生一案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eastAsia" w:cs="方正仿宋_GBK"/>
                <w:kern w:val="0"/>
                <w:sz w:val="21"/>
                <w:szCs w:val="21"/>
                <w:lang w:bidi="ar"/>
              </w:rPr>
              <w:t>办理休学证明</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1、县级以上医院建议休学诊断证明；2、休学申请表</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一生一案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eastAsia" w:cs="方正仿宋_GBK"/>
                <w:kern w:val="0"/>
                <w:sz w:val="21"/>
                <w:szCs w:val="21"/>
                <w:lang w:bidi="ar"/>
              </w:rPr>
              <w:t>采取送教上门</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1、残疾证明；2、县教委关于该生送教上门的安置文件；3、按标准每周一次，每次2学时开展送教，有送教上门情况统计表、工作手册【学生基本信息表、二级以上残疾证、送教上门家长同意书、学生能力评估表、送教上门教学或训练方案（课程计划、授课内容、送教时间、地点、课表）、工作记录、图片、音视频等】</w:t>
            </w:r>
            <w:r>
              <w:rPr>
                <w:rFonts w:hint="default" w:ascii="Times New Roman" w:hAnsi="Times New Roman" w:eastAsia="方正仿宋_GBK" w:cs="Times New Roman"/>
                <w:color w:val="000000"/>
                <w:sz w:val="21"/>
                <w:szCs w:val="21"/>
              </w:rPr>
              <w:t>。</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一生一案，家长、本人认同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eastAsia" w:cs="方正仿宋_GBK"/>
                <w:kern w:val="0"/>
                <w:sz w:val="21"/>
                <w:szCs w:val="21"/>
                <w:lang w:bidi="ar"/>
              </w:rPr>
              <w:t>办理免学缓学</w:t>
            </w: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1、残疾证明；2、免、缓学申请表（要有教委盖章同意）；3、图片资料</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一生一案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r>
              <w:rPr>
                <w:rFonts w:hint="eastAsia" w:cs="方正仿宋_GBK"/>
                <w:kern w:val="0"/>
                <w:sz w:val="21"/>
                <w:szCs w:val="21"/>
                <w:lang w:bidi="ar"/>
              </w:rPr>
              <w:t>移交县级核处</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640"/>
              <w:jc w:val="center"/>
              <w:textAlignment w:val="auto"/>
              <w:rPr>
                <w:rFonts w:hint="default" w:ascii="Times New Roman" w:hAnsi="Times New Roman" w:eastAsia="方正仿宋_GBK" w:cs="Times New Roman"/>
                <w:sz w:val="21"/>
                <w:szCs w:val="21"/>
              </w:rPr>
            </w:pPr>
          </w:p>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p>
        </w:tc>
        <w:tc>
          <w:tcPr>
            <w:tcW w:w="253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1、限期复学通知书；2、至少3次联合劝返</w:t>
            </w:r>
            <w:r>
              <w:rPr>
                <w:rFonts w:hint="eastAsia" w:cs="方正仿宋_GBK"/>
                <w:kern w:val="0"/>
                <w:sz w:val="21"/>
                <w:szCs w:val="21"/>
                <w:lang w:eastAsia="zh-CN" w:bidi="ar"/>
              </w:rPr>
              <w:t>资料，资料必须能证明学生本人在场</w:t>
            </w:r>
            <w:r>
              <w:rPr>
                <w:rFonts w:hint="eastAsia" w:cs="方正仿宋_GBK"/>
                <w:kern w:val="0"/>
                <w:sz w:val="21"/>
                <w:szCs w:val="21"/>
                <w:lang w:bidi="ar"/>
              </w:rPr>
              <w:t>；3、县委农村工作暨实施乡村振兴战略领导小组核实同意的相关佐证资料；4、继续做好劝返复学工作的相关资料</w:t>
            </w:r>
            <w:r>
              <w:rPr>
                <w:rFonts w:hint="eastAsia" w:cs="方正仿宋_GBK"/>
                <w:kern w:val="0"/>
                <w:sz w:val="21"/>
                <w:szCs w:val="21"/>
                <w:lang w:eastAsia="zh-CN" w:bidi="ar"/>
              </w:rPr>
              <w:t>，资料必须能证明学生本人在场，每月至少联合劝返一次</w:t>
            </w:r>
            <w:r>
              <w:rPr>
                <w:rFonts w:hint="eastAsia" w:cs="方正仿宋_GBK"/>
                <w:kern w:val="0"/>
                <w:sz w:val="21"/>
                <w:szCs w:val="21"/>
                <w:lang w:bidi="ar"/>
              </w:rPr>
              <w:t>。</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w:t>
            </w:r>
            <w:r>
              <w:rPr>
                <w:rFonts w:hint="eastAsia" w:ascii="Times New Roman" w:hAnsi="Times New Roman" w:eastAsia="方正仿宋_GBK" w:cs="Times New Roman"/>
                <w:color w:val="000000"/>
                <w:sz w:val="21"/>
                <w:szCs w:val="21"/>
                <w:lang w:val="en-US" w:eastAsia="zh-CN"/>
              </w:rPr>
              <w:t>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一生一案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13"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p>
        </w:tc>
        <w:tc>
          <w:tcPr>
            <w:tcW w:w="273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eastAsia" w:cs="方正仿宋_GBK"/>
                <w:kern w:val="0"/>
                <w:sz w:val="21"/>
                <w:szCs w:val="21"/>
                <w:lang w:bidi="ar"/>
              </w:rPr>
              <w:t>送读专门学校</w:t>
            </w:r>
          </w:p>
        </w:tc>
        <w:tc>
          <w:tcPr>
            <w:tcW w:w="2535" w:type="dxa"/>
            <w:noWrap w:val="0"/>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sz w:val="21"/>
                <w:szCs w:val="21"/>
              </w:rPr>
              <w:t>主要由公安局牵头。备份《重庆市专门学校学生入学审批表》。</w:t>
            </w:r>
          </w:p>
        </w:tc>
        <w:tc>
          <w:tcPr>
            <w:tcW w:w="94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乡</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村</w:t>
            </w:r>
            <w:r>
              <w:rPr>
                <w:rFonts w:hint="eastAsia" w:ascii="Times New Roman" w:hAnsi="Times New Roman" w:eastAsia="方正仿宋_GBK" w:cs="Times New Roman"/>
                <w:color w:val="000000"/>
                <w:sz w:val="21"/>
                <w:szCs w:val="21"/>
                <w:lang w:val="en-US" w:eastAsia="zh-CN"/>
              </w:rPr>
              <w:t>两级</w:t>
            </w:r>
          </w:p>
        </w:tc>
        <w:tc>
          <w:tcPr>
            <w:tcW w:w="1437"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sz w:val="21"/>
                <w:szCs w:val="21"/>
                <w:vertAlign w:val="baseline"/>
              </w:rPr>
            </w:pPr>
            <w:r>
              <w:rPr>
                <w:rFonts w:hint="eastAsia" w:cs="方正仿宋_GBK"/>
                <w:kern w:val="0"/>
                <w:sz w:val="21"/>
                <w:szCs w:val="21"/>
                <w:lang w:bidi="ar"/>
              </w:rPr>
              <w:t>一生一案</w:t>
            </w:r>
          </w:p>
        </w:tc>
      </w:tr>
    </w:tbl>
    <w:p>
      <w:pPr>
        <w:bidi w:val="0"/>
        <w:jc w:val="left"/>
        <w:rPr>
          <w:rFonts w:hint="default" w:ascii="Times New Roman" w:hAnsi="Times New Roman" w:eastAsia="方正黑体_GBK" w:cs="Times New Roman"/>
          <w:sz w:val="32"/>
          <w:szCs w:val="32"/>
          <w:lang w:val="en-US" w:eastAsia="zh-CN"/>
        </w:rPr>
      </w:pPr>
    </w:p>
    <w:sectPr>
      <w:footerReference r:id="rId3" w:type="default"/>
      <w:footerReference r:id="rId4" w:type="even"/>
      <w:pgSz w:w="11906" w:h="16838"/>
      <w:pgMar w:top="2098" w:right="1474" w:bottom="1984" w:left="1587"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FZKTK--GBK1-0">
    <w:altName w:val="汉仪新人文宋简"/>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汉仪新人文宋简">
    <w:panose1 w:val="00020600040101010101"/>
    <w:charset w:val="86"/>
    <w:family w:val="auto"/>
    <w:pitch w:val="default"/>
    <w:sig w:usb0="A00002BF" w:usb1="1ACF7CFA" w:usb2="00000016" w:usb3="00000000" w:csb0="0004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239224421"/>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sdtContent>
    </w:sdt>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pPr>
    <w:r>
      <w:rPr>
        <w:rFonts w:ascii="宋体" w:hAnsi="宋体" w:eastAsia="宋体"/>
        <w:sz w:val="28"/>
        <w:szCs w:val="28"/>
      </w:rPr>
      <w:t>—</w:t>
    </w:r>
    <w:sdt>
      <w:sdtPr>
        <w:rPr>
          <w:rFonts w:ascii="宋体" w:hAnsi="宋体" w:eastAsia="宋体"/>
          <w:sz w:val="28"/>
          <w:szCs w:val="28"/>
        </w:rPr>
        <w:id w:val="1915345123"/>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hint="eastAsia" w:ascii="宋体" w:hAnsi="宋体" w:eastAsia="宋体"/>
        <w:sz w:val="28"/>
        <w:szCs w:val="28"/>
      </w:rPr>
      <w:t xml:space="preserve"> </w:t>
    </w:r>
    <w:r>
      <w:rPr>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WY4OWEwZGYyZjA3YmQ5NTYxNWQ5NmUxYzcwMWEifQ=="/>
  </w:docVars>
  <w:rsids>
    <w:rsidRoot w:val="4FD32CB0"/>
    <w:rsid w:val="002C55B3"/>
    <w:rsid w:val="004476C0"/>
    <w:rsid w:val="004B23A7"/>
    <w:rsid w:val="004D68E4"/>
    <w:rsid w:val="0069287D"/>
    <w:rsid w:val="007443C8"/>
    <w:rsid w:val="009A0E78"/>
    <w:rsid w:val="00AF653E"/>
    <w:rsid w:val="00E07433"/>
    <w:rsid w:val="01A74E0C"/>
    <w:rsid w:val="01AD511F"/>
    <w:rsid w:val="04B9641C"/>
    <w:rsid w:val="06420522"/>
    <w:rsid w:val="0A2737AD"/>
    <w:rsid w:val="0C7D6194"/>
    <w:rsid w:val="0DE620DB"/>
    <w:rsid w:val="0F7B6853"/>
    <w:rsid w:val="102A2B22"/>
    <w:rsid w:val="10B22386"/>
    <w:rsid w:val="151A411A"/>
    <w:rsid w:val="1CEF0518"/>
    <w:rsid w:val="1D1761DC"/>
    <w:rsid w:val="1DE33F41"/>
    <w:rsid w:val="20F91352"/>
    <w:rsid w:val="260B4207"/>
    <w:rsid w:val="265A6D6B"/>
    <w:rsid w:val="26A1057B"/>
    <w:rsid w:val="2BFB0768"/>
    <w:rsid w:val="2D837C84"/>
    <w:rsid w:val="2F7370A5"/>
    <w:rsid w:val="3A802DEC"/>
    <w:rsid w:val="3E7C5900"/>
    <w:rsid w:val="405812F2"/>
    <w:rsid w:val="43414C0B"/>
    <w:rsid w:val="453B1D60"/>
    <w:rsid w:val="47E45C49"/>
    <w:rsid w:val="482E3726"/>
    <w:rsid w:val="4BDA5E21"/>
    <w:rsid w:val="4FD32CB0"/>
    <w:rsid w:val="5051403A"/>
    <w:rsid w:val="50E60D28"/>
    <w:rsid w:val="51167BAE"/>
    <w:rsid w:val="52031981"/>
    <w:rsid w:val="54817A35"/>
    <w:rsid w:val="55E14505"/>
    <w:rsid w:val="5B4A5024"/>
    <w:rsid w:val="5B6D0D13"/>
    <w:rsid w:val="5B962018"/>
    <w:rsid w:val="5E36D985"/>
    <w:rsid w:val="61975355"/>
    <w:rsid w:val="64595335"/>
    <w:rsid w:val="65842EE1"/>
    <w:rsid w:val="6D6773B0"/>
    <w:rsid w:val="6DD17FAD"/>
    <w:rsid w:val="6EAE3FED"/>
    <w:rsid w:val="6FF78990"/>
    <w:rsid w:val="71C76691"/>
    <w:rsid w:val="72B96D4D"/>
    <w:rsid w:val="75333A9D"/>
    <w:rsid w:val="769D4A3B"/>
    <w:rsid w:val="7B810197"/>
    <w:rsid w:val="7FCB5F7C"/>
    <w:rsid w:val="EDDB9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style>
  <w:style w:type="paragraph" w:styleId="4">
    <w:name w:val="Body Text"/>
    <w:basedOn w:val="1"/>
    <w:unhideWhenUsed/>
    <w:qFormat/>
    <w:uiPriority w:val="99"/>
    <w:pPr>
      <w:jc w:val="center"/>
    </w:pPr>
    <w:rPr>
      <w:b/>
      <w:color w:val="FF0000"/>
      <w:sz w:val="4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cs="Times New Roman"/>
      <w:b/>
      <w:bCs/>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6"/>
    <w:qFormat/>
    <w:uiPriority w:val="0"/>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页脚 Char"/>
    <w:basedOn w:val="12"/>
    <w:link w:val="5"/>
    <w:qFormat/>
    <w:uiPriority w:val="99"/>
    <w:rPr>
      <w:rFonts w:asciiTheme="minorHAnsi" w:hAnsiTheme="minorHAnsi" w:eastAsiaTheme="minorEastAsia" w:cstheme="minorBidi"/>
      <w:kern w:val="2"/>
      <w:sz w:val="18"/>
      <w:szCs w:val="18"/>
    </w:rPr>
  </w:style>
  <w:style w:type="character" w:customStyle="1" w:styleId="16">
    <w:name w:val="fontstyle01"/>
    <w:basedOn w:val="12"/>
    <w:qFormat/>
    <w:uiPriority w:val="0"/>
    <w:rPr>
      <w:rFonts w:hint="default" w:ascii="FZKTK--GBK1-0" w:hAnsi="FZKT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2818</Words>
  <Characters>2854</Characters>
  <Lines>5</Lines>
  <Paragraphs>1</Paragraphs>
  <TotalTime>10</TotalTime>
  <ScaleCrop>false</ScaleCrop>
  <LinksUpToDate>false</LinksUpToDate>
  <CharactersWithSpaces>2947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2021-01-29T09:46:00Z</dcterms:created>
  <dc:creator>卡卡不动</dc:creator>
  <cp:lastModifiedBy>ckuos</cp:lastModifiedBy>
  <cp:lastPrinted>2023-10-16T21:10:00Z</cp:lastPrinted>
  <dcterms:modified xsi:type="dcterms:W3CDTF">2024-12-12T15:53:11Z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5EFAAD9829144156A6BFE829325CEB35_13</vt:lpwstr>
  </property>
</Properties>
</file>