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20CD8">
      <w:pPr>
        <w:spacing w:line="600" w:lineRule="exact"/>
        <w:jc w:val="center"/>
        <w:rPr>
          <w:rFonts w:ascii="Times New Roman" w:hAnsi="Times New Roman" w:eastAsia="方正小标宋_GBK"/>
          <w:sz w:val="44"/>
          <w:szCs w:val="44"/>
        </w:rPr>
      </w:pPr>
      <w:bookmarkStart w:id="0" w:name="_GoBack"/>
      <w:r>
        <w:rPr>
          <w:rFonts w:hint="eastAsia" w:ascii="Times New Roman" w:hAnsi="Times New Roman" w:eastAsia="方正小标宋_GBK"/>
          <w:sz w:val="44"/>
          <w:szCs w:val="44"/>
        </w:rPr>
        <w:t>20</w:t>
      </w:r>
      <w:r>
        <w:rPr>
          <w:rFonts w:hint="eastAsia" w:ascii="Times New Roman" w:hAnsi="Times New Roman" w:eastAsia="方正小标宋_GBK"/>
          <w:sz w:val="44"/>
          <w:szCs w:val="44"/>
          <w:lang w:val="en-US" w:eastAsia="zh-CN"/>
        </w:rPr>
        <w:t>19</w:t>
      </w:r>
      <w:r>
        <w:rPr>
          <w:rFonts w:hint="eastAsia" w:ascii="Times New Roman" w:hAnsi="Times New Roman" w:eastAsia="方正小标宋_GBK"/>
          <w:sz w:val="44"/>
          <w:szCs w:val="44"/>
        </w:rPr>
        <w:t>年市级警示片</w:t>
      </w:r>
      <w:r>
        <w:rPr>
          <w:rFonts w:ascii="Times New Roman" w:hAnsi="Times New Roman" w:eastAsia="方正小标宋_GBK"/>
          <w:sz w:val="44"/>
          <w:szCs w:val="44"/>
        </w:rPr>
        <w:t>反馈交办问题整改销号情况公示表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051"/>
      </w:tblGrid>
      <w:tr w14:paraId="1975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09" w:type="dxa"/>
            <w:vAlign w:val="center"/>
          </w:tcPr>
          <w:p w14:paraId="046D1FC1">
            <w:pPr>
              <w:snapToGrid w:val="0"/>
              <w:jc w:val="center"/>
              <w:rPr>
                <w:rFonts w:ascii="Times New Roman" w:hAnsi="Times New Roman"/>
              </w:rPr>
            </w:pPr>
            <w:r>
              <w:rPr>
                <w:rFonts w:ascii="Times New Roman" w:hAnsi="Times New Roman" w:eastAsia="方正黑体_GBK"/>
                <w:sz w:val="24"/>
              </w:rPr>
              <w:t>整改任务概述</w:t>
            </w:r>
          </w:p>
        </w:tc>
        <w:tc>
          <w:tcPr>
            <w:tcW w:w="7051" w:type="dxa"/>
          </w:tcPr>
          <w:p w14:paraId="4C85B41A">
            <w:pPr>
              <w:spacing w:line="360" w:lineRule="exact"/>
              <w:jc w:val="both"/>
              <w:rPr>
                <w:rFonts w:ascii="Times New Roman" w:hAnsi="Times New Roman"/>
              </w:rPr>
            </w:pPr>
            <w:r>
              <w:rPr>
                <w:rFonts w:hint="eastAsia" w:ascii="方正仿宋_GBK" w:hAnsi="方正仿宋_GBK" w:eastAsia="方正仿宋_GBK" w:cs="方正仿宋_GBK"/>
                <w:b w:val="0"/>
                <w:i w:val="0"/>
                <w:iCs w:val="0"/>
                <w:color w:val="000000"/>
                <w:kern w:val="0"/>
                <w:sz w:val="24"/>
                <w:szCs w:val="24"/>
                <w:u w:val="none"/>
                <w:lang w:val="en-US" w:eastAsia="zh-CN" w:bidi="ar"/>
              </w:rPr>
              <w:t>双河乡宏扬关闭后矿井水未经治理直排双河。</w:t>
            </w:r>
          </w:p>
        </w:tc>
      </w:tr>
      <w:tr w14:paraId="2B84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009" w:type="dxa"/>
            <w:vAlign w:val="center"/>
          </w:tcPr>
          <w:p w14:paraId="051834B4">
            <w:pPr>
              <w:snapToGrid w:val="0"/>
              <w:jc w:val="center"/>
              <w:rPr>
                <w:rFonts w:ascii="Times New Roman" w:hAnsi="Times New Roman"/>
              </w:rPr>
            </w:pPr>
            <w:r>
              <w:rPr>
                <w:rFonts w:ascii="Times New Roman" w:hAnsi="Times New Roman" w:eastAsia="方正黑体_GBK"/>
                <w:sz w:val="24"/>
              </w:rPr>
              <w:t>整改责任单位</w:t>
            </w:r>
          </w:p>
        </w:tc>
        <w:tc>
          <w:tcPr>
            <w:tcW w:w="7051" w:type="dxa"/>
            <w:vAlign w:val="center"/>
          </w:tcPr>
          <w:p w14:paraId="0B5C37F5">
            <w:pPr>
              <w:spacing w:line="360" w:lineRule="exact"/>
              <w:jc w:val="both"/>
              <w:rPr>
                <w:rFonts w:hint="eastAsia" w:ascii="Times New Roman" w:hAnsi="Times New Roman" w:eastAsia="仿宋_GB2312"/>
                <w:lang w:eastAsia="zh-CN"/>
              </w:rPr>
            </w:pPr>
            <w:r>
              <w:rPr>
                <w:rFonts w:hint="eastAsia" w:ascii="方正仿宋_GBK" w:hAnsi="方正仿宋_GBK" w:eastAsia="方正仿宋_GBK" w:cs="方正仿宋_GBK"/>
                <w:b w:val="0"/>
                <w:i w:val="0"/>
                <w:iCs w:val="0"/>
                <w:color w:val="000000"/>
                <w:kern w:val="0"/>
                <w:sz w:val="24"/>
                <w:szCs w:val="24"/>
                <w:u w:val="none"/>
                <w:lang w:val="en-US" w:eastAsia="zh-CN" w:bidi="ar"/>
              </w:rPr>
              <w:t>双河乡人民政府</w:t>
            </w:r>
          </w:p>
        </w:tc>
      </w:tr>
      <w:tr w14:paraId="53F6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09" w:type="dxa"/>
            <w:vAlign w:val="center"/>
          </w:tcPr>
          <w:p w14:paraId="7A79B25E">
            <w:pPr>
              <w:snapToGrid w:val="0"/>
              <w:jc w:val="center"/>
              <w:rPr>
                <w:rFonts w:ascii="Times New Roman" w:hAnsi="Times New Roman"/>
              </w:rPr>
            </w:pPr>
            <w:r>
              <w:rPr>
                <w:rFonts w:ascii="Times New Roman" w:hAnsi="Times New Roman" w:eastAsia="方正黑体_GBK"/>
                <w:sz w:val="24"/>
              </w:rPr>
              <w:t>整改目标</w:t>
            </w:r>
          </w:p>
        </w:tc>
        <w:tc>
          <w:tcPr>
            <w:tcW w:w="7051" w:type="dxa"/>
            <w:shd w:val="clear" w:color="auto" w:fill="auto"/>
            <w:vAlign w:val="top"/>
          </w:tcPr>
          <w:p w14:paraId="565942F1">
            <w:pPr>
              <w:spacing w:line="360" w:lineRule="exact"/>
              <w:rPr>
                <w:rFonts w:hint="default" w:ascii="方正仿宋_GBK" w:hAnsi="方正仿宋_GBK" w:eastAsia="方正仿宋_GBK" w:cs="方正仿宋_GBK"/>
                <w:b w:val="0"/>
                <w:i w:val="0"/>
                <w:iCs w:val="0"/>
                <w:color w:val="000000"/>
                <w:kern w:val="0"/>
                <w:sz w:val="24"/>
                <w:szCs w:val="24"/>
                <w:u w:val="none"/>
                <w:lang w:val="en-US" w:eastAsia="zh-CN" w:bidi="ar"/>
              </w:rPr>
            </w:pPr>
            <w:r>
              <w:rPr>
                <w:rFonts w:hint="eastAsia" w:ascii="方正仿宋_GBK" w:hAnsi="方正仿宋_GBK" w:eastAsia="方正仿宋_GBK" w:cs="方正仿宋_GBK"/>
                <w:b w:val="0"/>
                <w:i w:val="0"/>
                <w:iCs w:val="0"/>
                <w:color w:val="000000"/>
                <w:kern w:val="0"/>
                <w:sz w:val="24"/>
                <w:szCs w:val="24"/>
                <w:u w:val="none"/>
                <w:lang w:val="en-US" w:eastAsia="zh-CN" w:bidi="ar"/>
              </w:rPr>
              <w:t>1.把抓好环保督察反馈问题整改与打好污染防治攻坚战结合起来，把解决污水偷排直排乱排问题作为首要战役、底线任务，保持高压态势，注重精准施策。2.确保2019年12月底前全面完成双河乡宏扬煤矿关闭后矿井水未经治理直排河道问题的整改工作，推动水环境质量持续向好。</w:t>
            </w:r>
          </w:p>
        </w:tc>
      </w:tr>
      <w:tr w14:paraId="2682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2009" w:type="dxa"/>
            <w:vAlign w:val="center"/>
          </w:tcPr>
          <w:p w14:paraId="21A88C17">
            <w:pPr>
              <w:snapToGrid w:val="0"/>
              <w:jc w:val="center"/>
              <w:rPr>
                <w:rFonts w:ascii="Times New Roman" w:hAnsi="Times New Roman"/>
              </w:rPr>
            </w:pPr>
            <w:r>
              <w:rPr>
                <w:rFonts w:ascii="Times New Roman" w:hAnsi="Times New Roman" w:eastAsia="方正黑体_GBK"/>
                <w:sz w:val="24"/>
              </w:rPr>
              <w:t>整改措施及成效</w:t>
            </w:r>
          </w:p>
        </w:tc>
        <w:tc>
          <w:tcPr>
            <w:tcW w:w="7051" w:type="dxa"/>
          </w:tcPr>
          <w:p w14:paraId="73A17DE7">
            <w:pPr>
              <w:spacing w:line="360" w:lineRule="exact"/>
              <w:jc w:val="both"/>
              <w:rPr>
                <w:rFonts w:hint="eastAsia" w:ascii="方正仿宋_GBK" w:hAnsi="方正仿宋_GBK" w:eastAsia="方正仿宋_GBK" w:cs="方正仿宋_GBK"/>
                <w:b w:val="0"/>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整改措施</w:t>
            </w:r>
            <w:r>
              <w:rPr>
                <w:rFonts w:hint="eastAsia" w:ascii="方正仿宋_GBK" w:hAnsi="方正仿宋_GBK" w:eastAsia="方正仿宋_GBK" w:cs="方正仿宋_GBK"/>
                <w:b w:val="0"/>
                <w:i w:val="0"/>
                <w:iCs w:val="0"/>
                <w:color w:val="000000"/>
                <w:kern w:val="0"/>
                <w:sz w:val="24"/>
                <w:szCs w:val="24"/>
                <w:u w:val="none"/>
                <w:lang w:val="en-US" w:eastAsia="zh-CN" w:bidi="ar"/>
              </w:rPr>
              <w:t>：1.对矿井周边环境进行整治。在矿井口新增一条管道，将矿井内流出的水进行归位处理；拆除矿井周边存在安全隐患的建筑物；围绕溶洞谷漂流项目新建生态停车场等设施并适当美化、绿化。2.对原有四级沉淀池进行维修清淤，再新建一个沉淀池，将矿井水进行五级沉淀并添加药物处理后达标排放。3.明确专人进行实时监测、管理。</w:t>
            </w:r>
          </w:p>
          <w:p w14:paraId="746BF6B1">
            <w:pPr>
              <w:spacing w:line="360" w:lineRule="exact"/>
              <w:jc w:val="both"/>
              <w:rPr>
                <w:rFonts w:ascii="Times New Roman" w:hAnsi="Times New Roman"/>
              </w:rPr>
            </w:pPr>
            <w:r>
              <w:rPr>
                <w:rFonts w:hint="eastAsia" w:ascii="方正仿宋_GBK" w:hAnsi="方正仿宋_GBK" w:eastAsia="方正仿宋_GBK" w:cs="方正仿宋_GBK"/>
                <w:b/>
                <w:bCs/>
                <w:i w:val="0"/>
                <w:iCs w:val="0"/>
                <w:color w:val="000000"/>
                <w:kern w:val="0"/>
                <w:sz w:val="24"/>
                <w:szCs w:val="24"/>
                <w:u w:val="none"/>
                <w:lang w:val="en-US" w:eastAsia="zh-CN" w:bidi="ar"/>
              </w:rPr>
              <w:t>整改成效</w:t>
            </w:r>
            <w:r>
              <w:rPr>
                <w:rFonts w:hint="eastAsia" w:ascii="方正仿宋_GBK" w:hAnsi="方正仿宋_GBK" w:eastAsia="方正仿宋_GBK" w:cs="方正仿宋_GBK"/>
                <w:b w:val="0"/>
                <w:i w:val="0"/>
                <w:iCs w:val="0"/>
                <w:color w:val="000000"/>
                <w:kern w:val="0"/>
                <w:sz w:val="24"/>
                <w:szCs w:val="24"/>
                <w:u w:val="none"/>
                <w:lang w:val="en-US" w:eastAsia="zh-CN" w:bidi="ar"/>
              </w:rPr>
              <w:t>：有效的解决原过滤池处于未运转情况，增加过滤池能使废水排放达到环境要求，进一步保护生态环境。</w:t>
            </w:r>
          </w:p>
        </w:tc>
      </w:tr>
      <w:tr w14:paraId="642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009" w:type="dxa"/>
            <w:vAlign w:val="center"/>
          </w:tcPr>
          <w:p w14:paraId="1E1B47E6">
            <w:pPr>
              <w:snapToGrid w:val="0"/>
              <w:jc w:val="center"/>
              <w:rPr>
                <w:rFonts w:ascii="Times New Roman" w:hAnsi="Times New Roman"/>
              </w:rPr>
            </w:pPr>
            <w:r>
              <w:rPr>
                <w:rFonts w:ascii="Times New Roman" w:hAnsi="Times New Roman" w:eastAsia="方正黑体_GBK"/>
                <w:sz w:val="24"/>
              </w:rPr>
              <w:t>整改时间</w:t>
            </w:r>
          </w:p>
        </w:tc>
        <w:tc>
          <w:tcPr>
            <w:tcW w:w="7051" w:type="dxa"/>
            <w:vAlign w:val="center"/>
          </w:tcPr>
          <w:p w14:paraId="32652EF2">
            <w:pPr>
              <w:pStyle w:val="2"/>
              <w:spacing w:before="0" w:after="0" w:line="600" w:lineRule="exact"/>
              <w:jc w:val="both"/>
              <w:outlineLvl w:val="0"/>
              <w:rPr>
                <w:rFonts w:ascii="Times New Roman" w:hAnsi="Times New Roman"/>
                <w:color w:val="0000FF"/>
              </w:rPr>
            </w:pPr>
            <w:r>
              <w:rPr>
                <w:rFonts w:hint="eastAsia" w:ascii="Times New Roman" w:hAnsi="Times New Roman" w:eastAsia="宋体" w:cs="Times New Roman"/>
                <w:b w:val="0"/>
                <w:i w:val="0"/>
                <w:iCs w:val="0"/>
                <w:color w:val="000000"/>
                <w:kern w:val="0"/>
                <w:sz w:val="22"/>
                <w:szCs w:val="22"/>
                <w:u w:val="none"/>
                <w:lang w:val="en-US" w:eastAsia="zh-CN" w:bidi="ar"/>
              </w:rPr>
              <w:t>2019年10月至2019年11月</w:t>
            </w:r>
          </w:p>
        </w:tc>
      </w:tr>
      <w:tr w14:paraId="06D1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009" w:type="dxa"/>
            <w:vAlign w:val="center"/>
          </w:tcPr>
          <w:p w14:paraId="49C79E11">
            <w:pPr>
              <w:snapToGrid w:val="0"/>
              <w:jc w:val="center"/>
              <w:rPr>
                <w:rFonts w:ascii="Times New Roman" w:hAnsi="Times New Roman"/>
              </w:rPr>
            </w:pPr>
            <w:r>
              <w:rPr>
                <w:rFonts w:ascii="Times New Roman" w:hAnsi="Times New Roman" w:eastAsia="方正黑体_GBK"/>
                <w:sz w:val="24"/>
              </w:rPr>
              <w:t>社会监督联系人及电话</w:t>
            </w:r>
          </w:p>
        </w:tc>
        <w:tc>
          <w:tcPr>
            <w:tcW w:w="7051" w:type="dxa"/>
          </w:tcPr>
          <w:p w14:paraId="2CBF954E">
            <w:pPr>
              <w:pStyle w:val="2"/>
              <w:spacing w:before="0" w:after="0" w:line="600" w:lineRule="exact"/>
              <w:jc w:val="both"/>
              <w:outlineLvl w:val="0"/>
              <w:rPr>
                <w:rFonts w:hint="default" w:ascii="Times New Roman" w:hAnsi="Times New Roman" w:eastAsia="仿宋_GB2312"/>
                <w:lang w:val="en-US" w:eastAsia="zh-CN"/>
              </w:rPr>
            </w:pPr>
            <w:r>
              <w:rPr>
                <w:rFonts w:hint="eastAsia" w:ascii="Times New Roman" w:hAnsi="Times New Roman" w:eastAsia="宋体" w:cs="Times New Roman"/>
                <w:b w:val="0"/>
                <w:i w:val="0"/>
                <w:iCs w:val="0"/>
                <w:color w:val="000000"/>
                <w:kern w:val="0"/>
                <w:sz w:val="22"/>
                <w:szCs w:val="22"/>
                <w:u w:val="none"/>
                <w:lang w:val="en-US" w:eastAsia="zh-CN" w:bidi="ar"/>
              </w:rPr>
              <w:t>县生态环境局赵友朋：17783981024</w:t>
            </w:r>
          </w:p>
        </w:tc>
      </w:tr>
    </w:tbl>
    <w:p w14:paraId="7A5C87BD">
      <w:r>
        <w:rPr>
          <w:rFonts w:ascii="Times New Roman" w:hAnsi="Times New Roman" w:eastAsia="方正楷体_GBK"/>
          <w:sz w:val="28"/>
          <w:szCs w:val="28"/>
        </w:rPr>
        <w:t>备注：社会监督联系人须由区县或市级部门负责统筹督察整改的工作机构有关人员担任。</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wiss"/>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823C2"/>
    <w:rsid w:val="29F82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2025-11-11T01:38:00Z</dcterms:created>
  <dc:creator>711</dc:creator>
  <cp:lastModifiedBy>711</cp:lastModifiedBy>
  <dcterms:modified xsi:type="dcterms:W3CDTF">2025-11-11T01:40:32Z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CE9B40BCB72B4A0A8300BB68445A7DD5_11</vt:lpwstr>
  </property>
  <property fmtid="{D5CDD505-2E9C-101B-9397-08002B2CF9AE}" pid="4" name="KSOTemplateDocerSaveRecord">
    <vt:lpwstr>eyJoZGlkIjoiOGNkM2NiYmYxZDk3YzUxMzk2OWJhZWVlNjEwZjk5ZDQiLCJ1c2VySWQiOiIxNzI5NTM4MjY2In0=</vt:lpwstr>
  </property>
</Properties>
</file>