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双河乡2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020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和20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年财政预算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草案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 —20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21年3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月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30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日在双河乡第十</w:t>
      </w:r>
      <w:r>
        <w:rPr>
          <w:rFonts w:hint="default" w:ascii="Times New Roman" w:hAnsi="Times New Roman" w:eastAsia="方正楷体_GBK" w:cs="Times New Roman"/>
          <w:sz w:val="28"/>
          <w:szCs w:val="28"/>
          <w:lang w:eastAsia="zh-CN"/>
        </w:rPr>
        <w:t>八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届人民代表大会</w:t>
      </w:r>
      <w:r>
        <w:rPr>
          <w:rFonts w:hint="default" w:ascii="Times New Roman" w:hAnsi="Times New Roman" w:eastAsia="方正楷体_GBK" w:cs="Times New Roman"/>
          <w:sz w:val="28"/>
          <w:szCs w:val="28"/>
          <w:lang w:eastAsia="zh-CN"/>
        </w:rPr>
        <w:t>第十次会议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28"/>
          <w:szCs w:val="28"/>
        </w:rPr>
        <w:t>双河乡财政</w:t>
      </w:r>
      <w:r>
        <w:rPr>
          <w:rFonts w:hint="default" w:ascii="Times New Roman" w:hAnsi="Times New Roman" w:eastAsia="方正楷体简体" w:cs="Times New Roman"/>
          <w:sz w:val="28"/>
          <w:szCs w:val="28"/>
        </w:rPr>
        <w:t>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受双河乡人民政府委托，现将双河乡20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年财政预算执行情况和20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草案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的报告提请大会</w:t>
      </w:r>
      <w:r>
        <w:rPr>
          <w:rFonts w:hint="eastAsia" w:eastAsia="方正仿宋_GBK" w:cs="Times New Roman"/>
          <w:sz w:val="32"/>
          <w:szCs w:val="32"/>
          <w:lang w:eastAsia="zh-CN"/>
        </w:rPr>
        <w:t>审议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并请各位列席人员提出意见。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一、2020年财政预算执行情况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Style w:val="10"/>
          <w:rFonts w:hint="default" w:ascii="Times New Roman" w:hAnsi="Times New Roman" w:cs="Times New Roman"/>
        </w:rPr>
        <w:t>乡财政工作以习近平新时代中国特色社会主义思想为指导，全面贯彻落实党的十九大和十九届二中、三中、四中</w:t>
      </w:r>
      <w:r>
        <w:rPr>
          <w:rStyle w:val="10"/>
          <w:rFonts w:hint="default" w:ascii="Times New Roman" w:hAnsi="Times New Roman" w:cs="Times New Roman"/>
        </w:rPr>
        <w:t>、五中</w:t>
      </w:r>
      <w:r>
        <w:rPr>
          <w:rStyle w:val="10"/>
          <w:rFonts w:hint="default" w:ascii="Times New Roman" w:hAnsi="Times New Roman" w:cs="Times New Roman"/>
        </w:rPr>
        <w:t>全会精神，在乡党委的坚强领导下，在乡人大的监督以及上级财税部门的大力支持下，</w:t>
      </w:r>
      <w:r>
        <w:rPr>
          <w:rStyle w:val="10"/>
          <w:rFonts w:hint="default" w:ascii="Times New Roman" w:hAnsi="Times New Roman" w:cs="Times New Roman"/>
        </w:rPr>
        <w:t>我们始终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坚持稳中求进的工作总基调，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贯彻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落实“五大”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展理念，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深入推进财税管理改革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，牢固树立依法理财理念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我们紧紧围绕乡党委重大决策部署，着力抓好强“三保”、促发展、保重点、防风险各项工作，经过全乡干部职工的共同努力圆满地完成了乡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预算和各项财政工作任务。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双河乡20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年一般公共预算财政拨款收入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2964.67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元，无政府性基金预算财政拨款收入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。其中：上年结转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93.83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，本年预算内财力拨款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2870.84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。辖区内财政税收收入完成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元。非税收入8.3万元，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其中：城市建设配套费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，垃圾处置费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7.8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（二）支出完成情况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年全乡本级一般预算内支出为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2840.78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，尚有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123.89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项目预算资金未实现支出，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全年支出进度达95.82%。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主要支出有以下内容: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工资福利支出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760.58 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基本工资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162.29万元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；津贴补贴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176.53万元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；奖金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38.75万元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；绩效工资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167.31万元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；机关事业单位基本养老保险缴费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45.65万元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；职业年金缴费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19.86万元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；职工基本医疗补助缴费及医疗费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39.9万元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；住房公积金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46.66万元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；其他工资福利支出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21.18万元；医疗费支出12.1万元；伙食补助支出27.2万元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商品及服务性支出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120.02万元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（1）公务费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73.33万元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27.38万元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；电费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9.8万元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邮电费3.18万元；印刷费4.1万元；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差旅费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20.89万元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；会议费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1.4万元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；培训费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0.2万元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；工会经费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2.96万元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；福利费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3.42万元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（2）业务费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46.26万元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公务接待费22.04万元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bookmarkStart w:id="0" w:name="OLE_LINK4"/>
      <w:r>
        <w:rPr>
          <w:rFonts w:hint="default" w:ascii="Times New Roman" w:hAnsi="Times New Roman" w:eastAsia="方正仿宋_GBK" w:cs="Times New Roman"/>
          <w:sz w:val="32"/>
          <w:szCs w:val="32"/>
        </w:rPr>
        <w:t>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9.8万元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；其他交通费用</w:t>
      </w:r>
      <w:bookmarkStart w:id="1" w:name="OLE_LINK1"/>
      <w:r>
        <w:rPr>
          <w:rFonts w:hint="default" w:ascii="Times New Roman" w:hAnsi="Times New Roman" w:eastAsia="方正仿宋_GBK" w:cs="Times New Roman"/>
          <w:sz w:val="32"/>
          <w:szCs w:val="32"/>
        </w:rPr>
        <w:t>8.04万</w:t>
      </w:r>
      <w:bookmarkEnd w:id="0"/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元；维修费0.46万元；劳务费5.11万元等其它支出。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（3）其他商品和服务支出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0.43万元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对个人和家庭补助支出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70.57万元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生活补助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61.83万元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医疗费补助8.72万元；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其他个人和家庭补助支出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0.02万元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项目支出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1889.62万元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（三）收支平衡情况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1.一般预算当年收入小于支出，财政欠拨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123.89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2.项目支出情况，目前扶贫项目、基础设施建设等项目正在有序推进，截至12月31日已经完成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95.82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%的支出进度。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二、20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年财政主要工作的回顾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（一）年初预算编制。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年初按照县级财政要求，严格按照政策法规本着“量入为出，增收节支，收支平衡”的原则编制本年预算，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围绕“三保”支出保障，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确保政府人员经费、村集体开支、城乡建设配套费预算准确。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（二）规范管理增效益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计工作具有核算和监督作用，在日常工作中。通过会计工作详细核算我乡一般预算资金的使用结余，项目资金的使用支付及资料完善情况。及时将本年财务财政情况向党委政府反映，给党委政府决策提供财务数据依据。平时规范政府财务管理，做到公开、公平、民主、科学化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（三）及时兑付助脱贫。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脱贫攻坚期间，协助各相关科室，紧紧围绕“两不愁三保障”主要目标，及时兑付住房直补、基础设施建设项目资金、临时医疗救助等保障民生的支出。全面协助脱贫攻坚工作。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（四）年底决算工作。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县级财政要求，严格按照相关文件及政策，进行2020年财务决算工作。对本乡全年财政收支情况进行决算，了解预算内资金支付进度，年底的决算工作是对本乡全年财务工作的一个肯定，同时也可以使我们发现在本年工作中存在的不足之处，指出了接下来需要加强的工作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在乡党委政府的正确领导和乡人大的监督下，乡财政紧紧围绕全乡经济社会发展重大决策部署，在促进乡域经济发展中壮大财力，在优化支出结构中改善民生，在积极稳妥运作中保障重点建设和脱贫攻坚建设，圆满完成了各项财政工作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三、20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年财政预算草案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年的经济形势分析，按照市县财政预算编制的相关精神， 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年预算编制的指导思想是：习近平新时代中国特色社会主义思想。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在保证“三保”前提下，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全力保障和改善民生，建立完善公共财政体制，推进财政管理科学化、精细化，不断提高财政资金运行的质量和效益，促进乡域经济和社会事业全面协调可持续发展。20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年一般公共预算拟作如下安排：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一般预算草案。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年，一般预算收入拟安排为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816.18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，由于目前上级还没有下达预算控制指标，故同比上年预算数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减少3.13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％（20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人员调整等原因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年，按照确保人员经费、社会保障支出、法定支出的顺序，一般公共预算支出拟安排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816.18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，主要预算项目为：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一般公共服务运行经费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477.29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 文化体育与传媒运行经费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11.4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 社会保障和就业运行经费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81.02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医疗卫生与计划生育支出费用31.25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，农林水事务运行经费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120.43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万元，职工住房保障经费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36.27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万元，“三公“经费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，人大一般运行经费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30.52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（二）项目预算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县委县政府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综合发展考虑，市县有关部门将陆续下达20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年基础设施建设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相关项目资金文件，因此项目资金不在年初一般预算之列。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 四、20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21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年的财政工作重点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各位代表，2021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是奋进“十四五”、逐梦新征程的开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之年。站在新的历史起点上，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我们将以习近平新时代中国特色社会主义思想为指导，全面贯彻落实党的十九大和十九届二中、三中、四中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、五中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全会精神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及2020年中央经济工作会、全国财政工作会精神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始终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坚持稳中求进工作总基调，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坚持落实好政府过“紧日子”系列要求，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在县委、县政府统一部署要求下结合本乡实际推动辖区内经济高质量发展，统筹推进“稳增长、促改革、调结构、惠民生、防风险、保稳定”，确保本乡财政经济平稳有序运行。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一是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全力做好财政收入组织工作，确保财政收入任务的圆满完成。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坚持依法治税，大力整顿和规范税收秩序，严格执行税收减免政策；加强重点税源的监管，改进收入征管方式；加大零散税源调查，做到应收尽收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，全额征收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；严格执行财税收入努力提高财政收入入库均衡性；加强财、税、库及相关部门配合协作，注重信息互通互享，确保税收任务的完成。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是优化财政支出结构。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进一步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完善经费报销制度，加强支付管理。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财政资金支出做到一收一付、专款专用制，严格执行“一支笔”审批制度。一切财政专项拨款和经费开支，未经分管领导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及主管领导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同意或签字的，不予办理支付手续。严肃财经纪律，坚持财务公开，重大财务开支由党委集体研究决定。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是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抓好财政支出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在保证项目安全稳定的实施前提下，精准资金支付，加快专项资金的分配和使用进度，确保专项资金支出加快执行，全面协助配合乡村振兴工作。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四是不断创新管理机制，提高财政管理水平。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全面深化财政制度改革，按照科学化、精细化要求，加大部门预算。加强对项目的预、决算管理。加强政府性债务管控工作，最大限度地规避财政风险。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五是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完善基层财政管理体制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坚持“村财民理乡代管”的原则，加强村级财务指导管理工作，进一步加强和规范村级财务管理，全面提升村级财务管理水平。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强化监督检查，提高财政资金的使用效益。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各位代表，做好20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年财政工作，意义尤为重大。我们将在乡党委政府的坚强领导下，主动接受乡人大及社会各界的监督，振奋精神，开拓进取，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不断创新，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以饱满的热情和务实的工作作风，扎实开展各项财政工作，按时并高效地完成县上下达的财政工作任务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- 6 -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521A3"/>
    <w:multiLevelType w:val="singleLevel"/>
    <w:tmpl w:val="970521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720"/>
    <w:rsid w:val="00005A5C"/>
    <w:rsid w:val="0002663C"/>
    <w:rsid w:val="000666A7"/>
    <w:rsid w:val="000806BC"/>
    <w:rsid w:val="000A5244"/>
    <w:rsid w:val="000B41A2"/>
    <w:rsid w:val="000C2EE0"/>
    <w:rsid w:val="000F3C32"/>
    <w:rsid w:val="000F51B2"/>
    <w:rsid w:val="000F5465"/>
    <w:rsid w:val="001252E4"/>
    <w:rsid w:val="001462F7"/>
    <w:rsid w:val="001C3299"/>
    <w:rsid w:val="001C5253"/>
    <w:rsid w:val="001D75F8"/>
    <w:rsid w:val="001F3D13"/>
    <w:rsid w:val="0021760B"/>
    <w:rsid w:val="00222507"/>
    <w:rsid w:val="00225421"/>
    <w:rsid w:val="00225517"/>
    <w:rsid w:val="002449CA"/>
    <w:rsid w:val="00244BBF"/>
    <w:rsid w:val="00250998"/>
    <w:rsid w:val="0027591D"/>
    <w:rsid w:val="002914D4"/>
    <w:rsid w:val="0029377F"/>
    <w:rsid w:val="00296829"/>
    <w:rsid w:val="002A5FFE"/>
    <w:rsid w:val="002E203B"/>
    <w:rsid w:val="002E253C"/>
    <w:rsid w:val="002E588E"/>
    <w:rsid w:val="002E6B1E"/>
    <w:rsid w:val="00324099"/>
    <w:rsid w:val="003343F1"/>
    <w:rsid w:val="0034324B"/>
    <w:rsid w:val="00344803"/>
    <w:rsid w:val="00375BAF"/>
    <w:rsid w:val="00390404"/>
    <w:rsid w:val="003921D9"/>
    <w:rsid w:val="003B2325"/>
    <w:rsid w:val="003D174D"/>
    <w:rsid w:val="003D446D"/>
    <w:rsid w:val="003D6543"/>
    <w:rsid w:val="003F72D8"/>
    <w:rsid w:val="00433AB0"/>
    <w:rsid w:val="00433D6B"/>
    <w:rsid w:val="00460323"/>
    <w:rsid w:val="004C1DA8"/>
    <w:rsid w:val="004C26DA"/>
    <w:rsid w:val="004C7A26"/>
    <w:rsid w:val="004E7397"/>
    <w:rsid w:val="004F3450"/>
    <w:rsid w:val="00511AFF"/>
    <w:rsid w:val="00534605"/>
    <w:rsid w:val="00534B4F"/>
    <w:rsid w:val="005373B8"/>
    <w:rsid w:val="00554861"/>
    <w:rsid w:val="00566DF9"/>
    <w:rsid w:val="00570B20"/>
    <w:rsid w:val="005754D6"/>
    <w:rsid w:val="00581B1F"/>
    <w:rsid w:val="00583965"/>
    <w:rsid w:val="00583F09"/>
    <w:rsid w:val="00596504"/>
    <w:rsid w:val="005A583B"/>
    <w:rsid w:val="005B7F27"/>
    <w:rsid w:val="005C2D08"/>
    <w:rsid w:val="005C425F"/>
    <w:rsid w:val="005D68D2"/>
    <w:rsid w:val="005E407A"/>
    <w:rsid w:val="005E68FB"/>
    <w:rsid w:val="00604691"/>
    <w:rsid w:val="0061496E"/>
    <w:rsid w:val="0062481B"/>
    <w:rsid w:val="00633E4E"/>
    <w:rsid w:val="00637C38"/>
    <w:rsid w:val="00660AED"/>
    <w:rsid w:val="0068105A"/>
    <w:rsid w:val="00685BD3"/>
    <w:rsid w:val="00697699"/>
    <w:rsid w:val="006A5D22"/>
    <w:rsid w:val="006B003A"/>
    <w:rsid w:val="006B7E32"/>
    <w:rsid w:val="006D7D40"/>
    <w:rsid w:val="00713CDD"/>
    <w:rsid w:val="007240CE"/>
    <w:rsid w:val="00731198"/>
    <w:rsid w:val="007323DB"/>
    <w:rsid w:val="007374C0"/>
    <w:rsid w:val="007572D9"/>
    <w:rsid w:val="00766FA0"/>
    <w:rsid w:val="00767B0B"/>
    <w:rsid w:val="007911A7"/>
    <w:rsid w:val="00792F41"/>
    <w:rsid w:val="007A0BC2"/>
    <w:rsid w:val="007B23A3"/>
    <w:rsid w:val="007D0168"/>
    <w:rsid w:val="007D784E"/>
    <w:rsid w:val="00811CF9"/>
    <w:rsid w:val="00830744"/>
    <w:rsid w:val="00866DAF"/>
    <w:rsid w:val="00895E82"/>
    <w:rsid w:val="008B18AF"/>
    <w:rsid w:val="008B482B"/>
    <w:rsid w:val="008E3401"/>
    <w:rsid w:val="00904848"/>
    <w:rsid w:val="00930137"/>
    <w:rsid w:val="009339A0"/>
    <w:rsid w:val="00983393"/>
    <w:rsid w:val="009A4D79"/>
    <w:rsid w:val="009C7758"/>
    <w:rsid w:val="009E35A4"/>
    <w:rsid w:val="009F0D87"/>
    <w:rsid w:val="00A07A12"/>
    <w:rsid w:val="00A24F0D"/>
    <w:rsid w:val="00A52CD2"/>
    <w:rsid w:val="00A91A42"/>
    <w:rsid w:val="00AA48D4"/>
    <w:rsid w:val="00AD03E6"/>
    <w:rsid w:val="00AD7408"/>
    <w:rsid w:val="00AE1DE1"/>
    <w:rsid w:val="00AF5EB6"/>
    <w:rsid w:val="00AF712E"/>
    <w:rsid w:val="00B02A91"/>
    <w:rsid w:val="00B07A13"/>
    <w:rsid w:val="00B20643"/>
    <w:rsid w:val="00B313A8"/>
    <w:rsid w:val="00B41E60"/>
    <w:rsid w:val="00B553DC"/>
    <w:rsid w:val="00B74376"/>
    <w:rsid w:val="00B75E48"/>
    <w:rsid w:val="00B76F61"/>
    <w:rsid w:val="00B83B9C"/>
    <w:rsid w:val="00B955E2"/>
    <w:rsid w:val="00B967C9"/>
    <w:rsid w:val="00B972DC"/>
    <w:rsid w:val="00BD0A88"/>
    <w:rsid w:val="00BD48CE"/>
    <w:rsid w:val="00BD7F51"/>
    <w:rsid w:val="00BE7B8E"/>
    <w:rsid w:val="00C12D87"/>
    <w:rsid w:val="00C30CE5"/>
    <w:rsid w:val="00C33261"/>
    <w:rsid w:val="00C42C3E"/>
    <w:rsid w:val="00C44C0D"/>
    <w:rsid w:val="00C61E65"/>
    <w:rsid w:val="00C63684"/>
    <w:rsid w:val="00C9126C"/>
    <w:rsid w:val="00C9414D"/>
    <w:rsid w:val="00CB10CA"/>
    <w:rsid w:val="00CC770A"/>
    <w:rsid w:val="00D616F3"/>
    <w:rsid w:val="00D77324"/>
    <w:rsid w:val="00DD2720"/>
    <w:rsid w:val="00DD5CF1"/>
    <w:rsid w:val="00DE3065"/>
    <w:rsid w:val="00E15688"/>
    <w:rsid w:val="00E15AF2"/>
    <w:rsid w:val="00E200B9"/>
    <w:rsid w:val="00E22121"/>
    <w:rsid w:val="00E22143"/>
    <w:rsid w:val="00E24793"/>
    <w:rsid w:val="00E261F4"/>
    <w:rsid w:val="00E429FC"/>
    <w:rsid w:val="00E46733"/>
    <w:rsid w:val="00E55A29"/>
    <w:rsid w:val="00E72611"/>
    <w:rsid w:val="00E802A8"/>
    <w:rsid w:val="00EB1CD9"/>
    <w:rsid w:val="00EC2973"/>
    <w:rsid w:val="00ED7F19"/>
    <w:rsid w:val="00F51B26"/>
    <w:rsid w:val="00F65956"/>
    <w:rsid w:val="00F84FC4"/>
    <w:rsid w:val="00F911DD"/>
    <w:rsid w:val="00F93E4D"/>
    <w:rsid w:val="00F94088"/>
    <w:rsid w:val="00FC1767"/>
    <w:rsid w:val="00FC7FB0"/>
    <w:rsid w:val="00FF3ABF"/>
    <w:rsid w:val="046A5DA5"/>
    <w:rsid w:val="0BB557DB"/>
    <w:rsid w:val="110C353A"/>
    <w:rsid w:val="11C3706E"/>
    <w:rsid w:val="154D1931"/>
    <w:rsid w:val="16B50E97"/>
    <w:rsid w:val="173959AE"/>
    <w:rsid w:val="1D984ACB"/>
    <w:rsid w:val="200575E1"/>
    <w:rsid w:val="215E2865"/>
    <w:rsid w:val="27C70A77"/>
    <w:rsid w:val="285D3AFE"/>
    <w:rsid w:val="35557968"/>
    <w:rsid w:val="3A294C06"/>
    <w:rsid w:val="3B6D513D"/>
    <w:rsid w:val="3C9E26A9"/>
    <w:rsid w:val="481823C0"/>
    <w:rsid w:val="48BC6516"/>
    <w:rsid w:val="4EBB5A36"/>
    <w:rsid w:val="502A0E07"/>
    <w:rsid w:val="51CE5AA4"/>
    <w:rsid w:val="54890391"/>
    <w:rsid w:val="556B3F13"/>
    <w:rsid w:val="569E26C5"/>
    <w:rsid w:val="5B6942C5"/>
    <w:rsid w:val="5C142BA7"/>
    <w:rsid w:val="5F18529D"/>
    <w:rsid w:val="5F997FC4"/>
    <w:rsid w:val="5FA82C45"/>
    <w:rsid w:val="6101048B"/>
    <w:rsid w:val="61132295"/>
    <w:rsid w:val="61F90D10"/>
    <w:rsid w:val="657969E7"/>
    <w:rsid w:val="66B25E8C"/>
    <w:rsid w:val="6CE90CD9"/>
    <w:rsid w:val="6D0E59E7"/>
    <w:rsid w:val="6F6342E9"/>
    <w:rsid w:val="71730D1F"/>
    <w:rsid w:val="75310B1F"/>
    <w:rsid w:val="76577B7D"/>
    <w:rsid w:val="7B5F7FD5"/>
    <w:rsid w:val="7B855FB7"/>
    <w:rsid w:val="7F6B4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0">
    <w:name w:val="fontstyle01"/>
    <w:uiPriority w:val="0"/>
    <w:rPr>
      <w:rFonts w:hint="eastAsia" w:ascii="方正仿宋_GBK" w:eastAsia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485</Words>
  <Characters>2766</Characters>
  <Lines>23</Lines>
  <Paragraphs>6</Paragraphs>
  <TotalTime>4</TotalTime>
  <ScaleCrop>false</ScaleCrop>
  <LinksUpToDate>false</LinksUpToDate>
  <CharactersWithSpaces>3245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2019-01-06T10:44:00Z</dcterms:created>
  <dc:creator>PC</dc:creator>
  <cp:lastModifiedBy>刘秋涵[17318281514]</cp:lastModifiedBy>
  <cp:lastPrinted>2018-03-14T08:51:00Z</cp:lastPrinted>
  <dcterms:modified xsi:type="dcterms:W3CDTF">2021-03-29T07:03:04Z</dcterms:modified>
  <dc:title>城口县双河乡2017年财政预算执行情况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57C3BE7B13104C06A10EB2F220B56677</vt:lpwstr>
  </property>
</Properties>
</file>