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94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微软雅黑" w:hAnsi="微软雅黑" w:eastAsia="微软雅黑" w:cs="微软雅黑"/>
          <w:i w:val="0"/>
          <w:iCs w:val="0"/>
          <w:caps w:val="0"/>
          <w:color w:val="333333"/>
          <w:spacing w:val="0"/>
          <w:sz w:val="12"/>
          <w:szCs w:val="12"/>
        </w:rPr>
      </w:pPr>
      <w:r>
        <w:rPr>
          <w:rFonts w:ascii="方正小标宋_GBK" w:hAnsi="方正小标宋_GBK" w:eastAsia="方正小标宋_GBK" w:cs="方正小标宋_GBK"/>
          <w:i w:val="0"/>
          <w:iCs w:val="0"/>
          <w:caps w:val="0"/>
          <w:color w:val="333333"/>
          <w:spacing w:val="0"/>
          <w:sz w:val="21"/>
          <w:szCs w:val="21"/>
          <w:shd w:val="clear" w:fill="FFFFFF"/>
        </w:rPr>
        <w:t>重庆市城口县</w:t>
      </w:r>
      <w:r>
        <w:rPr>
          <w:rFonts w:hint="eastAsia" w:ascii="方正小标宋_GBK" w:hAnsi="方正小标宋_GBK" w:eastAsia="方正小标宋_GBK" w:cs="方正小标宋_GBK"/>
          <w:i w:val="0"/>
          <w:iCs w:val="0"/>
          <w:caps w:val="0"/>
          <w:color w:val="333333"/>
          <w:spacing w:val="0"/>
          <w:sz w:val="21"/>
          <w:szCs w:val="21"/>
          <w:shd w:val="clear" w:fill="FFFFFF"/>
          <w:lang w:eastAsia="zh-CN"/>
        </w:rPr>
        <w:t>双河乡</w:t>
      </w:r>
      <w:r>
        <w:rPr>
          <w:rFonts w:ascii="方正小标宋_GBK" w:hAnsi="方正小标宋_GBK" w:eastAsia="方正小标宋_GBK" w:cs="方正小标宋_GBK"/>
          <w:i w:val="0"/>
          <w:iCs w:val="0"/>
          <w:caps w:val="0"/>
          <w:color w:val="333333"/>
          <w:spacing w:val="0"/>
          <w:sz w:val="21"/>
          <w:szCs w:val="21"/>
          <w:shd w:val="clear" w:fill="FFFFFF"/>
        </w:rPr>
        <w:t>综合行政执法大队</w:t>
      </w:r>
    </w:p>
    <w:p w14:paraId="245F9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2024</w:t>
      </w:r>
      <w:r>
        <w:rPr>
          <w:rFonts w:hint="eastAsia" w:ascii="方正小标宋_GBK" w:hAnsi="方正小标宋_GBK" w:eastAsia="方正小标宋_GBK" w:cs="方正小标宋_GBK"/>
          <w:i w:val="0"/>
          <w:iCs w:val="0"/>
          <w:caps w:val="0"/>
          <w:color w:val="333333"/>
          <w:spacing w:val="0"/>
          <w:sz w:val="21"/>
          <w:szCs w:val="21"/>
          <w:shd w:val="clear" w:fill="FFFFFF"/>
        </w:rPr>
        <w:t>年度决算公开说明</w:t>
      </w:r>
    </w:p>
    <w:p w14:paraId="286EF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ascii="黑体" w:hAnsi="宋体" w:eastAsia="黑体" w:cs="黑体"/>
          <w:i w:val="0"/>
          <w:iCs w:val="0"/>
          <w:caps w:val="0"/>
          <w:color w:val="333333"/>
          <w:spacing w:val="0"/>
          <w:sz w:val="15"/>
          <w:szCs w:val="15"/>
          <w:shd w:val="clear" w:fill="FFFFFF"/>
        </w:rPr>
        <w:t> </w:t>
      </w:r>
    </w:p>
    <w:p w14:paraId="76C1A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黑体_GBK" w:hAnsi="方正黑体_GBK" w:eastAsia="方正黑体_GBK" w:cs="方正黑体_GBK"/>
          <w:i w:val="0"/>
          <w:iCs w:val="0"/>
          <w:caps w:val="0"/>
          <w:color w:val="333333"/>
          <w:spacing w:val="0"/>
          <w:sz w:val="15"/>
          <w:szCs w:val="15"/>
          <w:shd w:val="clear" w:fill="FFFFFF"/>
        </w:rPr>
        <w:t>一、单位基本情况</w:t>
      </w:r>
    </w:p>
    <w:p w14:paraId="68D50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楷体_GBK" w:hAnsi="方正楷体_GBK" w:eastAsia="方正楷体_GBK" w:cs="方正楷体_GBK"/>
          <w:i w:val="0"/>
          <w:iCs w:val="0"/>
          <w:caps w:val="0"/>
          <w:color w:val="333333"/>
          <w:spacing w:val="0"/>
          <w:sz w:val="15"/>
          <w:szCs w:val="15"/>
          <w:shd w:val="clear" w:fill="FFFFFF"/>
        </w:rPr>
        <w:t>（一）职能职责</w:t>
      </w:r>
      <w:r>
        <w:rPr>
          <w:rFonts w:hint="eastAsia" w:ascii="方正楷体_GBK" w:hAnsi="方正楷体_GBK" w:eastAsia="方正楷体_GBK" w:cs="方正楷体_GBK"/>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综合行政执法大队是</w:t>
      </w: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人民政府所属公益一类事业单位。其主要职能职责有：综合行政执法大队主要负责由综合行政执法机构集中行使依法授权或委托的农林水利、生态环境保护、卫生健康、文化旅游、民政管理等领域的行政执法权。协助开展城市管理、规划和自然资源管理、市场监督管理等领域行政执法。农业、畜牧、林业、水利、资源环境保护、渔政等工作。</w:t>
      </w:r>
    </w:p>
    <w:p w14:paraId="48387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二、单位决算收支情况说明</w:t>
      </w:r>
    </w:p>
    <w:p w14:paraId="71F2E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（一）收入支出决算总体情况说明</w:t>
      </w:r>
    </w:p>
    <w:p w14:paraId="5C3A1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1.</w:t>
      </w:r>
      <w:r>
        <w:rPr>
          <w:rStyle w:val="5"/>
          <w:rFonts w:hint="eastAsia" w:ascii="方正仿宋_GBK" w:hAnsi="方正仿宋_GBK" w:eastAsia="方正仿宋_GBK" w:cs="方正仿宋_GBK"/>
          <w:i w:val="0"/>
          <w:iCs w:val="0"/>
          <w:caps w:val="0"/>
          <w:color w:val="333333"/>
          <w:spacing w:val="0"/>
          <w:sz w:val="15"/>
          <w:szCs w:val="15"/>
          <w:shd w:val="clear" w:fill="FFFFFF"/>
        </w:rPr>
        <w:t>总体情况。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小标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年度收入总计</w:t>
      </w:r>
      <w:r>
        <w:rPr>
          <w:rFonts w:hint="eastAsia" w:ascii="Times New Roman" w:hAnsi="Times New Roman" w:eastAsia="方正小标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万元，支出总计</w:t>
      </w:r>
      <w:r>
        <w:rPr>
          <w:rFonts w:hint="eastAsia" w:ascii="Times New Roman" w:hAnsi="Times New Roman" w:eastAsia="方正小标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万元。收支较上年决算数增加</w:t>
      </w:r>
      <w:r>
        <w:rPr>
          <w:rFonts w:hint="eastAsia" w:ascii="Times New Roman" w:hAnsi="Times New Roman" w:eastAsia="方正小标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小标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w:t>
      </w:r>
    </w:p>
    <w:p w14:paraId="4727D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2.</w:t>
      </w:r>
      <w:r>
        <w:rPr>
          <w:rStyle w:val="5"/>
          <w:rFonts w:hint="eastAsia" w:ascii="方正仿宋_GBK" w:hAnsi="方正仿宋_GBK" w:eastAsia="方正仿宋_GBK" w:cs="方正仿宋_GBK"/>
          <w:i w:val="0"/>
          <w:iCs w:val="0"/>
          <w:caps w:val="0"/>
          <w:color w:val="333333"/>
          <w:spacing w:val="0"/>
          <w:sz w:val="15"/>
          <w:szCs w:val="15"/>
          <w:shd w:val="clear" w:fill="FFFFFF"/>
        </w:rPr>
        <w:t>收入情况</w:t>
      </w:r>
      <w:r>
        <w:rPr>
          <w:rStyle w:val="5"/>
          <w:rFonts w:hint="eastAsia" w:ascii="方正小标宋_GBK" w:hAnsi="方正小标宋_GBK" w:eastAsia="方正小标宋_GBK" w:cs="方正小标宋_GBK"/>
          <w:i w:val="0"/>
          <w:iCs w:val="0"/>
          <w:caps w:val="0"/>
          <w:color w:val="333333"/>
          <w:spacing w:val="0"/>
          <w:sz w:val="15"/>
          <w:szCs w:val="15"/>
          <w:shd w:val="clear" w:fill="FFFFFF"/>
        </w:rPr>
        <w:t>。</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年度收入合计</w:t>
      </w:r>
      <w:r>
        <w:rPr>
          <w:rFonts w:hint="eastAsia" w:ascii="Times New Roman" w:hAnsi="Times New Roman" w:eastAsia="微软雅黑"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微软雅黑"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年综合行政执法大队未单独进行财务核算及决算处理，纳入政府核算及决算。其中：财政拨款收入</w:t>
      </w:r>
      <w:r>
        <w:rPr>
          <w:rFonts w:hint="eastAsia" w:ascii="Times New Roman" w:hAnsi="Times New Roman" w:eastAsia="微软雅黑"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；事业收入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；经营收入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；其他收入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。此外，使用非财政拨款结余和专用结余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万元，年初结转和结余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7C57E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3.</w:t>
      </w:r>
      <w:r>
        <w:rPr>
          <w:rStyle w:val="5"/>
          <w:rFonts w:hint="eastAsia" w:ascii="方正仿宋_GBK" w:hAnsi="方正仿宋_GBK" w:eastAsia="方正仿宋_GBK" w:cs="方正仿宋_GBK"/>
          <w:i w:val="0"/>
          <w:iCs w:val="0"/>
          <w:caps w:val="0"/>
          <w:color w:val="333333"/>
          <w:spacing w:val="0"/>
          <w:sz w:val="15"/>
          <w:szCs w:val="15"/>
          <w:shd w:val="clear" w:fill="FFFFFF"/>
        </w:rPr>
        <w:t>支出情况。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年度支出合计</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年综合行政执法大队未单独进行财务核算及决算处理，纳入政府核算及决算。其中：基本支出</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；项目支出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；经营支出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。此外，结余分配</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53B99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4.</w:t>
      </w:r>
      <w:r>
        <w:rPr>
          <w:rStyle w:val="5"/>
          <w:rFonts w:hint="eastAsia" w:ascii="方正仿宋_GBK" w:hAnsi="方正仿宋_GBK" w:eastAsia="方正仿宋_GBK" w:cs="方正仿宋_GBK"/>
          <w:i w:val="0"/>
          <w:iCs w:val="0"/>
          <w:caps w:val="0"/>
          <w:color w:val="333333"/>
          <w:spacing w:val="0"/>
          <w:sz w:val="15"/>
          <w:szCs w:val="15"/>
          <w:shd w:val="clear" w:fill="FFFFFF"/>
        </w:rPr>
        <w:t>结转结余情况。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年度年末结转和结余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37A08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（二）财政拨款收入支出决算总体情况说明</w:t>
      </w:r>
    </w:p>
    <w:p w14:paraId="79600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年度财政拨款收、支总计</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万元。与</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3</w:t>
      </w:r>
      <w:r>
        <w:rPr>
          <w:rFonts w:hint="eastAsia" w:ascii="方正仿宋_GBK" w:hAnsi="方正仿宋_GBK" w:eastAsia="方正仿宋_GBK" w:cs="方正仿宋_GBK"/>
          <w:i w:val="0"/>
          <w:iCs w:val="0"/>
          <w:caps w:val="0"/>
          <w:color w:val="333333"/>
          <w:spacing w:val="0"/>
          <w:sz w:val="15"/>
          <w:szCs w:val="15"/>
          <w:shd w:val="clear" w:fill="FFFFFF"/>
        </w:rPr>
        <w:t>年相比，财政拨款收、支总计各增加</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w:t>
      </w:r>
    </w:p>
    <w:p w14:paraId="09C85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（三）一般公共预算财政拨款收入支出决算情况说明</w:t>
      </w:r>
    </w:p>
    <w:p w14:paraId="65875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1.</w:t>
      </w:r>
      <w:r>
        <w:rPr>
          <w:rStyle w:val="5"/>
          <w:rFonts w:hint="eastAsia" w:ascii="方正仿宋_GBK" w:hAnsi="方正仿宋_GBK" w:eastAsia="方正仿宋_GBK" w:cs="方正仿宋_GBK"/>
          <w:i w:val="0"/>
          <w:iCs w:val="0"/>
          <w:caps w:val="0"/>
          <w:color w:val="333333"/>
          <w:spacing w:val="0"/>
          <w:sz w:val="15"/>
          <w:szCs w:val="15"/>
          <w:shd w:val="clear" w:fill="FFFFFF"/>
        </w:rPr>
        <w:t>收入情况。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年度一般公共预算财政拨款收入</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。主要原因是年中从政府（本级）调整预算到综合行政执法大队。此外，年初财政拨款结转和结余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5DCC6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2.</w:t>
      </w:r>
      <w:r>
        <w:rPr>
          <w:rStyle w:val="5"/>
          <w:rFonts w:hint="eastAsia" w:ascii="方正仿宋_GBK" w:hAnsi="方正仿宋_GBK" w:eastAsia="方正仿宋_GBK" w:cs="方正仿宋_GBK"/>
          <w:i w:val="0"/>
          <w:iCs w:val="0"/>
          <w:caps w:val="0"/>
          <w:color w:val="333333"/>
          <w:spacing w:val="0"/>
          <w:sz w:val="15"/>
          <w:szCs w:val="15"/>
          <w:shd w:val="clear" w:fill="FFFFFF"/>
        </w:rPr>
        <w:t>支出情况。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。主要原因是年中从政府（本级）调整预算到综合行政执法大队。</w:t>
      </w:r>
    </w:p>
    <w:p w14:paraId="752E9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3.</w:t>
      </w:r>
      <w:r>
        <w:rPr>
          <w:rStyle w:val="5"/>
          <w:rFonts w:hint="eastAsia" w:ascii="方正仿宋_GBK" w:hAnsi="方正仿宋_GBK" w:eastAsia="方正仿宋_GBK" w:cs="方正仿宋_GBK"/>
          <w:i w:val="0"/>
          <w:iCs w:val="0"/>
          <w:caps w:val="0"/>
          <w:color w:val="333333"/>
          <w:spacing w:val="0"/>
          <w:sz w:val="15"/>
          <w:szCs w:val="15"/>
          <w:shd w:val="clear" w:fill="FFFFFF"/>
        </w:rPr>
        <w:t>结转结余情况。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年度年末一般公共预算财政拨款结转和结余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429A8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4.</w:t>
      </w:r>
      <w:r>
        <w:rPr>
          <w:rStyle w:val="5"/>
          <w:rFonts w:hint="eastAsia" w:ascii="方正仿宋_GBK" w:hAnsi="方正仿宋_GBK" w:eastAsia="方正仿宋_GBK" w:cs="方正仿宋_GBK"/>
          <w:i w:val="0"/>
          <w:iCs w:val="0"/>
          <w:caps w:val="0"/>
          <w:color w:val="333333"/>
          <w:spacing w:val="0"/>
          <w:sz w:val="15"/>
          <w:szCs w:val="15"/>
          <w:shd w:val="clear" w:fill="FFFFFF"/>
        </w:rPr>
        <w:t>比较情况。</w:t>
      </w: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年度一般公共预算财政拨款支出主要用于以下几个方面：</w:t>
      </w:r>
    </w:p>
    <w:p w14:paraId="2747A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方正仿宋_GBK" w:cs="Times New Roman"/>
          <w:i w:val="0"/>
          <w:iCs w:val="0"/>
          <w:caps w:val="0"/>
          <w:color w:val="333333"/>
          <w:spacing w:val="0"/>
          <w:sz w:val="15"/>
          <w:szCs w:val="15"/>
          <w:shd w:val="clear" w:fill="FFFFFF"/>
        </w:rPr>
        <w:t>1</w:t>
      </w:r>
      <w:r>
        <w:rPr>
          <w:rFonts w:hint="eastAsia" w:ascii="方正仿宋_GBK" w:hAnsi="方正仿宋_GBK" w:eastAsia="方正仿宋_GBK" w:cs="方正仿宋_GBK"/>
          <w:i w:val="0"/>
          <w:iCs w:val="0"/>
          <w:caps w:val="0"/>
          <w:color w:val="333333"/>
          <w:spacing w:val="0"/>
          <w:sz w:val="15"/>
          <w:szCs w:val="15"/>
          <w:shd w:val="clear" w:fill="FFFFFF"/>
        </w:rPr>
        <w:t>）一般公共服务支出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94.67</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80.47</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94.67</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，主要原因是年中从政府（本级）调整预算到综合行政执法大队。</w:t>
      </w:r>
    </w:p>
    <w:p w14:paraId="297F0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方正仿宋_GBK" w:cs="Times New Roman"/>
          <w:i w:val="0"/>
          <w:iCs w:val="0"/>
          <w:caps w:val="0"/>
          <w:color w:val="333333"/>
          <w:spacing w:val="0"/>
          <w:sz w:val="15"/>
          <w:szCs w:val="15"/>
          <w:shd w:val="clear" w:fill="FFFFFF"/>
        </w:rPr>
        <w:t>2</w:t>
      </w:r>
      <w:r>
        <w:rPr>
          <w:rFonts w:hint="eastAsia" w:ascii="方正仿宋_GBK" w:hAnsi="方正仿宋_GBK" w:eastAsia="方正仿宋_GBK" w:cs="方正仿宋_GBK"/>
          <w:i w:val="0"/>
          <w:iCs w:val="0"/>
          <w:caps w:val="0"/>
          <w:color w:val="333333"/>
          <w:spacing w:val="0"/>
          <w:sz w:val="15"/>
          <w:szCs w:val="15"/>
          <w:shd w:val="clear" w:fill="FFFFFF"/>
        </w:rPr>
        <w:t>）社会保障与就</w:t>
      </w:r>
      <w:r>
        <w:rPr>
          <w:rFonts w:hint="default" w:ascii="Times New Roman" w:hAnsi="Times New Roman" w:eastAsia="方正仿宋_GBK" w:cs="Times New Roman"/>
          <w:i w:val="0"/>
          <w:iCs w:val="0"/>
          <w:caps w:val="0"/>
          <w:color w:val="333333"/>
          <w:spacing w:val="0"/>
          <w:sz w:val="15"/>
          <w:szCs w:val="15"/>
          <w:shd w:val="clear" w:fill="FFFFFF"/>
        </w:rPr>
        <w:t>业支出</w:t>
      </w:r>
      <w:r>
        <w:rPr>
          <w:rFonts w:hint="default" w:ascii="Times New Roman" w:hAnsi="Times New Roman" w:eastAsia="方正仿宋_GBK" w:cs="Times New Roman"/>
          <w:i w:val="0"/>
          <w:iCs w:val="0"/>
          <w:caps w:val="0"/>
          <w:color w:val="333333"/>
          <w:spacing w:val="0"/>
          <w:sz w:val="15"/>
          <w:szCs w:val="15"/>
          <w:shd w:val="clear" w:fill="FFFFFF"/>
          <w:lang w:val="en-US" w:eastAsia="zh-CN"/>
        </w:rPr>
        <w:t>13.02</w:t>
      </w:r>
      <w:r>
        <w:rPr>
          <w:rFonts w:hint="default" w:ascii="Times New Roman" w:hAnsi="Times New Roman" w:eastAsia="方正仿宋_GBK" w:cs="Times New Roman"/>
          <w:i w:val="0"/>
          <w:iCs w:val="0"/>
          <w:caps w:val="0"/>
          <w:color w:val="333333"/>
          <w:spacing w:val="0"/>
          <w:sz w:val="15"/>
          <w:szCs w:val="15"/>
          <w:shd w:val="clear" w:fill="FFFFFF"/>
        </w:rPr>
        <w:t>万元，</w:t>
      </w:r>
      <w:r>
        <w:rPr>
          <w:rFonts w:hint="eastAsia" w:ascii="方正仿宋_GBK" w:hAnsi="方正仿宋_GBK" w:eastAsia="方正仿宋_GBK" w:cs="方正仿宋_GBK"/>
          <w:i w:val="0"/>
          <w:iCs w:val="0"/>
          <w:caps w:val="0"/>
          <w:color w:val="333333"/>
          <w:spacing w:val="0"/>
          <w:sz w:val="15"/>
          <w:szCs w:val="15"/>
          <w:shd w:val="clear" w:fill="FFFFFF"/>
        </w:rPr>
        <w:t>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11.07</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default" w:ascii="Times New Roman" w:hAnsi="Times New Roman" w:eastAsia="方正仿宋_GBK" w:cs="Times New Roman"/>
          <w:i w:val="0"/>
          <w:iCs w:val="0"/>
          <w:caps w:val="0"/>
          <w:color w:val="333333"/>
          <w:spacing w:val="0"/>
          <w:sz w:val="15"/>
          <w:szCs w:val="15"/>
          <w:shd w:val="clear" w:fill="FFFFFF"/>
          <w:lang w:val="en-US" w:eastAsia="zh-CN"/>
        </w:rPr>
        <w:t>13.02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，主要原因是年中从政府（本级）调整预算到综合行政执法大队。</w:t>
      </w:r>
    </w:p>
    <w:p w14:paraId="5EB32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方正仿宋_GBK" w:cs="Times New Roman"/>
          <w:i w:val="0"/>
          <w:iCs w:val="0"/>
          <w:caps w:val="0"/>
          <w:color w:val="333333"/>
          <w:spacing w:val="0"/>
          <w:sz w:val="15"/>
          <w:szCs w:val="15"/>
          <w:shd w:val="clear" w:fill="FFFFFF"/>
        </w:rPr>
        <w:t>3</w:t>
      </w:r>
      <w:r>
        <w:rPr>
          <w:rFonts w:hint="eastAsia" w:ascii="方正仿宋_GBK" w:hAnsi="方正仿宋_GBK" w:eastAsia="方正仿宋_GBK" w:cs="方正仿宋_GBK"/>
          <w:i w:val="0"/>
          <w:iCs w:val="0"/>
          <w:caps w:val="0"/>
          <w:color w:val="333333"/>
          <w:spacing w:val="0"/>
          <w:sz w:val="15"/>
          <w:szCs w:val="15"/>
          <w:shd w:val="clear" w:fill="FFFFFF"/>
        </w:rPr>
        <w:t>）卫生健康支出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2.93</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2.49</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2.93</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，主要原因是年中从政府（本级）调整预算到综合行政执法大队。</w:t>
      </w:r>
    </w:p>
    <w:p w14:paraId="4236B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微软雅黑"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）住房保障支出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7.04</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5.98</w:t>
      </w:r>
      <w:r>
        <w:rPr>
          <w:rFonts w:hint="default" w:ascii="Times New Roman" w:hAnsi="Times New Roman" w:eastAsia="方正仿宋_GBK"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7.04</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，主要原因是年中从政府（本级）调整预算到综合行政执法大队。</w:t>
      </w:r>
    </w:p>
    <w:p w14:paraId="6603C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（四）一般公共预算财政拨款基本支出决算情况说明</w:t>
      </w:r>
    </w:p>
    <w:p w14:paraId="7B49A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年度一般公共财政拨款基本支出</w:t>
      </w:r>
      <w:r>
        <w:rPr>
          <w:rFonts w:hint="eastAsia" w:ascii="Times New Roman" w:hAnsi="Times New Roman" w:eastAsia="方正仿宋_GBK" w:cs="Times New Roman"/>
          <w:i w:val="0"/>
          <w:iCs w:val="0"/>
          <w:caps w:val="0"/>
          <w:color w:val="333333"/>
          <w:spacing w:val="0"/>
          <w:sz w:val="15"/>
          <w:szCs w:val="15"/>
          <w:shd w:val="clear" w:fill="FFFFFF"/>
          <w:lang w:eastAsia="zh-CN"/>
        </w:rPr>
        <w:t>117.65</w:t>
      </w:r>
      <w:r>
        <w:rPr>
          <w:rFonts w:hint="eastAsia" w:ascii="方正仿宋_GBK" w:hAnsi="方正仿宋_GBK" w:eastAsia="方正仿宋_GBK" w:cs="方正仿宋_GBK"/>
          <w:i w:val="0"/>
          <w:iCs w:val="0"/>
          <w:caps w:val="0"/>
          <w:color w:val="333333"/>
          <w:spacing w:val="0"/>
          <w:sz w:val="15"/>
          <w:szCs w:val="15"/>
          <w:shd w:val="clear" w:fill="FFFFFF"/>
        </w:rPr>
        <w:t>万元。其中：人员经费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101.40</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101.40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年综合行政执法大队未单独进行财务核算及决算处理，纳入政府核算及决算。人员经费用途主要包括基本工资、津贴补贴、奖金、伙食补助费、绩效工资、社会保障缴费及住房公积金等。</w:t>
      </w:r>
      <w:r>
        <w:rPr>
          <w:rFonts w:hint="eastAsia" w:ascii="方正仿宋_GBK" w:hAnsi="方正仿宋_GBK" w:eastAsia="方正仿宋_GBK" w:cs="方正仿宋_GBK"/>
          <w:i w:val="0"/>
          <w:iCs w:val="0"/>
          <w:caps w:val="0"/>
          <w:color w:val="333333"/>
          <w:spacing w:val="0"/>
          <w:sz w:val="15"/>
          <w:szCs w:val="15"/>
          <w:shd w:val="clear" w:fill="FFFFFF"/>
        </w:rPr>
        <w:t>公用经费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16.25</w:t>
      </w:r>
      <w:r>
        <w:rPr>
          <w:rFonts w:hint="eastAsia" w:ascii="方正仿宋_GBK" w:hAnsi="方正仿宋_GBK" w:eastAsia="方正仿宋_GBK" w:cs="方正仿宋_GBK"/>
          <w:i w:val="0"/>
          <w:iCs w:val="0"/>
          <w:caps w:val="0"/>
          <w:color w:val="333333"/>
          <w:spacing w:val="0"/>
          <w:sz w:val="15"/>
          <w:szCs w:val="15"/>
          <w:shd w:val="clear" w:fill="FFFFFF"/>
        </w:rPr>
        <w:t>万元，</w:t>
      </w:r>
      <w:r>
        <w:rPr>
          <w:rFonts w:ascii="方正仿宋_GBK" w:hAnsi="方正仿宋_GBK" w:eastAsia="方正仿宋_GBK" w:cs="方正仿宋_GBK"/>
          <w:i w:val="0"/>
          <w:iCs w:val="0"/>
          <w:caps w:val="0"/>
          <w:color w:val="333333"/>
          <w:spacing w:val="0"/>
          <w:sz w:val="15"/>
          <w:szCs w:val="15"/>
          <w:shd w:val="clear" w:fill="FFFFFF"/>
        </w:rPr>
        <w:t>较上年决算数增</w:t>
      </w:r>
      <w:r>
        <w:rPr>
          <w:rFonts w:hint="eastAsia" w:ascii="方正仿宋_GBK" w:hAnsi="方正仿宋_GBK" w:eastAsia="方正仿宋_GBK" w:cs="方正仿宋_GBK"/>
          <w:i w:val="0"/>
          <w:iCs w:val="0"/>
          <w:caps w:val="0"/>
          <w:color w:val="333333"/>
          <w:spacing w:val="0"/>
          <w:sz w:val="15"/>
          <w:szCs w:val="15"/>
          <w:shd w:val="clear" w:fill="FFFFFF"/>
        </w:rPr>
        <w:t>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16.25</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宋体"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宋体"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年综合行政执法大队未单独进行财务核算及决算处理，纳入政府核算及决算。公用经费用途主要包括办公费、差旅费、劳务费、公务接待费及公务用车运行维护费等。</w:t>
      </w:r>
    </w:p>
    <w:p w14:paraId="3DD38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（五）政府性基金预算收支决算情况说明</w:t>
      </w:r>
    </w:p>
    <w:p w14:paraId="06B8A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年度无政府性基金预算财政拨款收支。</w:t>
      </w:r>
    </w:p>
    <w:p w14:paraId="6B8CE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（六）国有资本经营预算财政拨款支出决算情况说明</w:t>
      </w:r>
    </w:p>
    <w:p w14:paraId="19E43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年度无国有资本经营预算财政拨款支出。</w:t>
      </w:r>
    </w:p>
    <w:p w14:paraId="6F370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三、财政拨款“三公”经费情况说明</w:t>
      </w:r>
    </w:p>
    <w:p w14:paraId="52C72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（一）“三公”经费支出总体情况说明</w:t>
      </w:r>
    </w:p>
    <w:p w14:paraId="41B02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rFonts w:hint="eastAsia" w:eastAsiaTheme="minorEastAsia"/>
          <w:highlight w:val="none"/>
          <w:lang w:eastAsia="zh-CN"/>
        </w:rPr>
      </w:pP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年度“三公”经费支出共计</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万元，较年初预算数增加</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万元，增长</w:t>
      </w:r>
      <w:r>
        <w:rPr>
          <w:rFonts w:hint="eastAsia" w:ascii="Times New Roman" w:hAnsi="Times New Roman" w:eastAsia="方正仿宋_GBK" w:cs="Times New Roman"/>
          <w:sz w:val="15"/>
          <w:szCs w:val="15"/>
          <w:highlight w:val="none"/>
          <w:shd w:val="clear" w:fill="FFFFFF"/>
          <w:lang w:val="en-US" w:eastAsia="zh-CN"/>
        </w:rPr>
        <w:t>0</w:t>
      </w:r>
      <w:r>
        <w:rPr>
          <w:rFonts w:hint="default" w:ascii="Times New Roman" w:hAnsi="Times New Roman" w:cs="Times New Roman"/>
          <w:sz w:val="15"/>
          <w:szCs w:val="15"/>
          <w:highlight w:val="none"/>
          <w:shd w:val="clear" w:fill="FFFFFF"/>
        </w:rPr>
        <w:t>%</w:t>
      </w:r>
      <w:r>
        <w:rPr>
          <w:rFonts w:hint="eastAsia" w:ascii="Times New Roman" w:hAnsi="Times New Roman" w:cs="Times New Roman"/>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费用支出较年初预算数无增减</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较上年支出数无增减，主要原因是</w:t>
      </w:r>
      <w:r>
        <w:rPr>
          <w:rFonts w:hint="default" w:ascii="Times New Roman" w:hAnsi="Times New Roman" w:eastAsia="方正仿宋_GBK" w:cs="Times New Roman"/>
          <w:sz w:val="15"/>
          <w:szCs w:val="15"/>
          <w:highlight w:val="none"/>
          <w:shd w:val="clear" w:fill="FFFFFF"/>
          <w:lang w:val="en-US" w:eastAsia="zh-CN"/>
        </w:rPr>
        <w:t>2</w:t>
      </w:r>
      <w:r>
        <w:rPr>
          <w:rFonts w:hint="eastAsia" w:ascii="Times New Roman" w:hAnsi="Times New Roman" w:eastAsia="方正仿宋_GBK" w:cs="Times New Roman"/>
          <w:sz w:val="15"/>
          <w:szCs w:val="15"/>
          <w:highlight w:val="none"/>
          <w:shd w:val="clear" w:fill="FFFFFF"/>
          <w:lang w:val="en-US" w:eastAsia="zh-CN"/>
        </w:rPr>
        <w:t>02</w:t>
      </w:r>
      <w:r>
        <w:rPr>
          <w:rFonts w:hint="default" w:ascii="Times New Roman" w:hAnsi="Times New Roman" w:eastAsia="方正仿宋_GBK" w:cs="Times New Roman"/>
          <w:sz w:val="15"/>
          <w:szCs w:val="15"/>
          <w:highlight w:val="none"/>
          <w:shd w:val="clear" w:fill="FFFFFF"/>
          <w:lang w:val="en-US" w:eastAsia="zh-CN"/>
        </w:rPr>
        <w:t>4年</w:t>
      </w:r>
      <w:r>
        <w:rPr>
          <w:rFonts w:hint="eastAsia" w:ascii="方正仿宋_GBK" w:hAnsi="方正仿宋_GBK" w:eastAsia="方正仿宋_GBK" w:cs="方正仿宋_GBK"/>
          <w:sz w:val="15"/>
          <w:szCs w:val="15"/>
          <w:highlight w:val="none"/>
          <w:shd w:val="clear" w:fill="FFFFFF"/>
          <w:lang w:val="en-US" w:eastAsia="zh-CN"/>
        </w:rPr>
        <w:t>综合行政执法大队</w:t>
      </w:r>
      <w:r>
        <w:rPr>
          <w:rFonts w:hint="eastAsia" w:ascii="方正仿宋_GBK" w:hAnsi="方正仿宋_GBK" w:eastAsia="方正仿宋_GBK" w:cs="方正仿宋_GBK"/>
          <w:sz w:val="15"/>
          <w:szCs w:val="15"/>
          <w:highlight w:val="none"/>
          <w:shd w:val="clear" w:fill="FFFFFF"/>
        </w:rPr>
        <w:t>未单独列支</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三公</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经费</w:t>
      </w:r>
      <w:r>
        <w:rPr>
          <w:rFonts w:hint="eastAsia" w:ascii="方正仿宋_GBK" w:hAnsi="方正仿宋_GBK" w:eastAsia="方正仿宋_GBK" w:cs="方正仿宋_GBK"/>
          <w:sz w:val="15"/>
          <w:szCs w:val="15"/>
          <w:highlight w:val="none"/>
          <w:shd w:val="clear" w:fill="FFFFFF"/>
        </w:rPr>
        <w:t>。</w:t>
      </w:r>
    </w:p>
    <w:p w14:paraId="7BFA6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（二）“三公”经费分项支出情况</w:t>
      </w:r>
    </w:p>
    <w:p w14:paraId="7B930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年度本单位因公出国（境）费用</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万元，主要是用于没有因公出国（境）职工。费用支出较年初预算数无增减，主要原因是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w:t>
      </w:r>
    </w:p>
    <w:p w14:paraId="3DB3E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公务车购置费</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万元，主要用于车辆采购。费用支出较年初预算数无增减，主要原因是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w:t>
      </w:r>
    </w:p>
    <w:p w14:paraId="74282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公务车运行维护费</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14:paraId="3E63C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方正仿宋_GBK" w:hAnsi="方正仿宋_GBK" w:eastAsia="方正仿宋_GBK" w:cs="方正仿宋_GBK"/>
          <w:i w:val="0"/>
          <w:iCs w:val="0"/>
          <w:caps w:val="0"/>
          <w:color w:val="333333"/>
          <w:spacing w:val="0"/>
          <w:sz w:val="15"/>
          <w:szCs w:val="15"/>
          <w:shd w:val="clear" w:fill="FFFFFF"/>
        </w:rPr>
      </w:pPr>
      <w:r>
        <w:rPr>
          <w:rFonts w:ascii="方正仿宋_GBK" w:hAnsi="方正仿宋_GBK" w:eastAsia="方正仿宋_GBK" w:cs="方正仿宋_GBK"/>
          <w:i w:val="0"/>
          <w:iCs w:val="0"/>
          <w:caps w:val="0"/>
          <w:color w:val="333333"/>
          <w:spacing w:val="0"/>
          <w:sz w:val="15"/>
          <w:szCs w:val="15"/>
          <w:shd w:val="clear" w:fill="FFFFFF"/>
        </w:rPr>
        <w:t>公务接待</w:t>
      </w:r>
      <w:r>
        <w:rPr>
          <w:rFonts w:hint="eastAsia" w:ascii="方正仿宋_GBK" w:hAnsi="方正仿宋_GBK" w:eastAsia="方正仿宋_GBK" w:cs="方正仿宋_GBK"/>
          <w:i w:val="0"/>
          <w:iCs w:val="0"/>
          <w:caps w:val="0"/>
          <w:color w:val="333333"/>
          <w:spacing w:val="0"/>
          <w:sz w:val="15"/>
          <w:szCs w:val="15"/>
          <w:shd w:val="clear" w:fill="FFFFFF"/>
        </w:rPr>
        <w:t>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shd w:val="clear" w:fill="FFFFFF"/>
        </w:rPr>
        <w:t>万元，主要用于接待相关部门检查指导工作发生的支出。费用支出较年初预算数增加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宋体"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宋体"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年综合行政执法大队未单独进行财务核算及决算处理，纳入政府核算及决算。较上年支出数增加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1</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宋体"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宋体"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年综合行政执法大队未单独进行财务核算及决算处理，纳入政府核算及决算。</w:t>
      </w:r>
    </w:p>
    <w:p w14:paraId="16388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（三）“三公”经费实物量情况</w:t>
      </w:r>
    </w:p>
    <w:p w14:paraId="71172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年度本单位因公出国（境）共计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个团组，</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人；公务用车购置</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辆，公务车保有量为</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辆；国内公务接待</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人，其中：国内外事接待</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人；国（境）外公务接</w:t>
      </w:r>
      <w:r>
        <w:rPr>
          <w:rFonts w:hint="default" w:ascii="Times New Roman" w:hAnsi="Times New Roman" w:eastAsia="方正仿宋_GBK" w:cs="Times New Roman"/>
          <w:i w:val="0"/>
          <w:iCs w:val="0"/>
          <w:caps w:val="0"/>
          <w:color w:val="333333"/>
          <w:spacing w:val="0"/>
          <w:sz w:val="15"/>
          <w:szCs w:val="15"/>
          <w:shd w:val="clear" w:fill="FFFFFF"/>
        </w:rPr>
        <w:t>待</w:t>
      </w:r>
      <w:r>
        <w:rPr>
          <w:rFonts w:hint="default" w:ascii="Times New Roman" w:hAnsi="Times New Roman" w:eastAsia="方正仿宋_GBK" w:cs="Times New Roman"/>
          <w:i w:val="0"/>
          <w:iCs w:val="0"/>
          <w:caps w:val="0"/>
          <w:color w:val="333333"/>
          <w:spacing w:val="0"/>
          <w:sz w:val="15"/>
          <w:szCs w:val="15"/>
          <w:shd w:val="clear" w:fill="FFFFFF"/>
          <w:lang w:val="en-US" w:eastAsia="zh-CN"/>
        </w:rPr>
        <w:t>23</w:t>
      </w:r>
      <w:r>
        <w:rPr>
          <w:rFonts w:hint="default" w:ascii="Times New Roman" w:hAnsi="Times New Roman" w:eastAsia="方正仿宋_GBK" w:cs="Times New Roman"/>
          <w:i w:val="0"/>
          <w:iCs w:val="0"/>
          <w:caps w:val="0"/>
          <w:color w:val="333333"/>
          <w:spacing w:val="0"/>
          <w:sz w:val="15"/>
          <w:szCs w:val="15"/>
          <w:shd w:val="clear" w:fill="FFFFFF"/>
        </w:rPr>
        <w:t>批次，</w:t>
      </w:r>
      <w:r>
        <w:rPr>
          <w:rFonts w:hint="default" w:ascii="Times New Roman" w:hAnsi="Times New Roman" w:eastAsia="方正仿宋_GBK" w:cs="Times New Roman"/>
          <w:i w:val="0"/>
          <w:iCs w:val="0"/>
          <w:caps w:val="0"/>
          <w:color w:val="333333"/>
          <w:spacing w:val="0"/>
          <w:sz w:val="15"/>
          <w:szCs w:val="15"/>
          <w:shd w:val="clear" w:fill="FFFFFF"/>
          <w:lang w:val="en-US" w:eastAsia="zh-CN"/>
        </w:rPr>
        <w:t>230</w:t>
      </w:r>
      <w:r>
        <w:rPr>
          <w:rFonts w:hint="eastAsia" w:ascii="方正仿宋_GBK" w:hAnsi="方正仿宋_GBK" w:eastAsia="方正仿宋_GBK" w:cs="方正仿宋_GBK"/>
          <w:i w:val="0"/>
          <w:iCs w:val="0"/>
          <w:caps w:val="0"/>
          <w:color w:val="333333"/>
          <w:spacing w:val="0"/>
          <w:sz w:val="15"/>
          <w:szCs w:val="15"/>
          <w:shd w:val="clear" w:fill="FFFFFF"/>
        </w:rPr>
        <w:t>人。</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年本单位人均接待费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43.47</w:t>
      </w:r>
      <w:r>
        <w:rPr>
          <w:rFonts w:hint="eastAsia" w:ascii="方正仿宋_GBK" w:hAnsi="方正仿宋_GBK" w:eastAsia="方正仿宋_GBK" w:cs="方正仿宋_GBK"/>
          <w:i w:val="0"/>
          <w:iCs w:val="0"/>
          <w:caps w:val="0"/>
          <w:color w:val="333333"/>
          <w:spacing w:val="0"/>
          <w:sz w:val="15"/>
          <w:szCs w:val="15"/>
          <w:shd w:val="clear" w:fill="FFFFFF"/>
        </w:rPr>
        <w:t>元，车均购置费</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万元，车均维护费</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Times New Roman" w:hAnsi="Times New Roman" w:eastAsia="方正仿宋_GBK" w:cs="Times New Roman"/>
          <w:i w:val="0"/>
          <w:iCs w:val="0"/>
          <w:caps w:val="0"/>
          <w:color w:val="333333"/>
          <w:spacing w:val="0"/>
          <w:sz w:val="15"/>
          <w:szCs w:val="15"/>
          <w:shd w:val="clear" w:fill="FFFFFF"/>
          <w:lang w:val="en-US" w:eastAsia="zh-CN"/>
        </w:rPr>
        <w:t>.00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4C7AB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四、其他需要说明的事项</w:t>
      </w:r>
      <w:bookmarkStart w:id="0" w:name="_GoBack"/>
      <w:bookmarkEnd w:id="0"/>
    </w:p>
    <w:p w14:paraId="1157B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（一）财政拨款会议费和培训费情况说明</w:t>
      </w:r>
    </w:p>
    <w:p w14:paraId="16111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本年度会议费支出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w:t>
      </w:r>
    </w:p>
    <w:p w14:paraId="29E95F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（二）机关运行经费情况说明</w:t>
      </w:r>
    </w:p>
    <w:p w14:paraId="30A65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按照部门决算列报口径，我单位不在机关运行经费统计范围之内。</w:t>
      </w:r>
    </w:p>
    <w:p w14:paraId="5DF81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（三）国有资产占用情况说明</w:t>
      </w:r>
    </w:p>
    <w:p w14:paraId="4F005C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截至</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w:t>
      </w:r>
      <w:r>
        <w:rPr>
          <w:rFonts w:hint="default" w:ascii="Times New Roman" w:hAnsi="Times New Roman" w:eastAsia="微软雅黑" w:cs="Times New Roman"/>
          <w:i w:val="0"/>
          <w:iCs w:val="0"/>
          <w:caps w:val="0"/>
          <w:color w:val="333333"/>
          <w:spacing w:val="0"/>
          <w:sz w:val="15"/>
          <w:szCs w:val="15"/>
          <w:shd w:val="clear" w:fill="FFFFFF"/>
        </w:rPr>
        <w:t>12</w:t>
      </w:r>
      <w:r>
        <w:rPr>
          <w:rFonts w:hint="eastAsia" w:ascii="方正仿宋_GBK" w:hAnsi="方正仿宋_GBK" w:eastAsia="方正仿宋_GBK" w:cs="方正仿宋_GBK"/>
          <w:i w:val="0"/>
          <w:iCs w:val="0"/>
          <w:caps w:val="0"/>
          <w:color w:val="333333"/>
          <w:spacing w:val="0"/>
          <w:sz w:val="15"/>
          <w:szCs w:val="15"/>
          <w:shd w:val="clear" w:fill="FFFFFF"/>
        </w:rPr>
        <w:t>月</w:t>
      </w:r>
      <w:r>
        <w:rPr>
          <w:rFonts w:hint="default" w:ascii="Times New Roman" w:hAnsi="Times New Roman" w:eastAsia="微软雅黑" w:cs="Times New Roman"/>
          <w:i w:val="0"/>
          <w:iCs w:val="0"/>
          <w:caps w:val="0"/>
          <w:color w:val="333333"/>
          <w:spacing w:val="0"/>
          <w:sz w:val="15"/>
          <w:szCs w:val="15"/>
          <w:shd w:val="clear" w:fill="FFFFFF"/>
        </w:rPr>
        <w:t>31</w:t>
      </w:r>
      <w:r>
        <w:rPr>
          <w:rFonts w:hint="eastAsia" w:ascii="方正仿宋_GBK" w:hAnsi="方正仿宋_GBK" w:eastAsia="方正仿宋_GBK" w:cs="方正仿宋_GBK"/>
          <w:i w:val="0"/>
          <w:iCs w:val="0"/>
          <w:caps w:val="0"/>
          <w:color w:val="333333"/>
          <w:spacing w:val="0"/>
          <w:sz w:val="15"/>
          <w:szCs w:val="15"/>
          <w:shd w:val="clear" w:fill="FFFFFF"/>
        </w:rPr>
        <w:t>日，本单位共有车辆</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辆，其中，副部（省）级及以上领导用车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辆、主要负责人用车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辆、机要通信用车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辆、应急保障用车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辆、执法执勤用车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辆，特种专业技术用车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辆，离退休干部用车</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辆。单价</w:t>
      </w:r>
      <w:r>
        <w:rPr>
          <w:rFonts w:hint="default" w:ascii="Times New Roman" w:hAnsi="Times New Roman" w:eastAsia="微软雅黑" w:cs="Times New Roman"/>
          <w:i w:val="0"/>
          <w:iCs w:val="0"/>
          <w:caps w:val="0"/>
          <w:color w:val="333333"/>
          <w:spacing w:val="0"/>
          <w:sz w:val="15"/>
          <w:szCs w:val="15"/>
          <w:shd w:val="clear" w:fill="FFFFFF"/>
        </w:rPr>
        <w:t>100</w:t>
      </w:r>
      <w:r>
        <w:rPr>
          <w:rFonts w:hint="eastAsia" w:ascii="方正仿宋_GBK" w:hAnsi="方正仿宋_GBK" w:eastAsia="方正仿宋_GBK" w:cs="方正仿宋_GBK"/>
          <w:i w:val="0"/>
          <w:iCs w:val="0"/>
          <w:caps w:val="0"/>
          <w:color w:val="333333"/>
          <w:spacing w:val="0"/>
          <w:sz w:val="15"/>
          <w:szCs w:val="15"/>
          <w:shd w:val="clear" w:fill="FFFFFF"/>
        </w:rPr>
        <w:t>万元（含）以上专用设备</w:t>
      </w:r>
      <w:r>
        <w:rPr>
          <w:rFonts w:hint="default" w:ascii="Times New Roman" w:hAnsi="Times New Roman" w:eastAsia="微软雅黑"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台（套）。</w:t>
      </w:r>
    </w:p>
    <w:p w14:paraId="425D9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（四）政府采购支出情况说明</w:t>
      </w:r>
    </w:p>
    <w:p w14:paraId="6B93F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年度我单位未发生政府采购事项，无相关经费支出。</w:t>
      </w:r>
    </w:p>
    <w:p w14:paraId="3C0D3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五、</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黑体_GBK" w:hAnsi="方正黑体_GBK" w:eastAsia="方正黑体_GBK" w:cs="方正黑体_GBK"/>
          <w:i w:val="0"/>
          <w:iCs w:val="0"/>
          <w:caps w:val="0"/>
          <w:color w:val="333333"/>
          <w:spacing w:val="0"/>
          <w:sz w:val="15"/>
          <w:szCs w:val="15"/>
          <w:shd w:val="clear" w:fill="FFFFFF"/>
        </w:rPr>
        <w:t>年度预算绩效管理情况说明</w:t>
      </w:r>
    </w:p>
    <w:p w14:paraId="236A9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根据预算绩效管理要求，政府（本级）对部门整体和</w:t>
      </w:r>
      <w:r>
        <w:rPr>
          <w:rFonts w:hint="default" w:ascii="Times New Roman" w:hAnsi="Times New Roman" w:eastAsia="方正仿宋_GBK" w:cs="Times New Roman"/>
          <w:i w:val="0"/>
          <w:iCs w:val="0"/>
          <w:caps w:val="0"/>
          <w:color w:val="333333"/>
          <w:spacing w:val="0"/>
          <w:sz w:val="15"/>
          <w:szCs w:val="15"/>
          <w:shd w:val="clear" w:fill="FFFFFF"/>
          <w:lang w:val="en-US" w:eastAsia="zh-CN"/>
        </w:rPr>
        <w:t>6</w:t>
      </w:r>
      <w:r>
        <w:rPr>
          <w:rFonts w:hint="default" w:ascii="Times New Roman" w:hAnsi="Times New Roman" w:eastAsia="方正仿宋_GBK" w:cs="Times New Roman"/>
          <w:i w:val="0"/>
          <w:iCs w:val="0"/>
          <w:caps w:val="0"/>
          <w:color w:val="333333"/>
          <w:spacing w:val="0"/>
          <w:sz w:val="15"/>
          <w:szCs w:val="15"/>
          <w:shd w:val="clear" w:fill="FFFFFF"/>
        </w:rPr>
        <w:t>8个项</w:t>
      </w:r>
      <w:r>
        <w:rPr>
          <w:rFonts w:hint="eastAsia" w:ascii="方正仿宋_GBK" w:hAnsi="方正仿宋_GBK" w:eastAsia="方正仿宋_GBK" w:cs="方正仿宋_GBK"/>
          <w:i w:val="0"/>
          <w:iCs w:val="0"/>
          <w:caps w:val="0"/>
          <w:color w:val="333333"/>
          <w:spacing w:val="0"/>
          <w:sz w:val="15"/>
          <w:szCs w:val="15"/>
          <w:shd w:val="clear" w:fill="FFFFFF"/>
        </w:rPr>
        <w:t>目开展了绩效自评，故本站所</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年度无需再次开展绩效评价。</w:t>
      </w:r>
    </w:p>
    <w:p w14:paraId="3B85F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六、专业名词解释</w:t>
      </w:r>
    </w:p>
    <w:p w14:paraId="0CC8E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（一）财政拨款收入：</w:t>
      </w:r>
      <w:r>
        <w:rPr>
          <w:rFonts w:hint="eastAsia" w:ascii="方正仿宋_GBK" w:hAnsi="方正仿宋_GBK" w:eastAsia="方正仿宋_GBK" w:cs="方正仿宋_GBK"/>
          <w:i w:val="0"/>
          <w:iCs w:val="0"/>
          <w:caps w:val="0"/>
          <w:color w:val="333333"/>
          <w:spacing w:val="0"/>
          <w:sz w:val="15"/>
          <w:szCs w:val="15"/>
          <w:shd w:val="clear" w:fill="FFFFFF"/>
        </w:rPr>
        <w:t>指本年度从本级财政部门取得的财政拨款，包括一般公共预算财政拨款和政府性基金预算财政拨款。</w:t>
      </w:r>
    </w:p>
    <w:p w14:paraId="667BD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（二）事业收入：</w:t>
      </w:r>
      <w:r>
        <w:rPr>
          <w:rFonts w:hint="eastAsia" w:ascii="方正仿宋_GBK" w:hAnsi="方正仿宋_GBK" w:eastAsia="方正仿宋_GBK" w:cs="方正仿宋_GBK"/>
          <w:i w:val="0"/>
          <w:iCs w:val="0"/>
          <w:caps w:val="0"/>
          <w:color w:val="333333"/>
          <w:spacing w:val="0"/>
          <w:sz w:val="15"/>
          <w:szCs w:val="15"/>
          <w:shd w:val="clear" w:fill="FFFFFF"/>
        </w:rPr>
        <w:t>指事业单位开展专业业务活动及其辅助活动取得的现金流入；事业单位收到的财政专户实际核拨的教育收费等资金在此反映。</w:t>
      </w:r>
    </w:p>
    <w:p w14:paraId="00DFB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（三）经营收入：</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指事业单位在专业业务活动及其辅助活动之外开展非独立核算经营活动取得的现金流入。</w:t>
      </w:r>
    </w:p>
    <w:p w14:paraId="3D22A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（四）其他收入：</w:t>
      </w:r>
      <w:r>
        <w:rPr>
          <w:rFonts w:hint="eastAsia" w:ascii="方正仿宋_GBK" w:hAnsi="方正仿宋_GBK" w:eastAsia="方正仿宋_GBK" w:cs="方正仿宋_GBK"/>
          <w:i w:val="0"/>
          <w:iCs w:val="0"/>
          <w:caps w:val="0"/>
          <w:color w:val="333333"/>
          <w:spacing w:val="0"/>
          <w:sz w:val="15"/>
          <w:szCs w:val="15"/>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7C7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（五）使用非财政拨款结余（含专用结余）：</w:t>
      </w:r>
      <w:r>
        <w:rPr>
          <w:rFonts w:hint="eastAsia" w:ascii="方正仿宋_GBK" w:hAnsi="方正仿宋_GBK" w:eastAsia="方正仿宋_GBK" w:cs="方正仿宋_GBK"/>
          <w:i w:val="0"/>
          <w:iCs w:val="0"/>
          <w:caps w:val="0"/>
          <w:color w:val="333333"/>
          <w:spacing w:val="0"/>
          <w:sz w:val="15"/>
          <w:szCs w:val="15"/>
          <w:shd w:val="clear" w:fill="FFFFFF"/>
        </w:rPr>
        <w:t>指单位在当年的“财政拨款收入”、“事业收入”、“经营收入”、“其他收入”等不足以安排当年支出的情况下，使用以前年度积累的非财政拨款结余弥补本年度收支缺口的资金。</w:t>
      </w:r>
    </w:p>
    <w:p w14:paraId="1E22C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（六）年初结转和结余：</w:t>
      </w:r>
      <w:r>
        <w:rPr>
          <w:rFonts w:hint="eastAsia" w:ascii="方正仿宋_GBK" w:hAnsi="方正仿宋_GBK" w:eastAsia="方正仿宋_GBK" w:cs="方正仿宋_GBK"/>
          <w:i w:val="0"/>
          <w:iCs w:val="0"/>
          <w:caps w:val="0"/>
          <w:color w:val="333333"/>
          <w:spacing w:val="0"/>
          <w:sz w:val="15"/>
          <w:szCs w:val="15"/>
          <w:shd w:val="clear" w:fill="FFFFFF"/>
        </w:rPr>
        <w:t>指单位上年结转本年使用的基本支出结转、项目支出结转和结余、经营结余。</w:t>
      </w:r>
    </w:p>
    <w:p w14:paraId="21BCF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（七）结余分配：</w:t>
      </w:r>
      <w:r>
        <w:rPr>
          <w:rFonts w:hint="eastAsia" w:ascii="方正仿宋_GBK" w:hAnsi="方正仿宋_GBK" w:eastAsia="方正仿宋_GBK" w:cs="方正仿宋_GBK"/>
          <w:i w:val="0"/>
          <w:iCs w:val="0"/>
          <w:caps w:val="0"/>
          <w:color w:val="333333"/>
          <w:spacing w:val="0"/>
          <w:sz w:val="15"/>
          <w:szCs w:val="15"/>
          <w:shd w:val="clear" w:fill="FFFFFF"/>
        </w:rPr>
        <w:t>指单位按照国家有关规定，缴纳所得税、提取专用基金、转入非财政拨款结余等当年结余的分配情况。</w:t>
      </w:r>
    </w:p>
    <w:p w14:paraId="1D04C1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（八）年末结转和结余：</w:t>
      </w:r>
      <w:r>
        <w:rPr>
          <w:rFonts w:hint="eastAsia" w:ascii="方正仿宋_GBK" w:hAnsi="方正仿宋_GBK" w:eastAsia="方正仿宋_GBK" w:cs="方正仿宋_GBK"/>
          <w:i w:val="0"/>
          <w:iCs w:val="0"/>
          <w:caps w:val="0"/>
          <w:color w:val="333333"/>
          <w:spacing w:val="0"/>
          <w:sz w:val="15"/>
          <w:szCs w:val="15"/>
          <w:shd w:val="clear" w:fill="FFFFFF"/>
        </w:rPr>
        <w:t>指单位结转下年的基本支出结转、项目支出结转和结余、经营结余。</w:t>
      </w:r>
    </w:p>
    <w:p w14:paraId="6E9430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（九）基本支出：</w:t>
      </w:r>
      <w:r>
        <w:rPr>
          <w:rFonts w:hint="eastAsia" w:ascii="方正仿宋_GBK" w:hAnsi="方正仿宋_GBK" w:eastAsia="方正仿宋_GBK" w:cs="方正仿宋_GBK"/>
          <w:i w:val="0"/>
          <w:iCs w:val="0"/>
          <w:caps w:val="0"/>
          <w:color w:val="333333"/>
          <w:spacing w:val="0"/>
          <w:sz w:val="15"/>
          <w:szCs w:val="15"/>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07B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（十）项目支出：</w:t>
      </w:r>
      <w:r>
        <w:rPr>
          <w:rFonts w:hint="eastAsia" w:ascii="方正仿宋_GBK" w:hAnsi="方正仿宋_GBK" w:eastAsia="方正仿宋_GBK" w:cs="方正仿宋_GBK"/>
          <w:i w:val="0"/>
          <w:iCs w:val="0"/>
          <w:caps w:val="0"/>
          <w:color w:val="333333"/>
          <w:spacing w:val="0"/>
          <w:sz w:val="15"/>
          <w:szCs w:val="15"/>
          <w:shd w:val="clear" w:fill="FFFFFF"/>
        </w:rPr>
        <w:t>指在基本支出之外为完成特定行政任务和事业发展目标所发生的支出。</w:t>
      </w:r>
    </w:p>
    <w:p w14:paraId="1EE64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（十一）经营支出：</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指事业单位在专业业务活动及其辅助活动之外开展非独立核算经营活动发生的支出。</w:t>
      </w:r>
    </w:p>
    <w:p w14:paraId="20C92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（十二）“三公”经费：</w:t>
      </w:r>
      <w:r>
        <w:rPr>
          <w:rFonts w:hint="eastAsia" w:ascii="方正仿宋_GBK" w:hAnsi="方正仿宋_GBK" w:eastAsia="方正仿宋_GBK" w:cs="方正仿宋_GBK"/>
          <w:i w:val="0"/>
          <w:iCs w:val="0"/>
          <w:caps w:val="0"/>
          <w:color w:val="333333"/>
          <w:spacing w:val="0"/>
          <w:sz w:val="15"/>
          <w:szCs w:val="15"/>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F25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（十三）机关运行经费：</w:t>
      </w:r>
      <w:r>
        <w:rPr>
          <w:rFonts w:hint="eastAsia" w:ascii="方正仿宋_GBK" w:hAnsi="方正仿宋_GBK" w:eastAsia="方正仿宋_GBK" w:cs="方正仿宋_GBK"/>
          <w:i w:val="0"/>
          <w:iCs w:val="0"/>
          <w:caps w:val="0"/>
          <w:color w:val="333333"/>
          <w:spacing w:val="0"/>
          <w:sz w:val="15"/>
          <w:szCs w:val="15"/>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82C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（十四）工资福利支出（支出经济分类科目类级）：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反映单位开支的在职职工和编制外长期聘用人员的各类劳动报酬，以及为上述人员缴纳的各项社会保险费等。</w:t>
      </w:r>
    </w:p>
    <w:p w14:paraId="1999F9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（十五）商品和服务支出（支出经济分类科目类级）：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反映单位购买商品和服务的支出（不包括用于购置固定资产的支出、战略性和应急储备支出）。</w:t>
      </w:r>
    </w:p>
    <w:p w14:paraId="1D5BB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（十六）对个人和家庭的补助（支出经济分类科目类级）：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反映用于对个人和家庭的补助支出。</w:t>
      </w:r>
    </w:p>
    <w:p w14:paraId="037EC4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（十七）其他资本性支出（支出经济分类科目类级）：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反映非各级发展与改革部门集中安排的用于购置固定资产、战略性和应急性储备、土地和无形资产，以及构建基础设施、大型修缮和财政支持企业更新改造所发生的支出。</w:t>
      </w:r>
    </w:p>
    <w:p w14:paraId="6F571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七、决算公开联系方式及信息反馈渠道</w:t>
      </w:r>
    </w:p>
    <w:p w14:paraId="08346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本单位决算公开信息反馈和联系方式：</w:t>
      </w:r>
    </w:p>
    <w:p w14:paraId="2BBCF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default" w:ascii="微软雅黑" w:hAnsi="微软雅黑" w:eastAsia="微软雅黑" w:cs="微软雅黑"/>
          <w:i w:val="0"/>
          <w:iCs w:val="0"/>
          <w:caps w:val="0"/>
          <w:color w:val="333333"/>
          <w:spacing w:val="0"/>
          <w:sz w:val="12"/>
          <w:szCs w:val="12"/>
          <w:lang w:val="en-US" w:eastAsia="zh-CN"/>
        </w:rPr>
      </w:pP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人民政府</w:t>
      </w:r>
      <w:r>
        <w:rPr>
          <w:rFonts w:hint="eastAsia" w:ascii="方正仿宋_GBK" w:hAnsi="方正仿宋_GBK" w:eastAsia="方正仿宋_GBK" w:cs="方正仿宋_GBK"/>
          <w:i w:val="0"/>
          <w:iCs w:val="0"/>
          <w:caps w:val="0"/>
          <w:color w:val="FF0000"/>
          <w:spacing w:val="0"/>
          <w:sz w:val="15"/>
          <w:szCs w:val="15"/>
          <w:shd w:val="clear" w:fill="FFFFFF"/>
        </w:rPr>
        <w:t>   </w:t>
      </w:r>
      <w:r>
        <w:rPr>
          <w:rFonts w:hint="default" w:ascii="Times New Roman" w:hAnsi="Times New Roman" w:eastAsia="微软雅黑" w:cs="Times New Roman"/>
          <w:i w:val="0"/>
          <w:iCs w:val="0"/>
          <w:caps w:val="0"/>
          <w:color w:val="333333"/>
          <w:spacing w:val="0"/>
          <w:sz w:val="15"/>
          <w:szCs w:val="15"/>
          <w:shd w:val="clear" w:fill="FFFFFF"/>
        </w:rPr>
        <w:t>023-59</w:t>
      </w:r>
      <w:r>
        <w:rPr>
          <w:rFonts w:hint="eastAsia" w:ascii="Times New Roman" w:hAnsi="Times New Roman" w:eastAsia="微软雅黑" w:cs="Times New Roman"/>
          <w:i w:val="0"/>
          <w:iCs w:val="0"/>
          <w:caps w:val="0"/>
          <w:color w:val="333333"/>
          <w:spacing w:val="0"/>
          <w:sz w:val="15"/>
          <w:szCs w:val="15"/>
          <w:shd w:val="clear" w:fill="FFFFFF"/>
          <w:lang w:val="en-US" w:eastAsia="zh-CN"/>
        </w:rPr>
        <w:t>29 5500</w:t>
      </w:r>
    </w:p>
    <w:p w14:paraId="4000A0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0E62"/>
    <w:rsid w:val="032575B9"/>
    <w:rsid w:val="04401842"/>
    <w:rsid w:val="0EC87A33"/>
    <w:rsid w:val="21D439D1"/>
    <w:rsid w:val="24820617"/>
    <w:rsid w:val="272D447F"/>
    <w:rsid w:val="2EAD1C9B"/>
    <w:rsid w:val="38857EF5"/>
    <w:rsid w:val="46687557"/>
    <w:rsid w:val="490F6A76"/>
    <w:rsid w:val="668777CB"/>
    <w:rsid w:val="75681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4308</Words>
  <Characters>4799</Characters>
  <Lines>0</Lines>
  <Paragraphs>0</Paragraphs>
  <TotalTime>5</TotalTime>
  <ScaleCrop>false</ScaleCrop>
  <LinksUpToDate>false</LinksUpToDate>
  <CharactersWithSpaces>4800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2025-10-23T09:44:00Z</dcterms:created>
  <dc:creator>z</dc:creator>
  <cp:lastModifiedBy>Zhang</cp:lastModifiedBy>
  <dcterms:modified xsi:type="dcterms:W3CDTF">2025-10-24T03:58:22Z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eyJoZGlkIjoiMThmZTg1NTI4NmUxZTk5NDhiNjQ4OTVmN2JhNTFlOWIiLCJ1c2VySWQiOiIxMTc1NTMzNzcwIn0=</vt:lpwstr>
  </property>
  <property fmtid="{D5CDD505-2E9C-101B-9397-08002B2CF9AE}" pid="4" name="ICV">
    <vt:lpwstr>379CF1B80A8E4BA386825767DCF204FE_12</vt:lpwstr>
  </property>
</Properties>
</file>