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8"/>
          <w:highlight w:val="none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8"/>
          <w:highlight w:val="none"/>
          <w:lang w:val="en-US" w:eastAsia="zh-Hans"/>
        </w:rPr>
        <w:t>厚坪乡</w:t>
      </w:r>
      <w:r>
        <w:rPr>
          <w:rFonts w:hint="eastAsia" w:ascii="Times New Roman" w:hAnsi="Times New Roman" w:eastAsia="方正小标宋_GBK" w:cs="Times New Roman"/>
          <w:sz w:val="44"/>
          <w:szCs w:val="48"/>
          <w:highlight w:val="none"/>
          <w:lang w:val="en-US" w:eastAsia="zh-CN"/>
        </w:rPr>
        <w:t>便民服务</w:t>
      </w:r>
      <w:r>
        <w:rPr>
          <w:rFonts w:hint="default" w:ascii="Times New Roman" w:hAnsi="Times New Roman" w:eastAsia="方正小标宋_GBK" w:cs="Times New Roman"/>
          <w:sz w:val="44"/>
          <w:szCs w:val="48"/>
          <w:highlight w:val="none"/>
          <w:lang w:val="en-US" w:eastAsia="zh-Hans"/>
        </w:rPr>
        <w:t>中心</w:t>
      </w:r>
      <w:r>
        <w:rPr>
          <w:rFonts w:hint="eastAsia" w:ascii="Times New Roman" w:hAnsi="Times New Roman" w:eastAsia="方正小标宋_GBK" w:cs="Times New Roman"/>
          <w:sz w:val="44"/>
          <w:szCs w:val="48"/>
          <w:highlight w:val="none"/>
          <w:lang w:val="en-US" w:eastAsia="zh-CN"/>
        </w:rPr>
        <w:t>2024</w:t>
      </w:r>
      <w:r>
        <w:rPr>
          <w:rFonts w:hint="default" w:ascii="Times New Roman" w:hAnsi="Times New Roman" w:eastAsia="方正小标宋_GBK" w:cs="Times New Roman"/>
          <w:sz w:val="44"/>
          <w:szCs w:val="48"/>
          <w:highlight w:val="none"/>
          <w:lang w:val="en-US" w:eastAsia="zh-CN"/>
        </w:rPr>
        <w:t>年度</w:t>
      </w:r>
      <w:r>
        <w:rPr>
          <w:rFonts w:hint="default" w:ascii="Times New Roman" w:hAnsi="Times New Roman" w:eastAsia="方正小标宋_GBK" w:cs="Times New Roman"/>
          <w:sz w:val="44"/>
          <w:szCs w:val="48"/>
          <w:highlight w:val="none"/>
        </w:rPr>
        <w:t>财政预算</w:t>
      </w:r>
      <w:r>
        <w:rPr>
          <w:rFonts w:hint="default" w:ascii="Times New Roman" w:hAnsi="Times New Roman" w:eastAsia="方正小标宋_GBK" w:cs="Times New Roman"/>
          <w:sz w:val="44"/>
          <w:szCs w:val="48"/>
          <w:highlight w:val="none"/>
          <w:lang w:val="en-US" w:eastAsia="zh-Hans"/>
        </w:rPr>
        <w:t>执行情况</w:t>
      </w:r>
      <w:r>
        <w:rPr>
          <w:rFonts w:hint="default" w:ascii="Times New Roman" w:hAnsi="Times New Roman" w:eastAsia="方正小标宋_GBK" w:cs="Times New Roman"/>
          <w:sz w:val="44"/>
          <w:szCs w:val="48"/>
          <w:highlight w:val="none"/>
        </w:rPr>
        <w:t>和</w:t>
      </w:r>
      <w:r>
        <w:rPr>
          <w:rFonts w:hint="eastAsia" w:ascii="Times New Roman" w:hAnsi="Times New Roman" w:eastAsia="方正小标宋_GBK" w:cs="Times New Roman"/>
          <w:sz w:val="44"/>
          <w:szCs w:val="48"/>
          <w:highlight w:val="none"/>
          <w:lang w:val="en-US" w:eastAsia="zh-CN"/>
        </w:rPr>
        <w:t>2025</w:t>
      </w:r>
      <w:r>
        <w:rPr>
          <w:rFonts w:hint="default" w:ascii="Times New Roman" w:hAnsi="Times New Roman" w:eastAsia="方正小标宋_GBK" w:cs="Times New Roman"/>
          <w:sz w:val="44"/>
          <w:szCs w:val="48"/>
          <w:highlight w:val="none"/>
          <w:lang w:val="en-US" w:eastAsia="zh-CN"/>
        </w:rPr>
        <w:t>年</w:t>
      </w:r>
      <w:r>
        <w:rPr>
          <w:rFonts w:hint="default" w:ascii="Times New Roman" w:hAnsi="Times New Roman" w:eastAsia="方正小标宋_GBK" w:cs="Times New Roman"/>
          <w:sz w:val="44"/>
          <w:szCs w:val="48"/>
          <w:highlight w:val="none"/>
          <w:lang w:val="en-US" w:eastAsia="zh-Hans"/>
        </w:rPr>
        <w:t>财政</w:t>
      </w:r>
      <w:r>
        <w:rPr>
          <w:rFonts w:hint="default" w:ascii="Times New Roman" w:hAnsi="Times New Roman" w:eastAsia="方正小标宋_GBK" w:cs="Times New Roman"/>
          <w:sz w:val="44"/>
          <w:szCs w:val="48"/>
          <w:highlight w:val="none"/>
        </w:rPr>
        <w:t>预算</w:t>
      </w:r>
      <w:r>
        <w:rPr>
          <w:rFonts w:hint="default" w:ascii="Times New Roman" w:hAnsi="Times New Roman" w:eastAsia="方正小标宋_GBK" w:cs="Times New Roman"/>
          <w:sz w:val="44"/>
          <w:szCs w:val="48"/>
          <w:highlight w:val="none"/>
          <w:lang w:val="en-US" w:eastAsia="zh-Hans"/>
        </w:rPr>
        <w:t>草案</w:t>
      </w:r>
      <w:r>
        <w:rPr>
          <w:rFonts w:hint="default" w:ascii="Times New Roman" w:hAnsi="Times New Roman" w:eastAsia="方正小标宋_GBK" w:cs="Times New Roman"/>
          <w:sz w:val="44"/>
          <w:szCs w:val="48"/>
          <w:highlight w:val="none"/>
        </w:rPr>
        <w:t>报告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0" w:firstLineChars="0"/>
        <w:jc w:val="center"/>
        <w:textAlignment w:val="auto"/>
        <w:rPr>
          <w:rFonts w:hint="default" w:ascii="Times New Roman" w:hAnsi="Times New Roman" w:eastAsia="方正楷体_GBK" w:cs="Times New Roman"/>
          <w:color w:val="auto"/>
          <w:spacing w:val="-20"/>
          <w:sz w:val="32"/>
          <w:szCs w:val="32"/>
          <w:highlight w:val="none"/>
        </w:rPr>
      </w:pPr>
      <w:r>
        <w:rPr>
          <w:rFonts w:hint="default" w:ascii="Times New Roman" w:hAnsi="Times New Roman" w:eastAsia="方正楷体_GBK" w:cs="Times New Roman"/>
          <w:spacing w:val="-20"/>
          <w:sz w:val="32"/>
          <w:szCs w:val="32"/>
          <w:highlight w:val="none"/>
        </w:rPr>
        <w:t>——</w:t>
      </w:r>
      <w:r>
        <w:rPr>
          <w:rFonts w:hint="eastAsia" w:ascii="Times New Roman" w:hAnsi="Times New Roman" w:eastAsia="方正楷体_GBK" w:cs="Times New Roman"/>
          <w:color w:val="auto"/>
          <w:spacing w:val="-20"/>
          <w:sz w:val="32"/>
          <w:szCs w:val="32"/>
          <w:highlight w:val="none"/>
          <w:lang w:eastAsia="zh-CN"/>
        </w:rPr>
        <w:t>2025</w:t>
      </w:r>
      <w:r>
        <w:rPr>
          <w:rFonts w:hint="default" w:ascii="Times New Roman" w:hAnsi="Times New Roman" w:eastAsia="方正楷体_GBK" w:cs="Times New Roman"/>
          <w:color w:val="auto"/>
          <w:spacing w:val="-20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方正楷体_GBK" w:cs="Times New Roman"/>
          <w:color w:val="auto"/>
          <w:spacing w:val="-2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楷体_GBK" w:cs="Times New Roman"/>
          <w:color w:val="auto"/>
          <w:spacing w:val="-20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方正楷体_GBK" w:cs="Times New Roman"/>
          <w:color w:val="auto"/>
          <w:spacing w:val="-20"/>
          <w:sz w:val="32"/>
          <w:szCs w:val="32"/>
          <w:highlight w:val="none"/>
          <w:lang w:val="en-US" w:eastAsia="zh-CN"/>
        </w:rPr>
        <w:t>13</w:t>
      </w:r>
      <w:r>
        <w:rPr>
          <w:rFonts w:hint="default" w:ascii="Times New Roman" w:hAnsi="Times New Roman" w:eastAsia="方正楷体_GBK" w:cs="Times New Roman"/>
          <w:color w:val="auto"/>
          <w:spacing w:val="-20"/>
          <w:sz w:val="32"/>
          <w:szCs w:val="32"/>
          <w:highlight w:val="none"/>
        </w:rPr>
        <w:t>日厚坪乡十九届人大</w:t>
      </w:r>
      <w:r>
        <w:rPr>
          <w:rFonts w:hint="eastAsia" w:ascii="Times New Roman" w:hAnsi="Times New Roman" w:eastAsia="方正楷体_GBK" w:cs="Times New Roman"/>
          <w:color w:val="auto"/>
          <w:spacing w:val="-20"/>
          <w:sz w:val="32"/>
          <w:szCs w:val="32"/>
          <w:highlight w:val="none"/>
          <w:lang w:eastAsia="zh-CN"/>
        </w:rPr>
        <w:t>五</w:t>
      </w:r>
      <w:r>
        <w:rPr>
          <w:rFonts w:hint="default" w:ascii="Times New Roman" w:hAnsi="Times New Roman" w:eastAsia="方正楷体_GBK" w:cs="Times New Roman"/>
          <w:color w:val="auto"/>
          <w:spacing w:val="-20"/>
          <w:sz w:val="32"/>
          <w:szCs w:val="32"/>
          <w:highlight w:val="none"/>
        </w:rPr>
        <w:t>次会议第一次全体会上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0" w:firstLineChars="0"/>
        <w:jc w:val="center"/>
        <w:textAlignment w:val="auto"/>
        <w:rPr>
          <w:rFonts w:hint="default" w:ascii="Times New Roman" w:hAnsi="Times New Roman" w:eastAsia="方正楷体_GBK" w:cs="Times New Roman"/>
          <w:color w:val="FF0000"/>
          <w:spacing w:val="-20"/>
          <w:sz w:val="32"/>
          <w:szCs w:val="32"/>
          <w:highlight w:val="none"/>
        </w:rPr>
      </w:pPr>
    </w:p>
    <w:p>
      <w:pPr>
        <w:ind w:left="0" w:leftChars="0" w:firstLine="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各位代表：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受乡人民政府的委托，向大会报告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厚坪乡</w:t>
      </w:r>
      <w:r>
        <w:rPr>
          <w:rFonts w:hint="eastAsia" w:cs="Times New Roman"/>
          <w:sz w:val="32"/>
          <w:szCs w:val="32"/>
          <w:lang w:val="en-US" w:eastAsia="zh-CN"/>
        </w:rPr>
        <w:t>便民服务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中心</w:t>
      </w:r>
      <w:r>
        <w:rPr>
          <w:rFonts w:hint="eastAsia" w:cs="Times New Roman"/>
          <w:lang w:eastAsia="zh-CN"/>
        </w:rPr>
        <w:t>2024</w:t>
      </w:r>
      <w:r>
        <w:rPr>
          <w:rFonts w:hint="default" w:ascii="Times New Roman" w:hAnsi="Times New Roman" w:cs="Times New Roman"/>
        </w:rPr>
        <w:t>年财政预算执行情况和</w:t>
      </w:r>
      <w:r>
        <w:rPr>
          <w:rFonts w:hint="eastAsia" w:cs="Times New Roman"/>
          <w:lang w:eastAsia="zh-CN"/>
        </w:rPr>
        <w:t>2025</w:t>
      </w:r>
      <w:r>
        <w:rPr>
          <w:rFonts w:hint="default" w:ascii="Times New Roman" w:hAnsi="Times New Roman" w:cs="Times New Roman"/>
        </w:rPr>
        <w:t xml:space="preserve">年财政预算草案的报告，请予审议。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方正黑体_GBK" w:cs="Times New Roman"/>
        </w:rPr>
      </w:pPr>
      <w:r>
        <w:rPr>
          <w:rFonts w:hint="default" w:ascii="Times New Roman" w:hAnsi="Times New Roman" w:eastAsia="方正黑体_GBK" w:cs="Times New Roman"/>
        </w:rPr>
        <w:t>一、</w:t>
      </w:r>
      <w:r>
        <w:rPr>
          <w:rFonts w:hint="eastAsia" w:eastAsia="方正黑体_GBK" w:cs="Times New Roman"/>
          <w:lang w:eastAsia="zh-CN"/>
        </w:rPr>
        <w:t>2024</w:t>
      </w:r>
      <w:r>
        <w:rPr>
          <w:rFonts w:hint="default" w:ascii="Times New Roman" w:hAnsi="Times New Roman" w:eastAsia="方正黑体_GBK" w:cs="Times New Roman"/>
        </w:rPr>
        <w:t>年财政预算执行情况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202</w:t>
      </w:r>
      <w:r>
        <w:rPr>
          <w:rFonts w:hint="eastAsia" w:eastAsia="方正仿宋_GBK"/>
          <w:sz w:val="32"/>
          <w:szCs w:val="32"/>
          <w:lang w:val="en-US" w:eastAsia="zh-CN"/>
        </w:rPr>
        <w:t>4</w:t>
      </w:r>
      <w:r>
        <w:rPr>
          <w:rFonts w:eastAsia="方正仿宋_GBK"/>
          <w:sz w:val="32"/>
          <w:szCs w:val="32"/>
        </w:rPr>
        <w:t>年是实施</w:t>
      </w:r>
      <w:r>
        <w:rPr>
          <w:rFonts w:hint="eastAsia" w:eastAsia="方正仿宋_GBK"/>
          <w:sz w:val="32"/>
          <w:szCs w:val="32"/>
        </w:rPr>
        <w:t>“</w:t>
      </w:r>
      <w:r>
        <w:rPr>
          <w:rFonts w:eastAsia="方正仿宋_GBK"/>
          <w:sz w:val="32"/>
          <w:szCs w:val="32"/>
        </w:rPr>
        <w:t>十四五</w:t>
      </w:r>
      <w:r>
        <w:rPr>
          <w:rFonts w:hint="eastAsia" w:eastAsia="方正仿宋_GBK"/>
          <w:sz w:val="32"/>
          <w:szCs w:val="32"/>
        </w:rPr>
        <w:t>”</w:t>
      </w:r>
      <w:r>
        <w:rPr>
          <w:rFonts w:eastAsia="方正仿宋_GBK"/>
          <w:sz w:val="32"/>
          <w:szCs w:val="32"/>
        </w:rPr>
        <w:t>规划、全面建设社会主义现代化国家新征程的关键之年。今年以来，在乡党委的正确领导下，乡财政工作始终以习近平新时代中国特色社会主义思想为指导，全面贯彻党的二十大精神，紧扣协调推进全面建设社会主义现代化国家战略布局，坚持稳中求进工作总基调，深入推进财政预算管理改革，提高财政资金运行的质量和效益，有效促进全乡经济社会持续健康发展，较好地完成了全年各项财政工作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方正楷体_GBK" w:cs="Times New Roman"/>
        </w:rPr>
      </w:pPr>
      <w:r>
        <w:rPr>
          <w:rFonts w:hint="default" w:ascii="Times New Roman" w:hAnsi="Times New Roman" w:eastAsia="方正楷体_GBK" w:cs="Times New Roman"/>
        </w:rPr>
        <w:t>（一）</w:t>
      </w:r>
      <w:bookmarkStart w:id="0" w:name="OLE_LINK1"/>
      <w:r>
        <w:rPr>
          <w:rFonts w:hint="eastAsia" w:eastAsia="方正楷体_GBK" w:cs="Times New Roman"/>
          <w:lang w:eastAsia="zh-CN"/>
        </w:rPr>
        <w:t>2024</w:t>
      </w:r>
      <w:r>
        <w:rPr>
          <w:rFonts w:hint="default" w:ascii="Times New Roman" w:hAnsi="Times New Roman" w:eastAsia="方正楷体_GBK" w:cs="Times New Roman"/>
        </w:rPr>
        <w:t>年财政收入情况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eastAsia" w:cs="Times New Roman"/>
          <w:lang w:eastAsia="zh-CN"/>
        </w:rPr>
        <w:t>2024</w:t>
      </w:r>
      <w:r>
        <w:rPr>
          <w:rFonts w:hint="default" w:ascii="Times New Roman" w:hAnsi="Times New Roman" w:cs="Times New Roma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乡</w:t>
      </w:r>
      <w:r>
        <w:rPr>
          <w:rFonts w:hint="eastAsia" w:cs="Times New Roman"/>
          <w:sz w:val="32"/>
          <w:szCs w:val="32"/>
          <w:lang w:val="en-US" w:eastAsia="zh-CN"/>
        </w:rPr>
        <w:t>便民服务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中心</w:t>
      </w:r>
      <w:r>
        <w:rPr>
          <w:rFonts w:hint="default" w:ascii="Times New Roman" w:hAnsi="Times New Roman" w:cs="Times New Roman"/>
        </w:rPr>
        <w:t>一般公共预算收入</w:t>
      </w:r>
      <w:r>
        <w:rPr>
          <w:rFonts w:hint="eastAsia" w:cs="Times New Roman"/>
          <w:lang w:val="en-US" w:eastAsia="zh-CN"/>
        </w:rPr>
        <w:t>19.76</w:t>
      </w:r>
      <w:r>
        <w:rPr>
          <w:rFonts w:hint="default" w:ascii="Times New Roman" w:hAnsi="Times New Roman" w:cs="Times New Roman"/>
        </w:rPr>
        <w:t xml:space="preserve">万元。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方正楷体_GBK" w:cs="Times New Roman"/>
        </w:rPr>
      </w:pPr>
      <w:r>
        <w:rPr>
          <w:rFonts w:hint="default" w:ascii="Times New Roman" w:hAnsi="Times New Roman" w:eastAsia="方正楷体_GBK" w:cs="Times New Roman"/>
        </w:rPr>
        <w:t>（二）</w:t>
      </w:r>
      <w:r>
        <w:rPr>
          <w:rFonts w:hint="eastAsia" w:eastAsia="方正楷体_GBK" w:cs="Times New Roman"/>
          <w:lang w:eastAsia="zh-CN"/>
        </w:rPr>
        <w:t>2024</w:t>
      </w:r>
      <w:r>
        <w:rPr>
          <w:rFonts w:hint="default" w:ascii="Times New Roman" w:hAnsi="Times New Roman" w:eastAsia="方正楷体_GBK" w:cs="Times New Roman"/>
        </w:rPr>
        <w:t>年财政支出情况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eastAsia" w:cs="Times New Roman"/>
          <w:lang w:eastAsia="zh-CN"/>
        </w:rPr>
        <w:t>2024</w:t>
      </w:r>
      <w:r>
        <w:rPr>
          <w:rFonts w:hint="default" w:ascii="Times New Roman" w:hAnsi="Times New Roman" w:cs="Times New Roma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乡</w:t>
      </w:r>
      <w:r>
        <w:rPr>
          <w:rFonts w:hint="eastAsia" w:cs="Times New Roman"/>
          <w:sz w:val="32"/>
          <w:szCs w:val="32"/>
          <w:lang w:val="en-US" w:eastAsia="zh-CN"/>
        </w:rPr>
        <w:t>便民服务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中心</w:t>
      </w:r>
      <w:r>
        <w:rPr>
          <w:rFonts w:hint="default" w:ascii="Times New Roman" w:hAnsi="Times New Roman" w:cs="Times New Roman"/>
        </w:rPr>
        <w:t>财政预算支出实现</w:t>
      </w:r>
      <w:r>
        <w:rPr>
          <w:rFonts w:hint="eastAsia" w:cs="Times New Roman"/>
          <w:lang w:val="en-US" w:eastAsia="zh-CN"/>
        </w:rPr>
        <w:t>19.76</w:t>
      </w:r>
      <w:r>
        <w:rPr>
          <w:rFonts w:hint="default" w:ascii="Times New Roman" w:hAnsi="Times New Roman" w:cs="Times New Roma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方正楷体_GBK" w:cs="Times New Roman"/>
        </w:rPr>
      </w:pPr>
      <w:r>
        <w:rPr>
          <w:rFonts w:eastAsia="方正仿宋_GBK"/>
          <w:color w:val="000000"/>
          <w:sz w:val="32"/>
          <w:szCs w:val="32"/>
          <w:lang w:val="zh-CN"/>
        </w:rPr>
        <w:t>分支出功能科目执行情况</w:t>
      </w:r>
      <w:r>
        <w:rPr>
          <w:rFonts w:hint="default" w:ascii="Times New Roman" w:hAnsi="Times New Roman" w:eastAsia="方正楷体_GBK" w:cs="Times New Roman"/>
        </w:rPr>
        <w:t>具体如下：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cs="Times New Roman"/>
          <w:b w:val="0"/>
          <w:bCs w:val="0"/>
        </w:rPr>
      </w:pPr>
      <w:r>
        <w:rPr>
          <w:rFonts w:hint="eastAsia" w:cs="Times New Roman"/>
          <w:b w:val="0"/>
          <w:bCs w:val="0"/>
          <w:lang w:val="en-US" w:eastAsia="zh-CN"/>
        </w:rPr>
        <w:t>1.</w:t>
      </w:r>
      <w:r>
        <w:rPr>
          <w:rFonts w:hint="default" w:ascii="Times New Roman" w:hAnsi="Times New Roman" w:cs="Times New Roman"/>
          <w:b w:val="0"/>
          <w:bCs w:val="0"/>
        </w:rPr>
        <w:t>一般公共服务支出</w:t>
      </w:r>
      <w:r>
        <w:rPr>
          <w:rFonts w:hint="eastAsia" w:cs="Times New Roman"/>
          <w:b w:val="0"/>
          <w:bCs w:val="0"/>
          <w:lang w:val="en-US" w:eastAsia="zh-CN"/>
        </w:rPr>
        <w:t>0.21</w:t>
      </w:r>
      <w:r>
        <w:rPr>
          <w:rFonts w:hint="default" w:ascii="Times New Roman" w:hAnsi="Times New Roman" w:cs="Times New Roman"/>
          <w:b w:val="0"/>
          <w:bCs w:val="0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cs="Times New Roman"/>
          <w:b w:val="0"/>
          <w:bCs w:val="0"/>
        </w:rPr>
      </w:pPr>
      <w:bookmarkStart w:id="1" w:name="OLE_LINK3"/>
      <w:r>
        <w:rPr>
          <w:rFonts w:hint="eastAsia" w:cs="Times New Roman"/>
          <w:b w:val="0"/>
          <w:bCs w:val="0"/>
          <w:lang w:val="en-US" w:eastAsia="zh-CN"/>
        </w:rPr>
        <w:t>2.</w:t>
      </w:r>
      <w:r>
        <w:rPr>
          <w:rFonts w:hint="default" w:ascii="Times New Roman" w:hAnsi="Times New Roman" w:cs="Times New Roman"/>
          <w:b w:val="0"/>
          <w:bCs w:val="0"/>
        </w:rPr>
        <w:t>社会保障和就业支出</w:t>
      </w:r>
      <w:r>
        <w:rPr>
          <w:rFonts w:hint="eastAsia" w:cs="Times New Roman"/>
          <w:b w:val="0"/>
          <w:bCs w:val="0"/>
          <w:lang w:val="en-US" w:eastAsia="zh-CN"/>
        </w:rPr>
        <w:t>14.93</w:t>
      </w:r>
      <w:r>
        <w:rPr>
          <w:rFonts w:hint="default" w:ascii="Times New Roman" w:hAnsi="Times New Roman" w:cs="Times New Roman"/>
          <w:b w:val="0"/>
          <w:bCs w:val="0"/>
        </w:rPr>
        <w:t>万元。</w:t>
      </w:r>
      <w:bookmarkStart w:id="2" w:name="_Hlk90575668"/>
    </w:p>
    <w:bookmarkEnd w:id="2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cs="Times New Roman"/>
          <w:b w:val="0"/>
          <w:bCs w:val="0"/>
        </w:rPr>
      </w:pPr>
      <w:r>
        <w:rPr>
          <w:rFonts w:hint="eastAsia" w:cs="Times New Roman"/>
          <w:b w:val="0"/>
          <w:bCs w:val="0"/>
          <w:lang w:val="en-US" w:eastAsia="zh-CN"/>
        </w:rPr>
        <w:t>3.</w:t>
      </w:r>
      <w:r>
        <w:rPr>
          <w:rFonts w:hint="default" w:ascii="Times New Roman" w:hAnsi="Times New Roman" w:cs="Times New Roman"/>
          <w:b w:val="0"/>
          <w:bCs w:val="0"/>
        </w:rPr>
        <w:t>卫生健康支出</w:t>
      </w:r>
      <w:r>
        <w:rPr>
          <w:rFonts w:hint="eastAsia" w:cs="Times New Roman"/>
          <w:b w:val="0"/>
          <w:bCs w:val="0"/>
          <w:lang w:val="en-US" w:eastAsia="zh-CN"/>
        </w:rPr>
        <w:t>2.62</w:t>
      </w:r>
      <w:r>
        <w:rPr>
          <w:rFonts w:hint="default" w:ascii="Times New Roman" w:hAnsi="Times New Roman" w:cs="Times New Roman"/>
          <w:b w:val="0"/>
          <w:bCs w:val="0"/>
        </w:rPr>
        <w:t>万元。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cs="Times New Roman"/>
          <w:b w:val="0"/>
          <w:bCs w:val="0"/>
        </w:rPr>
      </w:pPr>
      <w:r>
        <w:rPr>
          <w:rFonts w:hint="eastAsia" w:cs="Times New Roman"/>
          <w:b w:val="0"/>
          <w:bCs w:val="0"/>
          <w:lang w:val="en-US" w:eastAsia="zh-CN"/>
        </w:rPr>
        <w:t>4.</w:t>
      </w:r>
      <w:r>
        <w:rPr>
          <w:rFonts w:hint="default" w:ascii="Times New Roman" w:hAnsi="Times New Roman" w:cs="Times New Roman"/>
          <w:b w:val="0"/>
          <w:bCs w:val="0"/>
        </w:rPr>
        <w:t>住房保障支出</w:t>
      </w:r>
      <w:r>
        <w:rPr>
          <w:rFonts w:hint="eastAsia" w:cs="Times New Roman"/>
          <w:b w:val="0"/>
          <w:bCs w:val="0"/>
          <w:lang w:val="en-US" w:eastAsia="zh-CN"/>
        </w:rPr>
        <w:t>2</w:t>
      </w:r>
      <w:r>
        <w:rPr>
          <w:rFonts w:hint="default" w:ascii="Times New Roman" w:hAnsi="Times New Roman" w:cs="Times New Roman"/>
          <w:b w:val="0"/>
          <w:bCs w:val="0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方正黑体_GBK" w:cs="Times New Roman"/>
        </w:rPr>
      </w:pPr>
      <w:r>
        <w:rPr>
          <w:rFonts w:hint="default" w:ascii="Times New Roman" w:hAnsi="Times New Roman" w:eastAsia="方正黑体_GBK" w:cs="Times New Roman"/>
        </w:rPr>
        <w:t>二、</w:t>
      </w:r>
      <w:r>
        <w:rPr>
          <w:rFonts w:hint="eastAsia" w:eastAsia="方正黑体_GBK" w:cs="Times New Roman"/>
          <w:lang w:eastAsia="zh-CN"/>
        </w:rPr>
        <w:t>2025</w:t>
      </w:r>
      <w:r>
        <w:rPr>
          <w:rFonts w:hint="default" w:ascii="Times New Roman" w:hAnsi="Times New Roman" w:eastAsia="方正黑体_GBK" w:cs="Times New Roman"/>
        </w:rPr>
        <w:t>年财政预算</w:t>
      </w:r>
      <w:r>
        <w:rPr>
          <w:rFonts w:hint="eastAsia" w:eastAsia="方正黑体_GBK" w:cs="Times New Roman"/>
          <w:lang w:eastAsia="zh-CN"/>
        </w:rPr>
        <w:t>（</w:t>
      </w:r>
      <w:r>
        <w:rPr>
          <w:rFonts w:hint="default" w:ascii="Times New Roman" w:hAnsi="Times New Roman" w:eastAsia="方正黑体_GBK" w:cs="Times New Roman"/>
        </w:rPr>
        <w:t>草案</w:t>
      </w:r>
      <w:r>
        <w:rPr>
          <w:rFonts w:hint="eastAsia" w:eastAsia="方正黑体_GBK" w:cs="Times New Roman"/>
          <w:lang w:eastAsia="zh-CN"/>
        </w:rPr>
        <w:t>）</w:t>
      </w:r>
    </w:p>
    <w:p>
      <w:pPr>
        <w:spacing w:line="560" w:lineRule="exact"/>
        <w:ind w:firstLine="474" w:firstLineChars="15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根据财政管理制度和体制，从2016年起必须实行年度预算公开，现将202</w:t>
      </w:r>
      <w:r>
        <w:rPr>
          <w:rFonts w:hint="eastAsia" w:eastAsia="方正仿宋_GBK"/>
          <w:sz w:val="32"/>
          <w:szCs w:val="32"/>
          <w:lang w:val="en-US" w:eastAsia="zh-CN"/>
        </w:rPr>
        <w:t>5</w:t>
      </w:r>
      <w:r>
        <w:rPr>
          <w:rFonts w:eastAsia="方正仿宋_GBK"/>
          <w:sz w:val="32"/>
          <w:szCs w:val="32"/>
        </w:rPr>
        <w:t>年预算编制情况作如下公开报告：</w:t>
      </w:r>
    </w:p>
    <w:p>
      <w:pPr>
        <w:spacing w:line="579" w:lineRule="exact"/>
        <w:ind w:firstLine="632" w:firstLineChars="200"/>
        <w:rPr>
          <w:rFonts w:hint="eastAsia" w:ascii="方正楷体_GBK" w:eastAsia="方正楷体_GBK"/>
          <w:bCs/>
          <w:color w:val="000000"/>
        </w:rPr>
      </w:pPr>
      <w:r>
        <w:rPr>
          <w:rFonts w:hint="eastAsia" w:ascii="方正楷体_GBK" w:eastAsia="方正楷体_GBK"/>
          <w:bCs/>
          <w:color w:val="000000"/>
        </w:rPr>
        <w:t>（一）一般公共预算收支草案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方正楷体_GBK" w:cs="Times New Roman"/>
        </w:rPr>
      </w:pPr>
      <w:r>
        <w:rPr>
          <w:rFonts w:hint="eastAsia" w:eastAsia="方正楷体_GBK" w:cs="Times New Roman"/>
          <w:lang w:val="en-US" w:eastAsia="zh-CN"/>
        </w:rPr>
        <w:t>1.</w:t>
      </w:r>
      <w:r>
        <w:rPr>
          <w:rFonts w:hint="eastAsia" w:eastAsia="方正楷体_GBK" w:cs="Times New Roman"/>
          <w:lang w:eastAsia="zh-CN"/>
        </w:rPr>
        <w:t>收入项目</w:t>
      </w:r>
      <w:r>
        <w:rPr>
          <w:rFonts w:hint="default" w:ascii="Times New Roman" w:hAnsi="Times New Roman" w:eastAsia="方正楷体_GBK" w:cs="Times New Roman"/>
        </w:rPr>
        <w:t>预算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eastAsia" w:cs="Times New Roman"/>
          <w:lang w:eastAsia="zh-CN"/>
        </w:rPr>
        <w:t>2025</w:t>
      </w:r>
      <w:r>
        <w:rPr>
          <w:rFonts w:hint="default" w:ascii="Times New Roman" w:hAnsi="Times New Roman" w:cs="Times New Roman"/>
        </w:rPr>
        <w:t>年一般公共预算收</w:t>
      </w:r>
      <w:r>
        <w:rPr>
          <w:rFonts w:hint="default" w:ascii="Times New Roman" w:hAnsi="Times New Roman" w:cs="Times New Roman"/>
          <w:color w:val="auto"/>
        </w:rPr>
        <w:t>入</w:t>
      </w:r>
      <w:r>
        <w:rPr>
          <w:rFonts w:hint="eastAsia" w:cs="Times New Roman"/>
          <w:color w:val="auto"/>
          <w:lang w:val="en-US" w:eastAsia="zh-CN"/>
        </w:rPr>
        <w:t>62.14</w:t>
      </w:r>
      <w:r>
        <w:rPr>
          <w:rFonts w:hint="default" w:ascii="Times New Roman" w:hAnsi="Times New Roman" w:cs="Times New Roma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Times New Roman" w:hAnsi="Times New Roman" w:eastAsia="方正楷体_GBK" w:cs="Times New Roman"/>
          <w:lang w:eastAsia="zh-CN"/>
        </w:rPr>
      </w:pPr>
      <w:r>
        <w:rPr>
          <w:rFonts w:hint="eastAsia" w:eastAsia="方正楷体_GBK" w:cs="Times New Roman"/>
          <w:lang w:val="en-US" w:eastAsia="zh-CN"/>
        </w:rPr>
        <w:t>2.</w:t>
      </w:r>
      <w:r>
        <w:rPr>
          <w:rFonts w:hint="default" w:ascii="Times New Roman" w:hAnsi="Times New Roman" w:eastAsia="方正楷体_GBK" w:cs="Times New Roman"/>
        </w:rPr>
        <w:t>支出</w:t>
      </w:r>
      <w:r>
        <w:rPr>
          <w:rFonts w:hint="eastAsia" w:eastAsia="方正楷体_GBK" w:cs="Times New Roman"/>
          <w:lang w:eastAsia="zh-CN"/>
        </w:rPr>
        <w:t>项目预算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其主要项目安排是（按支出功能分类列报如下）：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方正仿宋_GBK" w:cs="Times New Roman"/>
          <w:lang w:eastAsia="zh-CN"/>
        </w:rPr>
      </w:pPr>
      <w:r>
        <w:rPr>
          <w:rFonts w:hint="eastAsia" w:cs="Times New Roman"/>
          <w:lang w:val="en-US" w:eastAsia="zh-CN"/>
        </w:rPr>
        <w:t>1.</w:t>
      </w:r>
      <w:r>
        <w:rPr>
          <w:rFonts w:hint="default" w:ascii="Times New Roman" w:hAnsi="Times New Roman" w:cs="Times New Roman"/>
        </w:rPr>
        <w:t>社会保障和就业支出</w:t>
      </w:r>
      <w:r>
        <w:rPr>
          <w:rFonts w:hint="eastAsia" w:cs="Times New Roman"/>
          <w:lang w:val="en-US" w:eastAsia="zh-CN"/>
        </w:rPr>
        <w:t>57.7</w:t>
      </w:r>
      <w:r>
        <w:rPr>
          <w:rFonts w:hint="default" w:ascii="Times New Roman" w:hAnsi="Times New Roman" w:cs="Times New Roman"/>
        </w:rPr>
        <w:t>万元</w:t>
      </w:r>
      <w:r>
        <w:rPr>
          <w:rFonts w:hint="default" w:ascii="Times New Roman" w:hAnsi="Times New Roman" w:cs="Times New Roman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方正仿宋_GBK" w:cs="Times New Roman"/>
          <w:lang w:eastAsia="zh-CN"/>
        </w:rPr>
      </w:pPr>
      <w:r>
        <w:rPr>
          <w:rFonts w:hint="eastAsia" w:cs="Times New Roman"/>
          <w:lang w:val="en-US" w:eastAsia="zh-CN"/>
        </w:rPr>
        <w:t>2</w:t>
      </w:r>
      <w:r>
        <w:rPr>
          <w:rFonts w:hint="default" w:ascii="Times New Roman" w:hAnsi="Times New Roman" w:cs="Times New Roman"/>
          <w:lang w:val="en-US" w:eastAsia="zh-CN"/>
        </w:rPr>
        <w:t>.</w:t>
      </w:r>
      <w:r>
        <w:rPr>
          <w:rFonts w:hint="default" w:ascii="Times New Roman" w:hAnsi="Times New Roman" w:cs="Times New Roman"/>
        </w:rPr>
        <w:t>卫生健康支出</w:t>
      </w:r>
      <w:r>
        <w:rPr>
          <w:rFonts w:hint="eastAsia" w:cs="Times New Roman"/>
          <w:lang w:val="en-US" w:eastAsia="zh-CN"/>
        </w:rPr>
        <w:t>2.05</w:t>
      </w:r>
      <w:r>
        <w:rPr>
          <w:rFonts w:hint="default" w:ascii="Times New Roman" w:hAnsi="Times New Roman" w:cs="Times New Roman"/>
        </w:rPr>
        <w:t>万元</w:t>
      </w:r>
      <w:r>
        <w:rPr>
          <w:rFonts w:hint="default" w:ascii="Times New Roman" w:hAnsi="Times New Roman" w:cs="Times New Roman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lang w:eastAsia="zh-CN"/>
        </w:rPr>
      </w:pPr>
      <w:r>
        <w:rPr>
          <w:rFonts w:hint="eastAsia" w:cs="Times New Roman"/>
          <w:kern w:val="2"/>
          <w:sz w:val="32"/>
          <w:szCs w:val="22"/>
          <w:lang w:val="en-US" w:eastAsia="zh-CN" w:bidi="ar-SA"/>
        </w:rPr>
        <w:t>3</w:t>
      </w:r>
      <w:r>
        <w:rPr>
          <w:rFonts w:hint="default" w:ascii="Times New Roman" w:hAnsi="Times New Roman" w:eastAsia="方正仿宋_GBK" w:cs="Times New Roman"/>
          <w:kern w:val="2"/>
          <w:sz w:val="32"/>
          <w:szCs w:val="22"/>
          <w:lang w:val="en-US" w:eastAsia="zh-CN" w:bidi="ar-SA"/>
        </w:rPr>
        <w:t>.</w:t>
      </w:r>
      <w:r>
        <w:rPr>
          <w:rFonts w:hint="default" w:ascii="Times New Roman" w:hAnsi="Times New Roman" w:cs="Times New Roman"/>
        </w:rPr>
        <w:t>住房保障</w:t>
      </w:r>
      <w:r>
        <w:rPr>
          <w:rFonts w:hint="eastAsia" w:cs="Times New Roman"/>
          <w:lang w:val="en-US" w:eastAsia="zh-CN"/>
        </w:rPr>
        <w:t>2.39</w:t>
      </w:r>
      <w:r>
        <w:rPr>
          <w:rFonts w:hint="default" w:ascii="Times New Roman" w:hAnsi="Times New Roman" w:cs="Times New Roman"/>
        </w:rPr>
        <w:t>万元</w:t>
      </w:r>
      <w:r>
        <w:rPr>
          <w:rFonts w:hint="default" w:ascii="Times New Roman" w:hAnsi="Times New Roman" w:cs="Times New Roman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22"/>
          <w:lang w:val="en-US" w:eastAsia="zh-CN" w:bidi="ar-SA"/>
        </w:rPr>
        <w:t>三、</w:t>
      </w:r>
      <w:r>
        <w:rPr>
          <w:rFonts w:hint="default" w:ascii="Times New Roman" w:hAnsi="Times New Roman" w:eastAsia="方正黑体_GBK" w:cs="Times New Roman"/>
        </w:rPr>
        <w:t>下一步工作打算</w:t>
      </w:r>
    </w:p>
    <w:p>
      <w:pPr>
        <w:spacing w:line="560" w:lineRule="exact"/>
        <w:ind w:firstLine="632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各位代表，202</w:t>
      </w:r>
      <w:r>
        <w:rPr>
          <w:rFonts w:hint="eastAsia" w:eastAsia="方正仿宋_GBK"/>
          <w:sz w:val="32"/>
          <w:szCs w:val="32"/>
          <w:lang w:val="en-US" w:eastAsia="zh-CN"/>
        </w:rPr>
        <w:t>5</w:t>
      </w:r>
      <w:r>
        <w:rPr>
          <w:rFonts w:eastAsia="方正仿宋_GBK"/>
          <w:sz w:val="32"/>
          <w:szCs w:val="32"/>
        </w:rPr>
        <w:t>年我们将以习近平新时代中国特色社会主义思想为指导，</w:t>
      </w:r>
      <w:r>
        <w:rPr>
          <w:rFonts w:hint="eastAsia" w:eastAsia="方正仿宋_GBK"/>
          <w:sz w:val="32"/>
          <w:szCs w:val="32"/>
        </w:rPr>
        <w:t>全面贯彻落实党的二十大和二十届二中、三中全会精神</w:t>
      </w:r>
      <w:r>
        <w:rPr>
          <w:rFonts w:eastAsia="方正仿宋_GBK"/>
          <w:sz w:val="32"/>
          <w:szCs w:val="32"/>
        </w:rPr>
        <w:t>及中央经济工作</w:t>
      </w:r>
      <w:r>
        <w:rPr>
          <w:rFonts w:hint="eastAsia"/>
          <w:sz w:val="32"/>
          <w:szCs w:val="32"/>
          <w:lang w:eastAsia="zh-CN"/>
        </w:rPr>
        <w:t>会议</w:t>
      </w:r>
      <w:r>
        <w:rPr>
          <w:rFonts w:eastAsia="方正仿宋_GBK"/>
          <w:sz w:val="32"/>
          <w:szCs w:val="32"/>
        </w:rPr>
        <w:t>精神，弘扬伟大建党精神，始终坚持稳中求进工作总基调，在县委、县政府统一部署要求下，在乡党委领导下，结合本乡实际推动辖区内经济高质量发展，统筹推进</w:t>
      </w:r>
      <w:r>
        <w:rPr>
          <w:rFonts w:hint="eastAsia" w:eastAsia="方正仿宋_GBK"/>
          <w:sz w:val="32"/>
          <w:szCs w:val="32"/>
        </w:rPr>
        <w:t>“</w:t>
      </w:r>
      <w:r>
        <w:rPr>
          <w:rFonts w:eastAsia="方正仿宋_GBK"/>
          <w:sz w:val="32"/>
          <w:szCs w:val="32"/>
        </w:rPr>
        <w:t>稳增长、促改革、调结构、惠民生、防风险、保稳定</w:t>
      </w:r>
      <w:r>
        <w:rPr>
          <w:rFonts w:hint="eastAsia" w:eastAsia="方正仿宋_GBK"/>
          <w:sz w:val="32"/>
          <w:szCs w:val="32"/>
        </w:rPr>
        <w:t>”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eastAsia="方正仿宋_GBK"/>
          <w:sz w:val="32"/>
          <w:szCs w:val="32"/>
        </w:rPr>
        <w:t>确保本乡财政经济平稳有序运行。</w:t>
      </w:r>
      <w:bookmarkStart w:id="3" w:name="_GoBack"/>
      <w:bookmarkEnd w:id="3"/>
    </w:p>
    <w:p>
      <w:pPr>
        <w:spacing w:line="560" w:lineRule="exact"/>
        <w:ind w:firstLine="632" w:firstLineChars="200"/>
        <w:rPr>
          <w:rFonts w:eastAsia="方正仿宋_GBK"/>
          <w:sz w:val="32"/>
          <w:szCs w:val="32"/>
        </w:rPr>
      </w:pPr>
      <w:r>
        <w:rPr>
          <w:rFonts w:ascii="方正楷体_GBK" w:hAnsi="方正楷体_GBK" w:eastAsia="方正楷体_GBK" w:cs="方正楷体_GBK"/>
          <w:sz w:val="32"/>
          <w:szCs w:val="32"/>
        </w:rPr>
        <w:t>（一）厉行勤俭节约。</w:t>
      </w:r>
      <w:r>
        <w:rPr>
          <w:rFonts w:eastAsia="方正仿宋_GBK"/>
          <w:sz w:val="32"/>
          <w:szCs w:val="32"/>
        </w:rPr>
        <w:t>继续将过紧日子作为预算编制的基本方针，坚持以收定支、量入为出。硬化预算执行约束，严禁无预算、超预算拨款，严格执行各项经费开支标准。深入贯彻执行</w:t>
      </w:r>
      <w:r>
        <w:rPr>
          <w:rFonts w:hint="eastAsia"/>
          <w:sz w:val="32"/>
          <w:szCs w:val="32"/>
          <w:lang w:eastAsia="zh-CN"/>
        </w:rPr>
        <w:t>中央八项规定精神</w:t>
      </w:r>
      <w:r>
        <w:rPr>
          <w:rFonts w:eastAsia="方正仿宋_GBK"/>
          <w:sz w:val="32"/>
          <w:szCs w:val="32"/>
        </w:rPr>
        <w:t xml:space="preserve">，进一步压减一般性支出。           </w:t>
      </w:r>
    </w:p>
    <w:p>
      <w:pPr>
        <w:spacing w:line="560" w:lineRule="exact"/>
        <w:ind w:firstLine="632" w:firstLineChars="200"/>
        <w:rPr>
          <w:rFonts w:eastAsia="方正仿宋_GBK"/>
          <w:sz w:val="32"/>
          <w:szCs w:val="32"/>
        </w:rPr>
      </w:pPr>
      <w:r>
        <w:rPr>
          <w:rFonts w:ascii="方正楷体_GBK" w:hAnsi="方正楷体_GBK" w:eastAsia="方正楷体_GBK" w:cs="方正楷体_GBK"/>
          <w:sz w:val="32"/>
          <w:szCs w:val="32"/>
        </w:rPr>
        <w:t>（二）抓好预算执行。</w:t>
      </w:r>
      <w:r>
        <w:rPr>
          <w:rFonts w:eastAsia="方正仿宋_GBK"/>
          <w:sz w:val="32"/>
          <w:szCs w:val="32"/>
        </w:rPr>
        <w:t>一是实行预算执行按月通报制度。乡财政办每月将各项目支出进度情况、资金分类执行情况，分别向分管领导、项目负责人进行通报，确保乡领导、项目负责科室及时掌握专项资金执行情况。二是与各科室加强沟通，对支付进度低于序时进度的项目进行分析，</w:t>
      </w:r>
      <w:r>
        <w:rPr>
          <w:rFonts w:hint="eastAsia" w:eastAsia="方正仿宋_GBK"/>
          <w:sz w:val="32"/>
          <w:szCs w:val="32"/>
        </w:rPr>
        <w:t>理</w:t>
      </w:r>
      <w:r>
        <w:rPr>
          <w:rFonts w:eastAsia="方正仿宋_GBK"/>
          <w:sz w:val="32"/>
          <w:szCs w:val="32"/>
        </w:rPr>
        <w:t>清存在的问题，协助项目负责科室采取有效措施，按时完成支付任务。三是严格审核项目支付资料，在确保资金安全的前提下，加快专项资金的支付进度。</w:t>
      </w:r>
    </w:p>
    <w:p>
      <w:pPr>
        <w:spacing w:line="560" w:lineRule="exact"/>
        <w:ind w:firstLine="632" w:firstLineChars="200"/>
        <w:rPr>
          <w:rFonts w:eastAsia="方正仿宋_GBK"/>
          <w:sz w:val="32"/>
          <w:szCs w:val="32"/>
        </w:rPr>
      </w:pPr>
      <w:r>
        <w:rPr>
          <w:rFonts w:ascii="方正楷体_GBK" w:hAnsi="方正楷体_GBK" w:eastAsia="方正楷体_GBK" w:cs="方正楷体_GBK"/>
          <w:sz w:val="32"/>
          <w:szCs w:val="32"/>
        </w:rPr>
        <w:t>（三）深入财税改革。</w:t>
      </w:r>
      <w:r>
        <w:rPr>
          <w:rFonts w:eastAsia="方正仿宋_GBK"/>
          <w:sz w:val="32"/>
          <w:szCs w:val="32"/>
        </w:rPr>
        <w:t>一是实行新预算一体化系统。乡财政办加强业务学习，熟练掌握</w:t>
      </w:r>
      <w:r>
        <w:rPr>
          <w:rFonts w:hint="eastAsia" w:eastAsia="方正仿宋_GBK"/>
          <w:sz w:val="32"/>
          <w:szCs w:val="32"/>
        </w:rPr>
        <w:t>“</w:t>
      </w:r>
      <w:r>
        <w:rPr>
          <w:rFonts w:eastAsia="方正仿宋_GBK"/>
          <w:sz w:val="32"/>
          <w:szCs w:val="32"/>
        </w:rPr>
        <w:t>新一体化平台</w:t>
      </w:r>
      <w:r>
        <w:rPr>
          <w:rFonts w:hint="eastAsia" w:eastAsia="方正仿宋_GBK"/>
          <w:sz w:val="32"/>
          <w:szCs w:val="32"/>
        </w:rPr>
        <w:t>”</w:t>
      </w:r>
      <w:r>
        <w:rPr>
          <w:rFonts w:eastAsia="方正仿宋_GBK"/>
          <w:sz w:val="32"/>
          <w:szCs w:val="32"/>
        </w:rPr>
        <w:t>操作，确保财务工作正常有序开展。二是推进预算绩效管理。深入贯彻</w:t>
      </w:r>
      <w:r>
        <w:rPr>
          <w:rFonts w:hint="eastAsia" w:eastAsia="方正仿宋_GBK"/>
          <w:sz w:val="32"/>
          <w:szCs w:val="32"/>
        </w:rPr>
        <w:t>“</w:t>
      </w:r>
      <w:r>
        <w:rPr>
          <w:rFonts w:eastAsia="方正仿宋_GBK"/>
          <w:sz w:val="32"/>
          <w:szCs w:val="32"/>
        </w:rPr>
        <w:t>花钱必问效，无效必问责</w:t>
      </w:r>
      <w:r>
        <w:rPr>
          <w:rFonts w:hint="eastAsia" w:eastAsia="方正仿宋_GBK"/>
          <w:sz w:val="32"/>
          <w:szCs w:val="32"/>
        </w:rPr>
        <w:t>”</w:t>
      </w:r>
      <w:r>
        <w:rPr>
          <w:rFonts w:eastAsia="方正仿宋_GBK"/>
          <w:sz w:val="32"/>
          <w:szCs w:val="32"/>
        </w:rPr>
        <w:t>的绩效理念，按照全过程预算绩效管理相关制度规定，严格执行预算绩效单位自评、部门评价、财政部门核查和再评价的程序，加强事前绩效评估、事中绩效目标管理、事中绩效运行监控、事后绩效评价管理等预算绩效管理过程控制，提高绩效管理工作质量。对预算项目资金实行全生命周期管理，开展事前绩效评估，报送事前绩效评估报告，并经财政部门审核后，作为申请政策和项目预算的必备要件。</w:t>
      </w:r>
    </w:p>
    <w:p>
      <w:pPr>
        <w:spacing w:line="560" w:lineRule="exact"/>
        <w:ind w:firstLine="474" w:firstLineChars="150"/>
        <w:rPr>
          <w:rFonts w:hint="eastAsia"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各位代表，新目标承载新梦想，新征程充满新希望。我们将在乡</w:t>
      </w:r>
      <w:r>
        <w:rPr>
          <w:rFonts w:hint="eastAsia"/>
          <w:sz w:val="32"/>
          <w:szCs w:val="32"/>
          <w:lang w:eastAsia="zh-CN"/>
        </w:rPr>
        <w:t>党委、政府</w:t>
      </w:r>
      <w:r>
        <w:rPr>
          <w:rFonts w:eastAsia="方正仿宋_GBK"/>
          <w:sz w:val="32"/>
          <w:szCs w:val="32"/>
        </w:rPr>
        <w:t>的坚强领导下，撸起袖子加油干，保持奋发有为、善于作为的斗志，切实将各项财政工作抓实、抓细，稳步推进乡村振兴战略，以优异成绩贯彻党的二十大精神！</w:t>
      </w:r>
    </w:p>
    <w:p>
      <w:pPr>
        <w:spacing w:line="560" w:lineRule="exact"/>
        <w:ind w:firstLine="632" w:firstLineChars="200"/>
        <w:rPr>
          <w:rFonts w:hint="eastAsia" w:eastAsia="方正仿宋_GBK"/>
          <w:bCs/>
          <w:sz w:val="32"/>
          <w:szCs w:val="32"/>
        </w:rPr>
      </w:pPr>
      <w:r>
        <w:rPr>
          <w:rFonts w:eastAsia="方正仿宋_GBK"/>
          <w:bCs/>
          <w:sz w:val="32"/>
          <w:szCs w:val="32"/>
        </w:rPr>
        <w:t>部门预算公开联系人：</w:t>
      </w:r>
      <w:r>
        <w:rPr>
          <w:rFonts w:hint="eastAsia"/>
          <w:bCs/>
          <w:sz w:val="32"/>
          <w:szCs w:val="32"/>
          <w:lang w:eastAsia="zh-CN"/>
        </w:rPr>
        <w:t>厚坪</w:t>
      </w:r>
      <w:r>
        <w:rPr>
          <w:rFonts w:hint="eastAsia" w:eastAsia="方正仿宋_GBK"/>
          <w:bCs/>
          <w:sz w:val="32"/>
          <w:szCs w:val="32"/>
        </w:rPr>
        <w:t>乡人民政府</w:t>
      </w:r>
    </w:p>
    <w:p>
      <w:pPr>
        <w:spacing w:line="560" w:lineRule="exact"/>
        <w:ind w:firstLine="632" w:firstLineChars="200"/>
        <w:rPr>
          <w:rFonts w:hint="default" w:eastAsia="方正仿宋_GBK"/>
          <w:lang w:val="en-US" w:eastAsia="zh-CN"/>
        </w:rPr>
      </w:pPr>
      <w:r>
        <w:rPr>
          <w:rFonts w:eastAsia="方正仿宋_GBK"/>
          <w:bCs/>
          <w:sz w:val="32"/>
          <w:szCs w:val="32"/>
        </w:rPr>
        <w:t>联系方式：023-</w:t>
      </w:r>
      <w:r>
        <w:rPr>
          <w:rFonts w:hint="eastAsia"/>
          <w:bCs/>
          <w:sz w:val="32"/>
          <w:szCs w:val="32"/>
          <w:lang w:val="en-US" w:eastAsia="zh-CN"/>
        </w:rPr>
        <w:t>59261700</w:t>
      </w:r>
    </w:p>
    <w:p>
      <w:pPr>
        <w:spacing w:line="579" w:lineRule="exact"/>
        <w:ind w:firstLine="632" w:firstLineChars="200"/>
        <w:rPr>
          <w:rFonts w:hint="default" w:ascii="Times New Roman" w:hAnsi="Times New Roman" w:eastAsia="方正楷体_GBK" w:cs="Times New Roman"/>
          <w:sz w:val="32"/>
          <w:szCs w:val="32"/>
          <w:highlight w:val="none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2098" w:right="1474" w:bottom="1984" w:left="1587" w:header="851" w:footer="1361" w:gutter="0"/>
      <w:pgNumType w:fmt="numberInDash"/>
      <w:cols w:space="0" w:num="1"/>
      <w:rtlGutter w:val="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32"/>
      </w:pPr>
      <w:r>
        <w:separator/>
      </w:r>
    </w:p>
  </w:endnote>
  <w:endnote w:type="continuationSeparator" w:id="1">
    <w:p>
      <w:pPr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ind w:left="0" w:leftChars="0" w:firstLine="0" w:firstLineChars="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LqMOCs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ind w:left="0" w:leftChars="0" w:firstLine="0" w:firstLineChars="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3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32"/>
      </w:pPr>
      <w:r>
        <w:separator/>
      </w:r>
    </w:p>
  </w:footnote>
  <w:footnote w:type="continuationSeparator" w:id="1">
    <w:p>
      <w:pPr>
        <w:ind w:firstLine="6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decimal"/>
      <w:pStyle w:val="10"/>
      <w:lvlText w:val="%1."/>
      <w:lvlJc w:val="left"/>
      <w:pPr>
        <w:ind w:left="420" w:hanging="420"/>
      </w:pPr>
      <w:rPr>
        <w:sz w:val="30"/>
        <w:szCs w:val="3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wZGZjOTlmZDM5MjM4ZGYwOGZkYTllNTAxNTc0ZjUifQ=="/>
  </w:docVars>
  <w:rsids>
    <w:rsidRoot w:val="00000000"/>
    <w:rsid w:val="005A5DB1"/>
    <w:rsid w:val="00BD4F42"/>
    <w:rsid w:val="04BC206B"/>
    <w:rsid w:val="06A35286"/>
    <w:rsid w:val="070E7055"/>
    <w:rsid w:val="08DE32E1"/>
    <w:rsid w:val="09DA1B3F"/>
    <w:rsid w:val="0A514815"/>
    <w:rsid w:val="0ACA1C55"/>
    <w:rsid w:val="0B3B555D"/>
    <w:rsid w:val="11830E5C"/>
    <w:rsid w:val="128E330C"/>
    <w:rsid w:val="12BF0D8B"/>
    <w:rsid w:val="13300306"/>
    <w:rsid w:val="134E28DC"/>
    <w:rsid w:val="1442456B"/>
    <w:rsid w:val="151D31F0"/>
    <w:rsid w:val="15B623C8"/>
    <w:rsid w:val="17BE7809"/>
    <w:rsid w:val="17EF433D"/>
    <w:rsid w:val="18561037"/>
    <w:rsid w:val="187440FF"/>
    <w:rsid w:val="189E7976"/>
    <w:rsid w:val="19275D3E"/>
    <w:rsid w:val="193237FA"/>
    <w:rsid w:val="1A002B8E"/>
    <w:rsid w:val="1A6B510D"/>
    <w:rsid w:val="1AA4747D"/>
    <w:rsid w:val="1CB242E7"/>
    <w:rsid w:val="1CEBD93E"/>
    <w:rsid w:val="1CFB07BB"/>
    <w:rsid w:val="1D2A29B1"/>
    <w:rsid w:val="1F1128F7"/>
    <w:rsid w:val="20BF558F"/>
    <w:rsid w:val="230D7E6B"/>
    <w:rsid w:val="246A3435"/>
    <w:rsid w:val="25BE3980"/>
    <w:rsid w:val="25CE29E7"/>
    <w:rsid w:val="26151ECF"/>
    <w:rsid w:val="261B7D67"/>
    <w:rsid w:val="26D537EE"/>
    <w:rsid w:val="286857C8"/>
    <w:rsid w:val="29A950A4"/>
    <w:rsid w:val="2B1A0F4A"/>
    <w:rsid w:val="2B951B71"/>
    <w:rsid w:val="2D5003AA"/>
    <w:rsid w:val="2E3D7B0C"/>
    <w:rsid w:val="30493EEC"/>
    <w:rsid w:val="329474DF"/>
    <w:rsid w:val="33670B41"/>
    <w:rsid w:val="34777BDB"/>
    <w:rsid w:val="34E06990"/>
    <w:rsid w:val="367B4888"/>
    <w:rsid w:val="3705225F"/>
    <w:rsid w:val="386D5AD2"/>
    <w:rsid w:val="3C15337F"/>
    <w:rsid w:val="3CF640BC"/>
    <w:rsid w:val="3E6C1EB7"/>
    <w:rsid w:val="3EDC2C9F"/>
    <w:rsid w:val="40080F17"/>
    <w:rsid w:val="41262E4A"/>
    <w:rsid w:val="41E36BAF"/>
    <w:rsid w:val="41FF1C73"/>
    <w:rsid w:val="424A4F63"/>
    <w:rsid w:val="42C9341F"/>
    <w:rsid w:val="43643F00"/>
    <w:rsid w:val="43CC1F67"/>
    <w:rsid w:val="442E4417"/>
    <w:rsid w:val="44AF7156"/>
    <w:rsid w:val="46064B78"/>
    <w:rsid w:val="46E93EA5"/>
    <w:rsid w:val="480B5B3F"/>
    <w:rsid w:val="488701F3"/>
    <w:rsid w:val="49F07E0F"/>
    <w:rsid w:val="4A0D3900"/>
    <w:rsid w:val="4CD14F55"/>
    <w:rsid w:val="4F5D25C0"/>
    <w:rsid w:val="4FF82BB1"/>
    <w:rsid w:val="50144323"/>
    <w:rsid w:val="545C000F"/>
    <w:rsid w:val="546E72C7"/>
    <w:rsid w:val="57002196"/>
    <w:rsid w:val="58ED50D2"/>
    <w:rsid w:val="5911232F"/>
    <w:rsid w:val="597652D3"/>
    <w:rsid w:val="59D2391B"/>
    <w:rsid w:val="5A8976A0"/>
    <w:rsid w:val="5BC40814"/>
    <w:rsid w:val="5CB342A5"/>
    <w:rsid w:val="5D116111"/>
    <w:rsid w:val="60020A8F"/>
    <w:rsid w:val="607556F0"/>
    <w:rsid w:val="60F46B6A"/>
    <w:rsid w:val="621D3940"/>
    <w:rsid w:val="625037D3"/>
    <w:rsid w:val="631B3968"/>
    <w:rsid w:val="645633E4"/>
    <w:rsid w:val="655C22EC"/>
    <w:rsid w:val="65B16739"/>
    <w:rsid w:val="66DF5106"/>
    <w:rsid w:val="67D20469"/>
    <w:rsid w:val="67E20CE9"/>
    <w:rsid w:val="6BF72AB9"/>
    <w:rsid w:val="6C187637"/>
    <w:rsid w:val="6C5E66E4"/>
    <w:rsid w:val="6D983849"/>
    <w:rsid w:val="6DA06923"/>
    <w:rsid w:val="6E1C3560"/>
    <w:rsid w:val="6F7F005B"/>
    <w:rsid w:val="702B7386"/>
    <w:rsid w:val="70437450"/>
    <w:rsid w:val="70A652FF"/>
    <w:rsid w:val="70E93AA4"/>
    <w:rsid w:val="72930F5E"/>
    <w:rsid w:val="73FF142A"/>
    <w:rsid w:val="741661E7"/>
    <w:rsid w:val="74366602"/>
    <w:rsid w:val="74BC5684"/>
    <w:rsid w:val="75816584"/>
    <w:rsid w:val="769C03D3"/>
    <w:rsid w:val="76DE1032"/>
    <w:rsid w:val="77D72AAF"/>
    <w:rsid w:val="792900EB"/>
    <w:rsid w:val="7A414763"/>
    <w:rsid w:val="7A555C24"/>
    <w:rsid w:val="7AC71842"/>
    <w:rsid w:val="7AE678D0"/>
    <w:rsid w:val="7AEC602E"/>
    <w:rsid w:val="7B08030F"/>
    <w:rsid w:val="7B2A276E"/>
    <w:rsid w:val="7BCC0FAD"/>
    <w:rsid w:val="7BF26E9F"/>
    <w:rsid w:val="7BFF2FC3"/>
    <w:rsid w:val="7C5D270E"/>
    <w:rsid w:val="7FBB689A"/>
    <w:rsid w:val="F77FA891"/>
    <w:rsid w:val="FBFBF30A"/>
    <w:rsid w:val="FCFDD989"/>
    <w:rsid w:val="FECB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99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3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方正仿宋_GBK" w:cs="宋体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0"/>
    <w:pPr>
      <w:keepNext/>
      <w:keepLines/>
      <w:ind w:firstLine="632" w:firstLineChars="200"/>
      <w:outlineLvl w:val="0"/>
    </w:pPr>
    <w:rPr>
      <w:rFonts w:eastAsia="方正黑体_GBK" w:cstheme="minorBidi"/>
      <w:bCs/>
      <w:kern w:val="44"/>
      <w:szCs w:val="44"/>
    </w:rPr>
  </w:style>
  <w:style w:type="paragraph" w:styleId="3">
    <w:name w:val="heading 2"/>
    <w:basedOn w:val="2"/>
    <w:next w:val="1"/>
    <w:link w:val="19"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1"/>
    </w:pPr>
    <w:rPr>
      <w:rFonts w:eastAsia="方正楷体_GBK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ind w:firstLine="0" w:firstLineChars="0"/>
    </w:pPr>
    <w:rPr>
      <w:rFonts w:ascii="宋体" w:hAnsi="宋体" w:eastAsia="宋体" w:cs="宋体"/>
      <w:szCs w:val="32"/>
      <w:lang w:val="zh-CN" w:bidi="zh-CN"/>
    </w:rPr>
  </w:style>
  <w:style w:type="paragraph" w:styleId="5">
    <w:name w:val="Body Text Indent"/>
    <w:basedOn w:val="1"/>
    <w:unhideWhenUsed/>
    <w:qFormat/>
    <w:uiPriority w:val="99"/>
    <w:pPr>
      <w:ind w:left="1663" w:leftChars="313" w:hanging="1006" w:hangingChars="503"/>
    </w:pPr>
    <w:rPr>
      <w:rFonts w:ascii="仿宋_GB2312" w:eastAsia="仿宋_GB2312" w:cs="仿宋_GB2312"/>
    </w:rPr>
  </w:style>
  <w:style w:type="paragraph" w:styleId="6">
    <w:name w:val="toc 5"/>
    <w:basedOn w:val="1"/>
    <w:next w:val="1"/>
    <w:qFormat/>
    <w:uiPriority w:val="0"/>
    <w:pPr>
      <w:ind w:left="1680" w:leftChars="800"/>
    </w:pPr>
  </w:style>
  <w:style w:type="paragraph" w:styleId="7">
    <w:name w:val="Plain Text"/>
    <w:basedOn w:val="1"/>
    <w:qFormat/>
    <w:uiPriority w:val="0"/>
    <w:rPr>
      <w:rFonts w:ascii="宋体" w:hAnsi="Courier New" w:eastAsia="宋体"/>
      <w:sz w:val="21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qFormat/>
    <w:uiPriority w:val="39"/>
    <w:pPr>
      <w:numPr>
        <w:ilvl w:val="0"/>
        <w:numId w:val="1"/>
      </w:numPr>
      <w:tabs>
        <w:tab w:val="right" w:leader="dot" w:pos="8834"/>
      </w:tabs>
      <w:ind w:left="567" w:hanging="567" w:firstLineChars="0"/>
    </w:pPr>
  </w:style>
  <w:style w:type="paragraph" w:styleId="11">
    <w:name w:val="Subtitle"/>
    <w:basedOn w:val="1"/>
    <w:next w:val="1"/>
    <w:qFormat/>
    <w:uiPriority w:val="99"/>
    <w:pPr>
      <w:spacing w:line="580" w:lineRule="exact"/>
      <w:ind w:firstLine="0" w:firstLineChars="0"/>
      <w:jc w:val="center"/>
      <w:outlineLvl w:val="1"/>
    </w:pPr>
    <w:rPr>
      <w:rFonts w:eastAsia="方正楷体_GBK" w:cs="宋体"/>
      <w:bCs/>
      <w:kern w:val="28"/>
      <w:szCs w:val="32"/>
    </w:rPr>
  </w:style>
  <w:style w:type="paragraph" w:styleId="12">
    <w:name w:val="Title"/>
    <w:basedOn w:val="1"/>
    <w:next w:val="1"/>
    <w:qFormat/>
    <w:uiPriority w:val="99"/>
    <w:pPr>
      <w:spacing w:line="580" w:lineRule="exact"/>
      <w:ind w:firstLine="0" w:firstLineChars="0"/>
      <w:jc w:val="center"/>
      <w:outlineLvl w:val="0"/>
    </w:pPr>
    <w:rPr>
      <w:rFonts w:eastAsia="方正小标宋_GBK" w:cs="宋体"/>
      <w:bCs/>
      <w:sz w:val="44"/>
      <w:szCs w:val="32"/>
    </w:rPr>
  </w:style>
  <w:style w:type="paragraph" w:styleId="13">
    <w:name w:val="Body Text First Indent 2"/>
    <w:basedOn w:val="5"/>
    <w:next w:val="1"/>
    <w:unhideWhenUsed/>
    <w:qFormat/>
    <w:uiPriority w:val="99"/>
    <w:pPr>
      <w:ind w:firstLine="420" w:firstLineChars="200"/>
    </w:pPr>
  </w:style>
  <w:style w:type="table" w:styleId="15">
    <w:name w:val="Table Grid"/>
    <w:basedOn w:val="1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无间隔1"/>
    <w:basedOn w:val="1"/>
    <w:qFormat/>
    <w:uiPriority w:val="0"/>
    <w:rPr>
      <w:szCs w:val="32"/>
    </w:rPr>
  </w:style>
  <w:style w:type="paragraph" w:styleId="18">
    <w:name w:val="List Paragraph"/>
    <w:basedOn w:val="1"/>
    <w:qFormat/>
    <w:uiPriority w:val="34"/>
    <w:pPr>
      <w:ind w:firstLine="420"/>
    </w:pPr>
  </w:style>
  <w:style w:type="character" w:customStyle="1" w:styleId="19">
    <w:name w:val="标题 2 Char"/>
    <w:link w:val="3"/>
    <w:qFormat/>
    <w:uiPriority w:val="0"/>
    <w:rPr>
      <w:rFonts w:eastAsia="方正楷体_GBK"/>
    </w:rPr>
  </w:style>
  <w:style w:type="character" w:customStyle="1" w:styleId="20">
    <w:name w:val="标题 1 字符"/>
    <w:basedOn w:val="16"/>
    <w:link w:val="2"/>
    <w:qFormat/>
    <w:uiPriority w:val="9"/>
    <w:rPr>
      <w:rFonts w:eastAsia="方正黑体_GBK" w:cstheme="minorBidi"/>
      <w:bCs/>
      <w:kern w:val="44"/>
      <w:szCs w:val="44"/>
    </w:rPr>
  </w:style>
  <w:style w:type="paragraph" w:customStyle="1" w:styleId="21">
    <w:name w:val="正文首行缩进1"/>
    <w:basedOn w:val="22"/>
    <w:qFormat/>
    <w:uiPriority w:val="0"/>
    <w:pPr>
      <w:ind w:firstLine="420" w:firstLineChars="100"/>
    </w:pPr>
  </w:style>
  <w:style w:type="paragraph" w:customStyle="1" w:styleId="22">
    <w:name w:val="正文文本1"/>
    <w:basedOn w:val="1"/>
    <w:qFormat/>
    <w:uiPriority w:val="0"/>
    <w:pPr>
      <w:ind w:left="120"/>
    </w:pPr>
    <w:rPr>
      <w:rFonts w:ascii="宋体" w:hAnsi="宋体" w:eastAsia="宋体"/>
      <w:sz w:val="28"/>
      <w:szCs w:val="28"/>
      <w:lang w:val="zh-CN" w:eastAsia="zh-CN" w:bidi="zh-CN"/>
    </w:rPr>
  </w:style>
  <w:style w:type="character" w:customStyle="1" w:styleId="23">
    <w:name w:val="要点1"/>
    <w:link w:val="1"/>
    <w:qFormat/>
    <w:uiPriority w:val="0"/>
    <w:rPr>
      <w:rFonts w:ascii="Times New Roman" w:hAnsi="Times New Roman" w:eastAsia="方正仿宋_GBK" w:cs="宋体"/>
      <w:kern w:val="2"/>
      <w:sz w:val="32"/>
      <w:szCs w:val="22"/>
      <w:lang w:val="en-US" w:eastAsia="zh-CN" w:bidi="ar-SA"/>
    </w:rPr>
  </w:style>
  <w:style w:type="paragraph" w:customStyle="1" w:styleId="24">
    <w:name w:val="纯文本1"/>
    <w:basedOn w:val="1"/>
    <w:qFormat/>
    <w:uiPriority w:val="0"/>
    <w:rPr>
      <w:rFonts w:ascii="宋体" w:hAnsi="Courier New"/>
    </w:rPr>
  </w:style>
  <w:style w:type="paragraph" w:customStyle="1" w:styleId="25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1469</Words>
  <Characters>1571</Characters>
  <Lines>0</Lines>
  <Paragraphs>0</Paragraphs>
  <TotalTime>0</TotalTime>
  <ScaleCrop>false</ScaleCrop>
  <LinksUpToDate>false</LinksUpToDate>
  <CharactersWithSpaces>1584</CharactersWithSpaces>
  <Application>WPS Office_11.8.2.1128_F1E327BC-269C-435d-A152-05C5408002CA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2022-04-26T13:33:00Z</dcterms:created>
  <dc:creator>Administrator</dc:creator>
  <cp:lastModifiedBy>huawei-hw</cp:lastModifiedBy>
  <cp:lastPrinted>2025-03-27T10:09:00Z</cp:lastPrinted>
  <dcterms:modified xsi:type="dcterms:W3CDTF">2025-09-29T09:20:29Z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2052-11.8.2.1128</vt:lpwstr>
  </property>
  <property fmtid="{D5CDD505-2E9C-101B-9397-08002B2CF9AE}" pid="3" name="ICV">
    <vt:lpwstr>A16D584BE47F4FB884C9A7763FDC3B55_13</vt:lpwstr>
  </property>
  <property fmtid="{D5CDD505-2E9C-101B-9397-08002B2CF9AE}" pid="4" name="KSOTemplateDocerSaveRecord">
    <vt:lpwstr>eyJoZGlkIjoiOWMwZGZjOTlmZDM5MjM4ZGYwOGZkYTllNTAxNTc0ZjUiLCJ1c2VySWQiOiIzODc5MTcwNTgifQ==</vt:lpwstr>
  </property>
</Properties>
</file>