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D7A5E">
      <w:pPr>
        <w:spacing w:line="579" w:lineRule="exact"/>
        <w:jc w:val="center"/>
        <w:rPr>
          <w:rFonts w:ascii="Times New Roman" w:hAnsi="Times New Roman" w:eastAsia="方正仿宋简体"/>
          <w:b/>
          <w:sz w:val="44"/>
          <w:szCs w:val="44"/>
        </w:rPr>
      </w:pPr>
      <w:r>
        <w:rPr>
          <w:rFonts w:hint="eastAsia" w:ascii="Times New Roman" w:hAnsi="Times New Roman" w:eastAsia="方正小标宋_GBK"/>
          <w:sz w:val="44"/>
          <w:szCs w:val="44"/>
        </w:rPr>
        <w:t>厚坪乡退役军人服务站2024年财政决算报告</w:t>
      </w:r>
    </w:p>
    <w:p w14:paraId="657BF4C9">
      <w:pPr>
        <w:tabs>
          <w:tab w:val="center" w:pos="4153"/>
          <w:tab w:val="left" w:pos="7275"/>
        </w:tabs>
        <w:spacing w:line="579" w:lineRule="exact"/>
        <w:rPr>
          <w:rFonts w:ascii="Times New Roman" w:hAnsi="Times New Roman" w:eastAsia="方正仿宋_GBK"/>
          <w:sz w:val="32"/>
          <w:szCs w:val="32"/>
        </w:rPr>
      </w:pPr>
    </w:p>
    <w:p w14:paraId="21C14E85">
      <w:pPr>
        <w:spacing w:line="579" w:lineRule="exact"/>
        <w:ind w:firstLine="640" w:firstLineChars="200"/>
        <w:rPr>
          <w:rFonts w:hint="eastAsia" w:ascii="Times New Roman" w:hAnsi="Times New Roman" w:eastAsia="方正黑体_GBK"/>
          <w:sz w:val="32"/>
          <w:szCs w:val="32"/>
          <w:lang w:eastAsia="zh-CN"/>
        </w:rPr>
      </w:pPr>
      <w:r>
        <w:rPr>
          <w:rFonts w:hint="eastAsia" w:ascii="Times New Roman" w:hAnsi="Times New Roman" w:eastAsia="方正黑体_GBK"/>
          <w:sz w:val="32"/>
          <w:szCs w:val="32"/>
          <w:lang w:eastAsia="zh-CN"/>
        </w:rPr>
        <w:t>一、基本情况</w:t>
      </w:r>
    </w:p>
    <w:p w14:paraId="21122800">
      <w:pPr>
        <w:tabs>
          <w:tab w:val="center" w:pos="4153"/>
          <w:tab w:val="left" w:pos="7275"/>
        </w:tabs>
        <w:spacing w:line="579"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厚坪乡退役军人服务站</w:t>
      </w:r>
      <w:r>
        <w:rPr>
          <w:rFonts w:hint="eastAsia" w:ascii="Times New Roman" w:hAnsi="Times New Roman" w:eastAsia="方正仿宋_GBK"/>
          <w:sz w:val="32"/>
          <w:szCs w:val="32"/>
          <w:lang w:eastAsia="zh-CN"/>
        </w:rPr>
        <w:t>为厚坪乡人民政府所属公益一类事业单位，主要</w:t>
      </w:r>
      <w:r>
        <w:rPr>
          <w:rFonts w:hint="eastAsia" w:ascii="Times New Roman" w:hAnsi="Times New Roman" w:eastAsia="方正仿宋_GBK"/>
          <w:sz w:val="32"/>
          <w:szCs w:val="32"/>
        </w:rPr>
        <w:t>负责做好退役军人关系转接、联络接待、困难帮扶、就业创业、优抚帮扶、权益保障、信息采集、情况反映、立功喜报、悬挂光荣牌，负责“八一”、春节等节日以及重大变故走访慰问等具体</w:t>
      </w:r>
      <w:r>
        <w:rPr>
          <w:rFonts w:hint="eastAsia" w:ascii="Times New Roman" w:hAnsi="Times New Roman" w:eastAsia="方正仿宋_GBK"/>
          <w:sz w:val="32"/>
          <w:szCs w:val="32"/>
          <w:lang w:eastAsia="zh-CN"/>
        </w:rPr>
        <w:t>工作</w:t>
      </w:r>
      <w:r>
        <w:rPr>
          <w:rFonts w:hint="eastAsia" w:ascii="Times New Roman" w:hAnsi="Times New Roman" w:eastAsia="方正仿宋_GBK"/>
          <w:sz w:val="32"/>
          <w:szCs w:val="32"/>
        </w:rPr>
        <w:t>。</w:t>
      </w:r>
      <w:r>
        <w:rPr>
          <w:rFonts w:ascii="Times New Roman" w:hAnsi="Times New Roman" w:eastAsia="方正仿宋_GBK"/>
          <w:sz w:val="32"/>
          <w:szCs w:val="32"/>
        </w:rPr>
        <w:t>现向</w:t>
      </w:r>
      <w:r>
        <w:rPr>
          <w:rFonts w:hint="eastAsia" w:ascii="Times New Roman" w:hAnsi="Times New Roman" w:eastAsia="方正仿宋_GBK"/>
          <w:sz w:val="32"/>
          <w:szCs w:val="32"/>
        </w:rPr>
        <w:t>社会公示厚坪乡退役军人服务站</w:t>
      </w:r>
      <w:r>
        <w:rPr>
          <w:rFonts w:ascii="Times New Roman" w:hAnsi="Times New Roman" w:eastAsia="方正仿宋_GBK"/>
          <w:sz w:val="32"/>
          <w:szCs w:val="32"/>
        </w:rPr>
        <w:t>2024年财政决算执行情况。</w:t>
      </w:r>
    </w:p>
    <w:p w14:paraId="60DA853E">
      <w:pPr>
        <w:spacing w:line="579"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sz w:val="32"/>
          <w:szCs w:val="32"/>
          <w:lang w:eastAsia="zh-CN"/>
        </w:rPr>
        <w:t>二</w:t>
      </w:r>
      <w:r>
        <w:rPr>
          <w:rFonts w:ascii="Times New Roman" w:hAnsi="Times New Roman" w:eastAsia="方正黑体_GBK"/>
          <w:sz w:val="32"/>
          <w:szCs w:val="32"/>
        </w:rPr>
        <w:t>、</w:t>
      </w:r>
      <w:r>
        <w:rPr>
          <w:rFonts w:hint="eastAsia" w:ascii="Times New Roman" w:hAnsi="Times New Roman" w:eastAsia="方正黑体_GBK"/>
          <w:sz w:val="32"/>
          <w:szCs w:val="32"/>
        </w:rPr>
        <w:t>2024年财政</w:t>
      </w:r>
      <w:r>
        <w:rPr>
          <w:rFonts w:ascii="Times New Roman" w:hAnsi="Times New Roman" w:eastAsia="方正黑体_GBK"/>
          <w:sz w:val="32"/>
          <w:szCs w:val="32"/>
        </w:rPr>
        <w:t>决算</w:t>
      </w:r>
      <w:r>
        <w:rPr>
          <w:rFonts w:hint="eastAsia" w:ascii="Times New Roman" w:hAnsi="Times New Roman" w:eastAsia="方正黑体_GBK"/>
          <w:sz w:val="32"/>
          <w:szCs w:val="32"/>
        </w:rPr>
        <w:t>情况</w:t>
      </w:r>
    </w:p>
    <w:p w14:paraId="019FB144">
      <w:pPr>
        <w:widowControl/>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2024年，在</w:t>
      </w:r>
      <w:r>
        <w:rPr>
          <w:rFonts w:hint="eastAsia" w:ascii="Times New Roman" w:hAnsi="Times New Roman" w:eastAsia="方正仿宋_GBK"/>
          <w:sz w:val="32"/>
          <w:szCs w:val="32"/>
        </w:rPr>
        <w:t>乡</w:t>
      </w:r>
      <w:r>
        <w:rPr>
          <w:rFonts w:ascii="Times New Roman" w:hAnsi="Times New Roman" w:eastAsia="方正仿宋_GBK"/>
          <w:sz w:val="32"/>
          <w:szCs w:val="32"/>
        </w:rPr>
        <w:t>党委、政府正确领导和全体</w:t>
      </w:r>
      <w:r>
        <w:rPr>
          <w:rFonts w:hint="eastAsia" w:ascii="Times New Roman" w:hAnsi="Times New Roman" w:eastAsia="方正仿宋_GBK"/>
          <w:sz w:val="32"/>
          <w:szCs w:val="32"/>
        </w:rPr>
        <w:t>乡</w:t>
      </w:r>
      <w:r>
        <w:rPr>
          <w:rFonts w:ascii="Times New Roman" w:hAnsi="Times New Roman" w:eastAsia="方正仿宋_GBK"/>
          <w:sz w:val="32"/>
          <w:szCs w:val="32"/>
        </w:rPr>
        <w:t>村干部群众共同努力下，在</w:t>
      </w:r>
      <w:r>
        <w:rPr>
          <w:rFonts w:hint="eastAsia" w:ascii="Times New Roman" w:hAnsi="Times New Roman" w:eastAsia="方正仿宋_GBK"/>
          <w:sz w:val="32"/>
          <w:szCs w:val="32"/>
        </w:rPr>
        <w:t>乡</w:t>
      </w:r>
      <w:r>
        <w:rPr>
          <w:rFonts w:ascii="Times New Roman" w:hAnsi="Times New Roman" w:eastAsia="方正仿宋_GBK"/>
          <w:sz w:val="32"/>
          <w:szCs w:val="32"/>
        </w:rPr>
        <w:t>人大的监督指导和社会各界的大力支持下，我</w:t>
      </w:r>
      <w:r>
        <w:rPr>
          <w:rFonts w:hint="eastAsia" w:ascii="Times New Roman" w:hAnsi="Times New Roman" w:eastAsia="方正仿宋_GBK"/>
          <w:sz w:val="32"/>
          <w:szCs w:val="32"/>
        </w:rPr>
        <w:t>乡退役军人服务站</w:t>
      </w:r>
      <w:r>
        <w:rPr>
          <w:rFonts w:ascii="Times New Roman" w:hAnsi="Times New Roman" w:eastAsia="方正仿宋_GBK"/>
          <w:sz w:val="32"/>
          <w:szCs w:val="32"/>
        </w:rPr>
        <w:t>认真贯彻上级财政方针政策，大力组织财政收入，优化财政支出结构，强化财政管理，提高资金绩效，不断改善民生，实现全</w:t>
      </w:r>
      <w:r>
        <w:rPr>
          <w:rFonts w:hint="eastAsia" w:ascii="Times New Roman" w:hAnsi="Times New Roman" w:eastAsia="方正仿宋_GBK"/>
          <w:sz w:val="32"/>
          <w:szCs w:val="32"/>
        </w:rPr>
        <w:t>乡</w:t>
      </w:r>
      <w:r>
        <w:rPr>
          <w:rFonts w:ascii="Times New Roman" w:hAnsi="Times New Roman" w:eastAsia="方正仿宋_GBK"/>
          <w:sz w:val="32"/>
          <w:szCs w:val="32"/>
        </w:rPr>
        <w:t>经济社会平稳健康发展。</w:t>
      </w:r>
    </w:p>
    <w:p w14:paraId="1C937D75">
      <w:pPr>
        <w:spacing w:line="579"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（一）财政收入执行情况</w:t>
      </w:r>
    </w:p>
    <w:p w14:paraId="647B00F4">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w:t>
      </w:r>
      <w:r>
        <w:rPr>
          <w:rFonts w:hint="eastAsia" w:ascii="Times New Roman" w:hAnsi="Times New Roman" w:eastAsia="方正仿宋_GBK"/>
          <w:sz w:val="32"/>
          <w:szCs w:val="32"/>
        </w:rPr>
        <w:t>厚坪乡退役军人服务站</w:t>
      </w:r>
      <w:r>
        <w:rPr>
          <w:rFonts w:ascii="Times New Roman" w:hAnsi="Times New Roman" w:eastAsia="方正仿宋_GBK"/>
          <w:sz w:val="32"/>
          <w:szCs w:val="32"/>
        </w:rPr>
        <w:t>一般公共预算收入19.76万元，较上年决算数</w:t>
      </w:r>
      <w:r>
        <w:rPr>
          <w:rFonts w:hint="eastAsia" w:ascii="Times New Roman" w:hAnsi="Times New Roman" w:eastAsia="方正仿宋_GBK"/>
          <w:sz w:val="32"/>
          <w:szCs w:val="32"/>
        </w:rPr>
        <w:t>增加</w:t>
      </w:r>
      <w:r>
        <w:rPr>
          <w:rFonts w:ascii="Times New Roman" w:hAnsi="Times New Roman" w:eastAsia="方正仿宋_GBK"/>
          <w:sz w:val="32"/>
          <w:szCs w:val="32"/>
        </w:rPr>
        <w:t>19.76万元</w:t>
      </w:r>
      <w:r>
        <w:rPr>
          <w:rFonts w:hint="eastAsia" w:ascii="Times New Roman" w:hAnsi="Times New Roman" w:eastAsia="方正仿宋_GBK"/>
          <w:sz w:val="32"/>
          <w:szCs w:val="32"/>
        </w:rPr>
        <w:t>，全部为一般公共预算财政拨款收入</w:t>
      </w:r>
      <w:r>
        <w:rPr>
          <w:rFonts w:ascii="Times New Roman" w:hAnsi="Times New Roman" w:eastAsia="方正仿宋_GBK"/>
          <w:sz w:val="32"/>
          <w:szCs w:val="32"/>
        </w:rPr>
        <w:t>。</w:t>
      </w:r>
    </w:p>
    <w:p w14:paraId="1BE1154B">
      <w:pPr>
        <w:spacing w:line="579"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rPr>
        <w:t>财政</w:t>
      </w:r>
      <w:r>
        <w:rPr>
          <w:rFonts w:ascii="方正楷体_GBK" w:hAnsi="方正楷体_GBK" w:eastAsia="方正楷体_GBK" w:cs="方正楷体_GBK"/>
          <w:sz w:val="32"/>
          <w:szCs w:val="32"/>
        </w:rPr>
        <w:t>支出</w:t>
      </w:r>
      <w:r>
        <w:rPr>
          <w:rFonts w:hint="eastAsia" w:ascii="方正楷体_GBK" w:hAnsi="方正楷体_GBK" w:eastAsia="方正楷体_GBK" w:cs="方正楷体_GBK"/>
          <w:sz w:val="32"/>
          <w:szCs w:val="32"/>
        </w:rPr>
        <w:t>执行</w:t>
      </w:r>
      <w:r>
        <w:rPr>
          <w:rFonts w:ascii="方正楷体_GBK" w:hAnsi="方正楷体_GBK" w:eastAsia="方正楷体_GBK" w:cs="方正楷体_GBK"/>
          <w:sz w:val="32"/>
          <w:szCs w:val="32"/>
        </w:rPr>
        <w:t>情况</w:t>
      </w:r>
    </w:p>
    <w:p w14:paraId="4D7C2511">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w:t>
      </w:r>
      <w:r>
        <w:rPr>
          <w:rFonts w:hint="eastAsia" w:ascii="Times New Roman" w:hAnsi="Times New Roman" w:eastAsia="方正仿宋_GBK"/>
          <w:sz w:val="32"/>
          <w:szCs w:val="32"/>
        </w:rPr>
        <w:t>厚坪乡退役军人服务站</w:t>
      </w:r>
      <w:r>
        <w:rPr>
          <w:rFonts w:ascii="Times New Roman" w:hAnsi="Times New Roman" w:eastAsia="方正仿宋_GBK"/>
          <w:sz w:val="32"/>
          <w:szCs w:val="32"/>
        </w:rPr>
        <w:t>一般公共预算支出19.76万元，其中：一般公共服务支出</w:t>
      </w:r>
      <w:r>
        <w:rPr>
          <w:rFonts w:hint="eastAsia" w:ascii="Times New Roman" w:hAnsi="Times New Roman" w:eastAsia="方正仿宋_GBK"/>
          <w:sz w:val="32"/>
          <w:szCs w:val="32"/>
        </w:rPr>
        <w:t>0.2</w:t>
      </w:r>
      <w:r>
        <w:rPr>
          <w:rFonts w:ascii="Times New Roman" w:hAnsi="Times New Roman" w:eastAsia="方正仿宋_GBK"/>
          <w:sz w:val="32"/>
          <w:szCs w:val="32"/>
        </w:rPr>
        <w:t>1</w:t>
      </w:r>
      <w:r>
        <w:rPr>
          <w:rFonts w:hint="eastAsia" w:ascii="Times New Roman" w:hAnsi="Times New Roman" w:eastAsia="方正仿宋_GBK"/>
          <w:sz w:val="32"/>
          <w:szCs w:val="32"/>
        </w:rPr>
        <w:t>万元，</w:t>
      </w:r>
      <w:r>
        <w:rPr>
          <w:rFonts w:ascii="Times New Roman" w:hAnsi="Times New Roman" w:eastAsia="方正仿宋_GBK"/>
          <w:sz w:val="32"/>
          <w:szCs w:val="32"/>
        </w:rPr>
        <w:t>占</w:t>
      </w:r>
      <w:r>
        <w:rPr>
          <w:rFonts w:hint="eastAsia" w:ascii="Times New Roman" w:hAnsi="Times New Roman" w:eastAsia="方正仿宋_GBK"/>
          <w:sz w:val="32"/>
          <w:szCs w:val="32"/>
        </w:rPr>
        <w:t>1.</w:t>
      </w:r>
      <w:r>
        <w:rPr>
          <w:rFonts w:ascii="Times New Roman" w:hAnsi="Times New Roman" w:eastAsia="方正仿宋_GBK"/>
          <w:sz w:val="32"/>
          <w:szCs w:val="32"/>
        </w:rPr>
        <w:t>06%</w:t>
      </w:r>
      <w:r>
        <w:rPr>
          <w:rFonts w:hint="eastAsia" w:ascii="Times New Roman" w:hAnsi="Times New Roman" w:eastAsia="方正仿宋_GBK"/>
          <w:sz w:val="32"/>
          <w:szCs w:val="32"/>
        </w:rPr>
        <w:t>；社会保障和就业支出</w:t>
      </w:r>
      <w:r>
        <w:rPr>
          <w:rFonts w:ascii="Times New Roman" w:hAnsi="Times New Roman" w:eastAsia="方正仿宋_GBK"/>
          <w:sz w:val="32"/>
          <w:szCs w:val="32"/>
        </w:rPr>
        <w:t>14.93万元</w:t>
      </w:r>
      <w:r>
        <w:rPr>
          <w:rFonts w:hint="eastAsia" w:ascii="Times New Roman" w:hAnsi="Times New Roman" w:eastAsia="方正仿宋_GBK"/>
          <w:sz w:val="32"/>
          <w:szCs w:val="32"/>
        </w:rPr>
        <w:t>，</w:t>
      </w:r>
      <w:r>
        <w:rPr>
          <w:rFonts w:ascii="Times New Roman" w:hAnsi="Times New Roman" w:eastAsia="方正仿宋_GBK"/>
          <w:sz w:val="32"/>
          <w:szCs w:val="32"/>
        </w:rPr>
        <w:t>占75.56</w:t>
      </w:r>
      <w:r>
        <w:rPr>
          <w:rFonts w:hint="eastAsia" w:ascii="Times New Roman" w:hAnsi="Times New Roman" w:eastAsia="方正仿宋_GBK"/>
          <w:sz w:val="32"/>
          <w:szCs w:val="32"/>
        </w:rPr>
        <w:t>%；卫生健康支出2.62</w:t>
      </w:r>
      <w:r>
        <w:rPr>
          <w:rFonts w:ascii="Times New Roman" w:hAnsi="Times New Roman" w:eastAsia="方正仿宋_GBK"/>
          <w:sz w:val="32"/>
          <w:szCs w:val="32"/>
        </w:rPr>
        <w:t>万元</w:t>
      </w:r>
      <w:r>
        <w:rPr>
          <w:rFonts w:hint="eastAsia" w:ascii="Times New Roman" w:hAnsi="Times New Roman" w:eastAsia="方正仿宋_GBK"/>
          <w:sz w:val="32"/>
          <w:szCs w:val="32"/>
        </w:rPr>
        <w:t>，</w:t>
      </w:r>
      <w:r>
        <w:rPr>
          <w:rFonts w:ascii="Times New Roman" w:hAnsi="Times New Roman" w:eastAsia="方正仿宋_GBK"/>
          <w:sz w:val="32"/>
          <w:szCs w:val="32"/>
        </w:rPr>
        <w:t>占13.26%</w:t>
      </w:r>
      <w:r>
        <w:rPr>
          <w:rFonts w:hint="eastAsia" w:ascii="Times New Roman" w:hAnsi="Times New Roman" w:eastAsia="方正仿宋_GBK"/>
          <w:sz w:val="32"/>
          <w:szCs w:val="32"/>
        </w:rPr>
        <w:t>；</w:t>
      </w:r>
      <w:r>
        <w:rPr>
          <w:rFonts w:ascii="Times New Roman" w:hAnsi="Times New Roman" w:eastAsia="方正仿宋_GBK"/>
          <w:sz w:val="32"/>
          <w:szCs w:val="32"/>
        </w:rPr>
        <w:t>住房保障支出</w:t>
      </w:r>
      <w:r>
        <w:rPr>
          <w:rFonts w:hint="eastAsia" w:ascii="Times New Roman" w:hAnsi="Times New Roman" w:eastAsia="方正仿宋_GBK"/>
          <w:sz w:val="32"/>
          <w:szCs w:val="32"/>
        </w:rPr>
        <w:t>2</w:t>
      </w:r>
      <w:r>
        <w:rPr>
          <w:rFonts w:ascii="Times New Roman" w:hAnsi="Times New Roman" w:eastAsia="方正仿宋_GBK"/>
          <w:sz w:val="32"/>
          <w:szCs w:val="32"/>
        </w:rPr>
        <w:t>万元，占10.12%</w:t>
      </w:r>
      <w:r>
        <w:rPr>
          <w:rFonts w:hint="eastAsia" w:ascii="Times New Roman" w:hAnsi="Times New Roman" w:eastAsia="方正仿宋_GBK"/>
          <w:sz w:val="32"/>
          <w:szCs w:val="32"/>
        </w:rPr>
        <w:t>；</w:t>
      </w:r>
    </w:p>
    <w:p w14:paraId="44B93B08">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收支相抵，</w:t>
      </w:r>
      <w:r>
        <w:rPr>
          <w:rFonts w:hint="eastAsia" w:ascii="Times New Roman" w:hAnsi="Times New Roman" w:eastAsia="方正仿宋_GBK"/>
          <w:sz w:val="32"/>
          <w:szCs w:val="32"/>
        </w:rPr>
        <w:t>乡</w:t>
      </w:r>
      <w:r>
        <w:rPr>
          <w:rFonts w:ascii="Times New Roman" w:hAnsi="Times New Roman" w:eastAsia="方正仿宋_GBK"/>
          <w:sz w:val="32"/>
          <w:szCs w:val="32"/>
        </w:rPr>
        <w:t>财政一般公共预算收支平衡。</w:t>
      </w:r>
    </w:p>
    <w:p w14:paraId="5264D4E3">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w:t>
      </w:r>
      <w:r>
        <w:rPr>
          <w:rFonts w:hint="eastAsia" w:ascii="方正仿宋_GBK" w:hAnsi="方正仿宋_GBK" w:eastAsia="方正仿宋_GBK" w:cs="方正仿宋_GBK"/>
          <w:sz w:val="32"/>
          <w:szCs w:val="32"/>
        </w:rPr>
        <w:t>“三公”</w:t>
      </w:r>
      <w:r>
        <w:rPr>
          <w:rFonts w:ascii="Times New Roman" w:hAnsi="Times New Roman" w:eastAsia="方正仿宋_GBK"/>
          <w:sz w:val="32"/>
          <w:szCs w:val="32"/>
        </w:rPr>
        <w:t>经费支出决算数为</w:t>
      </w:r>
      <w:r>
        <w:rPr>
          <w:rFonts w:hint="eastAsia" w:ascii="Times New Roman" w:hAnsi="Times New Roman" w:eastAsia="方正仿宋_GBK"/>
          <w:sz w:val="32"/>
          <w:szCs w:val="32"/>
        </w:rPr>
        <w:t>0</w:t>
      </w:r>
      <w:r>
        <w:rPr>
          <w:rFonts w:ascii="Times New Roman" w:hAnsi="Times New Roman" w:eastAsia="方正仿宋_GBK"/>
          <w:sz w:val="32"/>
          <w:szCs w:val="32"/>
        </w:rPr>
        <w:t>万元。</w:t>
      </w:r>
    </w:p>
    <w:p w14:paraId="73A7FA77">
      <w:pPr>
        <w:widowControl/>
        <w:spacing w:line="579" w:lineRule="exact"/>
        <w:ind w:firstLine="640" w:firstLineChars="200"/>
        <w:jc w:val="left"/>
        <w:rPr>
          <w:rFonts w:ascii="方正黑体_GBK" w:hAnsi="Times New Roman" w:eastAsia="方正黑体_GBK"/>
          <w:sz w:val="32"/>
          <w:szCs w:val="32"/>
        </w:rPr>
      </w:pPr>
      <w:r>
        <w:rPr>
          <w:rFonts w:hint="eastAsia" w:ascii="方正黑体_GBK" w:hAnsi="Times New Roman" w:eastAsia="方正黑体_GBK"/>
          <w:sz w:val="32"/>
          <w:szCs w:val="32"/>
          <w:lang w:eastAsia="zh-CN"/>
        </w:rPr>
        <w:t>三</w:t>
      </w:r>
      <w:r>
        <w:rPr>
          <w:rFonts w:hint="eastAsia" w:ascii="方正黑体_GBK" w:hAnsi="Times New Roman" w:eastAsia="方正黑体_GBK"/>
          <w:sz w:val="32"/>
          <w:szCs w:val="32"/>
        </w:rPr>
        <w:t>、存在的困难和问题</w:t>
      </w:r>
    </w:p>
    <w:p w14:paraId="5F50E9A4">
      <w:pPr>
        <w:spacing w:line="579" w:lineRule="exact"/>
        <w:ind w:firstLine="640" w:firstLineChars="200"/>
        <w:rPr>
          <w:rFonts w:ascii="方正黑体_GBK" w:hAnsi="Times New Roman" w:eastAsia="方正黑体_GBK"/>
          <w:sz w:val="32"/>
          <w:szCs w:val="32"/>
        </w:rPr>
      </w:pPr>
      <w:r>
        <w:rPr>
          <w:rFonts w:ascii="Times New Roman" w:hAnsi="Times New Roman" w:eastAsia="方正仿宋_GBK"/>
          <w:sz w:val="32"/>
          <w:szCs w:val="32"/>
        </w:rPr>
        <w:t>2024年</w:t>
      </w:r>
      <w:r>
        <w:rPr>
          <w:rFonts w:hint="eastAsia" w:ascii="Times New Roman" w:hAnsi="Times New Roman" w:eastAsia="方正仿宋_GBK"/>
          <w:sz w:val="32"/>
          <w:szCs w:val="32"/>
          <w:lang w:eastAsia="zh-CN"/>
        </w:rPr>
        <w:t>服务中心</w:t>
      </w:r>
      <w:r>
        <w:rPr>
          <w:rFonts w:ascii="Times New Roman" w:hAnsi="Times New Roman" w:eastAsia="方正仿宋_GBK"/>
          <w:sz w:val="32"/>
          <w:szCs w:val="32"/>
        </w:rPr>
        <w:t>财政工作和预算管理中还存在一些困难和问题：</w:t>
      </w:r>
      <w:r>
        <w:rPr>
          <w:rFonts w:hint="eastAsia" w:ascii="方正楷体_GBK" w:hAnsi="方正楷体_GBK" w:eastAsia="方正楷体_GBK" w:cs="方正楷体_GBK"/>
          <w:sz w:val="32"/>
          <w:szCs w:val="32"/>
        </w:rPr>
        <w:t>一是</w:t>
      </w:r>
      <w:r>
        <w:rPr>
          <w:rFonts w:ascii="Times New Roman" w:hAnsi="Times New Roman" w:eastAsia="方正仿宋_GBK"/>
          <w:sz w:val="32"/>
          <w:szCs w:val="32"/>
        </w:rPr>
        <w:t>可用财力不足，财政刚性支出不断增加，</w:t>
      </w:r>
      <w:r>
        <w:rPr>
          <w:rFonts w:hint="eastAsia" w:ascii="Times New Roman" w:hAnsi="Times New Roman" w:eastAsia="方正仿宋_GBK"/>
          <w:sz w:val="32"/>
          <w:szCs w:val="32"/>
          <w:lang w:eastAsia="zh-CN"/>
        </w:rPr>
        <w:t>存在</w:t>
      </w:r>
      <w:r>
        <w:rPr>
          <w:rFonts w:ascii="Times New Roman" w:hAnsi="Times New Roman" w:eastAsia="方正仿宋_GBK"/>
          <w:sz w:val="32"/>
          <w:szCs w:val="32"/>
        </w:rPr>
        <w:t>收支平衡矛盾。</w:t>
      </w:r>
      <w:r>
        <w:rPr>
          <w:rFonts w:ascii="方正楷体_GBK" w:hAnsi="方正楷体_GBK" w:eastAsia="方正楷体_GBK" w:cs="方正楷体_GBK"/>
          <w:sz w:val="32"/>
          <w:szCs w:val="32"/>
        </w:rPr>
        <w:t>二是</w:t>
      </w:r>
      <w:r>
        <w:rPr>
          <w:rFonts w:hint="eastAsia" w:ascii="Times New Roman" w:hAnsi="Times New Roman" w:eastAsia="方正仿宋_GBK"/>
          <w:sz w:val="32"/>
          <w:szCs w:val="32"/>
          <w:lang w:eastAsia="zh-CN"/>
        </w:rPr>
        <w:t>相</w:t>
      </w:r>
      <w:r>
        <w:rPr>
          <w:rFonts w:hint="eastAsia" w:ascii="Times New Roman" w:hAnsi="Times New Roman" w:eastAsia="方正仿宋_GBK"/>
          <w:sz w:val="32"/>
          <w:szCs w:val="32"/>
          <w:lang w:eastAsia="zh-CN"/>
        </w:rPr>
        <w:t>关</w:t>
      </w:r>
      <w:r>
        <w:rPr>
          <w:rFonts w:ascii="Times New Roman" w:hAnsi="Times New Roman" w:eastAsia="方正仿宋_GBK"/>
          <w:sz w:val="32"/>
          <w:szCs w:val="32"/>
        </w:rPr>
        <w:t>财政资金使用精细化、绩效化管理水平需进一步提升。</w:t>
      </w:r>
      <w:r>
        <w:rPr>
          <w:rFonts w:hint="eastAsia" w:ascii="方正楷体_GBK" w:hAnsi="方正楷体_GBK" w:eastAsia="方正楷体_GBK" w:cs="方正楷体_GBK"/>
          <w:sz w:val="32"/>
          <w:szCs w:val="32"/>
        </w:rPr>
        <w:t>三是</w:t>
      </w:r>
      <w:r>
        <w:rPr>
          <w:rFonts w:ascii="Times New Roman" w:hAnsi="Times New Roman" w:eastAsia="方正仿宋_GBK"/>
          <w:sz w:val="32"/>
          <w:szCs w:val="32"/>
        </w:rPr>
        <w:t>预算执行的刚性约束力有待进一步加强。</w:t>
      </w:r>
    </w:p>
    <w:p w14:paraId="65F1BFCF">
      <w:pPr>
        <w:widowControl/>
        <w:spacing w:line="579" w:lineRule="exact"/>
        <w:ind w:firstLine="640" w:firstLineChars="200"/>
        <w:jc w:val="left"/>
        <w:rPr>
          <w:rFonts w:ascii="方正黑体_GBK" w:hAnsi="Times New Roman" w:eastAsia="方正黑体_GBK"/>
          <w:sz w:val="32"/>
          <w:szCs w:val="32"/>
        </w:rPr>
      </w:pPr>
      <w:r>
        <w:rPr>
          <w:rFonts w:hint="eastAsia" w:ascii="方正黑体_GBK" w:hAnsi="Times New Roman" w:eastAsia="方正黑体_GBK"/>
          <w:sz w:val="32"/>
          <w:szCs w:val="32"/>
          <w:lang w:eastAsia="zh-CN"/>
        </w:rPr>
        <w:t>四</w:t>
      </w:r>
      <w:r>
        <w:rPr>
          <w:rFonts w:hint="eastAsia" w:ascii="方正黑体_GBK" w:hAnsi="Times New Roman" w:eastAsia="方正黑体_GBK"/>
          <w:sz w:val="32"/>
          <w:szCs w:val="32"/>
        </w:rPr>
        <w:t>、下一步重点工作</w:t>
      </w:r>
    </w:p>
    <w:p w14:paraId="30E4F5F6">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下半年我们将坚持问题导向，精准施策，全力确保财政平稳健康运行</w:t>
      </w:r>
      <w:r>
        <w:rPr>
          <w:rFonts w:hint="eastAsia" w:ascii="Times New Roman" w:hAnsi="Times New Roman" w:eastAsia="方正仿宋_GBK"/>
          <w:sz w:val="32"/>
          <w:szCs w:val="32"/>
        </w:rPr>
        <w:t>。</w:t>
      </w:r>
    </w:p>
    <w:p w14:paraId="5F4A0D28">
      <w:pPr>
        <w:spacing w:line="579"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一是精准保障核心服务支出。</w:t>
      </w:r>
      <w:r>
        <w:rPr>
          <w:rFonts w:hint="eastAsia" w:ascii="Times New Roman" w:hAnsi="Times New Roman" w:eastAsia="方正仿宋_GBK"/>
          <w:sz w:val="32"/>
          <w:szCs w:val="32"/>
        </w:rPr>
        <w:t>坚持“资金跟着服务走”，优化预算结构，严控一般性办公支出，确保“三公”经费零增长。建立服务需求动态清单，对困难退役军人帮扶、技能培训等重点项目资金实行“专款专用、直达快付”，切实将资金用在服务对象最急需的领域。</w:t>
      </w:r>
    </w:p>
    <w:p w14:paraId="78E10EA6">
      <w:pPr>
        <w:spacing w:line="579"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二是提升资金使用效能。</w:t>
      </w:r>
      <w:r>
        <w:rPr>
          <w:rFonts w:hint="eastAsia" w:ascii="方正仿宋_GBK" w:hAnsi="方正仿宋_GBK" w:eastAsia="方正仿宋_GBK" w:cs="方正仿宋_GBK"/>
          <w:sz w:val="32"/>
          <w:szCs w:val="32"/>
        </w:rPr>
        <w:t>聚焦退役军人服务专项，加强与上级部门对接，精准申报优抚帮扶、就业扶持</w:t>
      </w:r>
      <w:bookmarkStart w:id="0" w:name="_GoBack"/>
      <w:bookmarkEnd w:id="0"/>
      <w:r>
        <w:rPr>
          <w:rFonts w:hint="eastAsia" w:ascii="方正仿宋_GBK" w:hAnsi="方正仿宋_GBK" w:eastAsia="方正仿宋_GBK" w:cs="方正仿宋_GBK"/>
          <w:sz w:val="32"/>
          <w:szCs w:val="32"/>
        </w:rPr>
        <w:t>等专项转移支付项目，争取更多定向资金支持。盘活服务站闲置资产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确保服务项目可持续开展。</w:t>
      </w:r>
    </w:p>
    <w:p w14:paraId="6E3798EC">
      <w:pPr>
        <w:spacing w:line="579"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三是聚焦科学管理，促进提质增效。</w:t>
      </w:r>
      <w:r>
        <w:rPr>
          <w:rFonts w:hint="eastAsia" w:ascii="方正仿宋_GBK" w:hAnsi="方正仿宋_GBK" w:eastAsia="方正仿宋_GBK" w:cs="方正仿宋_GBK"/>
          <w:sz w:val="32"/>
          <w:szCs w:val="32"/>
        </w:rPr>
        <w:t>健全“事前评估—事中监控—事后问效”全流程绩效机制，将退役军人满意度、培训后就业率、帮扶政策落实率等核心指标纳入资金考核，强化结果应用。优化预算执行动态调整机制，确保服务响应“不脱节”、资金保障“不断档”。</w:t>
      </w:r>
    </w:p>
    <w:p w14:paraId="620B821D">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Times New Roman" w:hAnsi="Times New Roman" w:eastAsia="方正仿宋_GBK"/>
          <w:sz w:val="32"/>
          <w:szCs w:val="32"/>
        </w:rPr>
      </w:pPr>
      <w:r>
        <w:rPr>
          <w:rFonts w:hint="eastAsia" w:ascii="Times New Roman" w:hAnsi="Times New Roman" w:eastAsia="方正仿宋_GBK"/>
          <w:sz w:val="32"/>
          <w:szCs w:val="32"/>
        </w:rPr>
        <w:t>我们将始终以退役军人“急难愁盼”为导向，坚决把有限资金用在优抚帮扶、就业创业、节日慰问等核心服务上，我们将以更务实的举措、更扎实的作风，全力做好退役军人服务保障工作，努力让退役军人获得感成色更足、幸福感更可持续、荣誉感更加强烈。</w:t>
      </w:r>
    </w:p>
    <w:p w14:paraId="2D548108">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黑体_GBK"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五、专业名词解释</w:t>
      </w:r>
    </w:p>
    <w:p w14:paraId="38813DD0">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（一）财政拨款收入：</w:t>
      </w:r>
      <w:r>
        <w:rPr>
          <w:rFonts w:hint="eastAsia" w:ascii="方正仿宋_GBK" w:hAnsi="方正仿宋_GBK" w:eastAsia="方正仿宋_GBK" w:cs="方正仿宋_GBK"/>
          <w:kern w:val="2"/>
          <w:sz w:val="32"/>
          <w:szCs w:val="32"/>
          <w:lang w:val="en-US" w:eastAsia="zh-CN" w:bidi="ar"/>
        </w:rPr>
        <w:t>指本年度从本级财政部门取得的财政拨款，包括一般公共预算财政拨款和政府性基金预算财政拨款。</w:t>
      </w:r>
    </w:p>
    <w:p w14:paraId="433CD68D">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黑体_GBK" w:hAnsi="Times New Roman" w:eastAsia="方正黑体_GBK" w:cs="Times New Roman"/>
          <w:kern w:val="2"/>
          <w:sz w:val="32"/>
          <w:szCs w:val="32"/>
        </w:rPr>
      </w:pPr>
      <w:r>
        <w:rPr>
          <w:rFonts w:hint="eastAsia" w:ascii="方正楷体_GBK" w:hAnsi="方正楷体_GBK" w:eastAsia="方正楷体_GBK" w:cs="方正楷体_GBK"/>
          <w:kern w:val="2"/>
          <w:sz w:val="32"/>
          <w:szCs w:val="32"/>
          <w:lang w:val="en-US" w:eastAsia="zh-CN" w:bidi="ar"/>
        </w:rPr>
        <w:t>（二）事业收入：</w:t>
      </w:r>
      <w:r>
        <w:rPr>
          <w:rFonts w:hint="eastAsia" w:ascii="方正仿宋_GBK" w:hAnsi="方正仿宋_GBK" w:eastAsia="方正仿宋_GBK" w:cs="方正仿宋_GBK"/>
          <w:kern w:val="2"/>
          <w:sz w:val="32"/>
          <w:szCs w:val="32"/>
          <w:lang w:val="en-US" w:eastAsia="zh-CN" w:bidi="ar"/>
        </w:rPr>
        <w:t>指事业单位开展专业业务活动及其辅助活动取得的现金流入；事业单位收到的财政专户实际核拨的教育收费等资金在此反映。</w:t>
      </w:r>
    </w:p>
    <w:p w14:paraId="00FA0EB7">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（三）经营收入：</w:t>
      </w:r>
      <w:r>
        <w:rPr>
          <w:rFonts w:hint="eastAsia" w:ascii="方正仿宋_GBK" w:hAnsi="方正仿宋_GBK" w:eastAsia="方正仿宋_GBK" w:cs="方正仿宋_GBK"/>
          <w:kern w:val="2"/>
          <w:sz w:val="32"/>
          <w:szCs w:val="32"/>
          <w:lang w:val="en-US" w:eastAsia="zh-CN" w:bidi="ar"/>
        </w:rPr>
        <w:t>指事业单位在专业业务活动及其辅助活动之外开展非独立核算经营活动取得的现金流入。</w:t>
      </w:r>
    </w:p>
    <w:p w14:paraId="66ABA99D">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（四）其他收入：</w:t>
      </w:r>
      <w:r>
        <w:rPr>
          <w:rFonts w:hint="eastAsia" w:ascii="方正仿宋_GBK" w:hAnsi="方正仿宋_GBK" w:eastAsia="方正仿宋_GBK" w:cs="方正仿宋_GBK"/>
          <w:kern w:val="2"/>
          <w:sz w:val="32"/>
          <w:szCs w:val="32"/>
          <w:lang w:val="en-US" w:eastAsia="zh-CN" w:bidi="ar"/>
        </w:rPr>
        <w:t>指单位取得的除“财政拨款 收入”、“事业收入”、“经营收入”等以外的收入，包括未纳入财政预算或财政专户管理的投资收益、银行存款利息收入、租金收入、捐赠收入，现金盘盈收入、 存货盘盈收入、收回已核销的应收及预付款项、无法偿付的应付及预收款项等。各单位从本级财政部门以外的同级单位取得的经费、从非本级财政部门取得的经费， 以及行政单位收到的财政专户管理资金反映在本项内。</w:t>
      </w:r>
    </w:p>
    <w:p w14:paraId="49709406">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（五）用事业基金弥补收支差额：</w:t>
      </w:r>
      <w:r>
        <w:rPr>
          <w:rFonts w:hint="eastAsia" w:ascii="方正仿宋_GBK" w:hAnsi="方正仿宋_GBK" w:eastAsia="方正仿宋_GBK" w:cs="方正仿宋_GBK"/>
          <w:kern w:val="2"/>
          <w:sz w:val="32"/>
          <w:szCs w:val="32"/>
          <w:lang w:val="en-US" w:eastAsia="zh-CN" w:bidi="ar"/>
        </w:rPr>
        <w:t>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14:paraId="2083AC9D">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（六）年初结转和结余：</w:t>
      </w:r>
      <w:r>
        <w:rPr>
          <w:rFonts w:hint="eastAsia" w:ascii="方正仿宋_GBK" w:hAnsi="方正仿宋_GBK" w:eastAsia="方正仿宋_GBK" w:cs="方正仿宋_GBK"/>
          <w:kern w:val="2"/>
          <w:sz w:val="32"/>
          <w:szCs w:val="32"/>
          <w:lang w:val="en-US" w:eastAsia="zh-CN" w:bidi="ar"/>
        </w:rPr>
        <w:t>指单位上年结转本年使用的基本支出结转、项目支出结转和结余、经营结余。</w:t>
      </w:r>
    </w:p>
    <w:p w14:paraId="22178A7C">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（七）结余分配：</w:t>
      </w:r>
      <w:r>
        <w:rPr>
          <w:rFonts w:hint="eastAsia" w:ascii="方正仿宋_GBK" w:hAnsi="方正仿宋_GBK" w:eastAsia="方正仿宋_GBK" w:cs="方正仿宋_GBK"/>
          <w:kern w:val="2"/>
          <w:sz w:val="32"/>
          <w:szCs w:val="32"/>
          <w:lang w:val="en-US" w:eastAsia="zh-CN" w:bidi="ar"/>
        </w:rPr>
        <w:t>指单位按照国家有关规定，缴纳所得税、提取专用基金、转入事业基金等当年结余的分配情况。</w:t>
      </w:r>
    </w:p>
    <w:p w14:paraId="4057654A">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（八）年末结转和结余：</w:t>
      </w:r>
      <w:r>
        <w:rPr>
          <w:rFonts w:hint="eastAsia" w:ascii="方正仿宋_GBK" w:hAnsi="方正仿宋_GBK" w:eastAsia="方正仿宋_GBK" w:cs="方正仿宋_GBK"/>
          <w:kern w:val="2"/>
          <w:sz w:val="32"/>
          <w:szCs w:val="32"/>
          <w:lang w:val="en-US" w:eastAsia="zh-CN" w:bidi="ar"/>
        </w:rPr>
        <w:t>指单位结转下年的基本支出结转、项目支出结转和结余、经营结余。</w:t>
      </w:r>
    </w:p>
    <w:p w14:paraId="792517CC">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（九）基本支出：</w:t>
      </w:r>
      <w:r>
        <w:rPr>
          <w:rFonts w:hint="eastAsia" w:ascii="方正仿宋_GBK" w:hAnsi="方正仿宋_GBK" w:eastAsia="方正仿宋_GBK" w:cs="方正仿宋_GBK"/>
          <w:kern w:val="2"/>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CC948AE">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（十）项目支出：</w:t>
      </w:r>
      <w:r>
        <w:rPr>
          <w:rFonts w:hint="eastAsia" w:ascii="方正仿宋_GBK" w:hAnsi="方正仿宋_GBK" w:eastAsia="方正仿宋_GBK" w:cs="方正仿宋_GBK"/>
          <w:kern w:val="2"/>
          <w:sz w:val="32"/>
          <w:szCs w:val="32"/>
          <w:lang w:val="en-US" w:eastAsia="zh-CN" w:bidi="ar"/>
        </w:rPr>
        <w:t>指在基本支出之外为完成特定行政任务和事业发展目标所发生的支出。</w:t>
      </w:r>
    </w:p>
    <w:p w14:paraId="3FC5576A">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（十一）经营支出：</w:t>
      </w:r>
      <w:r>
        <w:rPr>
          <w:rFonts w:hint="eastAsia" w:ascii="方正仿宋_GBK" w:hAnsi="方正仿宋_GBK" w:eastAsia="方正仿宋_GBK" w:cs="方正仿宋_GBK"/>
          <w:kern w:val="2"/>
          <w:sz w:val="32"/>
          <w:szCs w:val="32"/>
          <w:lang w:val="en-US" w:eastAsia="zh-CN" w:bidi="ar"/>
        </w:rPr>
        <w:t>指事业单位在专业业务活动及其辅助活动之外开展非独立核算经营活动发生的支出。</w:t>
      </w:r>
    </w:p>
    <w:p w14:paraId="31EC60A0">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（十二）“三公”经费：</w:t>
      </w:r>
      <w:r>
        <w:rPr>
          <w:rFonts w:hint="eastAsia" w:ascii="方正仿宋_GBK" w:hAnsi="方正仿宋_GBK" w:eastAsia="方正仿宋_GBK" w:cs="方正仿宋_GBK"/>
          <w:kern w:val="2"/>
          <w:sz w:val="32"/>
          <w:szCs w:val="32"/>
          <w:lang w:val="en-US" w:eastAsia="zh-CN" w:bidi="ar"/>
        </w:rPr>
        <w:t>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14:paraId="39609D92">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（十三）机关运行经费：</w:t>
      </w:r>
      <w:r>
        <w:rPr>
          <w:rFonts w:hint="eastAsia" w:ascii="方正仿宋_GBK" w:hAnsi="方正仿宋_GBK" w:eastAsia="方正仿宋_GBK" w:cs="方正仿宋_GBK"/>
          <w:kern w:val="2"/>
          <w:sz w:val="32"/>
          <w:szCs w:val="32"/>
          <w:lang w:val="en-US" w:eastAsia="zh-CN" w:bidi="ar"/>
        </w:rPr>
        <w:t>为保障行政单位（含 参照公务员法管理的事业单位）运行用于购买货物和服务等的各项公用经费，包括办公及印刷费、邮电费、差旅费、会议费、福利费、日常维护费、专用材料及一般 设备购置费、办公用房水电费、办公用房取暖费、办公用房物业管理费、公务用车运行维护费以及其他费用。</w:t>
      </w:r>
    </w:p>
    <w:p w14:paraId="0D5059D1">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（十四）工资福利支出（支出经济分类科目类级）：</w:t>
      </w:r>
      <w:r>
        <w:rPr>
          <w:rFonts w:hint="eastAsia" w:ascii="方正仿宋_GBK" w:hAnsi="方正仿宋_GBK" w:eastAsia="方正仿宋_GBK" w:cs="方正仿宋_GBK"/>
          <w:kern w:val="2"/>
          <w:sz w:val="32"/>
          <w:szCs w:val="32"/>
          <w:lang w:val="en-US" w:eastAsia="zh-CN" w:bidi="ar"/>
        </w:rPr>
        <w:t>反映单位开支的在职职工和编制外长期聘用人员的各类劳动报酬，以及为上述人员缴纳的各项社会保险费等。</w:t>
      </w:r>
    </w:p>
    <w:p w14:paraId="2F7F27B5">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（十五）商品和服务支出（支出经济分类科目类级）：</w:t>
      </w:r>
      <w:r>
        <w:rPr>
          <w:rFonts w:hint="eastAsia" w:ascii="方正仿宋_GBK" w:hAnsi="方正仿宋_GBK" w:eastAsia="方正仿宋_GBK" w:cs="方正仿宋_GBK"/>
          <w:kern w:val="2"/>
          <w:sz w:val="32"/>
          <w:szCs w:val="32"/>
          <w:lang w:val="en-US" w:eastAsia="zh-CN" w:bidi="ar"/>
        </w:rPr>
        <w:t>反映单位购买商品和服务的支出（不包括用于购置固定资产的支出、战略性和应急储备支出）。</w:t>
      </w:r>
    </w:p>
    <w:p w14:paraId="0F0E3F6A">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（十六）对个人和家庭的补助（支出经济分类科目类级）：</w:t>
      </w:r>
      <w:r>
        <w:rPr>
          <w:rFonts w:hint="eastAsia" w:ascii="方正仿宋_GBK" w:hAnsi="方正仿宋_GBK" w:eastAsia="方正仿宋_GBK" w:cs="方正仿宋_GBK"/>
          <w:kern w:val="2"/>
          <w:sz w:val="32"/>
          <w:szCs w:val="32"/>
          <w:lang w:val="en-US" w:eastAsia="zh-CN" w:bidi="ar"/>
        </w:rPr>
        <w:t>反映用于对个人和家庭的补助支出。</w:t>
      </w:r>
    </w:p>
    <w:p w14:paraId="4AB1FE63">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（十七）其他资本性支出（支出经济分类科目类级）：</w:t>
      </w:r>
      <w:r>
        <w:rPr>
          <w:rFonts w:hint="eastAsia" w:ascii="方正仿宋_GBK" w:hAnsi="方正仿宋_GBK" w:eastAsia="方正仿宋_GBK" w:cs="方正仿宋_GBK"/>
          <w:kern w:val="2"/>
          <w:sz w:val="32"/>
          <w:szCs w:val="32"/>
          <w:lang w:val="en-US" w:eastAsia="zh-CN" w:bidi="ar"/>
        </w:rPr>
        <w:t>反映非各级发展与改革部门集中安排的用于购置固定资产、战略性和应急性储备、土地和无形资产，以及构建基础设施、大型修缮和财政支持企业更新改造所发生的支出。</w:t>
      </w:r>
    </w:p>
    <w:p w14:paraId="0639ECB5">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黑体_GBK"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六、决算公开联系方式</w:t>
      </w:r>
    </w:p>
    <w:p w14:paraId="6E03ABF3">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本单位决算公开信息反馈和联系方式：</w:t>
      </w:r>
      <w:r>
        <w:rPr>
          <w:rFonts w:hint="default" w:ascii="Times New Roman" w:hAnsi="Times New Roman" w:eastAsia="方正仿宋_GBK" w:cs="Times New Roman"/>
          <w:kern w:val="2"/>
          <w:sz w:val="32"/>
          <w:szCs w:val="32"/>
          <w:lang w:val="en-US" w:eastAsia="zh-CN" w:bidi="ar"/>
        </w:rPr>
        <w:t>023-59261700</w:t>
      </w:r>
    </w:p>
    <w:p w14:paraId="1FACB6A9">
      <w:pPr>
        <w:widowControl/>
        <w:spacing w:line="579" w:lineRule="exact"/>
        <w:ind w:firstLine="640" w:firstLineChars="200"/>
        <w:jc w:val="left"/>
        <w:rPr>
          <w:rFonts w:ascii="Times New Roman" w:hAnsi="Times New Roman" w:eastAsia="方正仿宋_GBK"/>
          <w:sz w:val="32"/>
          <w:szCs w:val="32"/>
        </w:rPr>
      </w:pP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script"/>
    <w:pitch w:val="default"/>
    <w:sig w:usb0="A00002BF" w:usb1="184F6CFA" w:usb2="00000012" w:usb3="00000000" w:csb0="00040001" w:csb1="00000000"/>
    <w:embedRegular r:id="rId1" w:fontKey="{79ABE456-9395-476B-A10C-035D6D2AC9DE}"/>
  </w:font>
  <w:font w:name="方正小标宋_GBK">
    <w:panose1 w:val="03000509000000000000"/>
    <w:charset w:val="86"/>
    <w:family w:val="script"/>
    <w:pitch w:val="default"/>
    <w:sig w:usb0="00000001" w:usb1="080E0000" w:usb2="00000000" w:usb3="00000000" w:csb0="00040000" w:csb1="00000000"/>
    <w:embedRegular r:id="rId2" w:fontKey="{BD5AF678-E84C-42A1-83D4-CE27BC0B5D78}"/>
  </w:font>
  <w:font w:name="方正仿宋_GBK">
    <w:panose1 w:val="03000509000000000000"/>
    <w:charset w:val="86"/>
    <w:family w:val="script"/>
    <w:pitch w:val="default"/>
    <w:sig w:usb0="00000001" w:usb1="080E0000" w:usb2="00000000" w:usb3="00000000" w:csb0="00040000" w:csb1="00000000"/>
    <w:embedRegular r:id="rId3" w:fontKey="{6A58CF50-A958-4B04-84F9-CC1B153C8990}"/>
  </w:font>
  <w:font w:name="方正黑体_GBK">
    <w:panose1 w:val="03000509000000000000"/>
    <w:charset w:val="86"/>
    <w:family w:val="script"/>
    <w:pitch w:val="default"/>
    <w:sig w:usb0="00000001" w:usb1="080E0000" w:usb2="00000000" w:usb3="00000000" w:csb0="00040000" w:csb1="00000000"/>
    <w:embedRegular r:id="rId4" w:fontKey="{CE708EEE-3CB5-4BC6-9446-2CD0504D21FF}"/>
  </w:font>
  <w:font w:name="方正楷体_GBK">
    <w:panose1 w:val="03000509000000000000"/>
    <w:charset w:val="86"/>
    <w:family w:val="script"/>
    <w:pitch w:val="default"/>
    <w:sig w:usb0="00000001" w:usb1="080E0000" w:usb2="00000000" w:usb3="00000000" w:csb0="00040000" w:csb1="00000000"/>
    <w:embedRegular r:id="rId5" w:fontKey="{9B85C97F-1121-4836-B199-D0261C35D4F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ZDIxYmY3ZjU5ZDY0NzczMmIwYzQwNmRmYTI2MzMifQ=="/>
  </w:docVars>
  <w:rsids>
    <w:rsidRoot w:val="0096605B"/>
    <w:rsid w:val="00042596"/>
    <w:rsid w:val="000D0ADB"/>
    <w:rsid w:val="000D210E"/>
    <w:rsid w:val="001228A1"/>
    <w:rsid w:val="00136764"/>
    <w:rsid w:val="001A3E29"/>
    <w:rsid w:val="001B03E9"/>
    <w:rsid w:val="00240D77"/>
    <w:rsid w:val="00250138"/>
    <w:rsid w:val="00377268"/>
    <w:rsid w:val="00377D55"/>
    <w:rsid w:val="00424BD3"/>
    <w:rsid w:val="00463902"/>
    <w:rsid w:val="004E6EEB"/>
    <w:rsid w:val="005513E8"/>
    <w:rsid w:val="0063477E"/>
    <w:rsid w:val="00676065"/>
    <w:rsid w:val="007270FE"/>
    <w:rsid w:val="007F44A3"/>
    <w:rsid w:val="0096605B"/>
    <w:rsid w:val="009766B6"/>
    <w:rsid w:val="009A652B"/>
    <w:rsid w:val="009C1A86"/>
    <w:rsid w:val="00B47879"/>
    <w:rsid w:val="00B92461"/>
    <w:rsid w:val="00C17E25"/>
    <w:rsid w:val="00C34123"/>
    <w:rsid w:val="00C36B7C"/>
    <w:rsid w:val="00C51ED0"/>
    <w:rsid w:val="00C95689"/>
    <w:rsid w:val="00D9012D"/>
    <w:rsid w:val="00E37089"/>
    <w:rsid w:val="00EA41D2"/>
    <w:rsid w:val="00EF3904"/>
    <w:rsid w:val="00F619A3"/>
    <w:rsid w:val="0124146F"/>
    <w:rsid w:val="01352DA6"/>
    <w:rsid w:val="018502B5"/>
    <w:rsid w:val="0192621F"/>
    <w:rsid w:val="01AA3877"/>
    <w:rsid w:val="02B5462D"/>
    <w:rsid w:val="030C5A8C"/>
    <w:rsid w:val="03163E1D"/>
    <w:rsid w:val="035A360D"/>
    <w:rsid w:val="04097F2D"/>
    <w:rsid w:val="0458352F"/>
    <w:rsid w:val="046229AD"/>
    <w:rsid w:val="0506494D"/>
    <w:rsid w:val="052A674C"/>
    <w:rsid w:val="05634CE7"/>
    <w:rsid w:val="0574181F"/>
    <w:rsid w:val="066B48E1"/>
    <w:rsid w:val="06936492"/>
    <w:rsid w:val="06C6402A"/>
    <w:rsid w:val="077D1DDA"/>
    <w:rsid w:val="07EA7730"/>
    <w:rsid w:val="08271514"/>
    <w:rsid w:val="089C322F"/>
    <w:rsid w:val="08EE19B4"/>
    <w:rsid w:val="090F72BB"/>
    <w:rsid w:val="0AA35095"/>
    <w:rsid w:val="0BA249AE"/>
    <w:rsid w:val="0C4072B2"/>
    <w:rsid w:val="0C770F81"/>
    <w:rsid w:val="0D11117F"/>
    <w:rsid w:val="0D394103"/>
    <w:rsid w:val="0DEE2D3E"/>
    <w:rsid w:val="0E04452A"/>
    <w:rsid w:val="0E6010CF"/>
    <w:rsid w:val="0EA84719"/>
    <w:rsid w:val="0F130469"/>
    <w:rsid w:val="0F9A22B7"/>
    <w:rsid w:val="10AC3EE9"/>
    <w:rsid w:val="111A671C"/>
    <w:rsid w:val="1145536B"/>
    <w:rsid w:val="11B4471C"/>
    <w:rsid w:val="11C336B1"/>
    <w:rsid w:val="11F33019"/>
    <w:rsid w:val="127D6001"/>
    <w:rsid w:val="12892176"/>
    <w:rsid w:val="133C381C"/>
    <w:rsid w:val="13B83DB2"/>
    <w:rsid w:val="13BA5D6B"/>
    <w:rsid w:val="13E80588"/>
    <w:rsid w:val="145C6C53"/>
    <w:rsid w:val="1466786F"/>
    <w:rsid w:val="158325FD"/>
    <w:rsid w:val="161F0A58"/>
    <w:rsid w:val="163F0B4C"/>
    <w:rsid w:val="169D4E1F"/>
    <w:rsid w:val="16A64735"/>
    <w:rsid w:val="16CB1E22"/>
    <w:rsid w:val="16F37B36"/>
    <w:rsid w:val="17741389"/>
    <w:rsid w:val="17745B06"/>
    <w:rsid w:val="177D4217"/>
    <w:rsid w:val="17E92EF4"/>
    <w:rsid w:val="187F72BD"/>
    <w:rsid w:val="19572B31"/>
    <w:rsid w:val="19EE4F20"/>
    <w:rsid w:val="1A09694A"/>
    <w:rsid w:val="1A1409D8"/>
    <w:rsid w:val="1A2F413E"/>
    <w:rsid w:val="1A4577D8"/>
    <w:rsid w:val="1AED6578"/>
    <w:rsid w:val="1B237DA4"/>
    <w:rsid w:val="1B446693"/>
    <w:rsid w:val="1B626326"/>
    <w:rsid w:val="1BB75806"/>
    <w:rsid w:val="1BE37F84"/>
    <w:rsid w:val="1C1D682F"/>
    <w:rsid w:val="1C3D6F8F"/>
    <w:rsid w:val="1D0432AA"/>
    <w:rsid w:val="1D4110DC"/>
    <w:rsid w:val="1D4E4350"/>
    <w:rsid w:val="1D6B49ED"/>
    <w:rsid w:val="1DAE7EBF"/>
    <w:rsid w:val="1DEC53DE"/>
    <w:rsid w:val="1E51666A"/>
    <w:rsid w:val="1E846C1E"/>
    <w:rsid w:val="1E8C45D9"/>
    <w:rsid w:val="1F370744"/>
    <w:rsid w:val="1FE06DFE"/>
    <w:rsid w:val="20B971DB"/>
    <w:rsid w:val="20F84AAA"/>
    <w:rsid w:val="215743E3"/>
    <w:rsid w:val="21667FDB"/>
    <w:rsid w:val="216E069A"/>
    <w:rsid w:val="2197576F"/>
    <w:rsid w:val="21B45B5C"/>
    <w:rsid w:val="21D1768A"/>
    <w:rsid w:val="227F0AA8"/>
    <w:rsid w:val="228C453A"/>
    <w:rsid w:val="22B4124F"/>
    <w:rsid w:val="23D22653"/>
    <w:rsid w:val="24743B45"/>
    <w:rsid w:val="24A11A27"/>
    <w:rsid w:val="250671CD"/>
    <w:rsid w:val="2585646C"/>
    <w:rsid w:val="25B368EF"/>
    <w:rsid w:val="25D44751"/>
    <w:rsid w:val="25DC7BF4"/>
    <w:rsid w:val="261C63F3"/>
    <w:rsid w:val="2624159B"/>
    <w:rsid w:val="26437C73"/>
    <w:rsid w:val="2678382B"/>
    <w:rsid w:val="26831BBC"/>
    <w:rsid w:val="26B40654"/>
    <w:rsid w:val="27A01FBD"/>
    <w:rsid w:val="28D7460F"/>
    <w:rsid w:val="28E8012C"/>
    <w:rsid w:val="29610CF0"/>
    <w:rsid w:val="298B7936"/>
    <w:rsid w:val="29A70519"/>
    <w:rsid w:val="29CA2459"/>
    <w:rsid w:val="29FC0A8F"/>
    <w:rsid w:val="2A3348CB"/>
    <w:rsid w:val="2A391AB9"/>
    <w:rsid w:val="2A506E02"/>
    <w:rsid w:val="2A916E63"/>
    <w:rsid w:val="2B2E2048"/>
    <w:rsid w:val="2BCF5DA8"/>
    <w:rsid w:val="2C6C3466"/>
    <w:rsid w:val="2CA076C0"/>
    <w:rsid w:val="2D0163DF"/>
    <w:rsid w:val="2D6C1676"/>
    <w:rsid w:val="2DB13D71"/>
    <w:rsid w:val="2DB51979"/>
    <w:rsid w:val="2DBB54F3"/>
    <w:rsid w:val="2E06778F"/>
    <w:rsid w:val="2E283190"/>
    <w:rsid w:val="2E2E04CA"/>
    <w:rsid w:val="2ED139E0"/>
    <w:rsid w:val="2EF7784D"/>
    <w:rsid w:val="2F44050F"/>
    <w:rsid w:val="2F4F49C8"/>
    <w:rsid w:val="30FB1D6B"/>
    <w:rsid w:val="310224D9"/>
    <w:rsid w:val="31E50B88"/>
    <w:rsid w:val="320B79AA"/>
    <w:rsid w:val="323E1E87"/>
    <w:rsid w:val="326C5303"/>
    <w:rsid w:val="328175E9"/>
    <w:rsid w:val="32943604"/>
    <w:rsid w:val="32994C8F"/>
    <w:rsid w:val="32F976D4"/>
    <w:rsid w:val="339B5B37"/>
    <w:rsid w:val="33A6194A"/>
    <w:rsid w:val="35026192"/>
    <w:rsid w:val="351762BF"/>
    <w:rsid w:val="354B26A0"/>
    <w:rsid w:val="35690B23"/>
    <w:rsid w:val="35697251"/>
    <w:rsid w:val="35FB7C20"/>
    <w:rsid w:val="36144F46"/>
    <w:rsid w:val="362A03A5"/>
    <w:rsid w:val="366208C9"/>
    <w:rsid w:val="366A16FE"/>
    <w:rsid w:val="3698771E"/>
    <w:rsid w:val="36A1492F"/>
    <w:rsid w:val="36FC5244"/>
    <w:rsid w:val="37255BF3"/>
    <w:rsid w:val="376129EA"/>
    <w:rsid w:val="37857A6C"/>
    <w:rsid w:val="37B35C4A"/>
    <w:rsid w:val="386B12D4"/>
    <w:rsid w:val="38A15575"/>
    <w:rsid w:val="392F3EDF"/>
    <w:rsid w:val="39875C71"/>
    <w:rsid w:val="39B615AA"/>
    <w:rsid w:val="39FB5B84"/>
    <w:rsid w:val="3AFE2B41"/>
    <w:rsid w:val="3B0E09E5"/>
    <w:rsid w:val="3B2C6649"/>
    <w:rsid w:val="3C7671BF"/>
    <w:rsid w:val="3C801695"/>
    <w:rsid w:val="3C8E2667"/>
    <w:rsid w:val="3C9E2902"/>
    <w:rsid w:val="3CB44561"/>
    <w:rsid w:val="3CF70E32"/>
    <w:rsid w:val="3D04101D"/>
    <w:rsid w:val="3D2452DB"/>
    <w:rsid w:val="3D345714"/>
    <w:rsid w:val="3D4C5F1D"/>
    <w:rsid w:val="3D654484"/>
    <w:rsid w:val="3DDF6293"/>
    <w:rsid w:val="3E0C4997"/>
    <w:rsid w:val="3E7A2DAA"/>
    <w:rsid w:val="3E930D99"/>
    <w:rsid w:val="3EB81426"/>
    <w:rsid w:val="3F596813"/>
    <w:rsid w:val="3FF3077A"/>
    <w:rsid w:val="41383010"/>
    <w:rsid w:val="41700A2C"/>
    <w:rsid w:val="41945DF0"/>
    <w:rsid w:val="41CF6A07"/>
    <w:rsid w:val="42810A28"/>
    <w:rsid w:val="43313F23"/>
    <w:rsid w:val="43C55D14"/>
    <w:rsid w:val="43E443EC"/>
    <w:rsid w:val="44250560"/>
    <w:rsid w:val="445350CD"/>
    <w:rsid w:val="447C1AE8"/>
    <w:rsid w:val="451D16B4"/>
    <w:rsid w:val="452F2C10"/>
    <w:rsid w:val="474758AB"/>
    <w:rsid w:val="474B478B"/>
    <w:rsid w:val="47503B46"/>
    <w:rsid w:val="47B03BA9"/>
    <w:rsid w:val="480C149A"/>
    <w:rsid w:val="48513F7C"/>
    <w:rsid w:val="489B0066"/>
    <w:rsid w:val="48AC2232"/>
    <w:rsid w:val="48E72AE1"/>
    <w:rsid w:val="48E85CCF"/>
    <w:rsid w:val="491809D8"/>
    <w:rsid w:val="4937272B"/>
    <w:rsid w:val="499F1A8F"/>
    <w:rsid w:val="4A2E5242"/>
    <w:rsid w:val="4A4E246D"/>
    <w:rsid w:val="4A6034DE"/>
    <w:rsid w:val="4A684122"/>
    <w:rsid w:val="4A6B59BD"/>
    <w:rsid w:val="4A6F1EE4"/>
    <w:rsid w:val="4ADC5D28"/>
    <w:rsid w:val="4B0A3BF1"/>
    <w:rsid w:val="4B430CD8"/>
    <w:rsid w:val="4B4C00AA"/>
    <w:rsid w:val="4C207F8B"/>
    <w:rsid w:val="4C7C2508"/>
    <w:rsid w:val="4C9E64AC"/>
    <w:rsid w:val="4CC307BC"/>
    <w:rsid w:val="4D5F057C"/>
    <w:rsid w:val="4F6C38EF"/>
    <w:rsid w:val="506C2082"/>
    <w:rsid w:val="50A20C3D"/>
    <w:rsid w:val="50E52447"/>
    <w:rsid w:val="51347CAD"/>
    <w:rsid w:val="518C2B1E"/>
    <w:rsid w:val="51A71077"/>
    <w:rsid w:val="51F30884"/>
    <w:rsid w:val="524D3F3C"/>
    <w:rsid w:val="551D290A"/>
    <w:rsid w:val="558C43EA"/>
    <w:rsid w:val="55D135CD"/>
    <w:rsid w:val="56352C19"/>
    <w:rsid w:val="56B0362E"/>
    <w:rsid w:val="56B03F10"/>
    <w:rsid w:val="57137A4D"/>
    <w:rsid w:val="573B036F"/>
    <w:rsid w:val="577F1308"/>
    <w:rsid w:val="5791383A"/>
    <w:rsid w:val="57914903"/>
    <w:rsid w:val="57AD1FEE"/>
    <w:rsid w:val="57BE55F9"/>
    <w:rsid w:val="57C018AD"/>
    <w:rsid w:val="57F83B59"/>
    <w:rsid w:val="57FE314A"/>
    <w:rsid w:val="580249E9"/>
    <w:rsid w:val="581262EF"/>
    <w:rsid w:val="586325BD"/>
    <w:rsid w:val="59C77BB1"/>
    <w:rsid w:val="5A0253E6"/>
    <w:rsid w:val="5A5B044A"/>
    <w:rsid w:val="5A730AC9"/>
    <w:rsid w:val="5AC52078"/>
    <w:rsid w:val="5AF13A4B"/>
    <w:rsid w:val="5C2B4434"/>
    <w:rsid w:val="5C3906D0"/>
    <w:rsid w:val="5C397CFC"/>
    <w:rsid w:val="5C4821F4"/>
    <w:rsid w:val="5C733038"/>
    <w:rsid w:val="5C9819F1"/>
    <w:rsid w:val="5D191C8D"/>
    <w:rsid w:val="5D3D49C1"/>
    <w:rsid w:val="5D595968"/>
    <w:rsid w:val="5D907F8D"/>
    <w:rsid w:val="5DA12EF6"/>
    <w:rsid w:val="5DB736CF"/>
    <w:rsid w:val="5E7F4924"/>
    <w:rsid w:val="5EAF03E4"/>
    <w:rsid w:val="5EBC2507"/>
    <w:rsid w:val="5EF206B8"/>
    <w:rsid w:val="5EF54896"/>
    <w:rsid w:val="5F083FC2"/>
    <w:rsid w:val="5F3A35CC"/>
    <w:rsid w:val="5F3F214C"/>
    <w:rsid w:val="5F41331D"/>
    <w:rsid w:val="5F8261BE"/>
    <w:rsid w:val="5FB137C1"/>
    <w:rsid w:val="5FB72A85"/>
    <w:rsid w:val="60AF087D"/>
    <w:rsid w:val="613E1BE5"/>
    <w:rsid w:val="629631FE"/>
    <w:rsid w:val="630209B2"/>
    <w:rsid w:val="639E5FFE"/>
    <w:rsid w:val="63A65124"/>
    <w:rsid w:val="640E5654"/>
    <w:rsid w:val="64CD1FC7"/>
    <w:rsid w:val="66C40F46"/>
    <w:rsid w:val="670F028E"/>
    <w:rsid w:val="670F1364"/>
    <w:rsid w:val="671D1438"/>
    <w:rsid w:val="684D3AE6"/>
    <w:rsid w:val="6892673D"/>
    <w:rsid w:val="68B718A5"/>
    <w:rsid w:val="68BE43E7"/>
    <w:rsid w:val="68E01B8E"/>
    <w:rsid w:val="691D5B26"/>
    <w:rsid w:val="6972190C"/>
    <w:rsid w:val="69EC37D4"/>
    <w:rsid w:val="6A5F6CC7"/>
    <w:rsid w:val="6A9B2F97"/>
    <w:rsid w:val="6AAE7116"/>
    <w:rsid w:val="6AAF1314"/>
    <w:rsid w:val="6BA34A22"/>
    <w:rsid w:val="6C0E025D"/>
    <w:rsid w:val="6CC1570B"/>
    <w:rsid w:val="6CD60E84"/>
    <w:rsid w:val="6CFA15E5"/>
    <w:rsid w:val="6CFE78DF"/>
    <w:rsid w:val="6D056FFD"/>
    <w:rsid w:val="6D637604"/>
    <w:rsid w:val="6D6D7206"/>
    <w:rsid w:val="6DA76BDC"/>
    <w:rsid w:val="6DB66549"/>
    <w:rsid w:val="6DEE7A91"/>
    <w:rsid w:val="6E1D39B2"/>
    <w:rsid w:val="6E5024FA"/>
    <w:rsid w:val="6E6D7DC8"/>
    <w:rsid w:val="6E970129"/>
    <w:rsid w:val="6E9879FD"/>
    <w:rsid w:val="6EA14B04"/>
    <w:rsid w:val="6EAA38C0"/>
    <w:rsid w:val="6ECF7B5A"/>
    <w:rsid w:val="6F7B7F0A"/>
    <w:rsid w:val="6F980188"/>
    <w:rsid w:val="6F9EECEF"/>
    <w:rsid w:val="70276735"/>
    <w:rsid w:val="704A3DAA"/>
    <w:rsid w:val="70CF019B"/>
    <w:rsid w:val="70F51137"/>
    <w:rsid w:val="71136FA4"/>
    <w:rsid w:val="712A103B"/>
    <w:rsid w:val="713118C3"/>
    <w:rsid w:val="71867FE1"/>
    <w:rsid w:val="71924DDF"/>
    <w:rsid w:val="71A022C9"/>
    <w:rsid w:val="71A74D85"/>
    <w:rsid w:val="72130821"/>
    <w:rsid w:val="728B1DE3"/>
    <w:rsid w:val="730040BD"/>
    <w:rsid w:val="737B5F85"/>
    <w:rsid w:val="7419513C"/>
    <w:rsid w:val="74461834"/>
    <w:rsid w:val="74A137E9"/>
    <w:rsid w:val="74AA6677"/>
    <w:rsid w:val="75AE7998"/>
    <w:rsid w:val="75BA5FEB"/>
    <w:rsid w:val="75C41E6B"/>
    <w:rsid w:val="75D85A64"/>
    <w:rsid w:val="75E62415"/>
    <w:rsid w:val="765D1903"/>
    <w:rsid w:val="76687AB4"/>
    <w:rsid w:val="76A828B9"/>
    <w:rsid w:val="76C021E7"/>
    <w:rsid w:val="76F81E89"/>
    <w:rsid w:val="78896743"/>
    <w:rsid w:val="793F11F7"/>
    <w:rsid w:val="795311CE"/>
    <w:rsid w:val="79531286"/>
    <w:rsid w:val="79B4776E"/>
    <w:rsid w:val="79FE222A"/>
    <w:rsid w:val="7A6F5F7A"/>
    <w:rsid w:val="7A8D6E79"/>
    <w:rsid w:val="7AB26960"/>
    <w:rsid w:val="7B29F3E8"/>
    <w:rsid w:val="7B77596A"/>
    <w:rsid w:val="7BD44AB5"/>
    <w:rsid w:val="7BF31AE6"/>
    <w:rsid w:val="7CA4190A"/>
    <w:rsid w:val="7CAB0325"/>
    <w:rsid w:val="7D950DB7"/>
    <w:rsid w:val="7DBD6359"/>
    <w:rsid w:val="7E6671D0"/>
    <w:rsid w:val="9FF0FCA8"/>
    <w:rsid w:val="AF5D0EE6"/>
    <w:rsid w:val="DDFF1DB2"/>
    <w:rsid w:val="F77F4061"/>
    <w:rsid w:val="FAFD78E9"/>
    <w:rsid w:val="FBF73B76"/>
    <w:rsid w:val="FFFB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uiPriority w:val="0"/>
    <w:rPr>
      <w:rFonts w:ascii="Calibri" w:hAnsi="Calibri" w:eastAsia="宋体"/>
      <w:kern w:val="2"/>
      <w:sz w:val="18"/>
      <w:szCs w:val="18"/>
    </w:rPr>
  </w:style>
  <w:style w:type="character" w:customStyle="1" w:styleId="7">
    <w:name w:val="页眉 字符"/>
    <w:link w:val="3"/>
    <w:qFormat/>
    <w:uiPriority w:val="0"/>
    <w:rPr>
      <w:rFonts w:ascii="Calibri" w:hAnsi="Calibri" w:eastAsia="宋体"/>
      <w:kern w:val="2"/>
      <w:sz w:val="18"/>
      <w:szCs w:val="18"/>
    </w:rPr>
  </w:style>
  <w:style w:type="paragraph" w:styleId="8">
    <w:name w:val="List Paragraph"/>
    <w:basedOn w:val="1"/>
    <w:qFormat/>
    <w:uiPriority w:val="34"/>
    <w:pPr>
      <w:ind w:firstLine="420" w:firstLineChars="200"/>
    </w:pPr>
  </w:style>
  <w:style w:type="character" w:customStyle="1" w:styleId="9">
    <w:name w:val="font41"/>
    <w:qFormat/>
    <w:uiPriority w:val="0"/>
    <w:rPr>
      <w:rFonts w:hint="eastAsia" w:ascii="宋体" w:hAnsi="宋体" w:eastAsia="宋体" w:cs="宋体"/>
      <w:color w:val="000000"/>
      <w:sz w:val="20"/>
      <w:szCs w:val="20"/>
      <w:u w:val="none"/>
    </w:rPr>
  </w:style>
  <w:style w:type="character" w:customStyle="1" w:styleId="10">
    <w:name w:val="font31"/>
    <w:qFormat/>
    <w:uiPriority w:val="0"/>
    <w:rPr>
      <w:rFonts w:hint="default" w:ascii="Times New Roman" w:hAnsi="Times New Roman" w:cs="Times New Roman"/>
      <w:color w:val="000000"/>
      <w:sz w:val="20"/>
      <w:szCs w:val="20"/>
      <w:u w:val="none"/>
    </w:rPr>
  </w:style>
  <w:style w:type="character" w:customStyle="1" w:styleId="11">
    <w:name w:val="font21"/>
    <w:qFormat/>
    <w:uiPriority w:val="0"/>
    <w:rPr>
      <w:rFonts w:hint="default" w:ascii="Times New Roman" w:hAnsi="Times New Roman" w:cs="Times New Roman"/>
      <w:color w:val="000000"/>
      <w:sz w:val="20"/>
      <w:szCs w:val="20"/>
      <w:u w:val="none"/>
    </w:rPr>
  </w:style>
  <w:style w:type="paragraph" w:customStyle="1" w:styleId="12">
    <w:name w:val="p0"/>
    <w:basedOn w:val="1"/>
    <w:qFormat/>
    <w:uiPriority w:val="0"/>
    <w:pPr>
      <w:widowControl/>
    </w:pPr>
    <w:rPr>
      <w:rFonts w:ascii="Times New Roman" w:hAnsi="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1348</Words>
  <Characters>1416</Characters>
  <Lines>1</Lines>
  <Paragraphs>1</Paragraphs>
  <TotalTime>19</TotalTime>
  <ScaleCrop>false</ScaleCrop>
  <LinksUpToDate>false</LinksUpToDate>
  <CharactersWithSpaces>1416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2022-09-09T10:48:00Z</dcterms:created>
  <dc:creator>Administrator</dc:creator>
  <cp:lastModifiedBy>water</cp:lastModifiedBy>
  <cp:lastPrinted>2023-09-21T21:00:00Z</cp:lastPrinted>
  <dcterms:modified xsi:type="dcterms:W3CDTF">2025-10-14T13:32:37Z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483781246_btnclosed</vt:lpwstr>
  </property>
  <property fmtid="{D5CDD505-2E9C-101B-9397-08002B2CF9AE}" pid="4" name="ICV">
    <vt:lpwstr>64A7AC0483AC452ABA1D4FB95EE01645_13</vt:lpwstr>
  </property>
  <property fmtid="{D5CDD505-2E9C-101B-9397-08002B2CF9AE}" pid="5" name="commondata">
    <vt:lpwstr>eyJoZGlkIjoiOWMwZGZjOTlmZDM5MjM4ZGYwOGZkYTllNTAxNTc0ZjUifQ==</vt:lpwstr>
  </property>
  <property fmtid="{D5CDD505-2E9C-101B-9397-08002B2CF9AE}" pid="6" name="KSOTemplateDocerSaveRecord">
    <vt:lpwstr>eyJoZGlkIjoiMDkxMzdmYTdjYTEzYWIyZjQ3YjUzMjU3NTliMWUzOTQiLCJ1c2VySWQiOiIxMDUxMzE4MTM2In0=</vt:lpwstr>
  </property>
</Properties>
</file>