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C662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城口县厚坪乡人民政府</w:t>
      </w:r>
    </w:p>
    <w:p w14:paraId="4A70347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2019年度部门决算情况说明</w:t>
      </w:r>
    </w:p>
    <w:p w14:paraId="27E8386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p>
    <w:p w14:paraId="455E8EA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一、部门基本情况</w:t>
      </w:r>
    </w:p>
    <w:p w14:paraId="3124E15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（一）职能职责。</w:t>
      </w:r>
    </w:p>
    <w:p w14:paraId="045E383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乡党政机构具有党委和政府两种职能，党委领导政府工作，主要是政治思想和方针政策的领导，干部的选拔，考核和监督，经济和行政工作中重大问题的决策。乡政府是基层国家行政机关，行使本行政区的行政职能。</w:t>
      </w:r>
    </w:p>
    <w:p w14:paraId="556188B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党委工作职责：（1）保证党的路线、方针、政策的坚决贯彻执行。（2）保证监督职能。（3）教育和管理职能。（4）服从和服务于经济建设的职能。（5）负责抓好本乡党建工作、群团工作、精神文明建设工作、新闻宣传工作。（6）完成县委、县政府交给的其他工作任务。</w:t>
      </w:r>
    </w:p>
    <w:p w14:paraId="69CFC74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2、政府职能：（1）制定和组织实施经济、科技和社会发展计划，制定资源开发技术改造和产业结构调整方案，组织指导好各业生产，搞好商品流通，协调好本乡与外地区的经济交流与合作，抓好招商引资，</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"http://www.so.com/s?q=%E4%BA%BA%E6%89%8D%E5%BC%95%E8%BF%9B&amp;ie=utf-8&amp;src=internal_wenda_recommend_text" \t "_blank"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人才引进</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t>项目开发，不断培育市场体系，组织经济运行，促进经济发展。（2）制定并组织实施村镇建设规划，部署重点工程建设，地方道路建设及公共设施，水利设施的管理，负责土地、林木、水等自然资源和</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"http://www.so.com/s?q=%E7%94%9F%E6%80%81%E7%8E%AF%E5%A2%83&amp;ie=utf-8&amp;src=internal_wenda_recommend_text" \t "_blank"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生态环境</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t>的保护，做好护林防火工作。（3）负责本行政区域内的民政、计划生育、文化教育、卫生、</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"http://www.so.com/s?q=%E4%BD%93%E8%82%B2&amp;ie=utf-8&amp;src=internal_wenda_recommend_text" \t "_blank"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体育</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t>等社会公益事业的综合性工作，维护一切经济单位和个人的正当经济权益，取缔非法经济活动，调解和处理</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"http://www.so.com/s?q=%E6%B0%91%E4%BA%8B%E7%BA%A0%E7%BA%B7&amp;ie=utf-8&amp;src=internal_wenda_recommend_text" \t "_blank"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民事纠纷</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t>，打击刑事犯罪维护社会稳定。（4）按计划组织本级</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"http://www.so.com/s?q=%E8%B4%A2%E6%94%BF%E6%94%B6%E5%85%A5&amp;ie=utf-8&amp;src=internal_wenda_recommend_text" \t "_blank"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财政收入</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t>和地方税的征收，完成国家财政计划，不断培植税源，管好财政资金，增强财政实力。（5）抓好</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"http://www.so.com/s?q=%E7%B2%BE%E7%A5%9E%E6%96%87%E6%98%8E%E5%BB%BA%E8%AE%BE&amp;ie=utf-8&amp;src=internal_wenda_recommend_text" \t "_blank"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精神文明建设</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t>，丰富群众文化生活，提倡移风易俗，反对封建迷信，破除</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"http://www.so.com/s?q=%E9%99%88%E8%A7%84%E9%99%8B%E4%B9%A0&amp;ie=utf-8&amp;src=internal_wenda_recommend_text" \t "_blank"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陈规陋习</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t>，树立社会主义新风尚。（6）完成上级政府交办的其它事项。</w:t>
      </w:r>
    </w:p>
    <w:p w14:paraId="0E35AB5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（二）机构设置。</w:t>
      </w:r>
    </w:p>
    <w:p w14:paraId="11D8F3E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机构情况：2019年本单位主要机构是6办5站所：分别是党政办、经发办、扶贫办、规划建设办、平安办、财政办、农业服务中心、文化服务中心、劳动就业和社会保障服务所、退役军人服务站、综合行政执法大队。</w:t>
      </w:r>
    </w:p>
    <w:p w14:paraId="4D98C6E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2.人员情况：本单位在职职工32人。其中：公务员16人；事业单位在职人员16人；大学生村官1人。</w:t>
      </w:r>
    </w:p>
    <w:p w14:paraId="712E2D8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三）单位构成。从预算单位构成看，纳入本部门2019年度决算编制的二级预算单位主要包括人大、政府、党委、财政办、农业服务中心、文化服务中心、社保所、兽医站等。各部门在做好经济工作的同时，努力提高全乡的社会管理和公共服务水平，综合利用经济、法律、行政和思想政治工作等手段开展工作，切实做到突出发展、依法办事、管理民主、政务公开、强化服务。</w:t>
      </w:r>
    </w:p>
    <w:p w14:paraId="326EC9F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（四）机构改革情况。本部门涉及本次党和国家机构改革，对此专门说明如下：</w:t>
      </w:r>
    </w:p>
    <w:p w14:paraId="56F4781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 结合实际，厚坪乡设置综合办事机构6个</w:t>
      </w:r>
    </w:p>
    <w:p w14:paraId="0EB1903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党政办公室负责本乡党委、人大、政府以及共青团、妇联、工会等群团组织的各项日常工作，负责党团组织建设、党风廉政建设和精神文明建设、组织、机构编制、宣传工作；做好统计、资料、保密、文档、收发工作；负责抓好国防教育、兵役、民兵、统战侨务和民族宗教工作；负责协调各综合性办公室之间的工作关系和各项中心工作；完成乡领导交办的其他事项。</w:t>
      </w:r>
    </w:p>
    <w:p w14:paraId="340D85A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经济发展办公室负责本乡经济建设的发展规划，具体承担工业、农业、林业、水利、扶贫开发和第三产业发展规划、经济结构调整、项目开发、农村基础设施建设，抓好基本农田保护区和农业经济发展的管理；负责农村土地承包管理、减轻农民负担监督管理工作；负责组织实施农业新品种、新技术（含水产养殖技术）推广和动物防疫、检疫、疫情监测工作；负责林业管理，做好护林防火和山林抚育绿化工作；负责做好水利设施规划建设和防旱、防涝、防风、防低温雨雪冰冻管理工作；负责做好现代农业机械的推广和运用管理工作；负责协调财税、物价、交通、粮食、供销等部门的管理工作；负责招商引资工作；负责做好新型农村合作医疗管理工作；协调与经济发展相关的其他工作；完成乡领导交办的其他事项。</w:t>
      </w:r>
    </w:p>
    <w:p w14:paraId="4357501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扶贫工作办公室主要负责扶贫开发工作、扶贫项目建设和管理、村级互助资金的监督管理、农村扶贫对象动态管理等职责。</w:t>
      </w:r>
    </w:p>
    <w:p w14:paraId="6AAC457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规划建设管理环保办公室主要负责村镇规划、村镇建设、乡村道路管理、市政公用、市容环卫、生态环境保护、河长制工作等职责。</w:t>
      </w:r>
    </w:p>
    <w:p w14:paraId="759A3BF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平安建设办公室（挂应急管理办公室牌子）主要统筹负责安全生产综合监管、应急管理、消防管理、信访、人民调解、社会治安综合治理、防范和处理邪教等职责；负责民政事务、人力资源和社会保障工作；协调与社会事务相关的其他工作；完成乡领导交办的其他事项。</w:t>
      </w:r>
    </w:p>
    <w:p w14:paraId="34A4E9B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财政办公室主要负责财政收支、预决算、总会计、惠农资金兑付、财政资金监督检查、绩效评价、村级财务管理等职责。</w:t>
      </w:r>
    </w:p>
    <w:p w14:paraId="6766F5D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乡纪委、武装部按照有关规定设置。工会、团委、妇联等群团按章程设置，具体工作由党群工作办公室明确1名群团工作综合岗位承担。</w:t>
      </w:r>
    </w:p>
    <w:p w14:paraId="5ECB36D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 设置事业站所5个</w:t>
      </w:r>
    </w:p>
    <w:p w14:paraId="04D9D5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农业服务中心主要负责农业、畜牧、林业、水利、资源环境保护、渔政等工作。</w:t>
      </w:r>
    </w:p>
    <w:p w14:paraId="6180B90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文化服务中心主要承担文化、旅游、宣传、广播电视、体育等工作。</w:t>
      </w:r>
    </w:p>
    <w:p w14:paraId="483F9E4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劳动就业和社会保障服务所主要负责公共服务事项和承接县级各部门下放给乡镇的各项行政审批职责；承担就业、再就业以及农村富余劳动力转移、劳动和社会保障等工作。</w:t>
      </w:r>
    </w:p>
    <w:p w14:paraId="1791F82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退役军人服务站主要负责退役军人的来访接待、政策解读、就业指导、帮扶救助、权益保障等服务工作。</w:t>
      </w:r>
    </w:p>
    <w:p w14:paraId="5CD0C57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综合行政执法大队与综合行政执法办公室实行统筹运行机制，主要负责由综合行政执法机构集中行使依法授权或委托的农林水利、生态环境保护、卫生健康、文化旅游、民政管理等领域的行政执法权。协助开展城市管理、规划和自然资源管理、市场监督管理等领域行政执法。</w:t>
      </w:r>
    </w:p>
    <w:p w14:paraId="1DA42A7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二是财政财务调整情况。2019年部门决算编制参照以前年度填列方式，最终填制要求符合本年决算编报口径。</w:t>
      </w:r>
    </w:p>
    <w:p w14:paraId="3355409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二、部门决算情况说明</w:t>
      </w:r>
    </w:p>
    <w:p w14:paraId="6B8235E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（一）收入支出决算总体情况说明</w:t>
      </w:r>
    </w:p>
    <w:p w14:paraId="47E55F0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1.总体情况。2019年度收入总计1877.3万元，支出总计1877.3万元。收支较上年决算数增加264.36万元、增长16.38%，主要原因是工程项目增多。</w:t>
      </w:r>
    </w:p>
    <w:p w14:paraId="11B5B47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2.收入情况。2019年度收入合计1877.3万元，较上年决算数增加264.36万元，增长16.38%，主要原因是工程项目增多。其中：财政拨款收入1877.3万元，占100%。</w:t>
      </w:r>
    </w:p>
    <w:p w14:paraId="166C099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3.支出情况。2019年度支出合计1877.3万元，较上年决算数增加264.36万元，增长16.38%，主要原因是工程项目增多. 。其中：基本支出810.33万元，占43%；项目支出1066.97万元，占57%。</w:t>
      </w:r>
    </w:p>
    <w:p w14:paraId="0988B19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4.结转结余情况。2019年度年末结转和结余0万元，较上年决算数增加0万元，主要原因是项目实施进度较快，验收及时，报账及时。</w:t>
      </w:r>
    </w:p>
    <w:p w14:paraId="77CBB48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（二）财政拨款收入支出决算总体情况说明</w:t>
      </w:r>
    </w:p>
    <w:p w14:paraId="01C7A85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 2019年度财政拨款收、支总计1877.3万元。与2018年相比，财政拨款收、支总计各增加264.36万元，增长16.38%。主要原因是工程项目增多。</w:t>
      </w:r>
    </w:p>
    <w:p w14:paraId="1A9566F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（三）一般公共预算财政拨款支出决算情况说明</w:t>
      </w:r>
    </w:p>
    <w:p w14:paraId="5D237A1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 1.收入情况。2019年度一般公共预算财政拨款收入1576.65万元，较上年决算数减少36.29万元，减少2%。主要原因是人员减少、压减运行经费。较年初预算数增加1025.667万元，增长186.15%。主要原因是.主要原因是2019年困难乡镇年终财力补助资金和2019年度机关事业单位人员薪资上调，激励性转移支付等。此外，年初财政拨款结转和结余0万元。</w:t>
      </w:r>
    </w:p>
    <w:p w14:paraId="01CB3F2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 2.支出情况。2019年度一般公共预算财政拨款支出1576.65万元，较上年决算数减少36.29万元，减少2%。主要原因是人员减少、压减运行经费。较年初预算数增加1025.667万元，增长186.15%。主要原因是2019年困难乡镇年终财力补助资金和2019年度机关事业单位人员薪资上调，激励性转移支付等。</w:t>
      </w:r>
    </w:p>
    <w:p w14:paraId="570675F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 3.结转结余情况。2019年度年末一般公共预算财政拨款结转和结余0万元，较上年决算数增加0万元，增长0%，</w:t>
      </w:r>
    </w:p>
    <w:p w14:paraId="7EBA2E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4.比较情况。本部门2019年度一般公共预算财政拨款支出主要用于以下几个方面：</w:t>
      </w:r>
    </w:p>
    <w:p w14:paraId="72FD0D8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1）一般公共服务支出419.73万元，占26.62%，较年初预算数增加189.788万元，增长34.44%，主要原因是调整预算支出，新增2019年困难乡镇年终财力补助，2019年度机关事业单位人员薪资调整；职人员绩效目标、超额绩效及退休人员健康修养费。  </w:t>
      </w:r>
    </w:p>
    <w:p w14:paraId="0C34AC5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（2）文化旅游体育与传媒支出17.16万元，占1.08%，较年初预算数增加1.56万元，增长10%，主要原因是部分支出年初未申请财政拨款预算，而是按规定通过使用以前年度财政拨款结转和结余资金解决。</w:t>
      </w:r>
    </w:p>
    <w:p w14:paraId="524FC1C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（3）社会保障与就业支出97.5万元，占6.18%，较年初预算数减少22.5万元，减少18.75%，主要原因是主要原因是部分支出年初未申请财政拨款预算，而是按规定通过使用以前年度财政拨款结转和结余资金解决。</w:t>
      </w:r>
    </w:p>
    <w:p w14:paraId="67F9F54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（4）卫生健康支出25.05万元，占1.59%，较年初预算数减少30.95万元，减少55.26%，主要原因是主要原因是部分支出年初未申请财政拨款预算，而是按规定通过使用以前年度财政拨款结转和结余资金解决。</w:t>
      </w:r>
    </w:p>
    <w:p w14:paraId="62DE69E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（5）城乡社区支出7.36万元，占0.46%，较年初预算数增加7.36万元，增长100%，主要原因是维护场镇环境卫生。</w:t>
      </w:r>
    </w:p>
    <w:p w14:paraId="2396C69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（6）农林水支出965.39万元，占61.23%，较年初预算数增加835.95万元，增长645.81%，主要原因是事业运行的待遇保证、预算内的扶贫项目的增加。</w:t>
      </w:r>
    </w:p>
    <w:p w14:paraId="75AE9A1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（7）住房保障支出44.46万元，占2.82%，较年初预算数增加44.46万元，增长100%，主要原因是主要原因是年初未申请财政拨款预算，而是按规定通过使用以前年度财政拨款结转和结余资金解决。</w:t>
      </w:r>
    </w:p>
    <w:p w14:paraId="7DA3F4E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（8）其他支出289.13万元，占18.34%，较年初预算数增加289.13万元，增长100%，主要原因是新增预算彩票公益金项目基础设施建设。</w:t>
      </w:r>
    </w:p>
    <w:p w14:paraId="2235B42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（四）一般公共预算财政拨款基本支出决算情况说明</w:t>
      </w:r>
    </w:p>
    <w:p w14:paraId="367F4BB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2019年度一般公共财政拨款基本支出810.33万元。其中：人员经费528.96万元，较上年决算数增加7.67万元，增长1.47%，主要原因是职工薪资待遇的调整，年末职工待遇的增加。人员经费用途主要包括.基本工资、津贴补贴、绩效工资、社会保障缴费、住房公积金等。公用经费281.37万元，较上年决算数增加170.94万元，增长154.79%，主要原因是办公费、公务用车运行维护费等公用经费增加。公用经费用途主要包括办公费、印刷费、咨询费、手续费、电费、邮电费、差旅费、会议费、公务接待费、公务用车运行维护费、其他交通费用。。</w:t>
      </w:r>
    </w:p>
    <w:p w14:paraId="3F394ED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（五）政府性基金预算收支决算情况说明</w:t>
      </w:r>
    </w:p>
    <w:p w14:paraId="36127E4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2019年度政府性基金预算财政拨款年初结转结余0万元，年末结转结余0万元。本年收入300.65万元，较上年决算数增加300.65万元，增长100%，主要原因是新增彩票公益金项目。本年支出300.65万元，较上年决算数增加300.65万元，增长100%，主要原因是新增彩票公益金项目。</w:t>
      </w:r>
    </w:p>
    <w:p w14:paraId="0FD7B93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rPr>
      </w:pPr>
      <w:r>
        <w:rPr>
          <w:rFonts w:hint="eastAsia" w:ascii="方正仿宋_GBK" w:hAnsi="方正仿宋_GBK" w:eastAsia="方正仿宋_GBK" w:cs="方正仿宋_GBK"/>
        </w:rPr>
        <w:t> </w:t>
      </w:r>
      <w:r>
        <w:rPr>
          <w:rFonts w:hint="eastAsia" w:ascii="方正黑体_GBK" w:hAnsi="方正黑体_GBK" w:eastAsia="方正黑体_GBK" w:cs="方正黑体_GBK"/>
        </w:rPr>
        <w:t>三、“三公”经费情况说明</w:t>
      </w:r>
    </w:p>
    <w:p w14:paraId="51A98A2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（一）“三公”经费支出总体情况说明</w:t>
      </w:r>
    </w:p>
    <w:p w14:paraId="189EFF7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2019年度“三公”经费支出共计26.52万元，较年初预算数减少6万元，下降18.45%，主要原因是大力缩减三公经费开支。较上年支出数减少0.67万元，下降2.46%，主要原因是一是认真贯彻落实中央八项规定精神，按照只减不增的要求从严控制“三公”经费，全年实际支出较决算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14:paraId="0BD984E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（二）“三公”经费分项支出情况</w:t>
      </w:r>
    </w:p>
    <w:p w14:paraId="4DDD55E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2019年度本部门因公出国（境）费用5.82万元,主要用于县上组织出国考察学习乡村旅游，费用支出较年初预算数增加5.82万元，增长100%，主要原因是县上组织出国考察学习乡村旅游。较上年支出数增加万元5.82万元，增长100%，主要原因是县上组织出国考察学习乡村旅游。</w:t>
      </w:r>
    </w:p>
    <w:p w14:paraId="3BA1469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公务车购置费0万元。</w:t>
      </w:r>
    </w:p>
    <w:p w14:paraId="4336D69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公务车运行维护费4.32万元，主要用于市内因公出行、财政业务检查等工作所需车辆的燃料费、维修费、过桥过路费、保险费等支出。费用支出较年初预算数增加4.32万元，增加100%，主要原因是项目数量增多。较上年支出数减少2.85万元，下降39.75%，主要原因是严格落实公车使用规定，严禁公车私用，公车运行维护成本大幅下降。</w:t>
      </w:r>
    </w:p>
    <w:p w14:paraId="5E4C700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公务接待费16.2万元，主要用于接待相关部门检查指导工作发生的接待支出。费用支出较年初预算数增加16.2万元，增加100%，主要原因是县内部门来检查和指导工作的人数和次数增多。较上年支出数减少3.82万元，下降19.08%，主要原因是本年度要求严格压缩接待比例，机关食堂有接待能力的尽量减少外出接待，减少接待成本。</w:t>
      </w:r>
    </w:p>
    <w:p w14:paraId="6E90FEA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（三）“三公”经费实物量情况</w:t>
      </w:r>
    </w:p>
    <w:p w14:paraId="0ADB900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2019年度本部门因公出国（境）共计1个团组，1人；公务用车购置0辆，公务车保有量为2辆；国内公务接待260批次1473人，其中：国内外事接待0批次，0人；国（境）外公务接待0批次，0人。2019年本部门人均接待费75.34元，车均购置费0万元，车均维护费2.16万元。</w:t>
      </w:r>
    </w:p>
    <w:p w14:paraId="6299739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四、其他需要说明的事项</w:t>
      </w:r>
    </w:p>
    <w:p w14:paraId="3A3F567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一）机关运行经费情况说明。2019年度本部门机关运行经费支出280.37万元，机关运行经费主要用于开支办公费、公务车运行维护费、电费、差旅费、邮电费、会议费、公务接待费。机关运行经费较上年决算数增加212.28万元，增长311.76%，主要原因是接待次数增多</w:t>
      </w:r>
      <w:r>
        <w:rPr>
          <w:rFonts w:hint="eastAsia" w:ascii="方正仿宋_GBK" w:hAnsi="方正仿宋_GBK" w:eastAsia="方正仿宋_GBK" w:cs="方正仿宋_GBK"/>
          <w:lang w:eastAsia="zh-CN"/>
        </w:rPr>
        <w:t>，</w:t>
      </w:r>
      <w:bookmarkStart w:id="0" w:name="_GoBack"/>
      <w:bookmarkEnd w:id="0"/>
      <w:r>
        <w:rPr>
          <w:rFonts w:hint="eastAsia" w:ascii="方正仿宋_GBK" w:hAnsi="方正仿宋_GBK" w:eastAsia="方正仿宋_GBK" w:cs="方正仿宋_GBK"/>
        </w:rPr>
        <w:t>机关</w:t>
      </w:r>
      <w:r>
        <w:rPr>
          <w:rFonts w:hint="eastAsia" w:ascii="方正仿宋_GBK" w:hAnsi="方正仿宋_GBK" w:eastAsia="方正仿宋_GBK" w:cs="方正仿宋_GBK"/>
          <w:lang w:val="en-US" w:eastAsia="zh-CN"/>
        </w:rPr>
        <w:t>运行</w:t>
      </w:r>
      <w:r>
        <w:rPr>
          <w:rFonts w:hint="eastAsia" w:ascii="方正仿宋_GBK" w:hAnsi="方正仿宋_GBK" w:eastAsia="方正仿宋_GBK" w:cs="方正仿宋_GBK"/>
        </w:rPr>
        <w:t>经费较上年增长较大。此外，本年度一般公共预算财政拨款会议费支出5万元，较上年决算数减少0.26万元，下降5.49%，主要原因是减少会议支出，减少会议相关接待和会议经费的发放，除必要会议外全部取消不必要支出。本年度一般公共预算财政拨款培训费支出0万元。 </w:t>
      </w:r>
    </w:p>
    <w:p w14:paraId="00BBE43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二）国有资产占用情况说明。截至2019年12月31日，本部门共有车辆2辆，其中，副部（省）级及以上领导用车0辆、主要领导干部用车0辆、机要通信用车0辆、应急保障用车1辆、执法执勤用车1辆，特种专业技术用车0辆，离退休干部用车0辆，其他用车0辆。单价50万元（含）以上通用设备0台（套），单价100万元（含）以上专用设备0台（套）。</w:t>
      </w:r>
    </w:p>
    <w:p w14:paraId="2D79316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三）政府采购支出情况说明。2019年度本部门政府采购支出总额10.38万元，其中：政府采购货物支出10.38万元、政府采购工程支出0万元、政府采购服务支出0万元。授予中小企业合同金额0万元，占政府采购支出总额的0%，其中：授予小微企业合同金额 0万元，占政府采购支出总额的0%。主要用于采购办公用品。</w:t>
      </w:r>
    </w:p>
    <w:p w14:paraId="322D9B4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rPr>
      </w:pPr>
      <w:r>
        <w:rPr>
          <w:rFonts w:hint="eastAsia" w:ascii="方正仿宋_GBK" w:hAnsi="方正仿宋_GBK" w:eastAsia="方正仿宋_GBK" w:cs="方正仿宋_GBK"/>
        </w:rPr>
        <w:t> </w:t>
      </w:r>
      <w:r>
        <w:rPr>
          <w:rFonts w:hint="eastAsia" w:ascii="方正黑体_GBK" w:hAnsi="方正黑体_GBK" w:eastAsia="方正黑体_GBK" w:cs="方正黑体_GBK"/>
        </w:rPr>
        <w:t>五、预算绩效管理情况说明</w:t>
      </w:r>
    </w:p>
    <w:p w14:paraId="5AA7CE0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（一）预算绩效管理工作开展情况</w:t>
      </w:r>
    </w:p>
    <w:p w14:paraId="1FC0859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本年度未开展预算绩效自评工作</w:t>
      </w:r>
    </w:p>
    <w:p w14:paraId="0B47756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（二）绩效自评结果</w:t>
      </w:r>
    </w:p>
    <w:p w14:paraId="525C9C6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无</w:t>
      </w:r>
    </w:p>
    <w:p w14:paraId="57C86E1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1.绩效目标自评表</w:t>
      </w:r>
    </w:p>
    <w:p w14:paraId="4DEFAB0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无</w:t>
      </w:r>
    </w:p>
    <w:p w14:paraId="3ADA0B5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2.绩效自评报告或案例</w:t>
      </w:r>
    </w:p>
    <w:p w14:paraId="466492A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无</w:t>
      </w:r>
    </w:p>
    <w:p w14:paraId="020929E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黑体_GBK" w:hAnsi="方正黑体_GBK" w:eastAsia="方正黑体_GBK" w:cs="方正黑体_GBK"/>
        </w:rPr>
        <w:t>六、专业名词解释</w:t>
      </w:r>
    </w:p>
    <w:p w14:paraId="11F6CD5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（一）财政拨款收入：指本年度从本级财政部门取得的财政拨款，包括一般公共预算财政拨款和政府性基金预算财政拨款。</w:t>
      </w:r>
    </w:p>
    <w:p w14:paraId="053506F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（二）事业收入：指事业单位开展专业业务活动及其辅助活动取得的现金流入；事业单位收到的财政专户实际核拨的教育收费等资金在此反映。</w:t>
      </w:r>
    </w:p>
    <w:p w14:paraId="5368E83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（三）经营收入：指事业单位在专业业务活动及其辅助活动之外开展非独立核算经营活动取得的现金流入。</w:t>
      </w:r>
    </w:p>
    <w:p w14:paraId="6EE5346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（四）其他收入：指单位取得的除“财政拨款 收入”、“事业收入”、“经营收入”等以外的收入，包括未纳入财政预算或财政专户管理的投资收益、银行存款利息收入、租金收入、捐赠收入，现金盘盈收入、 存货盘盈收入、收回已核销的应收及预付款项、无法偿付的应付及预收款项等。各单位从本级财政部门以外的同级单位取得的经费、从非本级财政部门取得的经费， 以及行政单位收到的财政专户管理资金反映在本项内。</w:t>
      </w:r>
    </w:p>
    <w:p w14:paraId="3F2BA5A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732E8BB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（六）年初结转和结余：指单位上年结转本年使用的基本支出结转、项目支出结转和结余、经营结余。</w:t>
      </w:r>
    </w:p>
    <w:p w14:paraId="0FA47CC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（七）结余分配：指单位按照国家有关规定，缴纳所得税、提取专用基金、转入事业基金等当年结余的分配情况。</w:t>
      </w:r>
    </w:p>
    <w:p w14:paraId="4F5DB36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（八）年末结转和结余：指单位结转下年的基本支出结转、项目支出结转和结余、经营结余。</w:t>
      </w:r>
    </w:p>
    <w:p w14:paraId="5838E7B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506522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（十）项目支出：指在基本支出之外为完成特定行政任务和事业发展目标所发生的支出。</w:t>
      </w:r>
    </w:p>
    <w:p w14:paraId="2A4921C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（十一）经营支出：指事业单位在专业业务活动及其辅助活动之外开展非独立核算经营活动发生的支出。</w:t>
      </w:r>
    </w:p>
    <w:p w14:paraId="04A4060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（十二）“三公”经费： 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14:paraId="07F2516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（十三）机关运行经费：为保障行政单位（含 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14:paraId="57F0A90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（十四）工资福利支出（支出经济分类科目类级）：反映单位开支的在职职工和编制外长期聘用人员的各类劳动报酬，以及为上述人员缴纳的各项社会保险费等。</w:t>
      </w:r>
    </w:p>
    <w:p w14:paraId="20A22D1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（十五）商品和服务支出（支出经济分类科目类级）：反映单位购买商品和服务的支出（不包括用于购置固定资产的支出、战略性和应急储备支出）。</w:t>
      </w:r>
    </w:p>
    <w:p w14:paraId="148383D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（十六）对个人和家庭的补助（支出经济分类科目类级）：反映用于对个人和家庭的补助支出。</w:t>
      </w:r>
    </w:p>
    <w:p w14:paraId="189D84E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7AC8F35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rPr>
      </w:pPr>
      <w:r>
        <w:rPr>
          <w:rFonts w:hint="eastAsia" w:ascii="方正仿宋_GBK" w:hAnsi="方正仿宋_GBK" w:eastAsia="方正仿宋_GBK" w:cs="方正仿宋_GBK"/>
        </w:rPr>
        <w:t xml:space="preserve">  </w:t>
      </w:r>
      <w:r>
        <w:rPr>
          <w:rFonts w:hint="eastAsia" w:ascii="方正黑体_GBK" w:hAnsi="方正黑体_GBK" w:eastAsia="方正黑体_GBK" w:cs="方正黑体_GBK"/>
        </w:rPr>
        <w:t>七、决算公开联系方式及信息反馈渠道</w:t>
      </w:r>
    </w:p>
    <w:p w14:paraId="6CB95C0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本单位决算公开信息反馈和联系方式：厚坪乡人民政府 023-59261700</w:t>
      </w:r>
    </w:p>
    <w:p w14:paraId="1986FC8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w:t>
      </w:r>
    </w:p>
    <w:p w14:paraId="4AFF1B7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wOGJjZDg0ZDA5NGUzMjE4ZTY2OWE0N2JjYTgzYWQifQ=="/>
  </w:docVars>
  <w:rsids>
    <w:rsidRoot w:val="006964AF"/>
    <w:rsid w:val="00210602"/>
    <w:rsid w:val="0036282F"/>
    <w:rsid w:val="0047317D"/>
    <w:rsid w:val="006964AF"/>
    <w:rsid w:val="00A312EB"/>
    <w:rsid w:val="00C513C1"/>
    <w:rsid w:val="00D30259"/>
    <w:rsid w:val="00D85C41"/>
    <w:rsid w:val="00DC453D"/>
    <w:rsid w:val="00E47E06"/>
    <w:rsid w:val="00F74949"/>
    <w:rsid w:val="011D2B0B"/>
    <w:rsid w:val="01A52738"/>
    <w:rsid w:val="02494B72"/>
    <w:rsid w:val="025E3FB8"/>
    <w:rsid w:val="036C1B02"/>
    <w:rsid w:val="05591BC4"/>
    <w:rsid w:val="056B73F0"/>
    <w:rsid w:val="06744C43"/>
    <w:rsid w:val="071C5066"/>
    <w:rsid w:val="077E262E"/>
    <w:rsid w:val="084E4EB7"/>
    <w:rsid w:val="08BB3B25"/>
    <w:rsid w:val="099B4681"/>
    <w:rsid w:val="0A3435E6"/>
    <w:rsid w:val="0AC20F41"/>
    <w:rsid w:val="0B572B43"/>
    <w:rsid w:val="0C671DA9"/>
    <w:rsid w:val="0DD1133F"/>
    <w:rsid w:val="0E0F46CA"/>
    <w:rsid w:val="0FD36CBE"/>
    <w:rsid w:val="14814D85"/>
    <w:rsid w:val="169557FE"/>
    <w:rsid w:val="16F4757F"/>
    <w:rsid w:val="18926BDF"/>
    <w:rsid w:val="190B3FDB"/>
    <w:rsid w:val="19FE47AC"/>
    <w:rsid w:val="1A540AA0"/>
    <w:rsid w:val="1AD54EC4"/>
    <w:rsid w:val="1B5011BD"/>
    <w:rsid w:val="1B89781B"/>
    <w:rsid w:val="1C1B4C0F"/>
    <w:rsid w:val="1D682E1D"/>
    <w:rsid w:val="1E2F3A42"/>
    <w:rsid w:val="1F010810"/>
    <w:rsid w:val="1F535008"/>
    <w:rsid w:val="1F721A21"/>
    <w:rsid w:val="1FD668E9"/>
    <w:rsid w:val="1FF55F32"/>
    <w:rsid w:val="20001C4D"/>
    <w:rsid w:val="21962050"/>
    <w:rsid w:val="22DA0223"/>
    <w:rsid w:val="23204182"/>
    <w:rsid w:val="23C0195F"/>
    <w:rsid w:val="254C55C8"/>
    <w:rsid w:val="26477BB1"/>
    <w:rsid w:val="273256CB"/>
    <w:rsid w:val="29D02BC3"/>
    <w:rsid w:val="2BEA733A"/>
    <w:rsid w:val="2C6A4B53"/>
    <w:rsid w:val="2E9F0812"/>
    <w:rsid w:val="398B5400"/>
    <w:rsid w:val="39976392"/>
    <w:rsid w:val="3A65046A"/>
    <w:rsid w:val="3B1C0399"/>
    <w:rsid w:val="3B4C2CAB"/>
    <w:rsid w:val="3B582776"/>
    <w:rsid w:val="3D145E09"/>
    <w:rsid w:val="3E0B6555"/>
    <w:rsid w:val="3EBB219A"/>
    <w:rsid w:val="412B2D40"/>
    <w:rsid w:val="414C0CC4"/>
    <w:rsid w:val="415E148F"/>
    <w:rsid w:val="41D410EB"/>
    <w:rsid w:val="41D86DED"/>
    <w:rsid w:val="49B609D8"/>
    <w:rsid w:val="49D34D51"/>
    <w:rsid w:val="4A71413F"/>
    <w:rsid w:val="4CEC7331"/>
    <w:rsid w:val="4D225F85"/>
    <w:rsid w:val="4DC26564"/>
    <w:rsid w:val="4DF61559"/>
    <w:rsid w:val="50B663BD"/>
    <w:rsid w:val="50DA086D"/>
    <w:rsid w:val="519145EE"/>
    <w:rsid w:val="51B1435E"/>
    <w:rsid w:val="52D07488"/>
    <w:rsid w:val="53227D4A"/>
    <w:rsid w:val="53283D59"/>
    <w:rsid w:val="53985A6B"/>
    <w:rsid w:val="53B72606"/>
    <w:rsid w:val="53E32481"/>
    <w:rsid w:val="5592154A"/>
    <w:rsid w:val="56D2625F"/>
    <w:rsid w:val="577A5D09"/>
    <w:rsid w:val="57D96752"/>
    <w:rsid w:val="57E47993"/>
    <w:rsid w:val="595D0C18"/>
    <w:rsid w:val="5AA27523"/>
    <w:rsid w:val="5DBB715B"/>
    <w:rsid w:val="5E5E4B55"/>
    <w:rsid w:val="5FF82AEF"/>
    <w:rsid w:val="63854CCE"/>
    <w:rsid w:val="658C61EB"/>
    <w:rsid w:val="65A42FCF"/>
    <w:rsid w:val="668A67AB"/>
    <w:rsid w:val="67071DDE"/>
    <w:rsid w:val="67642960"/>
    <w:rsid w:val="685272E2"/>
    <w:rsid w:val="6905182F"/>
    <w:rsid w:val="6A714247"/>
    <w:rsid w:val="6A9F609A"/>
    <w:rsid w:val="6C8E3D4C"/>
    <w:rsid w:val="6F292294"/>
    <w:rsid w:val="6F7E467F"/>
    <w:rsid w:val="71B631CC"/>
    <w:rsid w:val="72492508"/>
    <w:rsid w:val="75C4037F"/>
    <w:rsid w:val="75EB2EFB"/>
    <w:rsid w:val="76310F1F"/>
    <w:rsid w:val="7EF90014"/>
    <w:rsid w:val="7FFD2AC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autoRedefine/>
    <w:qFormat/>
    <w:uiPriority w:val="99"/>
    <w:rPr>
      <w:rFonts w:cs="Times New Roman"/>
      <w:b/>
    </w:rPr>
  </w:style>
  <w:style w:type="paragraph" w:styleId="8">
    <w:name w:val="List Paragraph"/>
    <w:basedOn w:val="1"/>
    <w:qFormat/>
    <w:uiPriority w:val="99"/>
    <w:pPr>
      <w:ind w:firstLine="420" w:firstLineChars="200"/>
    </w:pPr>
    <w:rPr>
      <w:rFonts w:ascii="Calibri" w:hAnsi="Calibri"/>
    </w:rPr>
  </w:style>
  <w:style w:type="character" w:customStyle="1" w:styleId="9">
    <w:name w:val="页眉 Char"/>
    <w:basedOn w:val="6"/>
    <w:link w:val="3"/>
    <w:autoRedefine/>
    <w:semiHidden/>
    <w:qFormat/>
    <w:uiPriority w:val="99"/>
    <w:rPr>
      <w:kern w:val="2"/>
      <w:sz w:val="18"/>
      <w:szCs w:val="18"/>
    </w:rPr>
  </w:style>
  <w:style w:type="character" w:customStyle="1" w:styleId="10">
    <w:name w:val="页脚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6874</Words>
  <Characters>7433</Characters>
  <Lines>60</Lines>
  <Paragraphs>16</Paragraphs>
  <TotalTime>6</TotalTime>
  <ScaleCrop>false</ScaleCrop>
  <LinksUpToDate>false</LinksUpToDate>
  <CharactersWithSpaces>7472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2021-05-25T02:07:00Z</dcterms:created>
  <dc:creator>Administrator</dc:creator>
  <cp:lastModifiedBy>Zzi昊</cp:lastModifiedBy>
  <dcterms:modified xsi:type="dcterms:W3CDTF">2025-05-07T09:40:24Z</dcterms:modified>
  <dc:title>附件4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EAF5EC9F4C4243EF8E83F993E4617F9F_12</vt:lpwstr>
  </property>
  <property fmtid="{D5CDD505-2E9C-101B-9397-08002B2CF9AE}" pid="4" name="KSOTemplateDocerSaveRecord">
    <vt:lpwstr>eyJoZGlkIjoiNDc0OWVjYjRhMmU0M2QxY2JhYWUzYjk5MGE4ZjAzMGUiLCJ1c2VySWQiOiI0MTU4MzAxMjUifQ==</vt:lpwstr>
  </property>
</Properties>
</file>