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宋体" w:hAnsi="宋体" w:eastAsia="宋体" w:cs="宋体"/>
          <w:color w:val="000000"/>
          <w:spacing w:val="-3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 xml:space="preserve">附件3：        </w:t>
      </w:r>
    </w:p>
    <w:p>
      <w:pPr>
        <w:autoSpaceDE w:val="0"/>
        <w:autoSpaceDN w:val="0"/>
        <w:jc w:val="center"/>
        <w:rPr>
          <w:rFonts w:ascii="宋体" w:hAnsi="宋体" w:eastAsia="宋体" w:cs="宋体"/>
          <w:color w:val="000000"/>
          <w:spacing w:val="-3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>厚坪乡“五清理一活动”到户任务台账（重点区域内重点难点户）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77"/>
        <w:gridCol w:w="846"/>
        <w:gridCol w:w="818"/>
        <w:gridCol w:w="2154"/>
        <w:gridCol w:w="2237"/>
        <w:gridCol w:w="1786"/>
        <w:gridCol w:w="2509"/>
        <w:gridCol w:w="1514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0"/>
                <w:szCs w:val="20"/>
              </w:rPr>
              <w:t>序号</w:t>
            </w: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0"/>
                <w:szCs w:val="20"/>
              </w:rPr>
              <w:t>行政村</w:t>
            </w: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0"/>
                <w:szCs w:val="20"/>
              </w:rPr>
              <w:t>村民小组</w:t>
            </w: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0"/>
                <w:szCs w:val="20"/>
              </w:rPr>
              <w:t>户主姓名</w:t>
            </w: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蓝顶棚（对于农民群众搭建的功能设施性质的“蓝棚顶”，采取改建坡屋顶等方式进行风貌塑造。对于私搭乱建违法“蓝棚顶”，逐步依法依规进行拆除）</w:t>
            </w: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无人居住废弃房屋（引导房主进行归整。在充分尊重房主意愿的前提下，鼓励农户对破旧房屋通过流转、退出宅基地进行复垦等多种形式加以盘活利用）</w:t>
            </w: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房前屋后杂物（在确保消防安全的前提下将柴草码放整齐，杂物摆放规范整洁，实现庭院内外物品堆放整齐、整洁有序）</w:t>
            </w: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田间地头废弃物（田间地头乱搭乱围的围栏、围挡等统一进行清理、规范，及时规整废弃瓜果架、大棚架等。回收利用田间地头废旧农膜，回收处理农药、肥料、饲料等包装废弃物）</w:t>
            </w: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清理管线“蜘蛛网”（梳理规范房前屋后、室内外的有线电视、通信、电力等管线）</w:t>
            </w: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例：</w:t>
            </w: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改造</w:t>
            </w: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规整</w:t>
            </w: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规整</w:t>
            </w: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回收处理</w:t>
            </w: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规整</w:t>
            </w: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拆除</w:t>
            </w: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流转</w:t>
            </w: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规整</w:t>
            </w: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改造</w:t>
            </w: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"/>
                <w:sz w:val="24"/>
              </w:rPr>
              <w:t>复垦</w:t>
            </w: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FF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80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7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4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818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15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237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1514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  <w:tc>
          <w:tcPr>
            <w:tcW w:w="753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</w:tc>
      </w:tr>
    </w:tbl>
    <w:p>
      <w:pPr>
        <w:autoSpaceDE w:val="0"/>
        <w:autoSpaceDN w:val="0"/>
        <w:jc w:val="center"/>
        <w:rPr>
          <w:rFonts w:ascii="宋体" w:hAnsi="宋体" w:eastAsia="宋体" w:cs="宋体"/>
          <w:color w:val="000000"/>
          <w:spacing w:val="-3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color w:val="000000"/>
          <w:spacing w:val="-3"/>
          <w:sz w:val="24"/>
        </w:rPr>
        <w:t>注：以上台账统计围绕沿主干道（石厚路）、沿主河道（石溪河）、沿龙盘村景区周边、沿乡场镇周边作为重点区域内重点难点户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7716"/>
    <w:rsid w:val="1B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2021-02-28T11:58:00Z</dcterms:created>
  <dc:creator>Administrator</dc:creator>
  <cp:lastModifiedBy>Administrator</cp:lastModifiedBy>
  <dcterms:modified xsi:type="dcterms:W3CDTF">2021-02-28T11:58:37Z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