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napToGrid/>
        <w:spacing w:before="0" w:beforeAutospacing="0" w:after="0" w:afterAutospacing="0" w:line="560" w:lineRule="exact"/>
        <w:ind w:right="0" w:rightChars="0"/>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重庆市城口县高楠镇退役军人服务站</w:t>
      </w:r>
    </w:p>
    <w:p>
      <w:pPr>
        <w:pStyle w:val="9"/>
        <w:keepNext w:val="0"/>
        <w:keepLines w:val="0"/>
        <w:pageBreakBefore w:val="0"/>
        <w:widowControl/>
        <w:kinsoku/>
        <w:wordWrap/>
        <w:overflowPunct/>
        <w:topLinePunct w:val="0"/>
        <w:autoSpaceDN/>
        <w:bidi w:val="0"/>
        <w:adjustRightInd/>
        <w:snapToGrid/>
        <w:spacing w:before="0" w:beforeAutospacing="0" w:after="0" w:afterAutospacing="0" w:line="560" w:lineRule="exact"/>
        <w:ind w:right="0" w:rightChars="0"/>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880" w:firstLineChars="200"/>
        <w:jc w:val="both"/>
        <w:textAlignment w:val="auto"/>
        <w:rPr>
          <w:rFonts w:hint="default" w:ascii="方正小标宋_GBK" w:hAnsi="方正小标宋_GBK" w:eastAsia="方正小标宋_GBK" w:cs="方正小标宋_GBK"/>
          <w:sz w:val="44"/>
          <w:szCs w:val="44"/>
          <w:shd w:val="clear" w:color="auto" w:fill="FFFFFF"/>
        </w:rPr>
      </w:pP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both"/>
        <w:textAlignment w:val="auto"/>
        <w:rPr>
          <w:rStyle w:val="13"/>
          <w:rFonts w:hint="eastAsia" w:ascii="方正黑体_GBK" w:hAnsi="方正黑体_GBK" w:eastAsia="方正黑体_GBK" w:cs="方正黑体_GBK"/>
          <w:sz w:val="32"/>
          <w:szCs w:val="32"/>
          <w:shd w:val="clear" w:color="auto" w:fill="FFFFFF"/>
        </w:rPr>
      </w:pPr>
      <w:r>
        <w:rPr>
          <w:rStyle w:val="13"/>
          <w:rFonts w:hint="eastAsia" w:ascii="方正黑体_GBK" w:hAnsi="方正黑体_GBK" w:eastAsia="方正黑体_GBK" w:cs="方正黑体_GBK"/>
          <w:sz w:val="32"/>
          <w:szCs w:val="32"/>
          <w:shd w:val="clear" w:color="auto" w:fill="FFFFFF"/>
        </w:rPr>
        <w:t>一、</w:t>
      </w:r>
      <w:r>
        <w:rPr>
          <w:rStyle w:val="13"/>
          <w:rFonts w:hint="eastAsia" w:ascii="方正黑体_GBK" w:hAnsi="方正黑体_GBK" w:eastAsia="方正黑体_GBK" w:cs="方正黑体_GBK"/>
          <w:sz w:val="32"/>
          <w:szCs w:val="32"/>
          <w:shd w:val="clear" w:color="auto" w:fill="FFFFFF"/>
          <w:lang w:eastAsia="zh-CN"/>
        </w:rPr>
        <w:t>部门</w:t>
      </w:r>
      <w:r>
        <w:rPr>
          <w:rStyle w:val="13"/>
          <w:rFonts w:hint="eastAsia" w:ascii="方正黑体_GBK" w:hAnsi="方正黑体_GBK" w:eastAsia="方正黑体_GBK" w:cs="方正黑体_GBK"/>
          <w:sz w:val="32"/>
          <w:szCs w:val="32"/>
          <w:shd w:val="clear" w:color="auto" w:fill="FFFFFF"/>
        </w:rPr>
        <w:t>基本情况</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right="0" w:rightChars="0" w:firstLine="640" w:firstLineChars="200"/>
        <w:jc w:val="both"/>
        <w:textAlignment w:val="auto"/>
        <w:rPr>
          <w:sz w:val="32"/>
          <w:szCs w:val="32"/>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高楠镇退役军人服务站是高楠镇人民政府所属公益一类事业单位。其主要职能职责有：退役军人服务站主要负责退役军人的来访接待、政策解读、就业指导、帮扶救助、权益保障等服务工作。</w:t>
      </w:r>
    </w:p>
    <w:p>
      <w:pPr>
        <w:pStyle w:val="9"/>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both"/>
        <w:textAlignment w:val="auto"/>
        <w:rPr>
          <w:rStyle w:val="13"/>
          <w:rFonts w:hint="eastAsia" w:ascii="方正黑体_GBK" w:hAnsi="方正黑体_GBK" w:eastAsia="方正黑体_GBK" w:cs="方正黑体_GBK"/>
          <w:sz w:val="32"/>
          <w:szCs w:val="32"/>
          <w:shd w:val="clear" w:color="auto" w:fill="FFFFFF"/>
        </w:rPr>
      </w:pPr>
      <w:r>
        <w:rPr>
          <w:rStyle w:val="13"/>
          <w:rFonts w:hint="eastAsia" w:ascii="方正黑体_GBK" w:hAnsi="方正黑体_GBK" w:eastAsia="方正黑体_GBK" w:cs="方正黑体_GBK"/>
          <w:sz w:val="32"/>
          <w:szCs w:val="32"/>
          <w:shd w:val="clear" w:color="auto" w:fill="FFFFFF"/>
          <w:lang w:eastAsia="zh-CN"/>
        </w:rPr>
        <w:t>部门</w:t>
      </w:r>
      <w:r>
        <w:rPr>
          <w:rStyle w:val="13"/>
          <w:rFonts w:hint="eastAsia" w:ascii="方正黑体_GBK" w:hAnsi="方正黑体_GBK" w:eastAsia="方正黑体_GBK" w:cs="方正黑体_GBK"/>
          <w:sz w:val="32"/>
          <w:szCs w:val="32"/>
          <w:shd w:val="clear" w:color="auto" w:fill="FFFFFF"/>
        </w:rPr>
        <w:t>决算</w:t>
      </w:r>
      <w:r>
        <w:rPr>
          <w:rStyle w:val="13"/>
          <w:rFonts w:hint="eastAsia" w:ascii="方正黑体_GBK" w:hAnsi="方正黑体_GBK" w:eastAsia="方正黑体_GBK" w:cs="方正黑体_GBK"/>
          <w:sz w:val="32"/>
          <w:szCs w:val="32"/>
          <w:shd w:val="clear" w:color="auto" w:fill="FFFFFF"/>
          <w:lang w:eastAsia="zh-CN"/>
        </w:rPr>
        <w:t>收支</w:t>
      </w:r>
      <w:r>
        <w:rPr>
          <w:rStyle w:val="13"/>
          <w:rFonts w:hint="eastAsia" w:ascii="方正黑体_GBK" w:hAnsi="方正黑体_GBK" w:eastAsia="方正黑体_GBK" w:cs="方正黑体_GBK"/>
          <w:sz w:val="32"/>
          <w:szCs w:val="32"/>
          <w:shd w:val="clear" w:color="auto" w:fill="FFFFFF"/>
        </w:rPr>
        <w:t>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ascii="方正楷体_GBK" w:hAnsi="方正楷体_GBK" w:eastAsia="方正楷体_GBK" w:cs="方正楷体_GBK"/>
          <w:i w:val="0"/>
          <w:iCs w:val="0"/>
          <w:caps w:val="0"/>
          <w:color w:val="333333"/>
          <w:spacing w:val="0"/>
          <w:sz w:val="32"/>
          <w:szCs w:val="32"/>
          <w:shd w:val="clear" w:fill="FFFFFF"/>
        </w:rPr>
        <w:t>（一）收入支出决算总体情况说明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年度收入总计</w:t>
      </w:r>
      <w:r>
        <w:rPr>
          <w:rFonts w:hint="eastAsia" w:ascii="Times New Roman" w:hAnsi="Times New Roman" w:eastAsia="方正仿宋_GBK" w:cs="Times New Roman"/>
          <w:i w:val="0"/>
          <w:iCs w:val="0"/>
          <w:caps w:val="0"/>
          <w:color w:val="333333"/>
          <w:spacing w:val="0"/>
          <w:sz w:val="32"/>
          <w:szCs w:val="32"/>
          <w:shd w:val="clear" w:fill="FFFFFF"/>
          <w:lang w:val="en-US" w:eastAsia="zh-CN"/>
        </w:rPr>
        <w:t>33.54</w:t>
      </w:r>
      <w:r>
        <w:rPr>
          <w:rFonts w:hint="eastAsia" w:ascii="方正仿宋_GBK" w:hAnsi="方正仿宋_GBK" w:eastAsia="方正仿宋_GBK" w:cs="方正仿宋_GBK"/>
          <w:i w:val="0"/>
          <w:iCs w:val="0"/>
          <w:caps w:val="0"/>
          <w:color w:val="333333"/>
          <w:spacing w:val="0"/>
          <w:sz w:val="32"/>
          <w:szCs w:val="32"/>
          <w:shd w:val="clear" w:fill="FFFFFF"/>
        </w:rPr>
        <w:t>万元，支出总计</w:t>
      </w:r>
      <w:r>
        <w:rPr>
          <w:rFonts w:hint="eastAsia" w:ascii="Times New Roman" w:hAnsi="Times New Roman" w:eastAsia="方正仿宋_GBK" w:cs="Times New Roman"/>
          <w:i w:val="0"/>
          <w:iCs w:val="0"/>
          <w:caps w:val="0"/>
          <w:color w:val="333333"/>
          <w:spacing w:val="0"/>
          <w:sz w:val="32"/>
          <w:szCs w:val="32"/>
          <w:shd w:val="clear" w:fill="FFFFFF"/>
          <w:lang w:val="en-US" w:eastAsia="zh-CN"/>
        </w:rPr>
        <w:t>33.54</w:t>
      </w:r>
      <w:r>
        <w:rPr>
          <w:rFonts w:hint="eastAsia" w:ascii="方正仿宋_GBK" w:hAnsi="方正仿宋_GBK" w:eastAsia="方正仿宋_GBK" w:cs="方正仿宋_GBK"/>
          <w:i w:val="0"/>
          <w:iCs w:val="0"/>
          <w:caps w:val="0"/>
          <w:color w:val="333333"/>
          <w:spacing w:val="0"/>
          <w:sz w:val="32"/>
          <w:szCs w:val="32"/>
          <w:shd w:val="clear" w:fill="FFFFFF"/>
        </w:rPr>
        <w:t>万元。收支较上年决算数增加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33.54</w:t>
      </w:r>
      <w:r>
        <w:rPr>
          <w:rFonts w:hint="eastAsia" w:ascii="方正仿宋_GBK" w:hAnsi="方正仿宋_GBK" w:eastAsia="方正仿宋_GBK" w:cs="方正仿宋_GBK"/>
          <w:i w:val="0"/>
          <w:iCs w:val="0"/>
          <w:caps w:val="0"/>
          <w:color w:val="333333"/>
          <w:spacing w:val="0"/>
          <w:sz w:val="32"/>
          <w:szCs w:val="32"/>
          <w:shd w:val="clear" w:fill="FFFFFF"/>
        </w:rPr>
        <w:t>万元、增长</w:t>
      </w:r>
      <w:r>
        <w:rPr>
          <w:rFonts w:hint="default" w:ascii="Times New Roman" w:hAnsi="Times New Roman" w:eastAsia="方正仿宋_GBK" w:cs="Times New Roman"/>
          <w:i w:val="0"/>
          <w:iCs w:val="0"/>
          <w:caps w:val="0"/>
          <w:color w:val="333333"/>
          <w:spacing w:val="0"/>
          <w:sz w:val="32"/>
          <w:szCs w:val="32"/>
          <w:shd w:val="clear" w:fill="FFFFFF"/>
        </w:rPr>
        <w:t>100%</w:t>
      </w:r>
      <w:r>
        <w:rPr>
          <w:rFonts w:hint="eastAsia" w:ascii="方正仿宋_GBK" w:hAnsi="方正仿宋_GBK" w:eastAsia="方正仿宋_GBK" w:cs="方正仿宋_GBK"/>
          <w:i w:val="0"/>
          <w:iCs w:val="0"/>
          <w:caps w:val="0"/>
          <w:color w:val="333333"/>
          <w:spacing w:val="0"/>
          <w:sz w:val="32"/>
          <w:szCs w:val="32"/>
          <w:shd w:val="clear" w:fill="FFFFFF"/>
        </w:rPr>
        <w:t>，主要原因是</w:t>
      </w:r>
      <w:r>
        <w:rPr>
          <w:rFonts w:hint="default" w:ascii="Times New Roman" w:hAnsi="Times New Roman" w:eastAsia="方正仿宋_GBK" w:cs="Times New Roman"/>
          <w:i w:val="0"/>
          <w:iCs w:val="0"/>
          <w:caps w:val="0"/>
          <w:color w:val="333333"/>
          <w:spacing w:val="0"/>
          <w:sz w:val="32"/>
          <w:szCs w:val="32"/>
          <w:shd w:val="clear" w:fill="FFFFFF"/>
        </w:rPr>
        <w:t>2023</w:t>
      </w:r>
      <w:r>
        <w:rPr>
          <w:rFonts w:hint="eastAsia" w:ascii="方正仿宋_GBK" w:hAnsi="方正仿宋_GBK" w:eastAsia="方正仿宋_GBK" w:cs="方正仿宋_GBK"/>
          <w:i w:val="0"/>
          <w:iCs w:val="0"/>
          <w:caps w:val="0"/>
          <w:color w:val="333333"/>
          <w:spacing w:val="0"/>
          <w:sz w:val="32"/>
          <w:szCs w:val="32"/>
          <w:shd w:val="clear" w:fill="FFFFFF"/>
        </w:rPr>
        <w:t>年退役军人服务站未单独进行财务核算及决算处理，纳入政府核算及决算。 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（二）一般公共预算财政拨款支出决算情况说明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3" w:firstLineChars="200"/>
        <w:jc w:val="both"/>
        <w:rPr>
          <w:rFonts w:hint="eastAsia" w:ascii="宋体" w:hAnsi="宋体" w:eastAsia="宋体" w:cs="宋体"/>
          <w:i w:val="0"/>
          <w:iCs w:val="0"/>
          <w:caps w:val="0"/>
          <w:color w:val="333333"/>
          <w:spacing w:val="0"/>
          <w:sz w:val="32"/>
          <w:szCs w:val="32"/>
        </w:rPr>
      </w:pPr>
      <w:r>
        <w:rPr>
          <w:rStyle w:val="13"/>
          <w:rFonts w:hint="default" w:ascii="Times New Roman" w:hAnsi="Times New Roman" w:eastAsia="方正仿宋_GBK" w:cs="Times New Roman"/>
          <w:i w:val="0"/>
          <w:iCs w:val="0"/>
          <w:caps w:val="0"/>
          <w:color w:val="333333"/>
          <w:spacing w:val="0"/>
          <w:sz w:val="32"/>
          <w:szCs w:val="32"/>
          <w:shd w:val="clear" w:fill="FFFFFF"/>
        </w:rPr>
        <w:t>1.</w:t>
      </w:r>
      <w:r>
        <w:rPr>
          <w:rStyle w:val="13"/>
          <w:rFonts w:hint="eastAsia" w:ascii="方正仿宋_GBK" w:hAnsi="方正仿宋_GBK" w:eastAsia="方正仿宋_GBK" w:cs="方正仿宋_GBK"/>
          <w:i w:val="0"/>
          <w:iCs w:val="0"/>
          <w:caps w:val="0"/>
          <w:color w:val="333333"/>
          <w:spacing w:val="0"/>
          <w:sz w:val="32"/>
          <w:szCs w:val="32"/>
          <w:shd w:val="clear" w:fill="FFFFFF"/>
        </w:rPr>
        <w:t>收入情况。</w:t>
      </w:r>
      <w:r>
        <w:rPr>
          <w:rFonts w:hint="eastAsia" w:ascii="方正仿宋_GBK" w:hAnsi="方正仿宋_GBK" w:eastAsia="方正仿宋_GBK" w:cs="方正仿宋_GBK"/>
          <w:i w:val="0"/>
          <w:iCs w:val="0"/>
          <w:caps w:val="0"/>
          <w:color w:val="333333"/>
          <w:spacing w:val="0"/>
          <w:sz w:val="32"/>
          <w:szCs w:val="32"/>
          <w:shd w:val="clear" w:fill="FFFFFF"/>
        </w:rPr>
        <w:t>本单位</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年度财政拨款收入</w:t>
      </w:r>
      <w:r>
        <w:rPr>
          <w:rFonts w:hint="eastAsia" w:ascii="Times New Roman" w:hAnsi="Times New Roman" w:eastAsia="方正仿宋_GBK" w:cs="Times New Roman"/>
          <w:i w:val="0"/>
          <w:iCs w:val="0"/>
          <w:caps w:val="0"/>
          <w:color w:val="333333"/>
          <w:spacing w:val="0"/>
          <w:sz w:val="32"/>
          <w:szCs w:val="32"/>
          <w:shd w:val="clear" w:fill="FFFFFF"/>
          <w:lang w:val="en-US" w:eastAsia="zh-CN"/>
        </w:rPr>
        <w:t>33.54</w:t>
      </w:r>
      <w:r>
        <w:rPr>
          <w:rFonts w:hint="eastAsia" w:ascii="方正仿宋_GBK" w:hAnsi="方正仿宋_GBK" w:eastAsia="方正仿宋_GBK" w:cs="方正仿宋_GBK"/>
          <w:i w:val="0"/>
          <w:iCs w:val="0"/>
          <w:caps w:val="0"/>
          <w:color w:val="333333"/>
          <w:spacing w:val="0"/>
          <w:sz w:val="32"/>
          <w:szCs w:val="32"/>
          <w:shd w:val="clear" w:fill="FFFFFF"/>
        </w:rPr>
        <w:t>万元，较上年决算数增加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33.54</w:t>
      </w:r>
      <w:r>
        <w:rPr>
          <w:rFonts w:hint="eastAsia" w:ascii="方正仿宋_GBK" w:hAnsi="方正仿宋_GBK" w:eastAsia="方正仿宋_GBK" w:cs="方正仿宋_GBK"/>
          <w:i w:val="0"/>
          <w:iCs w:val="0"/>
          <w:caps w:val="0"/>
          <w:color w:val="333333"/>
          <w:spacing w:val="0"/>
          <w:sz w:val="32"/>
          <w:szCs w:val="32"/>
          <w:shd w:val="clear" w:fill="FFFFFF"/>
        </w:rPr>
        <w:t>万元、增长</w:t>
      </w:r>
      <w:r>
        <w:rPr>
          <w:rFonts w:hint="default" w:ascii="Times New Roman" w:hAnsi="Times New Roman" w:eastAsia="方正仿宋_GBK" w:cs="Times New Roman"/>
          <w:i w:val="0"/>
          <w:iCs w:val="0"/>
          <w:caps w:val="0"/>
          <w:color w:val="333333"/>
          <w:spacing w:val="0"/>
          <w:sz w:val="32"/>
          <w:szCs w:val="32"/>
          <w:shd w:val="clear" w:fill="FFFFFF"/>
        </w:rPr>
        <w:t>100%</w:t>
      </w:r>
      <w:r>
        <w:rPr>
          <w:rFonts w:hint="eastAsia" w:ascii="方正仿宋_GBK" w:hAnsi="方正仿宋_GBK" w:eastAsia="方正仿宋_GBK" w:cs="方正仿宋_GBK"/>
          <w:i w:val="0"/>
          <w:iCs w:val="0"/>
          <w:caps w:val="0"/>
          <w:color w:val="333333"/>
          <w:spacing w:val="0"/>
          <w:sz w:val="32"/>
          <w:szCs w:val="32"/>
          <w:shd w:val="clear" w:fill="FFFFFF"/>
        </w:rPr>
        <w:t>。主要原因是</w:t>
      </w:r>
      <w:r>
        <w:rPr>
          <w:rFonts w:hint="default" w:ascii="Times New Roman" w:hAnsi="Times New Roman" w:eastAsia="方正仿宋_GBK" w:cs="Times New Roman"/>
          <w:i w:val="0"/>
          <w:iCs w:val="0"/>
          <w:caps w:val="0"/>
          <w:color w:val="333333"/>
          <w:spacing w:val="0"/>
          <w:sz w:val="32"/>
          <w:szCs w:val="32"/>
          <w:shd w:val="clear" w:fill="FFFFFF"/>
        </w:rPr>
        <w:t>2023</w:t>
      </w:r>
      <w:r>
        <w:rPr>
          <w:rFonts w:hint="eastAsia" w:ascii="方正仿宋_GBK" w:hAnsi="方正仿宋_GBK" w:eastAsia="方正仿宋_GBK" w:cs="方正仿宋_GBK"/>
          <w:i w:val="0"/>
          <w:iCs w:val="0"/>
          <w:caps w:val="0"/>
          <w:color w:val="333333"/>
          <w:spacing w:val="0"/>
          <w:sz w:val="32"/>
          <w:szCs w:val="32"/>
          <w:shd w:val="clear" w:fill="FFFFFF"/>
        </w:rPr>
        <w:t>年退役军人服务站未单独进行财务核算及决算处理，纳入政府核算及决算。较年初预算数增加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33.54</w:t>
      </w:r>
      <w:r>
        <w:rPr>
          <w:rFonts w:hint="eastAsia" w:ascii="方正仿宋_GBK" w:hAnsi="方正仿宋_GBK" w:eastAsia="方正仿宋_GBK" w:cs="方正仿宋_GBK"/>
          <w:i w:val="0"/>
          <w:iCs w:val="0"/>
          <w:caps w:val="0"/>
          <w:color w:val="333333"/>
          <w:spacing w:val="0"/>
          <w:sz w:val="32"/>
          <w:szCs w:val="32"/>
          <w:shd w:val="clear" w:fill="FFFFFF"/>
        </w:rPr>
        <w:t>万元，增长</w:t>
      </w:r>
      <w:r>
        <w:rPr>
          <w:rFonts w:hint="default" w:ascii="Times New Roman" w:hAnsi="Times New Roman" w:eastAsia="方正仿宋_GBK" w:cs="Times New Roman"/>
          <w:i w:val="0"/>
          <w:iCs w:val="0"/>
          <w:caps w:val="0"/>
          <w:color w:val="333333"/>
          <w:spacing w:val="0"/>
          <w:sz w:val="32"/>
          <w:szCs w:val="32"/>
          <w:shd w:val="clear" w:fill="FFFFFF"/>
        </w:rPr>
        <w:t>100%</w:t>
      </w:r>
      <w:r>
        <w:rPr>
          <w:rFonts w:hint="eastAsia" w:ascii="方正仿宋_GBK" w:hAnsi="方正仿宋_GBK" w:eastAsia="方正仿宋_GBK" w:cs="方正仿宋_GBK"/>
          <w:i w:val="0"/>
          <w:iCs w:val="0"/>
          <w:caps w:val="0"/>
          <w:color w:val="333333"/>
          <w:spacing w:val="0"/>
          <w:sz w:val="32"/>
          <w:szCs w:val="32"/>
          <w:shd w:val="clear" w:fill="FFFFFF"/>
        </w:rPr>
        <w:t>。主要原因是年中从政府（本级）调整预算到退役军人服务站。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3" w:firstLineChars="200"/>
        <w:jc w:val="both"/>
        <w:rPr>
          <w:rFonts w:hint="eastAsia" w:ascii="宋体" w:hAnsi="宋体" w:eastAsia="宋体" w:cs="宋体"/>
          <w:i w:val="0"/>
          <w:iCs w:val="0"/>
          <w:caps w:val="0"/>
          <w:color w:val="333333"/>
          <w:spacing w:val="0"/>
          <w:sz w:val="32"/>
          <w:szCs w:val="32"/>
        </w:rPr>
      </w:pPr>
      <w:r>
        <w:rPr>
          <w:rStyle w:val="13"/>
          <w:rFonts w:hint="default" w:ascii="Times New Roman" w:hAnsi="Times New Roman" w:eastAsia="方正仿宋_GBK" w:cs="Times New Roman"/>
          <w:i w:val="0"/>
          <w:iCs w:val="0"/>
          <w:caps w:val="0"/>
          <w:color w:val="333333"/>
          <w:spacing w:val="0"/>
          <w:sz w:val="32"/>
          <w:szCs w:val="32"/>
          <w:shd w:val="clear" w:fill="FFFFFF"/>
        </w:rPr>
        <w:t>2.</w:t>
      </w:r>
      <w:r>
        <w:rPr>
          <w:rStyle w:val="13"/>
          <w:rFonts w:hint="eastAsia" w:ascii="方正仿宋_GBK" w:hAnsi="方正仿宋_GBK" w:eastAsia="方正仿宋_GBK" w:cs="方正仿宋_GBK"/>
          <w:i w:val="0"/>
          <w:iCs w:val="0"/>
          <w:caps w:val="0"/>
          <w:color w:val="333333"/>
          <w:spacing w:val="0"/>
          <w:sz w:val="32"/>
          <w:szCs w:val="32"/>
          <w:shd w:val="clear" w:fill="FFFFFF"/>
        </w:rPr>
        <w:t>支出情况。</w:t>
      </w:r>
      <w:r>
        <w:rPr>
          <w:rFonts w:hint="eastAsia" w:ascii="方正仿宋_GBK" w:hAnsi="方正仿宋_GBK" w:eastAsia="方正仿宋_GBK" w:cs="方正仿宋_GBK"/>
          <w:i w:val="0"/>
          <w:iCs w:val="0"/>
          <w:caps w:val="0"/>
          <w:color w:val="333333"/>
          <w:spacing w:val="0"/>
          <w:sz w:val="32"/>
          <w:szCs w:val="32"/>
          <w:shd w:val="clear" w:fill="FFFFFF"/>
        </w:rPr>
        <w:t>本单位</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年度财政拨款支出</w:t>
      </w:r>
      <w:r>
        <w:rPr>
          <w:rFonts w:hint="eastAsia" w:ascii="Times New Roman" w:hAnsi="Times New Roman" w:eastAsia="方正仿宋_GBK" w:cs="Times New Roman"/>
          <w:i w:val="0"/>
          <w:iCs w:val="0"/>
          <w:caps w:val="0"/>
          <w:color w:val="333333"/>
          <w:spacing w:val="0"/>
          <w:sz w:val="32"/>
          <w:szCs w:val="32"/>
          <w:shd w:val="clear" w:fill="FFFFFF"/>
          <w:lang w:val="en-US" w:eastAsia="zh-CN"/>
        </w:rPr>
        <w:t>33.54</w:t>
      </w:r>
      <w:r>
        <w:rPr>
          <w:rFonts w:hint="eastAsia" w:ascii="方正仿宋_GBK" w:hAnsi="方正仿宋_GBK" w:eastAsia="方正仿宋_GBK" w:cs="方正仿宋_GBK"/>
          <w:i w:val="0"/>
          <w:iCs w:val="0"/>
          <w:caps w:val="0"/>
          <w:color w:val="333333"/>
          <w:spacing w:val="0"/>
          <w:sz w:val="32"/>
          <w:szCs w:val="32"/>
          <w:shd w:val="clear" w:fill="FFFFFF"/>
        </w:rPr>
        <w:t>万元，较上年决算数增加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33.54</w:t>
      </w:r>
      <w:r>
        <w:rPr>
          <w:rFonts w:hint="eastAsia" w:ascii="方正仿宋_GBK" w:hAnsi="方正仿宋_GBK" w:eastAsia="方正仿宋_GBK" w:cs="方正仿宋_GBK"/>
          <w:i w:val="0"/>
          <w:iCs w:val="0"/>
          <w:caps w:val="0"/>
          <w:color w:val="333333"/>
          <w:spacing w:val="0"/>
          <w:sz w:val="32"/>
          <w:szCs w:val="32"/>
          <w:shd w:val="clear" w:fill="FFFFFF"/>
        </w:rPr>
        <w:t>万元、增长</w:t>
      </w:r>
      <w:r>
        <w:rPr>
          <w:rFonts w:hint="default" w:ascii="Times New Roman" w:hAnsi="Times New Roman" w:eastAsia="方正仿宋_GBK" w:cs="Times New Roman"/>
          <w:i w:val="0"/>
          <w:iCs w:val="0"/>
          <w:caps w:val="0"/>
          <w:color w:val="333333"/>
          <w:spacing w:val="0"/>
          <w:sz w:val="32"/>
          <w:szCs w:val="32"/>
          <w:shd w:val="clear" w:fill="FFFFFF"/>
        </w:rPr>
        <w:t>100%</w:t>
      </w:r>
      <w:r>
        <w:rPr>
          <w:rFonts w:hint="eastAsia" w:ascii="方正仿宋_GBK" w:hAnsi="方正仿宋_GBK" w:eastAsia="方正仿宋_GBK" w:cs="方正仿宋_GBK"/>
          <w:i w:val="0"/>
          <w:iCs w:val="0"/>
          <w:caps w:val="0"/>
          <w:color w:val="333333"/>
          <w:spacing w:val="0"/>
          <w:sz w:val="32"/>
          <w:szCs w:val="32"/>
          <w:shd w:val="clear" w:fill="FFFFFF"/>
        </w:rPr>
        <w:t>。主要原因是</w:t>
      </w:r>
      <w:r>
        <w:rPr>
          <w:rFonts w:hint="default" w:ascii="Times New Roman" w:hAnsi="Times New Roman" w:eastAsia="方正仿宋_GBK" w:cs="Times New Roman"/>
          <w:i w:val="0"/>
          <w:iCs w:val="0"/>
          <w:caps w:val="0"/>
          <w:color w:val="333333"/>
          <w:spacing w:val="0"/>
          <w:sz w:val="32"/>
          <w:szCs w:val="32"/>
          <w:shd w:val="clear" w:fill="FFFFFF"/>
        </w:rPr>
        <w:t>2023</w:t>
      </w:r>
      <w:r>
        <w:rPr>
          <w:rFonts w:hint="eastAsia" w:ascii="方正仿宋_GBK" w:hAnsi="方正仿宋_GBK" w:eastAsia="方正仿宋_GBK" w:cs="方正仿宋_GBK"/>
          <w:i w:val="0"/>
          <w:iCs w:val="0"/>
          <w:caps w:val="0"/>
          <w:color w:val="333333"/>
          <w:spacing w:val="0"/>
          <w:sz w:val="32"/>
          <w:szCs w:val="32"/>
          <w:shd w:val="clear" w:fill="FFFFFF"/>
        </w:rPr>
        <w:t>年退役军人服务站未单独进行财务核算及决算处理，纳入政府核算及决算。较年初预算数增加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33.54</w:t>
      </w:r>
      <w:r>
        <w:rPr>
          <w:rFonts w:hint="eastAsia" w:ascii="方正仿宋_GBK" w:hAnsi="方正仿宋_GBK" w:eastAsia="方正仿宋_GBK" w:cs="方正仿宋_GBK"/>
          <w:i w:val="0"/>
          <w:iCs w:val="0"/>
          <w:caps w:val="0"/>
          <w:color w:val="333333"/>
          <w:spacing w:val="0"/>
          <w:sz w:val="32"/>
          <w:szCs w:val="32"/>
          <w:shd w:val="clear" w:fill="FFFFFF"/>
        </w:rPr>
        <w:t>万元，增长</w:t>
      </w:r>
      <w:r>
        <w:rPr>
          <w:rFonts w:hint="default" w:ascii="Times New Roman" w:hAnsi="Times New Roman" w:eastAsia="方正仿宋_GBK" w:cs="Times New Roman"/>
          <w:i w:val="0"/>
          <w:iCs w:val="0"/>
          <w:caps w:val="0"/>
          <w:color w:val="333333"/>
          <w:spacing w:val="0"/>
          <w:sz w:val="32"/>
          <w:szCs w:val="32"/>
          <w:shd w:val="clear" w:fill="FFFFFF"/>
        </w:rPr>
        <w:t>100%</w:t>
      </w:r>
      <w:r>
        <w:rPr>
          <w:rFonts w:hint="eastAsia" w:ascii="方正仿宋_GBK" w:hAnsi="方正仿宋_GBK" w:eastAsia="方正仿宋_GBK" w:cs="方正仿宋_GBK"/>
          <w:i w:val="0"/>
          <w:iCs w:val="0"/>
          <w:caps w:val="0"/>
          <w:color w:val="333333"/>
          <w:spacing w:val="0"/>
          <w:sz w:val="32"/>
          <w:szCs w:val="32"/>
          <w:shd w:val="clear" w:fill="FFFFFF"/>
        </w:rPr>
        <w:t>。主要原因是年中从政府（本级）调整预算到退役军人服务站。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3" w:firstLineChars="200"/>
        <w:jc w:val="both"/>
        <w:rPr>
          <w:rFonts w:hint="eastAsia" w:ascii="宋体" w:hAnsi="宋体" w:eastAsia="宋体" w:cs="宋体"/>
          <w:i w:val="0"/>
          <w:iCs w:val="0"/>
          <w:caps w:val="0"/>
          <w:color w:val="333333"/>
          <w:spacing w:val="0"/>
          <w:sz w:val="32"/>
          <w:szCs w:val="32"/>
        </w:rPr>
      </w:pPr>
      <w:r>
        <w:rPr>
          <w:rStyle w:val="13"/>
          <w:rFonts w:hint="default" w:ascii="Times New Roman" w:hAnsi="Times New Roman" w:eastAsia="方正仿宋_GBK" w:cs="Times New Roman"/>
          <w:i w:val="0"/>
          <w:iCs w:val="0"/>
          <w:caps w:val="0"/>
          <w:color w:val="333333"/>
          <w:spacing w:val="0"/>
          <w:sz w:val="32"/>
          <w:szCs w:val="32"/>
          <w:shd w:val="clear" w:fill="FFFFFF"/>
        </w:rPr>
        <w:t>3.</w:t>
      </w:r>
      <w:r>
        <w:rPr>
          <w:rStyle w:val="13"/>
          <w:rFonts w:hint="eastAsia" w:ascii="方正仿宋_GBK" w:hAnsi="方正仿宋_GBK" w:eastAsia="方正仿宋_GBK" w:cs="方正仿宋_GBK"/>
          <w:i w:val="0"/>
          <w:iCs w:val="0"/>
          <w:caps w:val="0"/>
          <w:color w:val="333333"/>
          <w:spacing w:val="0"/>
          <w:sz w:val="32"/>
          <w:szCs w:val="32"/>
          <w:shd w:val="clear" w:fill="FFFFFF"/>
        </w:rPr>
        <w:t>结转结余情况。</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年年末结余结转情况：年末一般公共预算资金结余结转为</w:t>
      </w:r>
      <w:r>
        <w:rPr>
          <w:rFonts w:hint="default" w:ascii="Times New Roman" w:hAnsi="Times New Roman" w:eastAsia="方正仿宋_GBK" w:cs="Times New Roman"/>
          <w:i w:val="0"/>
          <w:iCs w:val="0"/>
          <w:caps w:val="0"/>
          <w:color w:val="333333"/>
          <w:spacing w:val="0"/>
          <w:sz w:val="32"/>
          <w:szCs w:val="32"/>
          <w:shd w:val="clear" w:fill="FFFFFF"/>
        </w:rPr>
        <w:t>0.00</w:t>
      </w:r>
      <w:r>
        <w:rPr>
          <w:rFonts w:hint="eastAsia" w:ascii="方正仿宋_GBK" w:hAnsi="方正仿宋_GBK" w:eastAsia="方正仿宋_GBK" w:cs="方正仿宋_GBK"/>
          <w:i w:val="0"/>
          <w:iCs w:val="0"/>
          <w:caps w:val="0"/>
          <w:color w:val="333333"/>
          <w:spacing w:val="0"/>
          <w:sz w:val="32"/>
          <w:szCs w:val="32"/>
          <w:shd w:val="clear" w:fill="FFFFFF"/>
        </w:rPr>
        <w:t>万元，政府性基金结余结转为</w:t>
      </w:r>
      <w:r>
        <w:rPr>
          <w:rFonts w:hint="default" w:ascii="Times New Roman" w:hAnsi="Times New Roman" w:eastAsia="方正仿宋_GBK" w:cs="Times New Roman"/>
          <w:i w:val="0"/>
          <w:iCs w:val="0"/>
          <w:caps w:val="0"/>
          <w:color w:val="333333"/>
          <w:spacing w:val="0"/>
          <w:sz w:val="32"/>
          <w:szCs w:val="32"/>
          <w:shd w:val="clear" w:fill="FFFFFF"/>
        </w:rPr>
        <w:t>0.00</w:t>
      </w:r>
      <w:r>
        <w:rPr>
          <w:rFonts w:hint="eastAsia" w:ascii="方正仿宋_GBK" w:hAnsi="方正仿宋_GBK" w:eastAsia="方正仿宋_GBK" w:cs="方正仿宋_GBK"/>
          <w:i w:val="0"/>
          <w:iCs w:val="0"/>
          <w:caps w:val="0"/>
          <w:color w:val="333333"/>
          <w:spacing w:val="0"/>
          <w:sz w:val="32"/>
          <w:szCs w:val="32"/>
          <w:shd w:val="clear" w:fill="FFFFFF"/>
        </w:rPr>
        <w:t>万元，较上年决算数无增减</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3" w:firstLineChars="200"/>
        <w:jc w:val="both"/>
        <w:rPr>
          <w:rFonts w:hint="eastAsia" w:ascii="宋体" w:hAnsi="宋体" w:eastAsia="宋体" w:cs="宋体"/>
          <w:i w:val="0"/>
          <w:iCs w:val="0"/>
          <w:caps w:val="0"/>
          <w:color w:val="333333"/>
          <w:spacing w:val="0"/>
          <w:sz w:val="32"/>
          <w:szCs w:val="32"/>
        </w:rPr>
      </w:pPr>
      <w:r>
        <w:rPr>
          <w:rStyle w:val="13"/>
          <w:rFonts w:hint="default" w:ascii="Times New Roman" w:hAnsi="Times New Roman" w:eastAsia="方正仿宋_GBK" w:cs="Times New Roman"/>
          <w:i w:val="0"/>
          <w:iCs w:val="0"/>
          <w:caps w:val="0"/>
          <w:color w:val="333333"/>
          <w:spacing w:val="0"/>
          <w:sz w:val="32"/>
          <w:szCs w:val="32"/>
          <w:shd w:val="clear" w:fill="FFFFFF"/>
        </w:rPr>
        <w:t>4.</w:t>
      </w:r>
      <w:r>
        <w:rPr>
          <w:rStyle w:val="13"/>
          <w:rFonts w:hint="eastAsia" w:ascii="方正仿宋_GBK" w:hAnsi="方正仿宋_GBK" w:eastAsia="方正仿宋_GBK" w:cs="方正仿宋_GBK"/>
          <w:i w:val="0"/>
          <w:iCs w:val="0"/>
          <w:caps w:val="0"/>
          <w:color w:val="333333"/>
          <w:spacing w:val="0"/>
          <w:sz w:val="32"/>
          <w:szCs w:val="32"/>
          <w:shd w:val="clear" w:fill="FFFFFF"/>
        </w:rPr>
        <w:t>比较情况。</w:t>
      </w:r>
      <w:r>
        <w:rPr>
          <w:rFonts w:hint="eastAsia" w:ascii="方正仿宋_GBK" w:hAnsi="方正仿宋_GBK" w:eastAsia="方正仿宋_GBK" w:cs="方正仿宋_GBK"/>
          <w:i w:val="0"/>
          <w:iCs w:val="0"/>
          <w:caps w:val="0"/>
          <w:color w:val="333333"/>
          <w:spacing w:val="0"/>
          <w:sz w:val="32"/>
          <w:szCs w:val="32"/>
          <w:shd w:val="clear" w:fill="FFFFFF"/>
        </w:rPr>
        <w:t>本单位</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年度财政拨款支出主要用于以下几个方面：</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w:t>
      </w:r>
      <w:r>
        <w:rPr>
          <w:rFonts w:hint="default" w:ascii="Times New Roman" w:hAnsi="Times New Roman" w:eastAsia="方正仿宋_GBK" w:cs="Times New Roman"/>
          <w:i w:val="0"/>
          <w:iCs w:val="0"/>
          <w:caps w:val="0"/>
          <w:color w:val="333333"/>
          <w:spacing w:val="0"/>
          <w:sz w:val="32"/>
          <w:szCs w:val="32"/>
          <w:shd w:val="clear" w:fill="FFFFFF"/>
        </w:rPr>
        <w:t>1</w:t>
      </w:r>
      <w:r>
        <w:rPr>
          <w:rFonts w:hint="eastAsia" w:ascii="方正仿宋_GBK" w:hAnsi="方正仿宋_GBK" w:eastAsia="方正仿宋_GBK" w:cs="方正仿宋_GBK"/>
          <w:i w:val="0"/>
          <w:iCs w:val="0"/>
          <w:caps w:val="0"/>
          <w:color w:val="333333"/>
          <w:spacing w:val="0"/>
          <w:sz w:val="32"/>
          <w:szCs w:val="32"/>
          <w:shd w:val="clear" w:fill="FFFFFF"/>
        </w:rPr>
        <w:t>）社会保障与就业支出</w:t>
      </w:r>
      <w:r>
        <w:rPr>
          <w:rFonts w:hint="eastAsia" w:ascii="Times New Roman" w:hAnsi="Times New Roman" w:eastAsia="方正仿宋_GBK" w:cs="Times New Roman"/>
          <w:i w:val="0"/>
          <w:iCs w:val="0"/>
          <w:caps w:val="0"/>
          <w:color w:val="333333"/>
          <w:spacing w:val="0"/>
          <w:sz w:val="32"/>
          <w:szCs w:val="32"/>
          <w:shd w:val="clear" w:fill="FFFFFF"/>
          <w:lang w:val="en-US" w:eastAsia="zh-CN"/>
        </w:rPr>
        <w:t>30.11</w:t>
      </w:r>
      <w:r>
        <w:rPr>
          <w:rFonts w:hint="eastAsia" w:ascii="方正仿宋_GBK" w:hAnsi="方正仿宋_GBK" w:eastAsia="方正仿宋_GBK" w:cs="方正仿宋_GBK"/>
          <w:i w:val="0"/>
          <w:iCs w:val="0"/>
          <w:caps w:val="0"/>
          <w:color w:val="333333"/>
          <w:spacing w:val="0"/>
          <w:sz w:val="32"/>
          <w:szCs w:val="32"/>
          <w:shd w:val="clear" w:fill="FFFFFF"/>
        </w:rPr>
        <w:t>万元，占</w:t>
      </w:r>
      <w:r>
        <w:rPr>
          <w:rFonts w:hint="eastAsia" w:ascii="Times New Roman" w:hAnsi="Times New Roman" w:eastAsia="方正仿宋_GBK" w:cs="Times New Roman"/>
          <w:i w:val="0"/>
          <w:iCs w:val="0"/>
          <w:caps w:val="0"/>
          <w:color w:val="333333"/>
          <w:spacing w:val="0"/>
          <w:sz w:val="32"/>
          <w:szCs w:val="32"/>
          <w:shd w:val="clear" w:fill="FFFFFF"/>
          <w:lang w:val="en-US" w:eastAsia="zh-CN"/>
        </w:rPr>
        <w:t>89.77</w:t>
      </w:r>
      <w:r>
        <w:rPr>
          <w:rFonts w:hint="default" w:ascii="Times New Roman" w:hAnsi="Times New Roman" w:eastAsia="方正仿宋_GBK" w:cs="Times New Roman"/>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，较年初预算数增加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33.54</w:t>
      </w:r>
      <w:r>
        <w:rPr>
          <w:rFonts w:hint="eastAsia" w:ascii="方正仿宋_GBK" w:hAnsi="方正仿宋_GBK" w:eastAsia="方正仿宋_GBK" w:cs="方正仿宋_GBK"/>
          <w:i w:val="0"/>
          <w:iCs w:val="0"/>
          <w:caps w:val="0"/>
          <w:color w:val="333333"/>
          <w:spacing w:val="0"/>
          <w:sz w:val="32"/>
          <w:szCs w:val="32"/>
          <w:shd w:val="clear" w:fill="FFFFFF"/>
        </w:rPr>
        <w:t>万元，增加</w:t>
      </w:r>
      <w:r>
        <w:rPr>
          <w:rFonts w:hint="default" w:ascii="Times New Roman" w:hAnsi="Times New Roman" w:eastAsia="方正仿宋_GBK" w:cs="Times New Roman"/>
          <w:i w:val="0"/>
          <w:iCs w:val="0"/>
          <w:caps w:val="0"/>
          <w:color w:val="333333"/>
          <w:spacing w:val="0"/>
          <w:sz w:val="32"/>
          <w:szCs w:val="32"/>
          <w:shd w:val="clear" w:fill="FFFFFF"/>
        </w:rPr>
        <w:t>100%</w:t>
      </w:r>
      <w:r>
        <w:rPr>
          <w:rFonts w:hint="eastAsia" w:ascii="方正仿宋_GBK" w:hAnsi="方正仿宋_GBK" w:eastAsia="方正仿宋_GBK" w:cs="方正仿宋_GBK"/>
          <w:i w:val="0"/>
          <w:iCs w:val="0"/>
          <w:caps w:val="0"/>
          <w:color w:val="333333"/>
          <w:spacing w:val="0"/>
          <w:sz w:val="32"/>
          <w:szCs w:val="32"/>
          <w:shd w:val="clear" w:fill="FFFFFF"/>
        </w:rPr>
        <w:t>，主要原因是年中从政府（本级）调整预算到退役军人服务站。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w:t>
      </w:r>
      <w:r>
        <w:rPr>
          <w:rFonts w:hint="default" w:ascii="Times New Roman" w:hAnsi="Times New Roman" w:eastAsia="方正仿宋_GBK" w:cs="Times New Roman"/>
          <w:i w:val="0"/>
          <w:iCs w:val="0"/>
          <w:caps w:val="0"/>
          <w:color w:val="333333"/>
          <w:spacing w:val="0"/>
          <w:sz w:val="32"/>
          <w:szCs w:val="32"/>
          <w:shd w:val="clear" w:fill="FFFFFF"/>
        </w:rPr>
        <w:t>2</w:t>
      </w:r>
      <w:r>
        <w:rPr>
          <w:rFonts w:hint="eastAsia" w:ascii="方正仿宋_GBK" w:hAnsi="方正仿宋_GBK" w:eastAsia="方正仿宋_GBK" w:cs="方正仿宋_GBK"/>
          <w:i w:val="0"/>
          <w:iCs w:val="0"/>
          <w:caps w:val="0"/>
          <w:color w:val="333333"/>
          <w:spacing w:val="0"/>
          <w:sz w:val="32"/>
          <w:szCs w:val="32"/>
          <w:shd w:val="clear" w:fill="FFFFFF"/>
        </w:rPr>
        <w:t>）卫生健康支出</w:t>
      </w:r>
      <w:r>
        <w:rPr>
          <w:rFonts w:hint="eastAsia" w:ascii="Times New Roman" w:hAnsi="Times New Roman" w:eastAsia="方正仿宋_GBK" w:cs="Times New Roman"/>
          <w:i w:val="0"/>
          <w:iCs w:val="0"/>
          <w:caps w:val="0"/>
          <w:color w:val="333333"/>
          <w:spacing w:val="0"/>
          <w:sz w:val="32"/>
          <w:szCs w:val="32"/>
          <w:shd w:val="clear" w:fill="FFFFFF"/>
          <w:lang w:val="en-US" w:eastAsia="zh-CN"/>
        </w:rPr>
        <w:t>1.39</w:t>
      </w:r>
      <w:r>
        <w:rPr>
          <w:rFonts w:hint="eastAsia" w:ascii="方正仿宋_GBK" w:hAnsi="方正仿宋_GBK" w:eastAsia="方正仿宋_GBK" w:cs="方正仿宋_GBK"/>
          <w:i w:val="0"/>
          <w:iCs w:val="0"/>
          <w:caps w:val="0"/>
          <w:color w:val="333333"/>
          <w:spacing w:val="0"/>
          <w:sz w:val="32"/>
          <w:szCs w:val="32"/>
          <w:shd w:val="clear" w:fill="FFFFFF"/>
        </w:rPr>
        <w:t>万元，占</w:t>
      </w:r>
      <w:r>
        <w:rPr>
          <w:rFonts w:hint="eastAsia" w:ascii="Times New Roman" w:hAnsi="Times New Roman" w:eastAsia="方正仿宋_GBK" w:cs="Times New Roman"/>
          <w:i w:val="0"/>
          <w:iCs w:val="0"/>
          <w:caps w:val="0"/>
          <w:color w:val="333333"/>
          <w:spacing w:val="0"/>
          <w:sz w:val="32"/>
          <w:szCs w:val="32"/>
          <w:shd w:val="clear" w:fill="FFFFFF"/>
          <w:lang w:val="en-US" w:eastAsia="zh-CN"/>
        </w:rPr>
        <w:t>4.14</w:t>
      </w:r>
      <w:r>
        <w:rPr>
          <w:rFonts w:hint="default" w:ascii="Times New Roman" w:hAnsi="Times New Roman" w:eastAsia="方正仿宋_GBK" w:cs="Times New Roman"/>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，较年初预算数增加</w:t>
      </w:r>
      <w:r>
        <w:rPr>
          <w:rFonts w:hint="default" w:ascii="Times New Roman" w:hAnsi="Times New Roman" w:eastAsia="方正仿宋_GBK" w:cs="Times New Roman"/>
          <w:i w:val="0"/>
          <w:iCs w:val="0"/>
          <w:caps w:val="0"/>
          <w:color w:val="333333"/>
          <w:spacing w:val="0"/>
          <w:sz w:val="32"/>
          <w:szCs w:val="32"/>
          <w:shd w:val="clear" w:fill="FFFFFF"/>
        </w:rPr>
        <w:t>1.3</w:t>
      </w:r>
      <w:r>
        <w:rPr>
          <w:rFonts w:hint="eastAsia" w:ascii="Times New Roman" w:hAnsi="Times New Roman" w:eastAsia="方正仿宋_GBK" w:cs="Times New Roman"/>
          <w:i w:val="0"/>
          <w:iCs w:val="0"/>
          <w:caps w:val="0"/>
          <w:color w:val="333333"/>
          <w:spacing w:val="0"/>
          <w:sz w:val="32"/>
          <w:szCs w:val="32"/>
          <w:shd w:val="clear" w:fill="FFFFFF"/>
          <w:lang w:val="en-US" w:eastAsia="zh-CN"/>
        </w:rPr>
        <w:t>9</w:t>
      </w:r>
      <w:r>
        <w:rPr>
          <w:rFonts w:hint="eastAsia" w:ascii="方正仿宋_GBK" w:hAnsi="方正仿宋_GBK" w:eastAsia="方正仿宋_GBK" w:cs="方正仿宋_GBK"/>
          <w:i w:val="0"/>
          <w:iCs w:val="0"/>
          <w:caps w:val="0"/>
          <w:color w:val="333333"/>
          <w:spacing w:val="0"/>
          <w:sz w:val="32"/>
          <w:szCs w:val="32"/>
          <w:shd w:val="clear" w:fill="FFFFFF"/>
        </w:rPr>
        <w:t>万元。增加</w:t>
      </w:r>
      <w:r>
        <w:rPr>
          <w:rFonts w:hint="default" w:ascii="Times New Roman" w:hAnsi="Times New Roman" w:eastAsia="方正仿宋_GBK" w:cs="Times New Roman"/>
          <w:i w:val="0"/>
          <w:iCs w:val="0"/>
          <w:caps w:val="0"/>
          <w:color w:val="333333"/>
          <w:spacing w:val="0"/>
          <w:sz w:val="32"/>
          <w:szCs w:val="32"/>
          <w:shd w:val="clear" w:fill="FFFFFF"/>
        </w:rPr>
        <w:t>100%</w:t>
      </w:r>
      <w:r>
        <w:rPr>
          <w:rFonts w:hint="eastAsia" w:ascii="方正仿宋_GBK" w:hAnsi="方正仿宋_GBK" w:eastAsia="方正仿宋_GBK" w:cs="方正仿宋_GBK"/>
          <w:i w:val="0"/>
          <w:iCs w:val="0"/>
          <w:caps w:val="0"/>
          <w:color w:val="333333"/>
          <w:spacing w:val="0"/>
          <w:sz w:val="32"/>
          <w:szCs w:val="32"/>
          <w:shd w:val="clear" w:fill="FFFFFF"/>
        </w:rPr>
        <w:t>。主要原因是年中从政府（本级）调整预算到退役军人服务站。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w:t>
      </w:r>
      <w:r>
        <w:rPr>
          <w:rFonts w:hint="default" w:ascii="Times New Roman" w:hAnsi="Times New Roman" w:eastAsia="方正仿宋_GBK" w:cs="Times New Roman"/>
          <w:i w:val="0"/>
          <w:iCs w:val="0"/>
          <w:caps w:val="0"/>
          <w:color w:val="333333"/>
          <w:spacing w:val="0"/>
          <w:sz w:val="32"/>
          <w:szCs w:val="32"/>
          <w:shd w:val="clear" w:fill="FFFFFF"/>
        </w:rPr>
        <w:t>3</w:t>
      </w:r>
      <w:r>
        <w:rPr>
          <w:rFonts w:hint="eastAsia" w:ascii="方正仿宋_GBK" w:hAnsi="方正仿宋_GBK" w:eastAsia="方正仿宋_GBK" w:cs="方正仿宋_GBK"/>
          <w:i w:val="0"/>
          <w:iCs w:val="0"/>
          <w:caps w:val="0"/>
          <w:color w:val="333333"/>
          <w:spacing w:val="0"/>
          <w:sz w:val="32"/>
          <w:szCs w:val="32"/>
          <w:shd w:val="clear" w:fill="FFFFFF"/>
        </w:rPr>
        <w:t>）住房保障支出</w:t>
      </w:r>
      <w:r>
        <w:rPr>
          <w:rFonts w:hint="default" w:ascii="Times New Roman" w:hAnsi="Times New Roman" w:eastAsia="方正仿宋_GBK" w:cs="Times New Roman"/>
          <w:i w:val="0"/>
          <w:iCs w:val="0"/>
          <w:caps w:val="0"/>
          <w:color w:val="333333"/>
          <w:spacing w:val="0"/>
          <w:sz w:val="32"/>
          <w:szCs w:val="32"/>
          <w:shd w:val="clear" w:fill="FFFFFF"/>
        </w:rPr>
        <w:t>1.</w:t>
      </w:r>
      <w:r>
        <w:rPr>
          <w:rFonts w:hint="eastAsia" w:ascii="Times New Roman" w:hAnsi="Times New Roman" w:eastAsia="方正仿宋_GBK" w:cs="Times New Roman"/>
          <w:i w:val="0"/>
          <w:iCs w:val="0"/>
          <w:caps w:val="0"/>
          <w:color w:val="333333"/>
          <w:spacing w:val="0"/>
          <w:sz w:val="32"/>
          <w:szCs w:val="32"/>
          <w:shd w:val="clear" w:fill="FFFFFF"/>
          <w:lang w:val="en-US" w:eastAsia="zh-CN"/>
        </w:rPr>
        <w:t>89</w:t>
      </w:r>
      <w:r>
        <w:rPr>
          <w:rFonts w:hint="eastAsia" w:ascii="方正仿宋_GBK" w:hAnsi="方正仿宋_GBK" w:eastAsia="方正仿宋_GBK" w:cs="方正仿宋_GBK"/>
          <w:i w:val="0"/>
          <w:iCs w:val="0"/>
          <w:caps w:val="0"/>
          <w:color w:val="333333"/>
          <w:spacing w:val="0"/>
          <w:sz w:val="32"/>
          <w:szCs w:val="32"/>
          <w:shd w:val="clear" w:fill="FFFFFF"/>
        </w:rPr>
        <w:t>万元，占</w:t>
      </w:r>
      <w:r>
        <w:rPr>
          <w:rFonts w:hint="eastAsia" w:ascii="Times New Roman" w:hAnsi="Times New Roman" w:eastAsia="方正仿宋_GBK" w:cs="Times New Roman"/>
          <w:i w:val="0"/>
          <w:iCs w:val="0"/>
          <w:caps w:val="0"/>
          <w:color w:val="333333"/>
          <w:spacing w:val="0"/>
          <w:sz w:val="32"/>
          <w:szCs w:val="32"/>
          <w:shd w:val="clear" w:fill="FFFFFF"/>
          <w:lang w:val="en-US" w:eastAsia="zh-CN"/>
        </w:rPr>
        <w:t>5.63</w:t>
      </w:r>
      <w:r>
        <w:rPr>
          <w:rFonts w:hint="default" w:ascii="Times New Roman" w:hAnsi="Times New Roman" w:eastAsia="方正仿宋_GBK" w:cs="Times New Roman"/>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，较年初预算数增加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1.89</w:t>
      </w:r>
      <w:r>
        <w:rPr>
          <w:rFonts w:hint="eastAsia" w:ascii="方正仿宋_GBK" w:hAnsi="方正仿宋_GBK" w:eastAsia="方正仿宋_GBK" w:cs="方正仿宋_GBK"/>
          <w:i w:val="0"/>
          <w:iCs w:val="0"/>
          <w:caps w:val="0"/>
          <w:color w:val="333333"/>
          <w:spacing w:val="0"/>
          <w:sz w:val="32"/>
          <w:szCs w:val="32"/>
          <w:shd w:val="clear" w:fill="FFFFFF"/>
        </w:rPr>
        <w:t>万元，增长</w:t>
      </w:r>
      <w:r>
        <w:rPr>
          <w:rFonts w:hint="default" w:ascii="Times New Roman" w:hAnsi="Times New Roman" w:eastAsia="方正仿宋_GBK" w:cs="Times New Roman"/>
          <w:i w:val="0"/>
          <w:iCs w:val="0"/>
          <w:caps w:val="0"/>
          <w:color w:val="333333"/>
          <w:spacing w:val="0"/>
          <w:sz w:val="32"/>
          <w:szCs w:val="32"/>
          <w:shd w:val="clear" w:fill="FFFFFF"/>
        </w:rPr>
        <w:t>100%</w:t>
      </w:r>
      <w:r>
        <w:rPr>
          <w:rFonts w:hint="eastAsia" w:ascii="方正仿宋_GBK" w:hAnsi="方正仿宋_GBK" w:eastAsia="方正仿宋_GBK" w:cs="方正仿宋_GBK"/>
          <w:i w:val="0"/>
          <w:iCs w:val="0"/>
          <w:caps w:val="0"/>
          <w:color w:val="333333"/>
          <w:spacing w:val="0"/>
          <w:sz w:val="32"/>
          <w:szCs w:val="32"/>
          <w:shd w:val="clear" w:fill="FFFFFF"/>
        </w:rPr>
        <w:t>，主要原因是年中从政府（本级）调整预算到退役军人服务站。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（三）财政拨款收入支出决算总体情况说明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1.</w:t>
      </w:r>
      <w:r>
        <w:rPr>
          <w:rFonts w:hint="eastAsia" w:ascii="方正仿宋_GBK" w:hAnsi="方正仿宋_GBK" w:eastAsia="方正仿宋_GBK" w:cs="方正仿宋_GBK"/>
          <w:i w:val="0"/>
          <w:iCs w:val="0"/>
          <w:caps w:val="0"/>
          <w:color w:val="333333"/>
          <w:spacing w:val="0"/>
          <w:sz w:val="32"/>
          <w:szCs w:val="32"/>
          <w:shd w:val="clear" w:fill="FFFFFF"/>
        </w:rPr>
        <w:t>收入预算：</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年一般公共预算财政拨款收入</w:t>
      </w:r>
      <w:r>
        <w:rPr>
          <w:rFonts w:hint="eastAsia" w:ascii="Times New Roman" w:hAnsi="Times New Roman" w:eastAsia="方正仿宋_GBK" w:cs="Times New Roman"/>
          <w:i w:val="0"/>
          <w:iCs w:val="0"/>
          <w:caps w:val="0"/>
          <w:color w:val="333333"/>
          <w:spacing w:val="0"/>
          <w:sz w:val="32"/>
          <w:szCs w:val="32"/>
          <w:shd w:val="clear" w:fill="FFFFFF"/>
          <w:lang w:val="en-US" w:eastAsia="zh-CN"/>
        </w:rPr>
        <w:t>33.54</w:t>
      </w:r>
      <w:r>
        <w:rPr>
          <w:rFonts w:hint="eastAsia" w:ascii="方正仿宋_GBK" w:hAnsi="方正仿宋_GBK" w:eastAsia="方正仿宋_GBK" w:cs="方正仿宋_GBK"/>
          <w:i w:val="0"/>
          <w:iCs w:val="0"/>
          <w:caps w:val="0"/>
          <w:color w:val="333333"/>
          <w:spacing w:val="0"/>
          <w:sz w:val="32"/>
          <w:szCs w:val="32"/>
          <w:shd w:val="clear" w:fill="FFFFFF"/>
        </w:rPr>
        <w:t>万元，收入较去年增加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33.54</w:t>
      </w:r>
      <w:r>
        <w:rPr>
          <w:rFonts w:hint="eastAsia" w:ascii="方正仿宋_GBK" w:hAnsi="方正仿宋_GBK" w:eastAsia="方正仿宋_GBK" w:cs="方正仿宋_GBK"/>
          <w:i w:val="0"/>
          <w:iCs w:val="0"/>
          <w:caps w:val="0"/>
          <w:color w:val="333333"/>
          <w:spacing w:val="0"/>
          <w:sz w:val="32"/>
          <w:szCs w:val="32"/>
          <w:shd w:val="clear" w:fill="FFFFFF"/>
        </w:rPr>
        <w:t>万元，主要原因是</w:t>
      </w:r>
      <w:r>
        <w:rPr>
          <w:rFonts w:hint="default" w:ascii="Times New Roman" w:hAnsi="Times New Roman" w:eastAsia="方正仿宋_GBK" w:cs="Times New Roman"/>
          <w:i w:val="0"/>
          <w:iCs w:val="0"/>
          <w:caps w:val="0"/>
          <w:color w:val="333333"/>
          <w:spacing w:val="0"/>
          <w:sz w:val="32"/>
          <w:szCs w:val="32"/>
          <w:shd w:val="clear" w:fill="FFFFFF"/>
        </w:rPr>
        <w:t>2023</w:t>
      </w:r>
      <w:r>
        <w:rPr>
          <w:rFonts w:hint="eastAsia" w:ascii="方正仿宋_GBK" w:hAnsi="方正仿宋_GBK" w:eastAsia="方正仿宋_GBK" w:cs="方正仿宋_GBK"/>
          <w:i w:val="0"/>
          <w:iCs w:val="0"/>
          <w:caps w:val="0"/>
          <w:color w:val="333333"/>
          <w:spacing w:val="0"/>
          <w:sz w:val="32"/>
          <w:szCs w:val="32"/>
          <w:shd w:val="clear" w:fill="FFFFFF"/>
        </w:rPr>
        <w:t>年退役军人服务站未单独进行财务核算及决算处理，纳入政府核算及决算。</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w:t>
      </w:r>
      <w:r>
        <w:rPr>
          <w:rFonts w:hint="eastAsia" w:ascii="方正仿宋_GBK" w:hAnsi="方正仿宋_GBK" w:eastAsia="方正仿宋_GBK" w:cs="方正仿宋_GBK"/>
          <w:i w:val="0"/>
          <w:iCs w:val="0"/>
          <w:caps w:val="0"/>
          <w:color w:val="333333"/>
          <w:spacing w:val="0"/>
          <w:sz w:val="32"/>
          <w:szCs w:val="32"/>
          <w:shd w:val="clear" w:fill="FFFFFF"/>
        </w:rPr>
        <w:t>支出预算：</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年一般公共预算财政拨款支出</w:t>
      </w:r>
      <w:r>
        <w:rPr>
          <w:rFonts w:hint="eastAsia" w:ascii="Times New Roman" w:hAnsi="Times New Roman" w:eastAsia="方正仿宋_GBK" w:cs="Times New Roman"/>
          <w:i w:val="0"/>
          <w:iCs w:val="0"/>
          <w:caps w:val="0"/>
          <w:color w:val="333333"/>
          <w:spacing w:val="0"/>
          <w:sz w:val="32"/>
          <w:szCs w:val="32"/>
          <w:shd w:val="clear" w:fill="FFFFFF"/>
          <w:lang w:val="en-US" w:eastAsia="zh-CN"/>
        </w:rPr>
        <w:t>33.54</w:t>
      </w:r>
      <w:r>
        <w:rPr>
          <w:rFonts w:hint="eastAsia" w:ascii="方正仿宋_GBK" w:hAnsi="方正仿宋_GBK" w:eastAsia="方正仿宋_GBK" w:cs="方正仿宋_GBK"/>
          <w:i w:val="0"/>
          <w:iCs w:val="0"/>
          <w:caps w:val="0"/>
          <w:color w:val="333333"/>
          <w:spacing w:val="0"/>
          <w:sz w:val="32"/>
          <w:szCs w:val="32"/>
          <w:shd w:val="clear" w:fill="FFFFFF"/>
        </w:rPr>
        <w:t>万元，支出较去年增加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33.54</w:t>
      </w:r>
      <w:r>
        <w:rPr>
          <w:rFonts w:hint="eastAsia" w:ascii="方正仿宋_GBK" w:hAnsi="方正仿宋_GBK" w:eastAsia="方正仿宋_GBK" w:cs="方正仿宋_GBK"/>
          <w:i w:val="0"/>
          <w:iCs w:val="0"/>
          <w:caps w:val="0"/>
          <w:color w:val="333333"/>
          <w:spacing w:val="0"/>
          <w:sz w:val="32"/>
          <w:szCs w:val="32"/>
          <w:shd w:val="clear" w:fill="FFFFFF"/>
        </w:rPr>
        <w:t>万元，主要原因是</w:t>
      </w:r>
      <w:r>
        <w:rPr>
          <w:rFonts w:hint="default" w:ascii="Times New Roman" w:hAnsi="Times New Roman" w:eastAsia="方正仿宋_GBK" w:cs="Times New Roman"/>
          <w:i w:val="0"/>
          <w:iCs w:val="0"/>
          <w:caps w:val="0"/>
          <w:color w:val="333333"/>
          <w:spacing w:val="0"/>
          <w:sz w:val="32"/>
          <w:szCs w:val="32"/>
          <w:shd w:val="clear" w:fill="FFFFFF"/>
        </w:rPr>
        <w:t>2023</w:t>
      </w:r>
      <w:r>
        <w:rPr>
          <w:rFonts w:hint="eastAsia" w:ascii="方正仿宋_GBK" w:hAnsi="方正仿宋_GBK" w:eastAsia="方正仿宋_GBK" w:cs="方正仿宋_GBK"/>
          <w:i w:val="0"/>
          <w:iCs w:val="0"/>
          <w:caps w:val="0"/>
          <w:color w:val="333333"/>
          <w:spacing w:val="0"/>
          <w:sz w:val="32"/>
          <w:szCs w:val="32"/>
          <w:shd w:val="clear" w:fill="FFFFFF"/>
        </w:rPr>
        <w:t>年退役军人服务站未单独进行财务核算及决算处理，纳入政府核算及决算。</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（四）一般公共预算财政拨款基本支出决算情况说明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 2024</w:t>
      </w:r>
      <w:r>
        <w:rPr>
          <w:rFonts w:hint="eastAsia" w:ascii="方正仿宋_GBK" w:hAnsi="方正仿宋_GBK" w:eastAsia="方正仿宋_GBK" w:cs="方正仿宋_GBK"/>
          <w:i w:val="0"/>
          <w:iCs w:val="0"/>
          <w:caps w:val="0"/>
          <w:color w:val="333333"/>
          <w:spacing w:val="0"/>
          <w:sz w:val="32"/>
          <w:szCs w:val="32"/>
          <w:shd w:val="clear" w:fill="FFFFFF"/>
        </w:rPr>
        <w:t>年度一般公共财政拨款基本支出</w:t>
      </w:r>
      <w:r>
        <w:rPr>
          <w:rFonts w:hint="eastAsia" w:ascii="Times New Roman" w:hAnsi="Times New Roman" w:eastAsia="方正仿宋_GBK" w:cs="Times New Roman"/>
          <w:i w:val="0"/>
          <w:iCs w:val="0"/>
          <w:caps w:val="0"/>
          <w:color w:val="333333"/>
          <w:spacing w:val="0"/>
          <w:sz w:val="32"/>
          <w:szCs w:val="32"/>
          <w:shd w:val="clear" w:fill="FFFFFF"/>
          <w:lang w:val="en-US" w:eastAsia="zh-CN"/>
        </w:rPr>
        <w:t>33.54</w:t>
      </w:r>
      <w:r>
        <w:rPr>
          <w:rFonts w:hint="eastAsia" w:ascii="方正仿宋_GBK" w:hAnsi="方正仿宋_GBK" w:eastAsia="方正仿宋_GBK" w:cs="方正仿宋_GBK"/>
          <w:i w:val="0"/>
          <w:iCs w:val="0"/>
          <w:caps w:val="0"/>
          <w:color w:val="333333"/>
          <w:spacing w:val="0"/>
          <w:sz w:val="32"/>
          <w:szCs w:val="32"/>
          <w:shd w:val="clear" w:fill="FFFFFF"/>
        </w:rPr>
        <w:t>万元。其中：人员经费</w:t>
      </w:r>
      <w:r>
        <w:rPr>
          <w:rFonts w:hint="eastAsia" w:ascii="Times New Roman" w:hAnsi="Times New Roman" w:eastAsia="方正仿宋_GBK" w:cs="Times New Roman"/>
          <w:i w:val="0"/>
          <w:iCs w:val="0"/>
          <w:caps w:val="0"/>
          <w:color w:val="333333"/>
          <w:spacing w:val="0"/>
          <w:sz w:val="32"/>
          <w:szCs w:val="32"/>
          <w:shd w:val="clear" w:fill="FFFFFF"/>
          <w:lang w:val="en-US" w:eastAsia="zh-CN"/>
        </w:rPr>
        <w:t>33.39</w:t>
      </w:r>
      <w:r>
        <w:rPr>
          <w:rFonts w:hint="eastAsia" w:ascii="方正仿宋_GBK" w:hAnsi="方正仿宋_GBK" w:eastAsia="方正仿宋_GBK" w:cs="方正仿宋_GBK"/>
          <w:i w:val="0"/>
          <w:iCs w:val="0"/>
          <w:caps w:val="0"/>
          <w:color w:val="333333"/>
          <w:spacing w:val="0"/>
          <w:sz w:val="32"/>
          <w:szCs w:val="32"/>
          <w:shd w:val="clear" w:fill="FFFFFF"/>
        </w:rPr>
        <w:t>万元，较上年决算数增加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33.39</w:t>
      </w:r>
      <w:r>
        <w:rPr>
          <w:rFonts w:hint="eastAsia" w:ascii="方正仿宋_GBK" w:hAnsi="方正仿宋_GBK" w:eastAsia="方正仿宋_GBK" w:cs="方正仿宋_GBK"/>
          <w:i w:val="0"/>
          <w:iCs w:val="0"/>
          <w:caps w:val="0"/>
          <w:color w:val="333333"/>
          <w:spacing w:val="0"/>
          <w:sz w:val="32"/>
          <w:szCs w:val="32"/>
          <w:shd w:val="clear" w:fill="FFFFFF"/>
        </w:rPr>
        <w:t>万元，增长</w:t>
      </w:r>
      <w:r>
        <w:rPr>
          <w:rFonts w:hint="default" w:ascii="Times New Roman" w:hAnsi="Times New Roman" w:eastAsia="方正仿宋_GBK" w:cs="Times New Roman"/>
          <w:i w:val="0"/>
          <w:iCs w:val="0"/>
          <w:caps w:val="0"/>
          <w:color w:val="333333"/>
          <w:spacing w:val="0"/>
          <w:sz w:val="32"/>
          <w:szCs w:val="32"/>
          <w:shd w:val="clear" w:fill="FFFFFF"/>
        </w:rPr>
        <w:t>100.00%</w:t>
      </w:r>
      <w:r>
        <w:rPr>
          <w:rFonts w:hint="eastAsia" w:ascii="方正仿宋_GBK" w:hAnsi="方正仿宋_GBK" w:eastAsia="方正仿宋_GBK" w:cs="方正仿宋_GBK"/>
          <w:i w:val="0"/>
          <w:iCs w:val="0"/>
          <w:caps w:val="0"/>
          <w:color w:val="333333"/>
          <w:spacing w:val="0"/>
          <w:sz w:val="32"/>
          <w:szCs w:val="32"/>
          <w:shd w:val="clear" w:fill="FFFFFF"/>
        </w:rPr>
        <w:t>，主要原因是</w:t>
      </w:r>
      <w:r>
        <w:rPr>
          <w:rFonts w:hint="default" w:ascii="Times New Roman" w:hAnsi="Times New Roman" w:eastAsia="方正仿宋_GBK" w:cs="Times New Roman"/>
          <w:i w:val="0"/>
          <w:iCs w:val="0"/>
          <w:caps w:val="0"/>
          <w:color w:val="333333"/>
          <w:spacing w:val="0"/>
          <w:sz w:val="32"/>
          <w:szCs w:val="32"/>
          <w:shd w:val="clear" w:fill="FFFFFF"/>
        </w:rPr>
        <w:t>2023</w:t>
      </w:r>
      <w:r>
        <w:rPr>
          <w:rFonts w:hint="eastAsia" w:ascii="方正仿宋_GBK" w:hAnsi="方正仿宋_GBK" w:eastAsia="方正仿宋_GBK" w:cs="方正仿宋_GBK"/>
          <w:i w:val="0"/>
          <w:iCs w:val="0"/>
          <w:caps w:val="0"/>
          <w:color w:val="333333"/>
          <w:spacing w:val="0"/>
          <w:sz w:val="32"/>
          <w:szCs w:val="32"/>
          <w:shd w:val="clear" w:fill="FFFFFF"/>
        </w:rPr>
        <w:t>年退役军人服务站未单独进行财务核算及决算处理，纳入政府核算及决算。人员经费用途主要包括基本工资、津贴补贴、奖金、伙食补助费、绩效工资、社会保障缴费及住房公积金等。公用经费</w:t>
      </w:r>
      <w:r>
        <w:rPr>
          <w:rFonts w:hint="eastAsia" w:ascii="Times New Roman" w:hAnsi="Times New Roman" w:eastAsia="方正仿宋_GBK" w:cs="Times New Roman"/>
          <w:i w:val="0"/>
          <w:iCs w:val="0"/>
          <w:caps w:val="0"/>
          <w:color w:val="333333"/>
          <w:spacing w:val="0"/>
          <w:sz w:val="32"/>
          <w:szCs w:val="32"/>
          <w:shd w:val="clear" w:fill="FFFFFF"/>
          <w:lang w:val="en-US" w:eastAsia="zh-CN"/>
        </w:rPr>
        <w:t>0.15</w:t>
      </w:r>
      <w:r>
        <w:rPr>
          <w:rFonts w:hint="eastAsia" w:ascii="方正仿宋_GBK" w:hAnsi="方正仿宋_GBK" w:eastAsia="方正仿宋_GBK" w:cs="方正仿宋_GBK"/>
          <w:i w:val="0"/>
          <w:iCs w:val="0"/>
          <w:caps w:val="0"/>
          <w:color w:val="333333"/>
          <w:spacing w:val="0"/>
          <w:sz w:val="32"/>
          <w:szCs w:val="32"/>
          <w:shd w:val="clear" w:fill="FFFFFF"/>
        </w:rPr>
        <w:t>万元，较上年决算数增加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0.15</w:t>
      </w:r>
      <w:r>
        <w:rPr>
          <w:rFonts w:hint="eastAsia" w:ascii="方正仿宋_GBK" w:hAnsi="方正仿宋_GBK" w:eastAsia="方正仿宋_GBK" w:cs="方正仿宋_GBK"/>
          <w:i w:val="0"/>
          <w:iCs w:val="0"/>
          <w:caps w:val="0"/>
          <w:color w:val="333333"/>
          <w:spacing w:val="0"/>
          <w:sz w:val="32"/>
          <w:szCs w:val="32"/>
          <w:shd w:val="clear" w:fill="FFFFFF"/>
        </w:rPr>
        <w:t>万元，增长</w:t>
      </w:r>
      <w:r>
        <w:rPr>
          <w:rFonts w:hint="default" w:ascii="Times New Roman" w:hAnsi="Times New Roman" w:eastAsia="方正仿宋_GBK" w:cs="Times New Roman"/>
          <w:i w:val="0"/>
          <w:iCs w:val="0"/>
          <w:caps w:val="0"/>
          <w:color w:val="333333"/>
          <w:spacing w:val="0"/>
          <w:sz w:val="32"/>
          <w:szCs w:val="32"/>
          <w:shd w:val="clear" w:fill="FFFFFF"/>
        </w:rPr>
        <w:t>100.00%</w:t>
      </w:r>
      <w:r>
        <w:rPr>
          <w:rFonts w:hint="eastAsia" w:ascii="方正仿宋_GBK" w:hAnsi="方正仿宋_GBK" w:eastAsia="方正仿宋_GBK" w:cs="方正仿宋_GBK"/>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lang w:eastAsia="zh-CN"/>
        </w:rPr>
        <w:t>主</w:t>
      </w:r>
      <w:r>
        <w:rPr>
          <w:rFonts w:hint="eastAsia" w:ascii="Times New Roman" w:hAnsi="Times New Roman" w:eastAsia="方正仿宋_GBK" w:cs="Times New Roman"/>
          <w:i w:val="0"/>
          <w:iCs w:val="0"/>
          <w:caps w:val="0"/>
          <w:color w:val="333333"/>
          <w:spacing w:val="0"/>
          <w:sz w:val="32"/>
          <w:szCs w:val="32"/>
          <w:shd w:val="clear" w:fill="FFFFFF"/>
        </w:rPr>
        <w:t>要原因是</w:t>
      </w:r>
      <w:r>
        <w:rPr>
          <w:rFonts w:hint="default" w:ascii="Times New Roman" w:hAnsi="Times New Roman" w:eastAsia="方正仿宋_GBK" w:cs="Times New Roman"/>
          <w:i w:val="0"/>
          <w:iCs w:val="0"/>
          <w:caps w:val="0"/>
          <w:color w:val="333333"/>
          <w:spacing w:val="0"/>
          <w:sz w:val="32"/>
          <w:szCs w:val="32"/>
          <w:shd w:val="clear" w:fill="FFFFFF"/>
        </w:rPr>
        <w:t>2023</w:t>
      </w:r>
      <w:r>
        <w:rPr>
          <w:rFonts w:hint="eastAsia" w:ascii="Times New Roman" w:hAnsi="Times New Roman" w:eastAsia="方正仿宋_GBK" w:cs="Times New Roman"/>
          <w:i w:val="0"/>
          <w:iCs w:val="0"/>
          <w:caps w:val="0"/>
          <w:color w:val="333333"/>
          <w:spacing w:val="0"/>
          <w:sz w:val="32"/>
          <w:szCs w:val="32"/>
          <w:shd w:val="clear" w:fill="FFFFFF"/>
        </w:rPr>
        <w:t>年</w:t>
      </w:r>
      <w:r>
        <w:rPr>
          <w:rFonts w:hint="eastAsia" w:ascii="Times New Roman" w:hAnsi="Times New Roman" w:eastAsia="方正仿宋_GBK" w:cs="Times New Roman"/>
          <w:i w:val="0"/>
          <w:iCs w:val="0"/>
          <w:caps w:val="0"/>
          <w:color w:val="333333"/>
          <w:spacing w:val="0"/>
          <w:sz w:val="32"/>
          <w:szCs w:val="32"/>
          <w:shd w:val="clear" w:fill="FFFFFF"/>
          <w:lang w:eastAsia="zh-CN"/>
        </w:rPr>
        <w:t>退役军人</w:t>
      </w:r>
      <w:r>
        <w:rPr>
          <w:rFonts w:hint="eastAsia" w:ascii="Times New Roman" w:hAnsi="Times New Roman" w:eastAsia="方正仿宋_GBK" w:cs="Times New Roman"/>
          <w:i w:val="0"/>
          <w:iCs w:val="0"/>
          <w:caps w:val="0"/>
          <w:color w:val="333333"/>
          <w:spacing w:val="0"/>
          <w:sz w:val="32"/>
          <w:szCs w:val="32"/>
          <w:shd w:val="clear" w:fill="FFFFFF"/>
        </w:rPr>
        <w:t>服务</w:t>
      </w:r>
      <w:r>
        <w:rPr>
          <w:rFonts w:hint="eastAsia" w:ascii="Times New Roman" w:hAnsi="Times New Roman" w:eastAsia="方正仿宋_GBK" w:cs="Times New Roman"/>
          <w:i w:val="0"/>
          <w:iCs w:val="0"/>
          <w:caps w:val="0"/>
          <w:color w:val="333333"/>
          <w:spacing w:val="0"/>
          <w:sz w:val="32"/>
          <w:szCs w:val="32"/>
          <w:shd w:val="clear" w:fill="FFFFFF"/>
          <w:lang w:eastAsia="zh-CN"/>
        </w:rPr>
        <w:t>站</w:t>
      </w:r>
      <w:r>
        <w:rPr>
          <w:rFonts w:hint="eastAsia" w:ascii="Times New Roman" w:hAnsi="Times New Roman" w:eastAsia="方正仿宋_GBK" w:cs="Times New Roman"/>
          <w:i w:val="0"/>
          <w:iCs w:val="0"/>
          <w:caps w:val="0"/>
          <w:color w:val="333333"/>
          <w:spacing w:val="0"/>
          <w:sz w:val="32"/>
          <w:szCs w:val="32"/>
          <w:shd w:val="clear" w:fill="FFFFFF"/>
        </w:rPr>
        <w:t>未单独进行财务核算及决算处理，纳入政府核算及决算。公用经费用途主要包括办公费、差旅费、劳务费、公务接待费及公务用车运行维护费等。</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（五）政府性基金预算收支决算情况说明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Style w:val="13"/>
          <w:rFonts w:hint="default" w:ascii="方正黑体_GBK" w:hAnsi="方正黑体_GBK" w:eastAsia="方正黑体_GBK" w:cs="方正黑体_GBK"/>
          <w:sz w:val="32"/>
          <w:szCs w:val="32"/>
          <w:shd w:val="clear" w:color="auto" w:fill="FFFFFF"/>
        </w:rPr>
      </w:pPr>
      <w:r>
        <w:rPr>
          <w:rFonts w:hint="eastAsia" w:ascii="方正仿宋_GBK" w:hAnsi="方正仿宋_GBK" w:eastAsia="方正仿宋_GBK" w:cs="方正仿宋_GBK"/>
          <w:i w:val="0"/>
          <w:iCs w:val="0"/>
          <w:caps w:val="0"/>
          <w:color w:val="333333"/>
          <w:spacing w:val="0"/>
          <w:sz w:val="32"/>
          <w:szCs w:val="32"/>
          <w:shd w:val="clear" w:fill="FFFFFF"/>
        </w:rPr>
        <w:t>本单位</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年度无政府性基金预算财政拨款收支。</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both"/>
        <w:textAlignment w:val="auto"/>
        <w:rPr>
          <w:rStyle w:val="13"/>
          <w:rFonts w:hint="eastAsia" w:ascii="方正黑体_GBK" w:hAnsi="方正黑体_GBK" w:eastAsia="方正黑体_GBK" w:cs="方正黑体_GBK"/>
          <w:sz w:val="32"/>
          <w:szCs w:val="32"/>
          <w:shd w:val="clear" w:color="auto" w:fill="FFFFFF"/>
        </w:rPr>
      </w:pPr>
      <w:r>
        <w:rPr>
          <w:rStyle w:val="13"/>
          <w:rFonts w:hint="eastAsia" w:ascii="方正黑体_GBK" w:hAnsi="方正黑体_GBK" w:eastAsia="方正黑体_GBK" w:cs="方正黑体_GBK"/>
          <w:sz w:val="32"/>
          <w:szCs w:val="32"/>
          <w:shd w:val="clear" w:color="auto" w:fill="FFFFFF"/>
        </w:rPr>
        <w:t>三、</w:t>
      </w:r>
      <w:r>
        <w:rPr>
          <w:rStyle w:val="13"/>
          <w:rFonts w:hint="eastAsia" w:ascii="方正黑体_GBK" w:hAnsi="方正黑体_GBK" w:eastAsia="方正黑体_GBK" w:cs="方正黑体_GBK"/>
          <w:sz w:val="32"/>
          <w:szCs w:val="32"/>
          <w:shd w:val="clear" w:color="auto" w:fill="FFFFFF"/>
          <w:lang w:eastAsia="zh-CN"/>
        </w:rPr>
        <w:t>财政拨款</w:t>
      </w:r>
      <w:r>
        <w:rPr>
          <w:rStyle w:val="13"/>
          <w:rFonts w:hint="eastAsia" w:ascii="方正黑体_GBK" w:hAnsi="方正黑体_GBK" w:eastAsia="方正黑体_GBK" w:cs="方正黑体_GBK"/>
          <w:sz w:val="32"/>
          <w:szCs w:val="32"/>
          <w:shd w:val="clear" w:color="auto" w:fill="FFFFFF"/>
        </w:rPr>
        <w:t>“三公”经费情况说明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ascii="方正楷体_GBK" w:hAnsi="方正楷体_GBK" w:eastAsia="方正楷体_GBK" w:cs="方正楷体_GBK"/>
          <w:i w:val="0"/>
          <w:iCs w:val="0"/>
          <w:caps w:val="0"/>
          <w:color w:val="333333"/>
          <w:spacing w:val="0"/>
          <w:sz w:val="32"/>
          <w:szCs w:val="32"/>
          <w:shd w:val="clear" w:fill="FFFFFF"/>
        </w:rPr>
        <w:t>（一）“三公”经费支出总体情况说明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方正仿宋_GBK" w:cs="宋体"/>
          <w:i w:val="0"/>
          <w:iCs w:val="0"/>
          <w:caps w:val="0"/>
          <w:color w:val="333333"/>
          <w:spacing w:val="0"/>
          <w:sz w:val="32"/>
          <w:szCs w:val="32"/>
          <w:lang w:eastAsia="zh-CN"/>
        </w:rPr>
      </w:pP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年度本单位“三公”经费支出共计</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万元，较年初预算数增加</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万元，较上年支出数增加</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万元，主要原因是年中从政府（本级）调整预算到下属事业单位，未将“三公”经费支出调整至</w:t>
      </w:r>
      <w:r>
        <w:rPr>
          <w:rFonts w:hint="eastAsia" w:ascii="方正仿宋_GBK" w:hAnsi="方正仿宋_GBK" w:eastAsia="方正仿宋_GBK" w:cs="方正仿宋_GBK"/>
          <w:i w:val="0"/>
          <w:iCs w:val="0"/>
          <w:caps w:val="0"/>
          <w:color w:val="333333"/>
          <w:spacing w:val="0"/>
          <w:sz w:val="32"/>
          <w:szCs w:val="32"/>
          <w:shd w:val="clear" w:fill="FFFFFF"/>
          <w:lang w:eastAsia="zh-CN"/>
        </w:rPr>
        <w:t>退役军人服务站。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（二）“三公”经费分项支出情况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年度本单位因公出国（境）费用</w:t>
      </w:r>
      <w:r>
        <w:rPr>
          <w:rFonts w:hint="eastAsia" w:ascii="Times New Roman" w:hAnsi="Times New Roman" w:eastAsia="方正仿宋_GBK" w:cs="Times New Roman"/>
          <w:i w:val="0"/>
          <w:iCs w:val="0"/>
          <w:caps w:val="0"/>
          <w:color w:val="333333"/>
          <w:spacing w:val="0"/>
          <w:sz w:val="32"/>
          <w:szCs w:val="32"/>
          <w:shd w:val="clear" w:fill="FFFFFF"/>
          <w:lang w:val="en-US" w:eastAsia="zh-CN"/>
        </w:rPr>
        <w:t>0</w:t>
      </w:r>
      <w:r>
        <w:rPr>
          <w:rFonts w:hint="eastAsia" w:ascii="方正仿宋_GBK" w:hAnsi="方正仿宋_GBK" w:eastAsia="方正仿宋_GBK" w:cs="方正仿宋_GBK"/>
          <w:i w:val="0"/>
          <w:iCs w:val="0"/>
          <w:caps w:val="0"/>
          <w:color w:val="333333"/>
          <w:spacing w:val="0"/>
          <w:sz w:val="32"/>
          <w:szCs w:val="32"/>
          <w:shd w:val="clear" w:fill="FFFFFF"/>
        </w:rPr>
        <w:t>万元，费用支出较年初预算数增加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0</w:t>
      </w:r>
      <w:r>
        <w:rPr>
          <w:rFonts w:hint="eastAsia" w:ascii="方正仿宋_GBK" w:hAnsi="方正仿宋_GBK" w:eastAsia="方正仿宋_GBK" w:cs="方正仿宋_GBK"/>
          <w:i w:val="0"/>
          <w:iCs w:val="0"/>
          <w:caps w:val="0"/>
          <w:color w:val="333333"/>
          <w:spacing w:val="0"/>
          <w:sz w:val="32"/>
          <w:szCs w:val="32"/>
          <w:shd w:val="clear" w:fill="FFFFFF"/>
        </w:rPr>
        <w:t>万元，较上年支出数增加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0</w:t>
      </w:r>
      <w:r>
        <w:rPr>
          <w:rFonts w:hint="eastAsia" w:ascii="方正仿宋_GBK" w:hAnsi="方正仿宋_GBK" w:eastAsia="方正仿宋_GBK" w:cs="方正仿宋_GBK"/>
          <w:i w:val="0"/>
          <w:iCs w:val="0"/>
          <w:caps w:val="0"/>
          <w:color w:val="333333"/>
          <w:spacing w:val="0"/>
          <w:sz w:val="32"/>
          <w:szCs w:val="32"/>
          <w:shd w:val="clear" w:fill="FFFFFF"/>
        </w:rPr>
        <w:t>万元，主要原因是上年、本年均未安排单位人员出国出访。</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公务车购置费</w:t>
      </w:r>
      <w:r>
        <w:rPr>
          <w:rFonts w:hint="eastAsia" w:ascii="Times New Roman" w:hAnsi="Times New Roman" w:eastAsia="方正仿宋_GBK" w:cs="Times New Roman"/>
          <w:i w:val="0"/>
          <w:iCs w:val="0"/>
          <w:caps w:val="0"/>
          <w:color w:val="333333"/>
          <w:spacing w:val="0"/>
          <w:sz w:val="32"/>
          <w:szCs w:val="32"/>
          <w:shd w:val="clear" w:fill="FFFFFF"/>
          <w:lang w:val="en-US" w:eastAsia="zh-CN"/>
        </w:rPr>
        <w:t>0</w:t>
      </w:r>
      <w:r>
        <w:rPr>
          <w:rFonts w:hint="eastAsia" w:ascii="方正仿宋_GBK" w:hAnsi="方正仿宋_GBK" w:eastAsia="方正仿宋_GBK" w:cs="方正仿宋_GBK"/>
          <w:i w:val="0"/>
          <w:iCs w:val="0"/>
          <w:caps w:val="0"/>
          <w:color w:val="333333"/>
          <w:spacing w:val="0"/>
          <w:sz w:val="32"/>
          <w:szCs w:val="32"/>
          <w:shd w:val="clear" w:fill="FFFFFF"/>
        </w:rPr>
        <w:t>万元，费用支出较年初预算数增加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0</w:t>
      </w:r>
      <w:r>
        <w:rPr>
          <w:rFonts w:hint="eastAsia" w:ascii="方正仿宋_GBK" w:hAnsi="方正仿宋_GBK" w:eastAsia="方正仿宋_GBK" w:cs="方正仿宋_GBK"/>
          <w:i w:val="0"/>
          <w:iCs w:val="0"/>
          <w:caps w:val="0"/>
          <w:color w:val="333333"/>
          <w:spacing w:val="0"/>
          <w:sz w:val="32"/>
          <w:szCs w:val="32"/>
          <w:shd w:val="clear" w:fill="FFFFFF"/>
        </w:rPr>
        <w:t>万元，较上年支出数增加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0</w:t>
      </w:r>
      <w:r>
        <w:rPr>
          <w:rFonts w:hint="eastAsia" w:ascii="方正仿宋_GBK" w:hAnsi="方正仿宋_GBK" w:eastAsia="方正仿宋_GBK" w:cs="方正仿宋_GBK"/>
          <w:i w:val="0"/>
          <w:iCs w:val="0"/>
          <w:caps w:val="0"/>
          <w:color w:val="333333"/>
          <w:spacing w:val="0"/>
          <w:sz w:val="32"/>
          <w:szCs w:val="32"/>
          <w:shd w:val="clear" w:fill="FFFFFF"/>
        </w:rPr>
        <w:t>万元，主要原因是本年度未进行公务车购置。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宋体" w:hAnsi="宋体" w:eastAsia="宋体" w:cs="宋体"/>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公务车运行维护费</w:t>
      </w:r>
      <w:r>
        <w:rPr>
          <w:rFonts w:hint="eastAsia" w:ascii="Times New Roman" w:hAnsi="Times New Roman" w:eastAsia="方正仿宋_GBK" w:cs="Times New Roman"/>
          <w:i w:val="0"/>
          <w:iCs w:val="0"/>
          <w:caps w:val="0"/>
          <w:color w:val="333333"/>
          <w:spacing w:val="0"/>
          <w:sz w:val="32"/>
          <w:szCs w:val="32"/>
          <w:shd w:val="clear" w:fill="FFFFFF"/>
          <w:lang w:val="en-US" w:eastAsia="zh-CN"/>
        </w:rPr>
        <w:t>0</w:t>
      </w:r>
      <w:r>
        <w:rPr>
          <w:rFonts w:hint="eastAsia" w:ascii="方正仿宋_GBK" w:hAnsi="方正仿宋_GBK" w:eastAsia="方正仿宋_GBK" w:cs="方正仿宋_GBK"/>
          <w:i w:val="0"/>
          <w:iCs w:val="0"/>
          <w:caps w:val="0"/>
          <w:color w:val="333333"/>
          <w:spacing w:val="0"/>
          <w:sz w:val="32"/>
          <w:szCs w:val="32"/>
          <w:shd w:val="clear" w:fill="FFFFFF"/>
        </w:rPr>
        <w:t>万元，主要用于县内因公出行、安全生产监管、乡村振兴、巩固脱贫攻坚成果等工作所需车辆的燃料费、维修费、保险费等。费用支出较年初预算数无增减，较上年支出数无增减。主要原因是公务车运行维护费统一在政府（本级）列支，下属事业单位未单独列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宋体" w:hAnsi="宋体" w:eastAsia="宋体" w:cs="宋体"/>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公务接待费</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万元，主要用于接待相关部门检查指导工作发生的接待支出；费用支出与年初预算数持平。主要原因是年中从政府（本级）调整预算到下属事业单位，未将“三公”经费支出调整至退役军人服务站。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（三）“三公”经费实物量情况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年度本单位无因公出国（境）支出；公务用车购置</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辆，公务车保有量为</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辆；国内公务接待</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批次</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人，其中：国内外事接待</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批次，</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人；国（境）外公务接待</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批次，</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人。</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年本单位人均接待费</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元，车均购置费</w:t>
      </w:r>
      <w:r>
        <w:rPr>
          <w:rFonts w:hint="default" w:ascii="Times New Roman" w:hAnsi="Times New Roman" w:eastAsia="方正仿宋_GBK" w:cs="Times New Roman"/>
          <w:i w:val="0"/>
          <w:iCs w:val="0"/>
          <w:caps w:val="0"/>
          <w:color w:val="333333"/>
          <w:spacing w:val="0"/>
          <w:sz w:val="32"/>
          <w:szCs w:val="32"/>
          <w:shd w:val="clear" w:fill="FFFFFF"/>
        </w:rPr>
        <w:t>0.00</w:t>
      </w:r>
      <w:r>
        <w:rPr>
          <w:rFonts w:hint="eastAsia" w:ascii="方正仿宋_GBK" w:hAnsi="方正仿宋_GBK" w:eastAsia="方正仿宋_GBK" w:cs="方正仿宋_GBK"/>
          <w:i w:val="0"/>
          <w:iCs w:val="0"/>
          <w:caps w:val="0"/>
          <w:color w:val="333333"/>
          <w:spacing w:val="0"/>
          <w:sz w:val="32"/>
          <w:szCs w:val="32"/>
          <w:shd w:val="clear" w:fill="FFFFFF"/>
        </w:rPr>
        <w:t>万元，车均维护费</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both"/>
        <w:textAlignment w:val="auto"/>
        <w:rPr>
          <w:rStyle w:val="13"/>
          <w:rFonts w:hint="eastAsia" w:ascii="方正黑体_GBK" w:hAnsi="方正黑体_GBK" w:eastAsia="方正黑体_GBK" w:cs="方正黑体_GBK"/>
          <w:sz w:val="32"/>
          <w:szCs w:val="32"/>
          <w:shd w:val="clear" w:color="auto" w:fill="FFFFFF"/>
        </w:rPr>
      </w:pPr>
      <w:r>
        <w:rPr>
          <w:rStyle w:val="13"/>
          <w:rFonts w:hint="eastAsia" w:ascii="方正黑体_GBK" w:hAnsi="方正黑体_GBK" w:eastAsia="方正黑体_GBK" w:cs="方正黑体_GBK"/>
          <w:sz w:val="32"/>
          <w:szCs w:val="32"/>
          <w:shd w:val="clear" w:color="auto" w:fill="FFFFFF"/>
        </w:rPr>
        <w:t>四、其他需要说明的事项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ascii="方正楷体_GBK" w:hAnsi="方正楷体_GBK" w:eastAsia="方正楷体_GBK" w:cs="方正楷体_GBK"/>
          <w:i w:val="0"/>
          <w:iCs w:val="0"/>
          <w:caps w:val="0"/>
          <w:color w:val="333333"/>
          <w:spacing w:val="0"/>
          <w:sz w:val="32"/>
          <w:szCs w:val="32"/>
          <w:shd w:val="clear" w:fill="FFFFFF"/>
        </w:rPr>
        <w:t>（一）机关运行经费情况说明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ascii="方正仿宋_GBK" w:hAnsi="方正仿宋_GBK" w:eastAsia="方正仿宋_GBK" w:cs="方正仿宋_GBK"/>
          <w:i w:val="0"/>
          <w:iCs w:val="0"/>
          <w:caps w:val="0"/>
          <w:color w:val="333333"/>
          <w:spacing w:val="0"/>
          <w:sz w:val="32"/>
          <w:szCs w:val="32"/>
          <w:shd w:val="clear" w:fill="FFFFFF"/>
        </w:rPr>
        <w:t>按照部门决算列报口径，我单位不在机关运行经费统计范围之内。</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此外，本年度会议费支出</w:t>
      </w:r>
      <w:r>
        <w:rPr>
          <w:rFonts w:hint="default" w:ascii="Times New Roman" w:hAnsi="Times New Roman" w:eastAsia="方正仿宋_GBK" w:cs="Times New Roman"/>
          <w:i w:val="0"/>
          <w:iCs w:val="0"/>
          <w:caps w:val="0"/>
          <w:color w:val="333333"/>
          <w:spacing w:val="0"/>
          <w:sz w:val="32"/>
          <w:szCs w:val="32"/>
          <w:shd w:val="clear" w:fill="FFFFFF"/>
        </w:rPr>
        <w:t>0.00</w:t>
      </w:r>
      <w:r>
        <w:rPr>
          <w:rFonts w:hint="eastAsia" w:ascii="方正仿宋_GBK" w:hAnsi="方正仿宋_GBK" w:eastAsia="方正仿宋_GBK" w:cs="方正仿宋_GBK"/>
          <w:i w:val="0"/>
          <w:iCs w:val="0"/>
          <w:caps w:val="0"/>
          <w:color w:val="333333"/>
          <w:spacing w:val="0"/>
          <w:sz w:val="32"/>
          <w:szCs w:val="32"/>
          <w:shd w:val="clear" w:fill="FFFFFF"/>
        </w:rPr>
        <w:t>万元，较上年决算数无增减，主要原因是</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年度未单独安排会议费。本年度培训费支出</w:t>
      </w:r>
      <w:r>
        <w:rPr>
          <w:rFonts w:hint="default" w:ascii="Times New Roman" w:hAnsi="Times New Roman" w:eastAsia="方正仿宋_GBK" w:cs="Times New Roman"/>
          <w:i w:val="0"/>
          <w:iCs w:val="0"/>
          <w:caps w:val="0"/>
          <w:color w:val="333333"/>
          <w:spacing w:val="0"/>
          <w:sz w:val="32"/>
          <w:szCs w:val="32"/>
          <w:shd w:val="clear" w:fill="FFFFFF"/>
        </w:rPr>
        <w:t>0.00</w:t>
      </w:r>
      <w:r>
        <w:rPr>
          <w:rFonts w:hint="eastAsia" w:ascii="方正仿宋_GBK" w:hAnsi="方正仿宋_GBK" w:eastAsia="方正仿宋_GBK" w:cs="方正仿宋_GBK"/>
          <w:i w:val="0"/>
          <w:iCs w:val="0"/>
          <w:caps w:val="0"/>
          <w:color w:val="333333"/>
          <w:spacing w:val="0"/>
          <w:sz w:val="32"/>
          <w:szCs w:val="32"/>
          <w:shd w:val="clear" w:fill="FFFFFF"/>
        </w:rPr>
        <w:t>万元，较上年决算数无变化，主要原因是</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年度未单独安排会议费。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（二）国有资产占用情况说明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截至</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w:t>
      </w:r>
      <w:r>
        <w:rPr>
          <w:rFonts w:hint="default" w:ascii="Times New Roman" w:hAnsi="Times New Roman" w:eastAsia="方正仿宋_GBK" w:cs="Times New Roman"/>
          <w:i w:val="0"/>
          <w:iCs w:val="0"/>
          <w:caps w:val="0"/>
          <w:color w:val="333333"/>
          <w:spacing w:val="0"/>
          <w:sz w:val="32"/>
          <w:szCs w:val="32"/>
          <w:shd w:val="clear" w:fill="FFFFFF"/>
        </w:rPr>
        <w:t>12</w:t>
      </w:r>
      <w:r>
        <w:rPr>
          <w:rFonts w:hint="eastAsia" w:ascii="方正仿宋_GBK" w:hAnsi="方正仿宋_GBK" w:eastAsia="方正仿宋_GBK" w:cs="方正仿宋_GBK"/>
          <w:i w:val="0"/>
          <w:iCs w:val="0"/>
          <w:caps w:val="0"/>
          <w:color w:val="333333"/>
          <w:spacing w:val="0"/>
          <w:sz w:val="32"/>
          <w:szCs w:val="32"/>
          <w:shd w:val="clear" w:fill="FFFFFF"/>
        </w:rPr>
        <w:t>月</w:t>
      </w:r>
      <w:r>
        <w:rPr>
          <w:rFonts w:hint="default" w:ascii="Times New Roman" w:hAnsi="Times New Roman" w:eastAsia="方正仿宋_GBK" w:cs="Times New Roman"/>
          <w:i w:val="0"/>
          <w:iCs w:val="0"/>
          <w:caps w:val="0"/>
          <w:color w:val="333333"/>
          <w:spacing w:val="0"/>
          <w:sz w:val="32"/>
          <w:szCs w:val="32"/>
          <w:shd w:val="clear" w:fill="FFFFFF"/>
        </w:rPr>
        <w:t>31</w:t>
      </w:r>
      <w:r>
        <w:rPr>
          <w:rFonts w:hint="eastAsia" w:ascii="方正仿宋_GBK" w:hAnsi="方正仿宋_GBK" w:eastAsia="方正仿宋_GBK" w:cs="方正仿宋_GBK"/>
          <w:i w:val="0"/>
          <w:iCs w:val="0"/>
          <w:caps w:val="0"/>
          <w:color w:val="333333"/>
          <w:spacing w:val="0"/>
          <w:sz w:val="32"/>
          <w:szCs w:val="32"/>
          <w:shd w:val="clear" w:fill="FFFFFF"/>
        </w:rPr>
        <w:t>日，本单位共有车辆</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辆，其中，副部（省）级及以上领导用车</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辆、主要负责人用车</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辆、机要通信用车</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辆、应急保障用车</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辆、执法执勤用车</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辆，特种专业技术用车</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辆，离退休干部用车</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辆。单价</w:t>
      </w:r>
      <w:r>
        <w:rPr>
          <w:rFonts w:hint="default" w:ascii="Times New Roman" w:hAnsi="Times New Roman" w:eastAsia="方正仿宋_GBK" w:cs="Times New Roman"/>
          <w:i w:val="0"/>
          <w:iCs w:val="0"/>
          <w:caps w:val="0"/>
          <w:color w:val="333333"/>
          <w:spacing w:val="0"/>
          <w:sz w:val="32"/>
          <w:szCs w:val="32"/>
          <w:shd w:val="clear" w:fill="FFFFFF"/>
        </w:rPr>
        <w:t>100</w:t>
      </w:r>
      <w:r>
        <w:rPr>
          <w:rFonts w:hint="eastAsia" w:ascii="方正仿宋_GBK" w:hAnsi="方正仿宋_GBK" w:eastAsia="方正仿宋_GBK" w:cs="方正仿宋_GBK"/>
          <w:i w:val="0"/>
          <w:iCs w:val="0"/>
          <w:caps w:val="0"/>
          <w:color w:val="333333"/>
          <w:spacing w:val="0"/>
          <w:sz w:val="32"/>
          <w:szCs w:val="32"/>
          <w:shd w:val="clear" w:fill="FFFFFF"/>
        </w:rPr>
        <w:t>万元（含）以上专用设备</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台（套）。</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（三）政府采购支出情况说明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年度本单位政府采购支出总额</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万元，其中：政府采购货物支出</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万元、政府采购工程支出</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万元、政府采购服务支出</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万元。  </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both"/>
        <w:textAlignment w:val="auto"/>
        <w:rPr>
          <w:rStyle w:val="13"/>
          <w:rFonts w:hint="eastAsia" w:ascii="方正黑体_GBK" w:hAnsi="方正黑体_GBK" w:eastAsia="方正黑体_GBK" w:cs="方正黑体_GBK"/>
          <w:sz w:val="32"/>
          <w:szCs w:val="32"/>
          <w:shd w:val="clear" w:color="auto" w:fill="FFFFFF"/>
          <w:lang w:val="en-US" w:eastAsia="zh-CN" w:bidi="ar-SA"/>
        </w:rPr>
      </w:pPr>
      <w:r>
        <w:rPr>
          <w:rStyle w:val="13"/>
          <w:rFonts w:hint="eastAsia" w:ascii="方正黑体_GBK" w:hAnsi="方正黑体_GBK" w:eastAsia="方正黑体_GBK" w:cs="方正黑体_GBK"/>
          <w:sz w:val="32"/>
          <w:szCs w:val="32"/>
          <w:shd w:val="clear" w:color="auto" w:fill="FFFFFF"/>
          <w:lang w:val="en-US" w:eastAsia="zh-CN" w:bidi="ar-SA"/>
        </w:rPr>
        <w:t>五、2024年度预算绩效管理情况说明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default" w:ascii="微软雅黑" w:hAnsi="微软雅黑" w:eastAsia="微软雅黑" w:cs="微软雅黑"/>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根据预算绩效管理要求，政府（本级）对部门整体</w:t>
      </w:r>
      <w:r>
        <w:rPr>
          <w:rFonts w:hint="eastAsia" w:ascii="方正仿宋_GBK" w:hAnsi="方正仿宋_GBK" w:eastAsia="方正仿宋_GBK" w:cs="方正仿宋_GBK"/>
          <w:i w:val="0"/>
          <w:iCs w:val="0"/>
          <w:caps w:val="0"/>
          <w:color w:val="auto"/>
          <w:spacing w:val="0"/>
          <w:sz w:val="32"/>
          <w:szCs w:val="32"/>
          <w:shd w:val="clear" w:fill="FFFFFF"/>
        </w:rPr>
        <w:t>和</w:t>
      </w:r>
      <w:r>
        <w:rPr>
          <w:rFonts w:hint="eastAsia" w:ascii="Times New Roman" w:hAnsi="Times New Roman" w:eastAsia="方正仿宋_GBK" w:cs="Times New Roman"/>
          <w:i w:val="0"/>
          <w:iCs w:val="0"/>
          <w:caps w:val="0"/>
          <w:color w:val="auto"/>
          <w:spacing w:val="0"/>
          <w:sz w:val="32"/>
          <w:szCs w:val="32"/>
          <w:shd w:val="clear" w:fill="FFFFFF"/>
          <w:lang w:val="en-US" w:eastAsia="zh-CN"/>
        </w:rPr>
        <w:t>59</w:t>
      </w:r>
      <w:r>
        <w:rPr>
          <w:rFonts w:hint="eastAsia" w:ascii="方正仿宋_GBK" w:hAnsi="方正仿宋_GBK" w:eastAsia="方正仿宋_GBK" w:cs="方正仿宋_GBK"/>
          <w:i w:val="0"/>
          <w:iCs w:val="0"/>
          <w:caps w:val="0"/>
          <w:color w:val="333333"/>
          <w:spacing w:val="0"/>
          <w:sz w:val="32"/>
          <w:szCs w:val="32"/>
          <w:shd w:val="clear" w:fill="FFFFFF"/>
        </w:rPr>
        <w:t>个项目开展了绩效自评，故本站所</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年度无需再次开展绩效评价。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left="0" w:right="0" w:rightChars="0" w:firstLine="643" w:firstLineChars="200"/>
        <w:jc w:val="both"/>
        <w:textAlignment w:val="auto"/>
        <w:rPr>
          <w:rFonts w:hint="eastAsia" w:ascii="方正黑体_GBK" w:hAnsi="方正黑体_GBK" w:eastAsia="方正黑体_GBK" w:cs="方正黑体_GBK"/>
          <w:kern w:val="0"/>
          <w:sz w:val="32"/>
          <w:szCs w:val="32"/>
        </w:rPr>
      </w:pPr>
      <w:r>
        <w:rPr>
          <w:rStyle w:val="16"/>
          <w:rFonts w:hint="eastAsia" w:ascii="方正黑体_GBK" w:hAnsi="方正黑体_GBK" w:eastAsia="方正黑体_GBK" w:cs="方正黑体_GBK"/>
          <w:b/>
          <w:bCs/>
          <w:sz w:val="32"/>
          <w:szCs w:val="32"/>
          <w:shd w:val="clear" w:fill="FFFFFF"/>
        </w:rPr>
        <w:t xml:space="preserve"> </w:t>
      </w:r>
      <w:r>
        <w:rPr>
          <w:rStyle w:val="16"/>
          <w:rFonts w:hint="eastAsia" w:ascii="方正黑体_GBK" w:hAnsi="方正黑体_GBK" w:eastAsia="方正黑体_GBK" w:cs="方正黑体_GBK"/>
          <w:b/>
          <w:bCs/>
          <w:sz w:val="32"/>
          <w:szCs w:val="32"/>
          <w:shd w:val="clear" w:fill="FFFFFF"/>
          <w:lang w:val="en-US" w:eastAsia="zh-CN"/>
        </w:rPr>
        <w:t xml:space="preserve">  </w:t>
      </w:r>
      <w:r>
        <w:rPr>
          <w:rStyle w:val="13"/>
          <w:rFonts w:hint="eastAsia" w:ascii="方正黑体_GBK" w:hAnsi="方正黑体_GBK" w:eastAsia="方正黑体_GBK" w:cs="方正黑体_GBK"/>
          <w:sz w:val="32"/>
          <w:szCs w:val="32"/>
          <w:shd w:val="clear" w:color="auto" w:fill="FFFFFF"/>
          <w:lang w:val="en-US" w:eastAsia="zh-CN" w:bidi="ar-SA"/>
        </w:rPr>
        <w:t xml:space="preserve"> 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w:t>
      </w: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3" w:firstLineChars="200"/>
        <w:jc w:val="both"/>
        <w:textAlignment w:val="auto"/>
        <w:rPr>
          <w:rFonts w:hint="eastAsia" w:ascii="方正黑体_GBK" w:hAnsi="方正黑体_GBK" w:eastAsia="方正黑体_GBK" w:cs="方正黑体_GBK"/>
          <w:kern w:val="0"/>
          <w:sz w:val="32"/>
          <w:szCs w:val="32"/>
        </w:rPr>
      </w:pPr>
      <w:r>
        <w:rPr>
          <w:rStyle w:val="13"/>
          <w:rFonts w:hint="eastAsia" w:ascii="方正黑体_GBK" w:hAnsi="方正黑体_GBK" w:eastAsia="方正黑体_GBK" w:cs="方正黑体_GBK"/>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bookmarkStart w:id="0" w:name="_GoBack"/>
      <w:bookmarkEnd w:id="0"/>
      <w:r>
        <w:rPr>
          <w:rFonts w:hint="eastAsia" w:ascii="方正仿宋_GBK" w:hAnsi="方正仿宋_GBK" w:eastAsia="方正仿宋_GBK" w:cs="方正仿宋_GBK"/>
          <w:color w:val="auto"/>
          <w:kern w:val="0"/>
          <w:sz w:val="32"/>
          <w:szCs w:val="32"/>
          <w:shd w:val="clear" w:fill="FFFFFF"/>
          <w:lang w:val="en-US" w:eastAsia="zh-CN"/>
        </w:rPr>
        <w:t>高楠镇人民政府</w:t>
      </w:r>
      <w:r>
        <w:rPr>
          <w:rFonts w:hint="eastAsia" w:ascii="方正仿宋_GBK" w:hAnsi="方正仿宋_GBK" w:eastAsia="方正仿宋_GBK" w:cs="方正仿宋_GBK"/>
          <w:color w:val="auto"/>
          <w:kern w:val="0"/>
          <w:sz w:val="32"/>
          <w:szCs w:val="32"/>
          <w:shd w:val="clear" w:fill="FFFFFF"/>
        </w:rPr>
        <w:t xml:space="preserve">   023-</w:t>
      </w:r>
      <w:r>
        <w:rPr>
          <w:rFonts w:hint="eastAsia" w:ascii="方正仿宋_GBK" w:hAnsi="方正仿宋_GBK" w:eastAsia="方正仿宋_GBK" w:cs="方正仿宋_GBK"/>
          <w:color w:val="auto"/>
          <w:kern w:val="0"/>
          <w:sz w:val="32"/>
          <w:szCs w:val="32"/>
          <w:shd w:val="clear" w:fill="FFFFFF"/>
          <w:lang w:val="en-US" w:eastAsia="zh-CN"/>
        </w:rPr>
        <w:t>59500000</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color w:val="FF0000"/>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color w:val="FF0000"/>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color w:val="FF0000"/>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color w:val="FF0000"/>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color w:val="FF0000"/>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color w:val="FF0000"/>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color w:val="FF0000"/>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color w:val="FF0000"/>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color w:val="FF0000"/>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color w:val="FF0000"/>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color w:val="FF0000"/>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color w:val="FF0000"/>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color w:val="FF0000"/>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color w:val="FF0000"/>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color w:val="FF0000"/>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color w:val="FF0000"/>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color w:val="FF0000"/>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color w:val="FF0000"/>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color w:val="FF0000"/>
          <w:kern w:val="0"/>
          <w:sz w:val="32"/>
          <w:szCs w:val="32"/>
          <w:shd w:val="clear" w:fill="FFFFFF"/>
        </w:r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3326"/>
        <w:gridCol w:w="996"/>
        <w:gridCol w:w="3146"/>
        <w:gridCol w:w="135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643" w:firstLineChars="200"/>
              <w:jc w:val="both"/>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auto"/>
              <w:rPr>
                <w:rFonts w:hint="default" w:ascii="Arial" w:hAnsi="Arial" w:cs="Arial"/>
                <w:color w:val="000000"/>
                <w:sz w:val="22"/>
                <w:szCs w:val="22"/>
              </w:rPr>
            </w:pPr>
            <w:r>
              <w:rPr>
                <w:rFonts w:cs="宋体"/>
                <w:sz w:val="20"/>
                <w:szCs w:val="20"/>
              </w:rPr>
              <w:t>单位：</w:t>
            </w:r>
            <w:r>
              <w:rPr>
                <w:sz w:val="20"/>
                <w:u w:color="auto"/>
              </w:rPr>
              <w:t>高楠镇退役军人服务站</w:t>
            </w:r>
          </w:p>
        </w:tc>
        <w:tc>
          <w:tcPr>
            <w:tcW w:w="137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40" w:firstLineChars="200"/>
              <w:jc w:val="both"/>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33.54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30.11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1.39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1.89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33.54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33.54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33.54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33.54</w:t>
            </w:r>
            <w:r>
              <w:rPr>
                <w:rFonts w:ascii="Times New Roman" w:hAnsi="Times New Roman"/>
                <w:color w:val="000000"/>
                <w:sz w:val="20"/>
                <w:u w:color="auto"/>
              </w:rPr>
              <w:t xml:space="preserve"> </w:t>
            </w:r>
          </w:p>
        </w:tc>
      </w:tr>
    </w:tbl>
    <w:p>
      <w:pPr>
        <w:keepNext w:val="0"/>
        <w:keepLines w:val="0"/>
        <w:pageBreakBefore w:val="0"/>
        <w:widowControl/>
        <w:kinsoku/>
        <w:overflowPunct/>
        <w:topLinePunct w:val="0"/>
        <w:autoSpaceDN/>
        <w:bidi w:val="0"/>
        <w:adjustRightInd/>
        <w:snapToGrid/>
        <w:spacing w:line="560" w:lineRule="exact"/>
        <w:ind w:left="0" w:right="0" w:rightChars="0" w:firstLine="420" w:firstLineChars="200"/>
        <w:jc w:val="both"/>
        <w:rPr>
          <w:rFonts w:hint="default" w:cs="宋体"/>
          <w:sz w:val="21"/>
          <w:szCs w:val="21"/>
        </w:rPr>
      </w:pPr>
    </w:p>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823"/>
        <w:gridCol w:w="1680"/>
        <w:gridCol w:w="911"/>
        <w:gridCol w:w="835"/>
        <w:gridCol w:w="723"/>
        <w:gridCol w:w="828"/>
        <w:gridCol w:w="840"/>
        <w:gridCol w:w="746"/>
        <w:gridCol w:w="777"/>
        <w:gridCol w:w="761"/>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643" w:firstLineChars="200"/>
              <w:jc w:val="both"/>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auto"/>
              <w:rPr>
                <w:rFonts w:hint="default" w:cs="宋体"/>
                <w:color w:val="000000"/>
                <w:sz w:val="20"/>
                <w:szCs w:val="20"/>
              </w:rPr>
            </w:pPr>
            <w:r>
              <w:rPr>
                <w:rFonts w:cs="宋体"/>
                <w:sz w:val="20"/>
                <w:szCs w:val="20"/>
              </w:rPr>
              <w:t>单位：</w:t>
            </w:r>
            <w:r>
              <w:rPr>
                <w:sz w:val="20"/>
                <w:u w:color="auto"/>
              </w:rPr>
              <w:t>高楠镇退役军人服务站</w:t>
            </w:r>
          </w:p>
        </w:tc>
        <w:tc>
          <w:tcPr>
            <w:tcW w:w="46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33.54</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33.54</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20136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2013699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30.11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30.11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3.79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3.79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2.53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2.53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1.26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1.26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20828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退役军人管理事务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26.32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26.32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2082850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26.32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26.32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1.39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1.39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1.39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1.39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1.89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1.89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1.89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1.89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1.89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1.89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744"/>
        <w:gridCol w:w="2073"/>
        <w:gridCol w:w="1060"/>
        <w:gridCol w:w="1016"/>
        <w:gridCol w:w="935"/>
        <w:gridCol w:w="896"/>
        <w:gridCol w:w="974"/>
        <w:gridCol w:w="1122"/>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643" w:firstLineChars="200"/>
              <w:jc w:val="both"/>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高楠镇退役军人服务站 </w:t>
            </w: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33.54</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33.54</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20136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2013699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30.11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30.11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3.79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3.79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2.53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2.53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1.26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1.26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20828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退役军人管理事务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26.32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26.32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2082850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26.32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26.32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1.39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1.39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1.39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1.39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1.89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1.89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1.89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1.89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1.89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1.89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adjustRightInd/>
        <w:snapToGrid/>
        <w:spacing w:line="560" w:lineRule="exact"/>
        <w:ind w:left="0" w:right="0" w:rightChars="0" w:firstLine="420" w:firstLineChars="200"/>
        <w:jc w:val="both"/>
        <w:rPr>
          <w:rFonts w:hint="default" w:cs="宋体"/>
          <w:sz w:val="21"/>
          <w:szCs w:val="21"/>
        </w:rPr>
      </w:pPr>
      <w:r>
        <w:rPr>
          <w:rFonts w:cs="宋体"/>
          <w:sz w:val="21"/>
          <w:szCs w:val="21"/>
        </w:rPr>
        <w:br w:type="page"/>
      </w:r>
    </w:p>
    <w:p>
      <w:pPr>
        <w:keepNext w:val="0"/>
        <w:keepLines w:val="0"/>
        <w:pageBreakBefore w:val="0"/>
        <w:widowControl/>
        <w:kinsoku/>
        <w:overflowPunct/>
        <w:topLinePunct w:val="0"/>
        <w:autoSpaceDN/>
        <w:bidi w:val="0"/>
        <w:adjustRightInd/>
        <w:snapToGrid/>
        <w:spacing w:line="560" w:lineRule="exact"/>
        <w:ind w:left="0" w:right="0" w:rightChars="0" w:firstLine="420" w:firstLineChars="200"/>
        <w:jc w:val="both"/>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386"/>
        <w:gridCol w:w="723"/>
        <w:gridCol w:w="2528"/>
        <w:gridCol w:w="723"/>
        <w:gridCol w:w="723"/>
        <w:gridCol w:w="547"/>
        <w:gridCol w:w="118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643" w:firstLineChars="200"/>
              <w:jc w:val="both"/>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高楠镇退役军人服务站</w:t>
            </w: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33.54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30.11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30.11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1.39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1.39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1.89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1.89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33.54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33.54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33.54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33.54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33.54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33.54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751"/>
        <w:gridCol w:w="2344"/>
        <w:gridCol w:w="1903"/>
        <w:gridCol w:w="1898"/>
        <w:gridCol w:w="1923"/>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643" w:firstLineChars="200"/>
              <w:jc w:val="both"/>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高楠镇退役军人服务站</w:t>
            </w:r>
          </w:p>
        </w:tc>
        <w:tc>
          <w:tcPr>
            <w:tcW w:w="107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33.54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33.54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2013699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3.79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3.79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2.53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2.53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1.26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1.26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26.32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26.32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2082850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26.32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26.32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1.34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1.34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1.89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1.89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1.89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1.89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1.89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1.89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adjustRightInd/>
        <w:snapToGrid/>
        <w:spacing w:line="560" w:lineRule="exact"/>
        <w:ind w:left="0" w:right="0" w:rightChars="0" w:firstLine="420" w:firstLineChars="200"/>
        <w:jc w:val="both"/>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462"/>
        <w:gridCol w:w="1617"/>
        <w:gridCol w:w="887"/>
        <w:gridCol w:w="502"/>
        <w:gridCol w:w="1169"/>
        <w:gridCol w:w="816"/>
        <w:gridCol w:w="502"/>
        <w:gridCol w:w="1993"/>
        <w:gridCol w:w="859"/>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643" w:firstLineChars="200"/>
              <w:jc w:val="both"/>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高楠镇退役军人服务站</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33.39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8.04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16.41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1.89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hint="default" w:ascii="Times New Roman" w:hAnsi="Times New Roman"/>
                <w:color w:val="000000"/>
                <w:sz w:val="18"/>
                <w:szCs w:val="18"/>
              </w:rPr>
              <w:t>33.39</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760"/>
        <w:gridCol w:w="2069"/>
        <w:gridCol w:w="979"/>
        <w:gridCol w:w="979"/>
        <w:gridCol w:w="979"/>
        <w:gridCol w:w="979"/>
        <w:gridCol w:w="1016"/>
        <w:gridCol w:w="1058"/>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643" w:firstLineChars="200"/>
              <w:jc w:val="both"/>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高楠镇退役军人服务站</w:t>
            </w: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adjustRightInd/>
        <w:snapToGrid/>
        <w:spacing w:line="560" w:lineRule="exact"/>
        <w:ind w:left="0" w:right="0" w:rightChars="0" w:firstLine="420" w:firstLineChars="200"/>
        <w:jc w:val="both"/>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744"/>
        <w:gridCol w:w="2081"/>
        <w:gridCol w:w="1884"/>
        <w:gridCol w:w="109"/>
        <w:gridCol w:w="1993"/>
        <w:gridCol w:w="49"/>
        <w:gridCol w:w="1958"/>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643" w:firstLineChars="200"/>
              <w:jc w:val="both"/>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高楠镇退役军人服务站</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adjustRightInd/>
        <w:snapToGrid/>
        <w:spacing w:line="560" w:lineRule="exact"/>
        <w:ind w:left="0" w:right="0" w:rightChars="0" w:firstLine="420" w:firstLineChars="200"/>
        <w:jc w:val="both"/>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1830"/>
        <w:gridCol w:w="1391"/>
        <w:gridCol w:w="1367"/>
        <w:gridCol w:w="2115"/>
        <w:gridCol w:w="1431"/>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643" w:firstLineChars="200"/>
              <w:jc w:val="both"/>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高楠镇退役军人服务站</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0" w:firstLineChars="200"/>
              <w:jc w:val="both"/>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0" w:firstLineChars="200"/>
              <w:jc w:val="both"/>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0" w:firstLineChars="200"/>
              <w:jc w:val="both"/>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0" w:firstLineChars="200"/>
              <w:jc w:val="both"/>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0" w:firstLineChars="200"/>
              <w:jc w:val="both"/>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0" w:firstLineChars="200"/>
              <w:jc w:val="both"/>
              <w:rPr>
                <w:rFonts w:hint="default" w:cs="宋体"/>
                <w:color w:val="000000"/>
                <w:sz w:val="16"/>
                <w:szCs w:val="16"/>
              </w:rPr>
            </w:pPr>
          </w:p>
        </w:tc>
      </w:tr>
    </w:tbl>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3" w:type="default"/>
      <w:footerReference r:id="rId4" w:type="default"/>
      <w:pgSz w:w="11850" w:h="16783"/>
      <w:pgMar w:top="2098" w:right="1474" w:bottom="1984" w:left="158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DF861F"/>
    <w:multiLevelType w:val="singleLevel"/>
    <w:tmpl w:val="E5DF861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M1ODFiMzQwMzZiYWJiNWQ2NjZjMmNjOGZjMjEzZjA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8F2490C"/>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BB7C016"/>
    <w:rsid w:val="3C566AD6"/>
    <w:rsid w:val="3C594871"/>
    <w:rsid w:val="3C6A5B02"/>
    <w:rsid w:val="3D083B3A"/>
    <w:rsid w:val="3D2757A1"/>
    <w:rsid w:val="3D3D4FC4"/>
    <w:rsid w:val="3DDF3AB1"/>
    <w:rsid w:val="3DF79CB4"/>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AF1C32"/>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8E7F8FD4"/>
    <w:rsid w:val="EDEFE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footnote text"/>
    <w:basedOn w:val="1"/>
    <w:next w:val="3"/>
    <w:autoRedefine/>
    <w:semiHidden/>
    <w:qFormat/>
    <w:uiPriority w:val="0"/>
    <w:pPr>
      <w:snapToGrid w:val="0"/>
      <w:jc w:val="left"/>
    </w:pPr>
    <w:rPr>
      <w:sz w:val="18"/>
      <w:szCs w:val="18"/>
    </w:rPr>
  </w:style>
  <w:style w:type="paragraph" w:styleId="3">
    <w:name w:val="Body Text First Indent 2"/>
    <w:basedOn w:val="4"/>
    <w:next w:val="1"/>
    <w:autoRedefine/>
    <w:unhideWhenUsed/>
    <w:qFormat/>
    <w:uiPriority w:val="99"/>
    <w:pPr>
      <w:ind w:firstLine="420" w:firstLineChars="200"/>
    </w:pPr>
  </w:style>
  <w:style w:type="paragraph" w:styleId="4">
    <w:name w:val="Body Text Indent"/>
    <w:basedOn w:val="1"/>
    <w:next w:val="3"/>
    <w:autoRedefine/>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autoRedefine/>
    <w:qFormat/>
    <w:uiPriority w:val="0"/>
    <w:rPr>
      <w:sz w:val="18"/>
      <w:szCs w:val="18"/>
    </w:rPr>
  </w:style>
  <w:style w:type="paragraph" w:styleId="6">
    <w:name w:val="footer"/>
    <w:basedOn w:val="1"/>
    <w:autoRedefine/>
    <w:qFormat/>
    <w:uiPriority w:val="0"/>
    <w:pPr>
      <w:tabs>
        <w:tab w:val="center" w:pos="4153"/>
        <w:tab w:val="right" w:pos="8306"/>
      </w:tabs>
      <w:snapToGrid w:val="0"/>
    </w:pPr>
    <w:rPr>
      <w:sz w:val="18"/>
      <w:szCs w:val="18"/>
    </w:rPr>
  </w:style>
  <w:style w:type="paragraph" w:styleId="7">
    <w:name w:val="header"/>
    <w:basedOn w:val="1"/>
    <w:autoRedefine/>
    <w:qFormat/>
    <w:uiPriority w:val="0"/>
    <w:pPr>
      <w:tabs>
        <w:tab w:val="center" w:pos="4153"/>
        <w:tab w:val="right" w:pos="8306"/>
      </w:tabs>
      <w:snapToGrid w:val="0"/>
      <w:jc w:val="center"/>
    </w:pPr>
    <w:rPr>
      <w:sz w:val="18"/>
      <w:szCs w:val="18"/>
    </w:rPr>
  </w:style>
  <w:style w:type="paragraph" w:styleId="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autoRedefine/>
    <w:unhideWhenUsed/>
    <w:qFormat/>
    <w:uiPriority w:val="0"/>
    <w:pPr>
      <w:spacing w:before="100" w:beforeAutospacing="1" w:after="100" w:afterAutospacing="1"/>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autoRedefine/>
    <w:qFormat/>
    <w:uiPriority w:val="0"/>
    <w:rPr>
      <w:b/>
    </w:rPr>
  </w:style>
  <w:style w:type="paragraph" w:customStyle="1" w:styleId="14">
    <w:name w:val="列出段落1"/>
    <w:basedOn w:val="1"/>
    <w:autoRedefine/>
    <w:qFormat/>
    <w:uiPriority w:val="99"/>
    <w:pPr>
      <w:ind w:firstLine="420" w:firstLineChars="200"/>
    </w:pPr>
    <w:rPr>
      <w:rFonts w:hint="default"/>
    </w:rPr>
  </w:style>
  <w:style w:type="paragraph" w:customStyle="1" w:styleId="15">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autoRedefine/>
    <w:qFormat/>
    <w:uiPriority w:val="0"/>
    <w:rPr>
      <w:rFonts w:hint="default" w:ascii="Wingdings" w:hAnsi="Wingdings" w:cs="Wingdings"/>
      <w:b/>
      <w:bCs/>
    </w:rPr>
  </w:style>
  <w:style w:type="paragraph" w:customStyle="1" w:styleId="17">
    <w:name w:val="列出段落2"/>
    <w:autoRedefine/>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autoRedefine/>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0</TotalTime>
  <ScaleCrop>false</ScaleCrop>
  <LinksUpToDate>false</LinksUpToDate>
  <CharactersWithSpaces>26313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1+</cp:lastModifiedBy>
  <dcterms:modified xsi:type="dcterms:W3CDTF">2025-09-25T08:05:16Z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BB46EABDBB2749749395447164B066B3_12</vt:lpwstr>
  </property>
</Properties>
</file>