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right="0" w:rightChars="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重庆市城口县高楠镇农业服务中心</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right="0" w:rightChars="0"/>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880" w:firstLineChars="200"/>
        <w:jc w:val="both"/>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一、</w:t>
      </w:r>
      <w:r>
        <w:rPr>
          <w:rStyle w:val="13"/>
          <w:rFonts w:hint="eastAsia" w:ascii="方正黑体_GBK" w:hAnsi="方正黑体_GBK" w:eastAsia="方正黑体_GBK" w:cs="方正黑体_GBK"/>
          <w:sz w:val="32"/>
          <w:szCs w:val="32"/>
          <w:shd w:val="clear" w:color="auto" w:fill="FFFFFF"/>
          <w:lang w:eastAsia="zh-CN"/>
        </w:rPr>
        <w:t>部门</w:t>
      </w:r>
      <w:r>
        <w:rPr>
          <w:rStyle w:val="13"/>
          <w:rFonts w:hint="eastAsia" w:ascii="方正黑体_GBK" w:hAnsi="方正黑体_GBK" w:eastAsia="方正黑体_GBK" w:cs="方正黑体_GBK"/>
          <w:sz w:val="32"/>
          <w:szCs w:val="32"/>
          <w:shd w:val="clear" w:color="auto" w:fill="FFFFFF"/>
        </w:rPr>
        <w:t>基本情况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40" w:firstLineChars="200"/>
        <w:jc w:val="both"/>
        <w:textAlignment w:val="auto"/>
        <w:rPr>
          <w:sz w:val="32"/>
          <w:szCs w:val="32"/>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高楠镇农业服务中心是高楠镇人民政府所属公益一类事业单位。其主要职能职责有：农业服务中心主要负责农业、畜牧、林业、水利、资源环境保护、渔政等工作。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default"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二、</w:t>
      </w:r>
      <w:r>
        <w:rPr>
          <w:rStyle w:val="13"/>
          <w:rFonts w:hint="eastAsia" w:ascii="方正黑体_GBK" w:hAnsi="方正黑体_GBK" w:eastAsia="方正黑体_GBK" w:cs="方正黑体_GBK"/>
          <w:sz w:val="32"/>
          <w:szCs w:val="32"/>
          <w:shd w:val="clear" w:color="auto" w:fill="FFFFFF"/>
          <w:lang w:eastAsia="zh-CN"/>
        </w:rPr>
        <w:t>部门</w:t>
      </w:r>
      <w:r>
        <w:rPr>
          <w:rStyle w:val="13"/>
          <w:rFonts w:hint="eastAsia" w:ascii="方正黑体_GBK" w:hAnsi="方正黑体_GBK" w:eastAsia="方正黑体_GBK" w:cs="方正黑体_GBK"/>
          <w:sz w:val="32"/>
          <w:szCs w:val="32"/>
          <w:shd w:val="clear" w:color="auto" w:fill="FFFFFF"/>
        </w:rPr>
        <w:t>决算</w:t>
      </w:r>
      <w:r>
        <w:rPr>
          <w:rStyle w:val="13"/>
          <w:rFonts w:hint="eastAsia" w:ascii="方正黑体_GBK" w:hAnsi="方正黑体_GBK" w:eastAsia="方正黑体_GBK" w:cs="方正黑体_GBK"/>
          <w:sz w:val="32"/>
          <w:szCs w:val="32"/>
          <w:shd w:val="clear" w:color="auto" w:fill="FFFFFF"/>
          <w:lang w:eastAsia="zh-CN"/>
        </w:rPr>
        <w:t>收支</w:t>
      </w:r>
      <w:r>
        <w:rPr>
          <w:rStyle w:val="13"/>
          <w:rFonts w:hint="eastAsia" w:ascii="方正黑体_GBK" w:hAnsi="方正黑体_GBK" w:eastAsia="方正黑体_GBK" w:cs="方正黑体_GBK"/>
          <w:sz w:val="32"/>
          <w:szCs w:val="32"/>
          <w:shd w:val="clear" w:color="auto" w:fill="FFFFFF"/>
        </w:rPr>
        <w:t>情况说明</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（一）收入支出决算总体情况说明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年度收入总计</w:t>
      </w:r>
      <w:r>
        <w:rPr>
          <w:rFonts w:hint="eastAsia" w:ascii="Times New Roman" w:hAnsi="Times New Roman" w:eastAsia="方正仿宋_GBK" w:cs="Times New Roman"/>
          <w:i w:val="0"/>
          <w:iCs w:val="0"/>
          <w:caps w:val="0"/>
          <w:color w:val="333333"/>
          <w:spacing w:val="0"/>
          <w:sz w:val="32"/>
          <w:szCs w:val="32"/>
          <w:shd w:val="clear" w:fill="FFFFFF"/>
          <w:lang w:val="en-US" w:eastAsia="zh-CN"/>
        </w:rPr>
        <w:t>117.77</w:t>
      </w:r>
      <w:r>
        <w:rPr>
          <w:rFonts w:hint="eastAsia" w:ascii="方正仿宋_GBK" w:hAnsi="方正仿宋_GBK" w:eastAsia="方正仿宋_GBK" w:cs="方正仿宋_GBK"/>
          <w:i w:val="0"/>
          <w:iCs w:val="0"/>
          <w:caps w:val="0"/>
          <w:color w:val="333333"/>
          <w:spacing w:val="0"/>
          <w:sz w:val="32"/>
          <w:szCs w:val="32"/>
          <w:shd w:val="clear" w:fill="FFFFFF"/>
        </w:rPr>
        <w:t>万元，支出总计</w:t>
      </w:r>
      <w:r>
        <w:rPr>
          <w:rFonts w:hint="eastAsia" w:ascii="Times New Roman" w:hAnsi="Times New Roman" w:eastAsia="方正仿宋_GBK" w:cs="Times New Roman"/>
          <w:i w:val="0"/>
          <w:iCs w:val="0"/>
          <w:caps w:val="0"/>
          <w:color w:val="333333"/>
          <w:spacing w:val="0"/>
          <w:sz w:val="32"/>
          <w:szCs w:val="32"/>
          <w:shd w:val="clear" w:fill="FFFFFF"/>
          <w:lang w:val="en-US" w:eastAsia="zh-CN"/>
        </w:rPr>
        <w:t>117.77</w:t>
      </w:r>
      <w:r>
        <w:rPr>
          <w:rFonts w:hint="eastAsia" w:ascii="方正仿宋_GBK" w:hAnsi="方正仿宋_GBK" w:eastAsia="方正仿宋_GBK" w:cs="方正仿宋_GBK"/>
          <w:i w:val="0"/>
          <w:iCs w:val="0"/>
          <w:caps w:val="0"/>
          <w:color w:val="333333"/>
          <w:spacing w:val="0"/>
          <w:sz w:val="32"/>
          <w:szCs w:val="32"/>
          <w:shd w:val="clear" w:fill="FFFFFF"/>
        </w:rPr>
        <w:t>万元。收支较上年决算数增加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117.77</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年农业服务中心未单独进行财务核算及决算处理，纳入政府核算及决算。 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（二）一般公共预算财政拨款支出决算情况说明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43" w:firstLineChars="200"/>
        <w:jc w:val="both"/>
        <w:textAlignment w:val="auto"/>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1.</w:t>
      </w:r>
      <w:r>
        <w:rPr>
          <w:rStyle w:val="13"/>
          <w:rFonts w:hint="eastAsia" w:ascii="方正仿宋_GBK" w:hAnsi="方正仿宋_GBK" w:eastAsia="方正仿宋_GBK" w:cs="方正仿宋_GBK"/>
          <w:i w:val="0"/>
          <w:iCs w:val="0"/>
          <w:caps w:val="0"/>
          <w:color w:val="333333"/>
          <w:spacing w:val="0"/>
          <w:sz w:val="32"/>
          <w:szCs w:val="32"/>
          <w:shd w:val="clear" w:fill="FFFFFF"/>
        </w:rPr>
        <w:t>收入情况。</w:t>
      </w: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年度财政拨款收入</w:t>
      </w:r>
      <w:r>
        <w:rPr>
          <w:rFonts w:hint="eastAsia" w:ascii="Times New Roman" w:hAnsi="Times New Roman" w:eastAsia="方正仿宋_GBK" w:cs="Times New Roman"/>
          <w:i w:val="0"/>
          <w:iCs w:val="0"/>
          <w:caps w:val="0"/>
          <w:color w:val="333333"/>
          <w:spacing w:val="0"/>
          <w:sz w:val="32"/>
          <w:szCs w:val="32"/>
          <w:shd w:val="clear" w:fill="FFFFFF"/>
          <w:lang w:val="en-US" w:eastAsia="zh-CN"/>
        </w:rPr>
        <w:t>117.77</w:t>
      </w:r>
      <w:r>
        <w:rPr>
          <w:rFonts w:hint="eastAsia" w:ascii="方正仿宋_GBK" w:hAnsi="方正仿宋_GBK" w:eastAsia="方正仿宋_GBK" w:cs="方正仿宋_GBK"/>
          <w:i w:val="0"/>
          <w:iCs w:val="0"/>
          <w:caps w:val="0"/>
          <w:color w:val="333333"/>
          <w:spacing w:val="0"/>
          <w:sz w:val="32"/>
          <w:szCs w:val="32"/>
          <w:shd w:val="clear" w:fill="FFFFFF"/>
        </w:rPr>
        <w:t>万元，较上年决算数增加</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117</w:t>
      </w:r>
      <w:r>
        <w:rPr>
          <w:rFonts w:hint="eastAsia" w:ascii="Times New Roman" w:hAnsi="Times New Roman" w:eastAsia="方正仿宋_GBK" w:cs="Times New Roman"/>
          <w:i w:val="0"/>
          <w:iCs w:val="0"/>
          <w:caps w:val="0"/>
          <w:color w:val="333333"/>
          <w:spacing w:val="0"/>
          <w:sz w:val="32"/>
          <w:szCs w:val="32"/>
          <w:shd w:val="clear" w:fill="FFFFFF"/>
          <w:lang w:val="en-US" w:eastAsia="zh-CN"/>
        </w:rPr>
        <w:t>.77</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年农业服务中心未单独进行财务核算及决算处理，纳入政府核算及决算。较年初预算数增加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117.77</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。主要原因是年中从政府（本级）调整预算到农业服务中心。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3" w:firstLineChars="200"/>
        <w:jc w:val="both"/>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2.</w:t>
      </w:r>
      <w:r>
        <w:rPr>
          <w:rStyle w:val="13"/>
          <w:rFonts w:hint="eastAsia" w:ascii="方正仿宋_GBK" w:hAnsi="方正仿宋_GBK" w:eastAsia="方正仿宋_GBK" w:cs="方正仿宋_GBK"/>
          <w:i w:val="0"/>
          <w:iCs w:val="0"/>
          <w:caps w:val="0"/>
          <w:color w:val="333333"/>
          <w:spacing w:val="0"/>
          <w:sz w:val="32"/>
          <w:szCs w:val="32"/>
          <w:shd w:val="clear" w:fill="FFFFFF"/>
        </w:rPr>
        <w:t>支出情况。</w:t>
      </w: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年度财政拨款支出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117.77</w:t>
      </w:r>
      <w:r>
        <w:rPr>
          <w:rFonts w:hint="eastAsia" w:ascii="方正仿宋_GBK" w:hAnsi="方正仿宋_GBK" w:eastAsia="方正仿宋_GBK" w:cs="方正仿宋_GBK"/>
          <w:i w:val="0"/>
          <w:iCs w:val="0"/>
          <w:caps w:val="0"/>
          <w:color w:val="333333"/>
          <w:spacing w:val="0"/>
          <w:sz w:val="32"/>
          <w:szCs w:val="32"/>
          <w:shd w:val="clear" w:fill="FFFFFF"/>
        </w:rPr>
        <w:t>万元，较上年决算数增加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117.77</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年农业服务中心未单独进行财务核算及决算处理，纳入政府核算及决算。较年初预算数增加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117.77</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。主要原因是年中从政府（本级）调整预算到农业服务中心。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3" w:firstLineChars="200"/>
        <w:jc w:val="both"/>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3.</w:t>
      </w:r>
      <w:r>
        <w:rPr>
          <w:rStyle w:val="13"/>
          <w:rFonts w:hint="eastAsia" w:ascii="方正仿宋_GBK" w:hAnsi="方正仿宋_GBK" w:eastAsia="方正仿宋_GBK" w:cs="方正仿宋_GBK"/>
          <w:i w:val="0"/>
          <w:iCs w:val="0"/>
          <w:caps w:val="0"/>
          <w:color w:val="333333"/>
          <w:spacing w:val="0"/>
          <w:sz w:val="32"/>
          <w:szCs w:val="32"/>
          <w:shd w:val="clear" w:fill="FFFFFF"/>
        </w:rPr>
        <w:t>结转结余情况。</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年年末结余结转情况：年末一般公共预算资金结余结转为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万元，政府性基金结余结转为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万元，较上年决算数无增减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3" w:firstLineChars="200"/>
        <w:jc w:val="both"/>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4.</w:t>
      </w:r>
      <w:r>
        <w:rPr>
          <w:rStyle w:val="13"/>
          <w:rFonts w:hint="eastAsia" w:ascii="方正仿宋_GBK" w:hAnsi="方正仿宋_GBK" w:eastAsia="方正仿宋_GBK" w:cs="方正仿宋_GBK"/>
          <w:i w:val="0"/>
          <w:iCs w:val="0"/>
          <w:caps w:val="0"/>
          <w:color w:val="333333"/>
          <w:spacing w:val="0"/>
          <w:sz w:val="32"/>
          <w:szCs w:val="32"/>
          <w:shd w:val="clear" w:fill="FFFFFF"/>
        </w:rPr>
        <w:t>比较情况。</w:t>
      </w: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年度财政拨款支出主要用于以下几个方面：</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）一般公共服务支出</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Times New Roman" w:hAnsi="Times New Roman" w:eastAsia="方正仿宋_GBK" w:cs="Times New Roman"/>
          <w:i w:val="0"/>
          <w:iCs w:val="0"/>
          <w:caps w:val="0"/>
          <w:color w:val="333333"/>
          <w:spacing w:val="0"/>
          <w:sz w:val="32"/>
          <w:szCs w:val="32"/>
          <w:shd w:val="clear" w:fill="FFFFFF"/>
          <w:lang w:val="en-US" w:eastAsia="zh-CN"/>
        </w:rPr>
        <w:t>41</w:t>
      </w:r>
      <w:r>
        <w:rPr>
          <w:rFonts w:hint="eastAsia" w:ascii="方正仿宋_GBK" w:hAnsi="方正仿宋_GBK" w:eastAsia="方正仿宋_GBK" w:cs="方正仿宋_GBK"/>
          <w:i w:val="0"/>
          <w:iCs w:val="0"/>
          <w:caps w:val="0"/>
          <w:color w:val="333333"/>
          <w:spacing w:val="0"/>
          <w:sz w:val="32"/>
          <w:szCs w:val="32"/>
          <w:shd w:val="clear" w:fill="FFFFFF"/>
        </w:rPr>
        <w:t>万元，占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Times New Roman" w:hAnsi="Times New Roman" w:eastAsia="方正仿宋_GBK" w:cs="Times New Roman"/>
          <w:i w:val="0"/>
          <w:iCs w:val="0"/>
          <w:caps w:val="0"/>
          <w:color w:val="333333"/>
          <w:spacing w:val="0"/>
          <w:sz w:val="32"/>
          <w:szCs w:val="32"/>
          <w:shd w:val="clear" w:fill="FFFFFF"/>
          <w:lang w:val="en-US" w:eastAsia="zh-CN"/>
        </w:rPr>
        <w:t>34</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0.41</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，主要原因是年中从政府（本级）调整预算到农业服务中心。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）社会保障与就业支出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12.93</w:t>
      </w:r>
      <w:r>
        <w:rPr>
          <w:rFonts w:hint="eastAsia" w:ascii="方正仿宋_GBK" w:hAnsi="方正仿宋_GBK" w:eastAsia="方正仿宋_GBK" w:cs="方正仿宋_GBK"/>
          <w:i w:val="0"/>
          <w:iCs w:val="0"/>
          <w:caps w:val="0"/>
          <w:color w:val="333333"/>
          <w:spacing w:val="0"/>
          <w:sz w:val="32"/>
          <w:szCs w:val="32"/>
          <w:shd w:val="clear" w:fill="FFFFFF"/>
        </w:rPr>
        <w:t>万元，占</w:t>
      </w:r>
      <w:r>
        <w:rPr>
          <w:rFonts w:hint="eastAsia" w:ascii="Times New Roman" w:hAnsi="Times New Roman" w:eastAsia="方正仿宋_GBK" w:cs="Times New Roman"/>
          <w:i w:val="0"/>
          <w:iCs w:val="0"/>
          <w:caps w:val="0"/>
          <w:color w:val="333333"/>
          <w:spacing w:val="0"/>
          <w:sz w:val="32"/>
          <w:szCs w:val="32"/>
          <w:shd w:val="clear" w:fill="FFFFFF"/>
          <w:lang w:val="en-US" w:eastAsia="zh-CN"/>
        </w:rPr>
        <w:t>10.97</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12.93</w:t>
      </w:r>
      <w:r>
        <w:rPr>
          <w:rFonts w:hint="eastAsia" w:ascii="方正仿宋_GBK" w:hAnsi="方正仿宋_GBK" w:eastAsia="方正仿宋_GBK" w:cs="方正仿宋_GBK"/>
          <w:i w:val="0"/>
          <w:iCs w:val="0"/>
          <w:caps w:val="0"/>
          <w:color w:val="333333"/>
          <w:spacing w:val="0"/>
          <w:sz w:val="32"/>
          <w:szCs w:val="32"/>
          <w:shd w:val="clear" w:fill="FFFFFF"/>
        </w:rPr>
        <w:t>万元，增加</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，主要原因是年中从政府（本级）调整预算到农业服务中心。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）卫生健康支出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4.74</w:t>
      </w:r>
      <w:r>
        <w:rPr>
          <w:rFonts w:hint="eastAsia" w:ascii="方正仿宋_GBK" w:hAnsi="方正仿宋_GBK" w:eastAsia="方正仿宋_GBK" w:cs="方正仿宋_GBK"/>
          <w:i w:val="0"/>
          <w:iCs w:val="0"/>
          <w:caps w:val="0"/>
          <w:color w:val="333333"/>
          <w:spacing w:val="0"/>
          <w:sz w:val="32"/>
          <w:szCs w:val="32"/>
          <w:shd w:val="clear" w:fill="FFFFFF"/>
        </w:rPr>
        <w:t>万元，占</w:t>
      </w:r>
      <w:r>
        <w:rPr>
          <w:rFonts w:hint="default" w:ascii="Times New Roman" w:hAnsi="Times New Roman" w:eastAsia="方正仿宋_GBK" w:cs="Times New Roman"/>
          <w:i w:val="0"/>
          <w:iCs w:val="0"/>
          <w:caps w:val="0"/>
          <w:color w:val="333333"/>
          <w:spacing w:val="0"/>
          <w:sz w:val="32"/>
          <w:szCs w:val="32"/>
          <w:shd w:val="clear" w:fill="FFFFFF"/>
        </w:rPr>
        <w:t>4.</w:t>
      </w:r>
      <w:r>
        <w:rPr>
          <w:rFonts w:hint="eastAsia" w:ascii="Times New Roman" w:hAnsi="Times New Roman" w:eastAsia="方正仿宋_GBK" w:cs="Times New Roman"/>
          <w:i w:val="0"/>
          <w:iCs w:val="0"/>
          <w:caps w:val="0"/>
          <w:color w:val="333333"/>
          <w:spacing w:val="0"/>
          <w:sz w:val="32"/>
          <w:szCs w:val="32"/>
          <w:shd w:val="clear" w:fill="FFFFFF"/>
          <w:lang w:val="en-US" w:eastAsia="zh-CN"/>
        </w:rPr>
        <w:t>02</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4.74</w:t>
      </w:r>
      <w:r>
        <w:rPr>
          <w:rFonts w:hint="eastAsia" w:ascii="方正仿宋_GBK" w:hAnsi="方正仿宋_GBK" w:eastAsia="方正仿宋_GBK" w:cs="方正仿宋_GBK"/>
          <w:i w:val="0"/>
          <w:iCs w:val="0"/>
          <w:caps w:val="0"/>
          <w:color w:val="333333"/>
          <w:spacing w:val="0"/>
          <w:sz w:val="32"/>
          <w:szCs w:val="32"/>
          <w:shd w:val="clear" w:fill="FFFFFF"/>
        </w:rPr>
        <w:t>万元。增加</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。主要原因是年中从政府（本级）调整预算到农业服务中心。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4</w:t>
      </w:r>
      <w:r>
        <w:rPr>
          <w:rFonts w:hint="eastAsia" w:ascii="方正仿宋_GBK" w:hAnsi="方正仿宋_GBK" w:eastAsia="方正仿宋_GBK" w:cs="方正仿宋_GBK"/>
          <w:i w:val="0"/>
          <w:iCs w:val="0"/>
          <w:caps w:val="0"/>
          <w:color w:val="333333"/>
          <w:spacing w:val="0"/>
          <w:sz w:val="32"/>
          <w:szCs w:val="32"/>
          <w:shd w:val="clear" w:fill="FFFFFF"/>
        </w:rPr>
        <w:t>）农林水支出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93.23</w:t>
      </w:r>
      <w:r>
        <w:rPr>
          <w:rFonts w:hint="eastAsia" w:ascii="方正仿宋_GBK" w:hAnsi="方正仿宋_GBK" w:eastAsia="方正仿宋_GBK" w:cs="方正仿宋_GBK"/>
          <w:i w:val="0"/>
          <w:iCs w:val="0"/>
          <w:caps w:val="0"/>
          <w:color w:val="333333"/>
          <w:spacing w:val="0"/>
          <w:sz w:val="32"/>
          <w:szCs w:val="32"/>
          <w:shd w:val="clear" w:fill="FFFFFF"/>
        </w:rPr>
        <w:t>万元，占</w:t>
      </w:r>
      <w:r>
        <w:rPr>
          <w:rFonts w:hint="eastAsia" w:ascii="Times New Roman" w:hAnsi="Times New Roman" w:eastAsia="方正仿宋_GBK" w:cs="Times New Roman"/>
          <w:i w:val="0"/>
          <w:iCs w:val="0"/>
          <w:caps w:val="0"/>
          <w:color w:val="333333"/>
          <w:spacing w:val="0"/>
          <w:sz w:val="32"/>
          <w:szCs w:val="32"/>
          <w:shd w:val="clear" w:fill="FFFFFF"/>
          <w:lang w:val="en-US" w:eastAsia="zh-CN"/>
        </w:rPr>
        <w:t>79.16</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93.23</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，主要原因是年中从政府（本级）调整预算到农业服务中心。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5</w:t>
      </w:r>
      <w:r>
        <w:rPr>
          <w:rFonts w:hint="eastAsia" w:ascii="方正仿宋_GBK" w:hAnsi="方正仿宋_GBK" w:eastAsia="方正仿宋_GBK" w:cs="方正仿宋_GBK"/>
          <w:i w:val="0"/>
          <w:iCs w:val="0"/>
          <w:caps w:val="0"/>
          <w:color w:val="333333"/>
          <w:spacing w:val="0"/>
          <w:sz w:val="32"/>
          <w:szCs w:val="32"/>
          <w:shd w:val="clear" w:fill="FFFFFF"/>
        </w:rPr>
        <w:t>）住房保障支出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6.46</w:t>
      </w:r>
      <w:r>
        <w:rPr>
          <w:rFonts w:hint="eastAsia" w:ascii="方正仿宋_GBK" w:hAnsi="方正仿宋_GBK" w:eastAsia="方正仿宋_GBK" w:cs="方正仿宋_GBK"/>
          <w:i w:val="0"/>
          <w:iCs w:val="0"/>
          <w:caps w:val="0"/>
          <w:color w:val="333333"/>
          <w:spacing w:val="0"/>
          <w:sz w:val="32"/>
          <w:szCs w:val="32"/>
          <w:shd w:val="clear" w:fill="FFFFFF"/>
        </w:rPr>
        <w:t>万元，占</w:t>
      </w:r>
      <w:r>
        <w:rPr>
          <w:rFonts w:hint="eastAsia" w:ascii="Times New Roman" w:hAnsi="Times New Roman" w:eastAsia="方正仿宋_GBK" w:cs="Times New Roman"/>
          <w:i w:val="0"/>
          <w:iCs w:val="0"/>
          <w:caps w:val="0"/>
          <w:color w:val="333333"/>
          <w:spacing w:val="0"/>
          <w:sz w:val="32"/>
          <w:szCs w:val="32"/>
          <w:shd w:val="clear" w:fill="FFFFFF"/>
          <w:lang w:val="en-US" w:eastAsia="zh-CN"/>
        </w:rPr>
        <w:t>5.48</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6.46</w:t>
      </w:r>
      <w:r>
        <w:rPr>
          <w:rFonts w:hint="eastAsia" w:ascii="方正仿宋_GBK" w:hAnsi="方正仿宋_GBK" w:eastAsia="方正仿宋_GBK" w:cs="方正仿宋_GBK"/>
          <w:i w:val="0"/>
          <w:iCs w:val="0"/>
          <w:caps w:val="0"/>
          <w:color w:val="333333"/>
          <w:spacing w:val="0"/>
          <w:sz w:val="32"/>
          <w:szCs w:val="32"/>
          <w:shd w:val="clear" w:fill="FFFFFF"/>
        </w:rPr>
        <w:t>万元，主要原因是年中从政府（本级）调整预算到农业服务中心。</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（三）财政拨款收入支出决算总体情况说明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收入预算：</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年一般公共预算财政拨款收入</w:t>
      </w:r>
      <w:r>
        <w:rPr>
          <w:rFonts w:hint="eastAsia" w:ascii="Times New Roman" w:hAnsi="Times New Roman" w:eastAsia="方正仿宋_GBK" w:cs="Times New Roman"/>
          <w:i w:val="0"/>
          <w:iCs w:val="0"/>
          <w:caps w:val="0"/>
          <w:color w:val="333333"/>
          <w:spacing w:val="0"/>
          <w:sz w:val="32"/>
          <w:szCs w:val="32"/>
          <w:shd w:val="clear" w:fill="FFFFFF"/>
          <w:lang w:val="en-US" w:eastAsia="zh-CN"/>
        </w:rPr>
        <w:t>117.77</w:t>
      </w:r>
      <w:r>
        <w:rPr>
          <w:rFonts w:hint="eastAsia" w:ascii="方正仿宋_GBK" w:hAnsi="方正仿宋_GBK" w:eastAsia="方正仿宋_GBK" w:cs="方正仿宋_GBK"/>
          <w:i w:val="0"/>
          <w:iCs w:val="0"/>
          <w:caps w:val="0"/>
          <w:color w:val="333333"/>
          <w:spacing w:val="0"/>
          <w:sz w:val="32"/>
          <w:szCs w:val="32"/>
          <w:shd w:val="clear" w:fill="FFFFFF"/>
        </w:rPr>
        <w:t>万元，收入较去年增加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117.77</w:t>
      </w:r>
      <w:r>
        <w:rPr>
          <w:rFonts w:hint="eastAsia" w:ascii="方正仿宋_GBK" w:hAnsi="方正仿宋_GBK" w:eastAsia="方正仿宋_GBK" w:cs="方正仿宋_GBK"/>
          <w:i w:val="0"/>
          <w:iCs w:val="0"/>
          <w:caps w:val="0"/>
          <w:color w:val="333333"/>
          <w:spacing w:val="0"/>
          <w:sz w:val="32"/>
          <w:szCs w:val="32"/>
          <w:shd w:val="clear" w:fill="FFFFFF"/>
        </w:rPr>
        <w:t>万元，主要原因是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年农业服务中心未单独进行财务核算及决算处理，纳入政府核算及决算。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支出预算：</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年一般公共预算财政拨款支出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117.77</w:t>
      </w:r>
      <w:r>
        <w:rPr>
          <w:rFonts w:hint="eastAsia" w:ascii="方正仿宋_GBK" w:hAnsi="方正仿宋_GBK" w:eastAsia="方正仿宋_GBK" w:cs="方正仿宋_GBK"/>
          <w:i w:val="0"/>
          <w:iCs w:val="0"/>
          <w:caps w:val="0"/>
          <w:color w:val="333333"/>
          <w:spacing w:val="0"/>
          <w:sz w:val="32"/>
          <w:szCs w:val="32"/>
          <w:shd w:val="clear" w:fill="FFFFFF"/>
        </w:rPr>
        <w:t>万元，支出较去年增加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117.77</w:t>
      </w:r>
      <w:r>
        <w:rPr>
          <w:rFonts w:hint="eastAsia" w:ascii="方正仿宋_GBK" w:hAnsi="方正仿宋_GBK" w:eastAsia="方正仿宋_GBK" w:cs="方正仿宋_GBK"/>
          <w:i w:val="0"/>
          <w:iCs w:val="0"/>
          <w:caps w:val="0"/>
          <w:color w:val="333333"/>
          <w:spacing w:val="0"/>
          <w:sz w:val="32"/>
          <w:szCs w:val="32"/>
          <w:shd w:val="clear" w:fill="FFFFFF"/>
        </w:rPr>
        <w:t>万元，主要原因是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年农业服务中心未单独</w:t>
      </w:r>
      <w:r>
        <w:rPr>
          <w:rFonts w:hint="eastAsia" w:ascii="Times New Roman" w:hAnsi="Times New Roman" w:eastAsia="方正仿宋_GBK" w:cs="Times New Roman"/>
          <w:i w:val="0"/>
          <w:iCs w:val="0"/>
          <w:caps w:val="0"/>
          <w:color w:val="333333"/>
          <w:spacing w:val="0"/>
          <w:sz w:val="32"/>
          <w:szCs w:val="32"/>
          <w:shd w:val="clear" w:fill="FFFFFF"/>
        </w:rPr>
        <w:t>进</w:t>
      </w:r>
      <w:r>
        <w:rPr>
          <w:rFonts w:hint="eastAsia" w:ascii="方正仿宋_GBK" w:hAnsi="方正仿宋_GBK" w:eastAsia="方正仿宋_GBK" w:cs="方正仿宋_GBK"/>
          <w:i w:val="0"/>
          <w:iCs w:val="0"/>
          <w:caps w:val="0"/>
          <w:color w:val="333333"/>
          <w:spacing w:val="0"/>
          <w:sz w:val="32"/>
          <w:szCs w:val="32"/>
          <w:shd w:val="clear" w:fill="FFFFFF"/>
        </w:rPr>
        <w:t>行财务核算及决算处理，纳入政府核算及决算。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（四）一般公共预算财政拨款基本支出决算情况说明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Times New Roman" w:hAnsi="Times New Roman" w:eastAsia="方正仿宋_GBK" w:cs="Times New Roman"/>
          <w:i w:val="0"/>
          <w:iCs w:val="0"/>
          <w:caps w:val="0"/>
          <w:color w:val="333333"/>
          <w:spacing w:val="0"/>
          <w:sz w:val="32"/>
          <w:szCs w:val="32"/>
          <w:shd w:val="clear" w:fill="FFFFFF"/>
        </w:rPr>
      </w:pPr>
      <w:r>
        <w:rPr>
          <w:rFonts w:hint="default" w:ascii="方正仿宋_GBK" w:hAnsi="方正仿宋_GBK" w:eastAsia="方正仿宋_GBK" w:cs="方正仿宋_GBK"/>
          <w:i w:val="0"/>
          <w:iCs w:val="0"/>
          <w:caps w:val="0"/>
          <w:color w:val="333333"/>
          <w:spacing w:val="0"/>
          <w:sz w:val="32"/>
          <w:szCs w:val="32"/>
          <w:shd w:val="clear" w:fill="FFFFFF"/>
        </w:rPr>
        <w:t> </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Times New Roman" w:hAnsi="Times New Roman" w:eastAsia="方正仿宋_GBK" w:cs="Times New Roman"/>
          <w:i w:val="0"/>
          <w:iCs w:val="0"/>
          <w:caps w:val="0"/>
          <w:color w:val="333333"/>
          <w:spacing w:val="0"/>
          <w:sz w:val="32"/>
          <w:szCs w:val="32"/>
          <w:shd w:val="clear" w:fill="FFFFFF"/>
        </w:rPr>
        <w:t>年度一般公共财政拨款基本支出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117.77</w:t>
      </w:r>
      <w:r>
        <w:rPr>
          <w:rFonts w:hint="eastAsia" w:ascii="Times New Roman" w:hAnsi="Times New Roman" w:eastAsia="方正仿宋_GBK" w:cs="Times New Roman"/>
          <w:i w:val="0"/>
          <w:iCs w:val="0"/>
          <w:caps w:val="0"/>
          <w:color w:val="333333"/>
          <w:spacing w:val="0"/>
          <w:sz w:val="32"/>
          <w:szCs w:val="32"/>
          <w:shd w:val="clear" w:fill="FFFFFF"/>
        </w:rPr>
        <w:t>万元。其中：人员经费</w:t>
      </w:r>
      <w:r>
        <w:rPr>
          <w:rFonts w:hint="eastAsia" w:ascii="Times New Roman" w:hAnsi="Times New Roman" w:eastAsia="方正仿宋_GBK" w:cs="Times New Roman"/>
          <w:i w:val="0"/>
          <w:iCs w:val="0"/>
          <w:caps w:val="0"/>
          <w:color w:val="333333"/>
          <w:spacing w:val="0"/>
          <w:sz w:val="32"/>
          <w:szCs w:val="32"/>
          <w:shd w:val="clear" w:fill="FFFFFF"/>
          <w:lang w:val="en-US" w:eastAsia="zh-CN"/>
        </w:rPr>
        <w:t>117.36</w:t>
      </w:r>
      <w:r>
        <w:rPr>
          <w:rFonts w:hint="eastAsia" w:ascii="Times New Roman" w:hAnsi="Times New Roman" w:eastAsia="方正仿宋_GBK" w:cs="Times New Roman"/>
          <w:i w:val="0"/>
          <w:iCs w:val="0"/>
          <w:caps w:val="0"/>
          <w:color w:val="333333"/>
          <w:spacing w:val="0"/>
          <w:sz w:val="32"/>
          <w:szCs w:val="32"/>
          <w:shd w:val="clear" w:fill="FFFFFF"/>
        </w:rPr>
        <w:t>万元，较上年决算数增加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117.36</w:t>
      </w:r>
      <w:r>
        <w:rPr>
          <w:rFonts w:hint="eastAsia" w:ascii="Times New Roman" w:hAnsi="Times New Roman" w:eastAsia="方正仿宋_GBK" w:cs="Times New Roman"/>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100.00%</w:t>
      </w:r>
      <w:r>
        <w:rPr>
          <w:rFonts w:hint="eastAsia" w:ascii="Times New Roman" w:hAnsi="Times New Roman" w:eastAsia="方正仿宋_GBK" w:cs="Times New Roman"/>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Times New Roman" w:hAnsi="Times New Roman" w:eastAsia="方正仿宋_GBK" w:cs="Times New Roman"/>
          <w:i w:val="0"/>
          <w:iCs w:val="0"/>
          <w:caps w:val="0"/>
          <w:color w:val="333333"/>
          <w:spacing w:val="0"/>
          <w:sz w:val="32"/>
          <w:szCs w:val="32"/>
          <w:shd w:val="clear" w:fill="FFFFFF"/>
        </w:rPr>
        <w:t>年农业服务中心未单独进行财务核算及决算处理，纳入政府核算及决算。人员经费用途主要包括基本工资、津贴补贴、奖金、伙食补助费、绩效工资、社会保障缴费及住房公积金等。公用经费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Times New Roman" w:hAnsi="Times New Roman" w:eastAsia="方正仿宋_GBK" w:cs="Times New Roman"/>
          <w:i w:val="0"/>
          <w:iCs w:val="0"/>
          <w:caps w:val="0"/>
          <w:color w:val="333333"/>
          <w:spacing w:val="0"/>
          <w:sz w:val="32"/>
          <w:szCs w:val="32"/>
          <w:shd w:val="clear" w:fill="FFFFFF"/>
          <w:lang w:val="en-US" w:eastAsia="zh-CN"/>
        </w:rPr>
        <w:t>41</w:t>
      </w:r>
      <w:r>
        <w:rPr>
          <w:rFonts w:hint="eastAsia" w:ascii="Times New Roman" w:hAnsi="Times New Roman" w:eastAsia="方正仿宋_GBK" w:cs="Times New Roman"/>
          <w:i w:val="0"/>
          <w:iCs w:val="0"/>
          <w:caps w:val="0"/>
          <w:color w:val="333333"/>
          <w:spacing w:val="0"/>
          <w:sz w:val="32"/>
          <w:szCs w:val="32"/>
          <w:shd w:val="clear" w:fill="FFFFFF"/>
        </w:rPr>
        <w:t>万元，较上年决算数增加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Times New Roman" w:hAnsi="Times New Roman" w:eastAsia="方正仿宋_GBK" w:cs="Times New Roman"/>
          <w:i w:val="0"/>
          <w:iCs w:val="0"/>
          <w:caps w:val="0"/>
          <w:color w:val="333333"/>
          <w:spacing w:val="0"/>
          <w:sz w:val="32"/>
          <w:szCs w:val="32"/>
          <w:shd w:val="clear" w:fill="FFFFFF"/>
          <w:lang w:val="en-US" w:eastAsia="zh-CN"/>
        </w:rPr>
        <w:t>41</w:t>
      </w:r>
      <w:r>
        <w:rPr>
          <w:rFonts w:hint="eastAsia" w:ascii="Times New Roman" w:hAnsi="Times New Roman" w:eastAsia="方正仿宋_GBK" w:cs="Times New Roman"/>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100.00%</w:t>
      </w:r>
      <w:r>
        <w:rPr>
          <w:rFonts w:hint="eastAsia" w:ascii="Times New Roman" w:hAnsi="Times New Roman" w:eastAsia="方正仿宋_GBK" w:cs="Times New Roman"/>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Times New Roman" w:hAnsi="Times New Roman" w:eastAsia="方正仿宋_GBK" w:cs="Times New Roman"/>
          <w:i w:val="0"/>
          <w:iCs w:val="0"/>
          <w:caps w:val="0"/>
          <w:color w:val="333333"/>
          <w:spacing w:val="0"/>
          <w:sz w:val="32"/>
          <w:szCs w:val="32"/>
          <w:shd w:val="clear" w:fill="FFFFFF"/>
        </w:rPr>
        <w:t>年农业服务中心未单独进行财务核算及决算处理，纳入政府核算及决算。公用经费用途主要包括办公费、差旅费、劳务费、公务接待费及公务用车运行维护费等。</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（五）政府性基金预算收支决算情况说明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年度无政府性基金预算财政拨款收支。</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default"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三、</w:t>
      </w:r>
      <w:r>
        <w:rPr>
          <w:rStyle w:val="13"/>
          <w:rFonts w:hint="eastAsia" w:ascii="方正黑体_GBK" w:hAnsi="方正黑体_GBK" w:eastAsia="方正黑体_GBK" w:cs="方正黑体_GBK"/>
          <w:sz w:val="32"/>
          <w:szCs w:val="32"/>
          <w:shd w:val="clear" w:color="auto" w:fill="FFFFFF"/>
          <w:lang w:eastAsia="zh-CN"/>
        </w:rPr>
        <w:t>财政拨款</w:t>
      </w:r>
      <w:r>
        <w:rPr>
          <w:rStyle w:val="13"/>
          <w:rFonts w:hint="eastAsia" w:ascii="方正黑体_GBK" w:hAnsi="方正黑体_GBK" w:eastAsia="方正黑体_GBK" w:cs="方正黑体_GBK"/>
          <w:sz w:val="32"/>
          <w:szCs w:val="32"/>
          <w:shd w:val="clear" w:color="auto" w:fill="FFFFFF"/>
        </w:rPr>
        <w:t>“三公”经费情况说明</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（一）“三公”经费支出总体情况说明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年度本单位“三公”经费支出共计</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万元，较年初预算数增加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万元，较上年支出数增加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万元，主要原因是年中从政府（本级）调整预算到下属事业单位，未将“三公”经费支出调整至农业服务中心</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（二）“三公”经费分项支出情况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年度本单位因公出国（境）费用</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万元，费用支出较年初预算数增加</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万元，较上年支出数增加</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万元，主要原因是上年、本年均未安排单位人员出国出访。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公务车购置费</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万元，费用支出较年初预算数增加</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万元，较上年支出数增加</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万元，主要原因是本年度未进行公务车购置。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公务车运行维护费</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主要用于县内因公出行、安全生产监管、乡村振兴、巩固脱贫攻坚成果等工作所需车辆的燃料费、维修费、保险费等。费用支出较年初预算数无增减，较上年支出数无增减。主要原因是公务车运行维护费统一在政府（本级）列支，下属事业单位未单独列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方正仿宋_GBK" w:cs="宋体"/>
          <w:i w:val="0"/>
          <w:iCs w:val="0"/>
          <w:caps w:val="0"/>
          <w:color w:val="333333"/>
          <w:spacing w:val="0"/>
          <w:sz w:val="32"/>
          <w:szCs w:val="32"/>
          <w:lang w:eastAsia="zh-CN"/>
        </w:rPr>
      </w:pPr>
      <w:r>
        <w:rPr>
          <w:rFonts w:hint="eastAsia" w:ascii="方正仿宋_GBK" w:hAnsi="方正仿宋_GBK" w:eastAsia="方正仿宋_GBK" w:cs="方正仿宋_GBK"/>
          <w:i w:val="0"/>
          <w:iCs w:val="0"/>
          <w:caps w:val="0"/>
          <w:color w:val="333333"/>
          <w:spacing w:val="0"/>
          <w:sz w:val="32"/>
          <w:szCs w:val="32"/>
          <w:shd w:val="clear" w:fill="FFFFFF"/>
        </w:rPr>
        <w:t>公务接待费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万元，主要用于接待相关部门检查指导工作发生的接待支出；费用支出与年初预算数持平。主要原因是年中从政府（本级）调整预算到下属事业单位，未将“三公”经费支出调整至农业服务中心</w:t>
      </w:r>
      <w:r>
        <w:rPr>
          <w:rFonts w:hint="eastAsia" w:ascii="方正仿宋_GBK" w:hAnsi="方正仿宋_GBK" w:eastAsia="方正仿宋_GBK" w:cs="方正仿宋_GBK"/>
          <w:i w:val="0"/>
          <w:iCs w:val="0"/>
          <w:caps w:val="0"/>
          <w:color w:val="333333"/>
          <w:spacing w:val="0"/>
          <w:sz w:val="32"/>
          <w:szCs w:val="32"/>
          <w:shd w:val="clear"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（三）“三公”经费实物量情况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年度本单位无因公出国（境）支出；公务用车购置</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辆，公务车保有量为</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辆；国内公务接待</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批次</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人，其中：国内外事接待</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批次，</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人；国（境）外公务接待</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批次，</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人。</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年本单位人均接待费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元，车均购置费</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万元，车均维护费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default"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四、其他需要说明的事项</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（一）机关运行经费情况说明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ascii="方正仿宋_GBK" w:hAnsi="方正仿宋_GBK" w:eastAsia="方正仿宋_GBK" w:cs="方正仿宋_GBK"/>
          <w:i w:val="0"/>
          <w:iCs w:val="0"/>
          <w:caps w:val="0"/>
          <w:color w:val="333333"/>
          <w:spacing w:val="0"/>
          <w:sz w:val="32"/>
          <w:szCs w:val="32"/>
          <w:shd w:val="clear" w:fill="FFFFFF"/>
        </w:rPr>
        <w:t>按照部门决算列报口径，我单位不在机关运行经费统计范围之内。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此外，本年度会议费支出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万元，较上年决算数无增减，主要原因是</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年度未单独安排会议费。本年度培训费支出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万元，较上年决算数无变化，主要原因是</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年度未单独安排会议费。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（二）国有资产占用情况说明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20" w:firstLineChars="200"/>
        <w:jc w:val="both"/>
        <w:rPr>
          <w:rFonts w:hint="eastAsia" w:ascii="方正仿宋_GBK" w:hAnsi="方正仿宋_GBK" w:eastAsia="方正仿宋_GBK" w:cs="方正仿宋_GBK"/>
          <w:b w:val="0"/>
          <w:bCs w:val="0"/>
          <w:kern w:val="0"/>
          <w:sz w:val="32"/>
          <w:szCs w:val="32"/>
          <w:shd w:val="clear" w:fill="FFFFFF"/>
          <w:lang w:val="en-US" w:eastAsia="zh-CN" w:bidi="ar-SA"/>
        </w:rPr>
      </w:pPr>
      <w:r>
        <w:rPr>
          <w:rFonts w:hint="default" w:ascii="Times New Roman" w:hAnsi="Times New Roman" w:eastAsia="方正仿宋_GBK" w:cs="Times New Roman"/>
          <w:i w:val="0"/>
          <w:iCs w:val="0"/>
          <w:caps w:val="0"/>
          <w:color w:val="333333"/>
          <w:spacing w:val="0"/>
          <w:sz w:val="31"/>
          <w:szCs w:val="31"/>
          <w:shd w:val="clear" w:fill="FFFFFF"/>
        </w:rPr>
        <w:t>  </w:t>
      </w:r>
      <w:r>
        <w:rPr>
          <w:rFonts w:hint="eastAsia" w:ascii="方正仿宋_GBK" w:hAnsi="方正仿宋_GBK" w:eastAsia="方正仿宋_GBK" w:cs="方正仿宋_GBK"/>
          <w:b w:val="0"/>
          <w:bCs w:val="0"/>
          <w:kern w:val="0"/>
          <w:sz w:val="32"/>
          <w:szCs w:val="32"/>
          <w:shd w:val="clear" w:fill="FFFFFF"/>
          <w:lang w:val="en-US" w:eastAsia="zh-CN" w:bidi="ar-SA"/>
        </w:rPr>
        <w:t>截至</w:t>
      </w:r>
      <w:r>
        <w:rPr>
          <w:rFonts w:hint="default" w:ascii="Times New Roman" w:hAnsi="Times New Roman" w:eastAsia="方正仿宋_GBK" w:cs="Times New Roman"/>
          <w:b w:val="0"/>
          <w:bCs w:val="0"/>
          <w:kern w:val="0"/>
          <w:sz w:val="32"/>
          <w:szCs w:val="32"/>
          <w:shd w:val="clear" w:fill="FFFFFF"/>
          <w:lang w:val="en-US" w:eastAsia="zh-CN" w:bidi="ar-SA"/>
        </w:rPr>
        <w:t>2024</w:t>
      </w:r>
      <w:r>
        <w:rPr>
          <w:rFonts w:hint="eastAsia" w:ascii="方正仿宋_GBK" w:hAnsi="方正仿宋_GBK" w:eastAsia="方正仿宋_GBK" w:cs="方正仿宋_GBK"/>
          <w:b w:val="0"/>
          <w:bCs w:val="0"/>
          <w:kern w:val="0"/>
          <w:sz w:val="32"/>
          <w:szCs w:val="32"/>
          <w:shd w:val="clear" w:fill="FFFFFF"/>
          <w:lang w:val="en-US" w:eastAsia="zh-CN" w:bidi="ar-SA"/>
        </w:rPr>
        <w:t>年</w:t>
      </w:r>
      <w:r>
        <w:rPr>
          <w:rFonts w:hint="default" w:ascii="Times New Roman" w:hAnsi="Times New Roman" w:eastAsia="方正仿宋_GBK" w:cs="Times New Roman"/>
          <w:b w:val="0"/>
          <w:bCs w:val="0"/>
          <w:kern w:val="0"/>
          <w:sz w:val="32"/>
          <w:szCs w:val="32"/>
          <w:shd w:val="clear" w:fill="FFFFFF"/>
          <w:lang w:val="en-US" w:eastAsia="zh-CN" w:bidi="ar-SA"/>
        </w:rPr>
        <w:t>12</w:t>
      </w:r>
      <w:r>
        <w:rPr>
          <w:rFonts w:hint="eastAsia" w:ascii="方正仿宋_GBK" w:hAnsi="方正仿宋_GBK" w:eastAsia="方正仿宋_GBK" w:cs="方正仿宋_GBK"/>
          <w:b w:val="0"/>
          <w:bCs w:val="0"/>
          <w:kern w:val="0"/>
          <w:sz w:val="32"/>
          <w:szCs w:val="32"/>
          <w:shd w:val="clear" w:fill="FFFFFF"/>
          <w:lang w:val="en-US" w:eastAsia="zh-CN" w:bidi="ar-SA"/>
        </w:rPr>
        <w:t>月</w:t>
      </w:r>
      <w:r>
        <w:rPr>
          <w:rFonts w:hint="default" w:ascii="Times New Roman" w:hAnsi="Times New Roman" w:eastAsia="方正仿宋_GBK" w:cs="Times New Roman"/>
          <w:b w:val="0"/>
          <w:bCs w:val="0"/>
          <w:kern w:val="0"/>
          <w:sz w:val="32"/>
          <w:szCs w:val="32"/>
          <w:shd w:val="clear" w:fill="FFFFFF"/>
          <w:lang w:val="en-US" w:eastAsia="zh-CN" w:bidi="ar-SA"/>
        </w:rPr>
        <w:t>31</w:t>
      </w:r>
      <w:r>
        <w:rPr>
          <w:rFonts w:hint="eastAsia" w:ascii="方正仿宋_GBK" w:hAnsi="方正仿宋_GBK" w:eastAsia="方正仿宋_GBK" w:cs="方正仿宋_GBK"/>
          <w:b w:val="0"/>
          <w:bCs w:val="0"/>
          <w:kern w:val="0"/>
          <w:sz w:val="32"/>
          <w:szCs w:val="32"/>
          <w:shd w:val="clear" w:fill="FFFFFF"/>
          <w:lang w:val="en-US" w:eastAsia="zh-CN" w:bidi="ar-SA"/>
        </w:rPr>
        <w:t>日，本单位共有车辆</w:t>
      </w:r>
      <w:r>
        <w:rPr>
          <w:rFonts w:hint="default" w:ascii="Times New Roman" w:hAnsi="Times New Roman" w:eastAsia="方正仿宋_GBK" w:cs="Times New Roman"/>
          <w:b w:val="0"/>
          <w:bCs w:val="0"/>
          <w:kern w:val="0"/>
          <w:sz w:val="32"/>
          <w:szCs w:val="32"/>
          <w:shd w:val="clear" w:fill="FFFFFF"/>
          <w:lang w:val="en-US" w:eastAsia="zh-CN" w:bidi="ar-SA"/>
        </w:rPr>
        <w:t>0</w:t>
      </w:r>
      <w:r>
        <w:rPr>
          <w:rFonts w:hint="eastAsia" w:ascii="方正仿宋_GBK" w:hAnsi="方正仿宋_GBK" w:eastAsia="方正仿宋_GBK" w:cs="方正仿宋_GBK"/>
          <w:b w:val="0"/>
          <w:bCs w:val="0"/>
          <w:kern w:val="0"/>
          <w:sz w:val="32"/>
          <w:szCs w:val="32"/>
          <w:shd w:val="clear" w:fill="FFFFFF"/>
          <w:lang w:val="en-US" w:eastAsia="zh-CN" w:bidi="ar-SA"/>
        </w:rPr>
        <w:t>辆，其中，副部（省）级及以上领导用车</w:t>
      </w:r>
      <w:r>
        <w:rPr>
          <w:rFonts w:hint="default" w:ascii="Times New Roman" w:hAnsi="Times New Roman" w:eastAsia="方正仿宋_GBK" w:cs="Times New Roman"/>
          <w:b w:val="0"/>
          <w:bCs w:val="0"/>
          <w:kern w:val="0"/>
          <w:sz w:val="32"/>
          <w:szCs w:val="32"/>
          <w:shd w:val="clear" w:fill="FFFFFF"/>
          <w:lang w:val="en-US" w:eastAsia="zh-CN" w:bidi="ar-SA"/>
        </w:rPr>
        <w:t>0</w:t>
      </w:r>
      <w:r>
        <w:rPr>
          <w:rFonts w:hint="eastAsia" w:ascii="方正仿宋_GBK" w:hAnsi="方正仿宋_GBK" w:eastAsia="方正仿宋_GBK" w:cs="方正仿宋_GBK"/>
          <w:b w:val="0"/>
          <w:bCs w:val="0"/>
          <w:kern w:val="0"/>
          <w:sz w:val="32"/>
          <w:szCs w:val="32"/>
          <w:shd w:val="clear" w:fill="FFFFFF"/>
          <w:lang w:val="en-US" w:eastAsia="zh-CN" w:bidi="ar-SA"/>
        </w:rPr>
        <w:t>辆、主要负责人用车</w:t>
      </w:r>
      <w:r>
        <w:rPr>
          <w:rFonts w:hint="default" w:ascii="Times New Roman" w:hAnsi="Times New Roman" w:eastAsia="方正仿宋_GBK" w:cs="Times New Roman"/>
          <w:b w:val="0"/>
          <w:bCs w:val="0"/>
          <w:kern w:val="0"/>
          <w:sz w:val="32"/>
          <w:szCs w:val="32"/>
          <w:shd w:val="clear" w:fill="FFFFFF"/>
          <w:lang w:val="en-US" w:eastAsia="zh-CN" w:bidi="ar-SA"/>
        </w:rPr>
        <w:t>0</w:t>
      </w:r>
      <w:r>
        <w:rPr>
          <w:rFonts w:hint="eastAsia" w:ascii="方正仿宋_GBK" w:hAnsi="方正仿宋_GBK" w:eastAsia="方正仿宋_GBK" w:cs="方正仿宋_GBK"/>
          <w:b w:val="0"/>
          <w:bCs w:val="0"/>
          <w:kern w:val="0"/>
          <w:sz w:val="32"/>
          <w:szCs w:val="32"/>
          <w:shd w:val="clear" w:fill="FFFFFF"/>
          <w:lang w:val="en-US" w:eastAsia="zh-CN" w:bidi="ar-SA"/>
        </w:rPr>
        <w:t>辆、机要通信用车</w:t>
      </w:r>
      <w:r>
        <w:rPr>
          <w:rFonts w:hint="default" w:ascii="Times New Roman" w:hAnsi="Times New Roman" w:eastAsia="方正仿宋_GBK" w:cs="Times New Roman"/>
          <w:b w:val="0"/>
          <w:bCs w:val="0"/>
          <w:kern w:val="0"/>
          <w:sz w:val="32"/>
          <w:szCs w:val="32"/>
          <w:shd w:val="clear" w:fill="FFFFFF"/>
          <w:lang w:val="en-US" w:eastAsia="zh-CN" w:bidi="ar-SA"/>
        </w:rPr>
        <w:t>0</w:t>
      </w:r>
      <w:r>
        <w:rPr>
          <w:rFonts w:hint="eastAsia" w:ascii="方正仿宋_GBK" w:hAnsi="方正仿宋_GBK" w:eastAsia="方正仿宋_GBK" w:cs="方正仿宋_GBK"/>
          <w:b w:val="0"/>
          <w:bCs w:val="0"/>
          <w:kern w:val="0"/>
          <w:sz w:val="32"/>
          <w:szCs w:val="32"/>
          <w:shd w:val="clear" w:fill="FFFFFF"/>
          <w:lang w:val="en-US" w:eastAsia="zh-CN" w:bidi="ar-SA"/>
        </w:rPr>
        <w:t>辆、应急保障用车</w:t>
      </w:r>
      <w:r>
        <w:rPr>
          <w:rFonts w:hint="default" w:ascii="Times New Roman" w:hAnsi="Times New Roman" w:eastAsia="方正仿宋_GBK" w:cs="Times New Roman"/>
          <w:b w:val="0"/>
          <w:bCs w:val="0"/>
          <w:kern w:val="0"/>
          <w:sz w:val="32"/>
          <w:szCs w:val="32"/>
          <w:shd w:val="clear" w:fill="FFFFFF"/>
          <w:lang w:val="en-US" w:eastAsia="zh-CN" w:bidi="ar-SA"/>
        </w:rPr>
        <w:t>0</w:t>
      </w:r>
      <w:r>
        <w:rPr>
          <w:rFonts w:hint="eastAsia" w:ascii="Times New Roman" w:hAnsi="Times New Roman" w:eastAsia="方正仿宋_GBK" w:cs="Times New Roman"/>
          <w:b w:val="0"/>
          <w:bCs w:val="0"/>
          <w:kern w:val="0"/>
          <w:sz w:val="32"/>
          <w:szCs w:val="32"/>
          <w:shd w:val="clear" w:fill="FFFFFF"/>
          <w:lang w:val="en-US" w:eastAsia="zh-CN" w:bidi="ar-SA"/>
        </w:rPr>
        <w:t>辆</w:t>
      </w:r>
      <w:r>
        <w:rPr>
          <w:rFonts w:hint="eastAsia" w:ascii="方正仿宋_GBK" w:hAnsi="方正仿宋_GBK" w:eastAsia="方正仿宋_GBK" w:cs="方正仿宋_GBK"/>
          <w:b w:val="0"/>
          <w:bCs w:val="0"/>
          <w:kern w:val="0"/>
          <w:sz w:val="32"/>
          <w:szCs w:val="32"/>
          <w:shd w:val="clear" w:fill="FFFFFF"/>
          <w:lang w:val="en-US" w:eastAsia="zh-CN" w:bidi="ar-SA"/>
        </w:rPr>
        <w:t>、执法执勤用车</w:t>
      </w:r>
      <w:r>
        <w:rPr>
          <w:rFonts w:hint="default" w:ascii="Times New Roman" w:hAnsi="Times New Roman" w:eastAsia="方正仿宋_GBK" w:cs="Times New Roman"/>
          <w:b w:val="0"/>
          <w:bCs w:val="0"/>
          <w:kern w:val="0"/>
          <w:sz w:val="32"/>
          <w:szCs w:val="32"/>
          <w:shd w:val="clear" w:fill="FFFFFF"/>
          <w:lang w:val="en-US" w:eastAsia="zh-CN" w:bidi="ar-SA"/>
        </w:rPr>
        <w:t>0</w:t>
      </w:r>
      <w:r>
        <w:rPr>
          <w:rFonts w:hint="eastAsia" w:ascii="方正仿宋_GBK" w:hAnsi="方正仿宋_GBK" w:eastAsia="方正仿宋_GBK" w:cs="方正仿宋_GBK"/>
          <w:b w:val="0"/>
          <w:bCs w:val="0"/>
          <w:kern w:val="0"/>
          <w:sz w:val="32"/>
          <w:szCs w:val="32"/>
          <w:shd w:val="clear" w:fill="FFFFFF"/>
          <w:lang w:val="en-US" w:eastAsia="zh-CN" w:bidi="ar-SA"/>
        </w:rPr>
        <w:t>辆，特种专业技术用车</w:t>
      </w:r>
      <w:r>
        <w:rPr>
          <w:rFonts w:hint="default" w:ascii="Times New Roman" w:hAnsi="Times New Roman" w:eastAsia="方正仿宋_GBK" w:cs="Times New Roman"/>
          <w:b w:val="0"/>
          <w:bCs w:val="0"/>
          <w:kern w:val="0"/>
          <w:sz w:val="32"/>
          <w:szCs w:val="32"/>
          <w:shd w:val="clear" w:fill="FFFFFF"/>
          <w:lang w:val="en-US" w:eastAsia="zh-CN" w:bidi="ar-SA"/>
        </w:rPr>
        <w:t>0</w:t>
      </w:r>
      <w:r>
        <w:rPr>
          <w:rFonts w:hint="eastAsia" w:ascii="Times New Roman" w:hAnsi="Times New Roman" w:eastAsia="方正仿宋_GBK" w:cs="Times New Roman"/>
          <w:b w:val="0"/>
          <w:bCs w:val="0"/>
          <w:kern w:val="0"/>
          <w:sz w:val="32"/>
          <w:szCs w:val="32"/>
          <w:shd w:val="clear" w:fill="FFFFFF"/>
          <w:lang w:val="en-US" w:eastAsia="zh-CN" w:bidi="ar-SA"/>
        </w:rPr>
        <w:t>辆</w:t>
      </w:r>
      <w:r>
        <w:rPr>
          <w:rFonts w:hint="eastAsia" w:ascii="方正仿宋_GBK" w:hAnsi="方正仿宋_GBK" w:eastAsia="方正仿宋_GBK" w:cs="方正仿宋_GBK"/>
          <w:b w:val="0"/>
          <w:bCs w:val="0"/>
          <w:kern w:val="0"/>
          <w:sz w:val="32"/>
          <w:szCs w:val="32"/>
          <w:shd w:val="clear" w:fill="FFFFFF"/>
          <w:lang w:val="en-US" w:eastAsia="zh-CN" w:bidi="ar-SA"/>
        </w:rPr>
        <w:t>，离退休干部用车</w:t>
      </w:r>
      <w:r>
        <w:rPr>
          <w:rFonts w:hint="default" w:ascii="Times New Roman" w:hAnsi="Times New Roman" w:eastAsia="方正仿宋_GBK" w:cs="Times New Roman"/>
          <w:b w:val="0"/>
          <w:bCs w:val="0"/>
          <w:kern w:val="0"/>
          <w:sz w:val="32"/>
          <w:szCs w:val="32"/>
          <w:shd w:val="clear" w:fill="FFFFFF"/>
          <w:lang w:val="en-US" w:eastAsia="zh-CN" w:bidi="ar-SA"/>
        </w:rPr>
        <w:t>0</w:t>
      </w:r>
      <w:r>
        <w:rPr>
          <w:rFonts w:hint="eastAsia" w:ascii="方正仿宋_GBK" w:hAnsi="方正仿宋_GBK" w:eastAsia="方正仿宋_GBK" w:cs="方正仿宋_GBK"/>
          <w:b w:val="0"/>
          <w:bCs w:val="0"/>
          <w:kern w:val="0"/>
          <w:sz w:val="32"/>
          <w:szCs w:val="32"/>
          <w:shd w:val="clear" w:fill="FFFFFF"/>
          <w:lang w:val="en-US" w:eastAsia="zh-CN" w:bidi="ar-SA"/>
        </w:rPr>
        <w:t>辆。单价</w:t>
      </w:r>
      <w:r>
        <w:rPr>
          <w:rFonts w:hint="default" w:ascii="Times New Roman" w:hAnsi="Times New Roman" w:eastAsia="方正仿宋_GBK" w:cs="Times New Roman"/>
          <w:b w:val="0"/>
          <w:bCs w:val="0"/>
          <w:kern w:val="0"/>
          <w:sz w:val="32"/>
          <w:szCs w:val="32"/>
          <w:shd w:val="clear" w:fill="FFFFFF"/>
          <w:lang w:val="en-US" w:eastAsia="zh-CN" w:bidi="ar-SA"/>
        </w:rPr>
        <w:t>100</w:t>
      </w:r>
      <w:r>
        <w:rPr>
          <w:rFonts w:hint="eastAsia" w:ascii="方正仿宋_GBK" w:hAnsi="方正仿宋_GBK" w:eastAsia="方正仿宋_GBK" w:cs="方正仿宋_GBK"/>
          <w:b w:val="0"/>
          <w:bCs w:val="0"/>
          <w:kern w:val="0"/>
          <w:sz w:val="32"/>
          <w:szCs w:val="32"/>
          <w:shd w:val="clear" w:fill="FFFFFF"/>
          <w:lang w:val="en-US" w:eastAsia="zh-CN" w:bidi="ar-SA"/>
        </w:rPr>
        <w:t>万元（含）以上专用设备</w:t>
      </w:r>
      <w:r>
        <w:rPr>
          <w:rFonts w:hint="default" w:ascii="Times New Roman" w:hAnsi="Times New Roman" w:eastAsia="方正仿宋_GBK" w:cs="Times New Roman"/>
          <w:b w:val="0"/>
          <w:bCs w:val="0"/>
          <w:kern w:val="0"/>
          <w:sz w:val="32"/>
          <w:szCs w:val="32"/>
          <w:shd w:val="clear" w:fill="FFFFFF"/>
          <w:lang w:val="en-US" w:eastAsia="zh-CN" w:bidi="ar-SA"/>
        </w:rPr>
        <w:t>0</w:t>
      </w:r>
      <w:r>
        <w:rPr>
          <w:rFonts w:hint="eastAsia" w:ascii="方正仿宋_GBK" w:hAnsi="方正仿宋_GBK" w:eastAsia="方正仿宋_GBK" w:cs="方正仿宋_GBK"/>
          <w:b w:val="0"/>
          <w:bCs w:val="0"/>
          <w:kern w:val="0"/>
          <w:sz w:val="32"/>
          <w:szCs w:val="32"/>
          <w:shd w:val="clear" w:fill="FFFFFF"/>
          <w:lang w:val="en-US" w:eastAsia="zh-CN" w:bidi="ar-SA"/>
        </w:rPr>
        <w:t>台（套）。</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（三）政府采购支出情况说明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方正仿宋_GBK" w:hAnsi="方正仿宋_GBK" w:eastAsia="方正仿宋_GBK" w:cs="方正仿宋_GBK"/>
          <w:b w:val="0"/>
          <w:bCs w:val="0"/>
          <w:kern w:val="0"/>
          <w:sz w:val="32"/>
          <w:szCs w:val="32"/>
          <w:shd w:val="clear" w:fill="FFFFFF"/>
          <w:lang w:val="en-US" w:eastAsia="zh-CN" w:bidi="ar-SA"/>
        </w:rPr>
      </w:pPr>
      <w:r>
        <w:rPr>
          <w:rFonts w:hint="default" w:ascii="Times New Roman" w:hAnsi="Times New Roman" w:eastAsia="方正仿宋_GBK" w:cs="Times New Roman"/>
          <w:b w:val="0"/>
          <w:bCs w:val="0"/>
          <w:kern w:val="0"/>
          <w:sz w:val="32"/>
          <w:szCs w:val="32"/>
          <w:shd w:val="clear" w:fill="FFFFFF"/>
          <w:lang w:val="en-US" w:eastAsia="zh-CN" w:bidi="ar-SA"/>
        </w:rPr>
        <w:t>2024</w:t>
      </w:r>
      <w:r>
        <w:rPr>
          <w:rFonts w:hint="eastAsia" w:ascii="Times New Roman" w:hAnsi="Times New Roman" w:eastAsia="方正仿宋_GBK" w:cs="Times New Roman"/>
          <w:b w:val="0"/>
          <w:bCs w:val="0"/>
          <w:kern w:val="0"/>
          <w:sz w:val="32"/>
          <w:szCs w:val="32"/>
          <w:shd w:val="clear" w:fill="FFFFFF"/>
          <w:lang w:val="en-US" w:eastAsia="zh-CN" w:bidi="ar-SA"/>
        </w:rPr>
        <w:t>年度本单位政府采购支出总额</w:t>
      </w:r>
      <w:r>
        <w:rPr>
          <w:rFonts w:hint="default" w:ascii="Times New Roman" w:hAnsi="Times New Roman" w:eastAsia="方正仿宋_GBK" w:cs="Times New Roman"/>
          <w:b w:val="0"/>
          <w:bCs w:val="0"/>
          <w:kern w:val="0"/>
          <w:sz w:val="32"/>
          <w:szCs w:val="32"/>
          <w:shd w:val="clear" w:fill="FFFFFF"/>
          <w:lang w:val="en-US" w:eastAsia="zh-CN" w:bidi="ar-SA"/>
        </w:rPr>
        <w:t>0</w:t>
      </w:r>
      <w:r>
        <w:rPr>
          <w:rFonts w:hint="eastAsia" w:ascii="Times New Roman" w:hAnsi="Times New Roman" w:eastAsia="方正仿宋_GBK" w:cs="Times New Roman"/>
          <w:b w:val="0"/>
          <w:bCs w:val="0"/>
          <w:kern w:val="0"/>
          <w:sz w:val="32"/>
          <w:szCs w:val="32"/>
          <w:shd w:val="clear" w:fill="FFFFFF"/>
          <w:lang w:val="en-US" w:eastAsia="zh-CN" w:bidi="ar-SA"/>
        </w:rPr>
        <w:t>万元，其中：政府采购货物支出</w:t>
      </w:r>
      <w:r>
        <w:rPr>
          <w:rFonts w:hint="default" w:ascii="Times New Roman" w:hAnsi="Times New Roman" w:eastAsia="方正仿宋_GBK" w:cs="Times New Roman"/>
          <w:b w:val="0"/>
          <w:bCs w:val="0"/>
          <w:kern w:val="0"/>
          <w:sz w:val="32"/>
          <w:szCs w:val="32"/>
          <w:shd w:val="clear" w:fill="FFFFFF"/>
          <w:lang w:val="en-US" w:eastAsia="zh-CN" w:bidi="ar-SA"/>
        </w:rPr>
        <w:t>0</w:t>
      </w:r>
      <w:r>
        <w:rPr>
          <w:rFonts w:hint="eastAsia" w:ascii="Times New Roman" w:hAnsi="Times New Roman" w:eastAsia="方正仿宋_GBK" w:cs="Times New Roman"/>
          <w:b w:val="0"/>
          <w:bCs w:val="0"/>
          <w:kern w:val="0"/>
          <w:sz w:val="32"/>
          <w:szCs w:val="32"/>
          <w:shd w:val="clear" w:fill="FFFFFF"/>
          <w:lang w:val="en-US" w:eastAsia="zh-CN" w:bidi="ar-SA"/>
        </w:rPr>
        <w:t>万元、政府采购工程支出</w:t>
      </w:r>
      <w:r>
        <w:rPr>
          <w:rFonts w:hint="default" w:ascii="Times New Roman" w:hAnsi="Times New Roman" w:eastAsia="方正仿宋_GBK" w:cs="Times New Roman"/>
          <w:b w:val="0"/>
          <w:bCs w:val="0"/>
          <w:kern w:val="0"/>
          <w:sz w:val="32"/>
          <w:szCs w:val="32"/>
          <w:shd w:val="clear" w:fill="FFFFFF"/>
          <w:lang w:val="en-US" w:eastAsia="zh-CN" w:bidi="ar-SA"/>
        </w:rPr>
        <w:t>0</w:t>
      </w:r>
      <w:r>
        <w:rPr>
          <w:rFonts w:hint="eastAsia" w:ascii="Times New Roman" w:hAnsi="Times New Roman" w:eastAsia="方正仿宋_GBK" w:cs="Times New Roman"/>
          <w:b w:val="0"/>
          <w:bCs w:val="0"/>
          <w:kern w:val="0"/>
          <w:sz w:val="32"/>
          <w:szCs w:val="32"/>
          <w:shd w:val="clear" w:fill="FFFFFF"/>
          <w:lang w:val="en-US" w:eastAsia="zh-CN" w:bidi="ar-SA"/>
        </w:rPr>
        <w:t>万元、政府采购服务支出</w:t>
      </w:r>
      <w:r>
        <w:rPr>
          <w:rFonts w:hint="default" w:ascii="Times New Roman" w:hAnsi="Times New Roman" w:eastAsia="方正仿宋_GBK" w:cs="Times New Roman"/>
          <w:b w:val="0"/>
          <w:bCs w:val="0"/>
          <w:kern w:val="0"/>
          <w:sz w:val="32"/>
          <w:szCs w:val="32"/>
          <w:shd w:val="clear" w:fill="FFFFFF"/>
          <w:lang w:val="en-US" w:eastAsia="zh-CN" w:bidi="ar-SA"/>
        </w:rPr>
        <w:t>0</w:t>
      </w:r>
      <w:r>
        <w:rPr>
          <w:rFonts w:hint="eastAsia" w:ascii="Times New Roman" w:hAnsi="Times New Roman" w:eastAsia="方正仿宋_GBK" w:cs="Times New Roman"/>
          <w:b w:val="0"/>
          <w:bCs w:val="0"/>
          <w:kern w:val="0"/>
          <w:sz w:val="32"/>
          <w:szCs w:val="32"/>
          <w:shd w:val="clear" w:fill="FFFFFF"/>
          <w:lang w:val="en-US" w:eastAsia="zh-CN" w:bidi="ar-SA"/>
        </w:rPr>
        <w:t>万元</w:t>
      </w:r>
      <w:r>
        <w:rPr>
          <w:rFonts w:hint="eastAsia" w:ascii="方正仿宋_GBK" w:hAnsi="方正仿宋_GBK" w:eastAsia="方正仿宋_GBK" w:cs="方正仿宋_GBK"/>
          <w:b w:val="0"/>
          <w:bCs w:val="0"/>
          <w:kern w:val="0"/>
          <w:sz w:val="32"/>
          <w:szCs w:val="32"/>
          <w:shd w:val="clear" w:fill="FFFFFF"/>
          <w:lang w:val="en-US" w:eastAsia="zh-CN" w:bidi="ar-SA"/>
        </w:rPr>
        <w:t>。  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lang w:val="en-US" w:eastAsia="zh-CN" w:bidi="ar-SA"/>
        </w:rPr>
      </w:pPr>
      <w:r>
        <w:rPr>
          <w:rStyle w:val="13"/>
          <w:rFonts w:hint="eastAsia" w:ascii="方正黑体_GBK" w:hAnsi="方正黑体_GBK" w:eastAsia="方正黑体_GBK" w:cs="方正黑体_GBK"/>
          <w:sz w:val="32"/>
          <w:szCs w:val="32"/>
          <w:shd w:val="clear" w:color="auto" w:fill="FFFFFF"/>
          <w:lang w:val="en-US" w:eastAsia="zh-CN" w:bidi="ar-SA"/>
        </w:rPr>
        <w:t>五、2024年度预算绩效管理情况说明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default"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根据预算绩效管理要求，政府（本级）对部门整体</w:t>
      </w:r>
      <w:r>
        <w:rPr>
          <w:rFonts w:hint="eastAsia" w:ascii="方正仿宋_GBK" w:hAnsi="方正仿宋_GBK" w:eastAsia="方正仿宋_GBK" w:cs="方正仿宋_GBK"/>
          <w:i w:val="0"/>
          <w:iCs w:val="0"/>
          <w:caps w:val="0"/>
          <w:color w:val="auto"/>
          <w:spacing w:val="0"/>
          <w:sz w:val="32"/>
          <w:szCs w:val="32"/>
          <w:shd w:val="clear" w:fill="FFFFFF"/>
        </w:rPr>
        <w:t>和</w:t>
      </w:r>
      <w:r>
        <w:rPr>
          <w:rFonts w:hint="eastAsia" w:ascii="Times New Roman" w:hAnsi="Times New Roman" w:eastAsia="方正仿宋_GBK" w:cs="Times New Roman"/>
          <w:i w:val="0"/>
          <w:iCs w:val="0"/>
          <w:caps w:val="0"/>
          <w:color w:val="auto"/>
          <w:spacing w:val="0"/>
          <w:sz w:val="32"/>
          <w:szCs w:val="32"/>
          <w:shd w:val="clear" w:fill="FFFFFF"/>
          <w:lang w:val="en-US" w:eastAsia="zh-CN"/>
        </w:rPr>
        <w:t>59</w:t>
      </w:r>
      <w:r>
        <w:rPr>
          <w:rFonts w:hint="eastAsia" w:ascii="方正仿宋_GBK" w:hAnsi="方正仿宋_GBK" w:eastAsia="方正仿宋_GBK" w:cs="方正仿宋_GBK"/>
          <w:i w:val="0"/>
          <w:iCs w:val="0"/>
          <w:caps w:val="0"/>
          <w:color w:val="333333"/>
          <w:spacing w:val="0"/>
          <w:sz w:val="32"/>
          <w:szCs w:val="32"/>
          <w:shd w:val="clear" w:fill="FFFFFF"/>
        </w:rPr>
        <w:t>个项目开展了绩效自评，故本站所</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年度无需再次开展绩效评价。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lang w:val="en-US" w:eastAsia="zh-CN" w:bidi="ar-SA"/>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w:t>
      </w:r>
      <w:r>
        <w:rPr>
          <w:rStyle w:val="13"/>
          <w:rFonts w:hint="eastAsia" w:ascii="方正黑体_GBK" w:hAnsi="方正黑体_GBK" w:eastAsia="方正黑体_GBK" w:cs="方正黑体_GBK"/>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lang w:val="en-US" w:eastAsia="zh-CN" w:bidi="ar-SA"/>
        </w:rPr>
      </w:pPr>
      <w:r>
        <w:rPr>
          <w:rStyle w:val="13"/>
          <w:rFonts w:hint="eastAsia" w:ascii="方正黑体_GBK" w:hAnsi="方正黑体_GBK" w:eastAsia="方正黑体_GBK" w:cs="方正黑体_GBK"/>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高楠镇人民政府</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59500000</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right="0" w:rightChars="0" w:firstLine="643" w:firstLineChars="200"/>
        <w:jc w:val="both"/>
        <w:textAlignment w:val="auto"/>
        <w:rPr>
          <w:rStyle w:val="16"/>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right="0" w:rightChars="0" w:firstLine="643" w:firstLineChars="200"/>
        <w:jc w:val="both"/>
        <w:textAlignment w:val="auto"/>
        <w:rPr>
          <w:rStyle w:val="16"/>
          <w:rFonts w:hint="eastAsia" w:ascii="方正仿宋_GBK" w:hAnsi="方正仿宋_GBK" w:eastAsia="方正仿宋_GBK" w:cs="方正仿宋_GBK"/>
          <w:b/>
          <w:bCs/>
          <w:sz w:val="32"/>
          <w:szCs w:val="32"/>
          <w:shd w:val="clear" w:fill="FFFF00"/>
        </w:rPr>
      </w:pPr>
      <w:bookmarkStart w:id="0" w:name="_GoBack"/>
      <w:bookmarkEnd w:id="0"/>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right="0" w:rightChars="0" w:firstLine="643" w:firstLineChars="200"/>
        <w:jc w:val="both"/>
        <w:textAlignment w:val="auto"/>
        <w:rPr>
          <w:rStyle w:val="16"/>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right="0" w:rightChars="0" w:firstLine="643" w:firstLineChars="200"/>
        <w:jc w:val="both"/>
        <w:textAlignment w:val="auto"/>
        <w:rPr>
          <w:rStyle w:val="16"/>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right="0" w:rightChars="0" w:firstLine="643" w:firstLineChars="200"/>
        <w:jc w:val="both"/>
        <w:textAlignment w:val="auto"/>
        <w:rPr>
          <w:rStyle w:val="16"/>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right="0" w:rightChars="0" w:firstLine="643" w:firstLineChars="200"/>
        <w:jc w:val="both"/>
        <w:textAlignment w:val="auto"/>
        <w:rPr>
          <w:rStyle w:val="16"/>
          <w:rFonts w:hint="eastAsia" w:ascii="方正仿宋_GBK" w:hAnsi="方正仿宋_GBK" w:eastAsia="方正仿宋_GBK" w:cs="方正仿宋_GBK"/>
          <w:b/>
          <w:bCs/>
          <w:sz w:val="32"/>
          <w:szCs w:val="32"/>
          <w:shd w:val="clear" w:fill="FFFF00"/>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ascii="Arial" w:hAnsi="Arial" w:cs="Arial"/>
                <w:color w:val="000000"/>
                <w:sz w:val="22"/>
                <w:szCs w:val="22"/>
              </w:rPr>
            </w:pPr>
            <w:r>
              <w:rPr>
                <w:rFonts w:cs="宋体"/>
                <w:sz w:val="20"/>
                <w:szCs w:val="20"/>
              </w:rPr>
              <w:t>单位：</w:t>
            </w:r>
            <w:r>
              <w:rPr>
                <w:sz w:val="20"/>
                <w:u w:color="auto"/>
              </w:rPr>
              <w:t>高楠镇农业服务中心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40" w:firstLineChars="200"/>
              <w:jc w:val="both"/>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117.77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93.23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117.77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117.77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117.77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117.77</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p>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sz w:val="20"/>
                <w:u w:color="auto"/>
              </w:rPr>
              <w:t>高楠镇农业服务中心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117.77</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117.77</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8.62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4.31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4.31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93.23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93.23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93.23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93.23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93.23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93.23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高楠镇农业服务中心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117.77</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117.77</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12.93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8.62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8.62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4.31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4.31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93.23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93.23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93.23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93.23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93.23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93.23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cs="宋体"/>
          <w:sz w:val="21"/>
          <w:szCs w:val="21"/>
        </w:rPr>
        <w:br w:type="page"/>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3040"/>
        <w:gridCol w:w="1498"/>
        <w:gridCol w:w="3221"/>
        <w:gridCol w:w="1671"/>
        <w:gridCol w:w="1671"/>
        <w:gridCol w:w="1671"/>
        <w:gridCol w:w="190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高楠镇农业服务中心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117.77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12.93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12.93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93.23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93.23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6.46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6.46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117.77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117.77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117.77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117.77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117.77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117.77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高楠镇农业服务中心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8.62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4.31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93.23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93.23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6.46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高楠镇农业服务中心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117.36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27.56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8.69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56.97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8.62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6.46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117.36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高楠镇农业服务中心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高楠镇农业服务中心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高楠镇农业服务中心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sz w:val="16"/>
                <w:szCs w:val="16"/>
              </w:rPr>
            </w:pPr>
          </w:p>
        </w:tc>
      </w:tr>
    </w:tbl>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1ODFiMzQwMzZiYWJiNWQ2NjZjMmNjOGZjMjEzZjA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3F4441"/>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7F5F45"/>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7F88AC"/>
    <w:rsid w:val="BF5EB26D"/>
    <w:rsid w:val="DD53F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autoRedefine/>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autoRedefine/>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autoRedefine/>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autoRedefine/>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autoRedefine/>
    <w:qFormat/>
    <w:uiPriority w:val="0"/>
    <w:rPr>
      <w:rFonts w:ascii="宋体" w:hAnsi="宋体"/>
      <w:sz w:val="18"/>
      <w:szCs w:val="18"/>
    </w:rPr>
  </w:style>
  <w:style w:type="paragraph" w:customStyle="1" w:styleId="19">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3935</Words>
  <Characters>22430</Characters>
  <Lines>186</Lines>
  <Paragraphs>52</Paragraphs>
  <TotalTime>0</TotalTime>
  <ScaleCrop>false</ScaleCrop>
  <LinksUpToDate>false</LinksUpToDate>
  <CharactersWithSpaces>26313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1+</cp:lastModifiedBy>
  <dcterms:modified xsi:type="dcterms:W3CDTF">2025-09-25T08:02:21Z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BB46EABDBB2749749395447164B066B3_12</vt:lpwstr>
  </property>
</Properties>
</file>