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城口县高楠镇人民政府（本级）</w:t>
      </w:r>
    </w:p>
    <w:p>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5"/>
          <w:rFonts w:hint="eastAsia" w:ascii="方正黑体_GBK" w:hAnsi="方正黑体_GBK" w:eastAsia="方正黑体_GBK" w:cs="方正黑体_GBK"/>
          <w:sz w:val="32"/>
          <w:szCs w:val="32"/>
          <w:shd w:val="clear" w:color="auto" w:fill="FFFFFF"/>
        </w:rPr>
      </w:pPr>
      <w:r>
        <w:rPr>
          <w:rStyle w:val="15"/>
          <w:rFonts w:hint="eastAsia" w:ascii="方正黑体_GBK" w:hAnsi="方正黑体_GBK" w:eastAsia="方正黑体_GBK" w:cs="方正黑体_GBK"/>
          <w:sz w:val="32"/>
          <w:szCs w:val="32"/>
          <w:shd w:val="clear" w:color="auto" w:fill="FFFFFF"/>
        </w:rPr>
        <w:t>一、</w:t>
      </w:r>
      <w:r>
        <w:rPr>
          <w:rStyle w:val="15"/>
          <w:rFonts w:hint="eastAsia" w:ascii="方正黑体_GBK" w:hAnsi="方正黑体_GBK" w:eastAsia="方正黑体_GBK" w:cs="方正黑体_GBK"/>
          <w:sz w:val="32"/>
          <w:szCs w:val="32"/>
          <w:shd w:val="clear" w:color="auto" w:fill="FFFFFF"/>
          <w:lang w:eastAsia="zh-CN"/>
        </w:rPr>
        <w:t>单位</w:t>
      </w:r>
      <w:r>
        <w:rPr>
          <w:rStyle w:val="15"/>
          <w:rFonts w:hint="eastAsia" w:ascii="方正黑体_GBK" w:hAnsi="方正黑体_GBK" w:eastAsia="方正黑体_GBK" w:cs="方正黑体_GBK"/>
          <w:sz w:val="32"/>
          <w:szCs w:val="32"/>
          <w:shd w:val="clear" w:color="auto" w:fill="FFFFFF"/>
        </w:rPr>
        <w:t>基本情况</w:t>
      </w:r>
    </w:p>
    <w:p>
      <w:pPr>
        <w:pStyle w:val="11"/>
        <w:spacing w:before="0" w:beforeAutospacing="0" w:after="0" w:afterAutospacing="0" w:line="560" w:lineRule="exact"/>
        <w:ind w:firstLine="640" w:firstLineChars="20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r>
        <w:rPr>
          <w:rFonts w:hint="eastAsia" w:ascii="Times New Roman" w:hAnsi="Times New Roman" w:eastAsia="方正仿宋_GBK"/>
          <w:sz w:val="32"/>
          <w:szCs w:val="32"/>
        </w:rPr>
        <w:t>贯彻党的路线、方针、政策，执行本级党代会、人民代表大会的决议和上级党委、政府的决定和命令，承担促进经济发展、加强社会管理、优化公共服务、维护社会稳定及巩固基层政权的职责，推动农村物质文明、政治文明、精神文明、 社会建设的各项重大任务。</w:t>
      </w:r>
    </w:p>
    <w:p>
      <w:pPr>
        <w:spacing w:line="56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执行政策法规。认真贯彻党在农村的各项方针政策。落实支农惠农的各项政策措施，认真宣传执行国家的各项法律法规，加强农村法制宣传教育和法律服务，推进依法行政，依法治理，维护农民的合法权益</w:t>
      </w:r>
      <w:r>
        <w:rPr>
          <w:rFonts w:hint="eastAsia" w:eastAsia="方正仿宋_GBK"/>
          <w:sz w:val="32"/>
          <w:szCs w:val="32"/>
        </w:rPr>
        <w:t>。</w:t>
      </w:r>
    </w:p>
    <w:p>
      <w:pPr>
        <w:spacing w:line="5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推动经济发展。按照有所为有所不为的原则，着力抓好制定发展规划、健全市场体系、加强产业引导、建设现代农业、培育经济组织、提高农民素质、增加农民收入、推进</w:t>
      </w:r>
      <w:r>
        <w:rPr>
          <w:rFonts w:hint="eastAsia" w:eastAsia="方正仿宋_GBK"/>
          <w:sz w:val="32"/>
          <w:szCs w:val="32"/>
          <w:lang w:eastAsia="zh-CN"/>
        </w:rPr>
        <w:t>乡村振兴</w:t>
      </w:r>
      <w:r>
        <w:rPr>
          <w:rFonts w:eastAsia="方正仿宋_GBK"/>
          <w:sz w:val="32"/>
          <w:szCs w:val="32"/>
        </w:rPr>
        <w:t>等工作</w:t>
      </w:r>
      <w:r>
        <w:rPr>
          <w:rFonts w:hint="eastAsia" w:eastAsia="方正仿宋_GBK"/>
          <w:sz w:val="32"/>
          <w:szCs w:val="32"/>
        </w:rPr>
        <w:t>。</w:t>
      </w:r>
    </w:p>
    <w:p>
      <w:pPr>
        <w:spacing w:line="56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w:t>
      </w:r>
      <w:r>
        <w:rPr>
          <w:rFonts w:hint="eastAsia" w:eastAsia="方正仿宋_GBK"/>
          <w:sz w:val="32"/>
          <w:szCs w:val="32"/>
          <w:lang w:eastAsia="zh-CN"/>
        </w:rPr>
        <w:t>细化</w:t>
      </w:r>
      <w:r>
        <w:rPr>
          <w:rFonts w:eastAsia="方正仿宋_GBK"/>
          <w:sz w:val="32"/>
          <w:szCs w:val="32"/>
        </w:rPr>
        <w:t>社会管理。加强村镇规划建设管理，加快城镇化步伐，坚持依法管理社会事</w:t>
      </w:r>
      <w:r>
        <w:rPr>
          <w:rFonts w:hint="eastAsia" w:eastAsia="方正仿宋_GBK"/>
          <w:sz w:val="32"/>
          <w:szCs w:val="32"/>
        </w:rPr>
        <w:t>务</w:t>
      </w:r>
      <w:r>
        <w:rPr>
          <w:rFonts w:eastAsia="方正仿宋_GBK"/>
          <w:sz w:val="32"/>
          <w:szCs w:val="32"/>
        </w:rPr>
        <w:t>，加强土地管理、村民自治、社区建设、</w:t>
      </w:r>
      <w:r>
        <w:rPr>
          <w:rFonts w:hint="eastAsia" w:eastAsia="方正仿宋_GBK"/>
          <w:sz w:val="32"/>
          <w:szCs w:val="32"/>
        </w:rPr>
        <w:t>人口监测与家庭发展工作等各项工作。</w:t>
      </w:r>
    </w:p>
    <w:p>
      <w:pPr>
        <w:spacing w:line="560"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rPr>
        <w:t>.</w:t>
      </w:r>
      <w:r>
        <w:rPr>
          <w:rFonts w:eastAsia="方正仿宋_GBK"/>
          <w:sz w:val="32"/>
          <w:szCs w:val="32"/>
        </w:rPr>
        <w:t>强化公共服务。推进农村公共事业发展，加强农村公益性基础设施建设和管理，健全农业服务体系，为农民群众和市场主体提供政策、科技信息服务，加强基层精神文明和民主法制建设，提高农民的思想道德、科学文化和健康素质</w:t>
      </w:r>
      <w:r>
        <w:rPr>
          <w:rFonts w:hint="eastAsia" w:eastAsia="方正仿宋_GBK"/>
          <w:sz w:val="32"/>
          <w:szCs w:val="32"/>
        </w:rPr>
        <w:t>。</w:t>
      </w:r>
    </w:p>
    <w:p>
      <w:pPr>
        <w:spacing w:line="560"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rPr>
        <w:t>.</w:t>
      </w:r>
      <w:r>
        <w:rPr>
          <w:rFonts w:eastAsia="方正仿宋_GBK"/>
          <w:sz w:val="32"/>
          <w:szCs w:val="32"/>
        </w:rPr>
        <w:t>维护和谐稳定。建立和完善社会保障体系，推进农村养老保险、新型合作医疗等制度建设，做好</w:t>
      </w:r>
      <w:r>
        <w:rPr>
          <w:rFonts w:hint="eastAsia" w:eastAsia="方正仿宋_GBK"/>
          <w:sz w:val="32"/>
          <w:szCs w:val="32"/>
          <w:lang w:eastAsia="zh-CN"/>
        </w:rPr>
        <w:t>特困人员</w:t>
      </w:r>
      <w:r>
        <w:rPr>
          <w:rFonts w:eastAsia="方正仿宋_GBK"/>
          <w:sz w:val="32"/>
          <w:szCs w:val="32"/>
        </w:rPr>
        <w:t>和农村贫困人口救助工作，保证困难群众的基本生活，加强安全生产监管，保护群众的生命财产安全，做好农村信访工作，加强各类矛盾纠纷调解，防范和妥善处理各类突发性、群众性</w:t>
      </w:r>
      <w:r>
        <w:rPr>
          <w:rFonts w:hint="eastAsia" w:eastAsia="方正仿宋_GBK"/>
          <w:sz w:val="32"/>
          <w:szCs w:val="32"/>
        </w:rPr>
        <w:t>事件</w:t>
      </w:r>
      <w:r>
        <w:rPr>
          <w:rFonts w:eastAsia="方正仿宋_GBK"/>
          <w:sz w:val="32"/>
          <w:szCs w:val="32"/>
        </w:rPr>
        <w:t>，强化社会治安综合治理，维护良好治安秩序，保障农民群众安居乐业。</w:t>
      </w:r>
    </w:p>
    <w:p>
      <w:pPr>
        <w:pStyle w:val="11"/>
        <w:widowControl w:val="0"/>
        <w:spacing w:before="0" w:beforeAutospacing="0" w:after="0" w:afterAutospacing="0" w:line="560" w:lineRule="exact"/>
        <w:ind w:firstLine="640" w:firstLineChars="200"/>
        <w:rPr>
          <w:rFonts w:hint="eastAsia" w:ascii="方正楷体_GBK" w:hAnsi="方正楷体_GBK" w:eastAsia="方正楷体_GBK" w:cs="方正楷体_GBK"/>
          <w:color w:val="000000"/>
          <w:kern w:val="2"/>
          <w:sz w:val="32"/>
          <w:szCs w:val="32"/>
        </w:rPr>
      </w:pPr>
      <w:r>
        <w:rPr>
          <w:rFonts w:ascii="Times New Roman" w:hAnsi="Times New Roman" w:eastAsia="方正仿宋_GBK" w:cs="Times New Roman"/>
          <w:color w:val="FF0000"/>
          <w:kern w:val="2"/>
          <w:sz w:val="32"/>
          <w:szCs w:val="32"/>
        </w:rPr>
        <w:t> </w:t>
      </w:r>
      <w:r>
        <w:rPr>
          <w:rFonts w:hint="eastAsia" w:ascii="方正楷体_GBK" w:hAnsi="方正楷体_GBK" w:eastAsia="方正楷体_GBK" w:cs="方正楷体_GBK"/>
          <w:color w:val="000000"/>
          <w:kern w:val="2"/>
          <w:sz w:val="32"/>
          <w:szCs w:val="32"/>
        </w:rPr>
        <w:t>（二）机构设置</w:t>
      </w:r>
    </w:p>
    <w:p>
      <w:pPr>
        <w:pStyle w:val="11"/>
        <w:spacing w:before="0" w:beforeAutospacing="0" w:after="0" w:afterAutospacing="0"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高楠镇人民政府综合设置内设机构5个，分别是基层治理综合指挥室、党的建设办公室、经济发展办公室、民生服务办公室、平安法治办公室。下属事业单位5个，分别是：便民服务中心（退役军人服务站）、综合行政执法大队、产业发展服务中心、新时代文明实践中心、村镇建设服务中心。</w:t>
      </w:r>
    </w:p>
    <w:p>
      <w:pPr>
        <w:pStyle w:val="11"/>
        <w:spacing w:before="0" w:beforeAutospacing="0" w:after="0" w:afterAutospacing="0" w:line="560" w:lineRule="exact"/>
        <w:ind w:firstLine="640" w:firstLineChars="200"/>
        <w:rPr>
          <w:rFonts w:ascii="方正楷体_GBK" w:hAnsi="方正楷体_GBK" w:eastAsia="方正楷体_GBK" w:cs="方正楷体_GBK"/>
          <w:color w:val="000000"/>
          <w:kern w:val="2"/>
          <w:sz w:val="32"/>
          <w:szCs w:val="32"/>
        </w:rPr>
      </w:pPr>
      <w:r>
        <w:rPr>
          <w:rFonts w:hint="eastAsia" w:ascii="方正楷体_GBK" w:hAnsi="方正楷体_GBK" w:eastAsia="方正楷体_GBK" w:cs="方正楷体_GBK"/>
          <w:sz w:val="32"/>
          <w:szCs w:val="32"/>
        </w:rPr>
        <w:t>（三）人员构成。</w:t>
      </w:r>
      <w:r>
        <w:rPr>
          <w:rFonts w:hint="eastAsia" w:ascii="Times New Roman" w:hAnsi="Times New Roman" w:eastAsia="方正仿宋_GBK"/>
          <w:sz w:val="32"/>
          <w:szCs w:val="32"/>
        </w:rPr>
        <w:t>截至2024年12月31日在职人数27人（其中：行政12人，事业15人）。</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5"/>
          <w:rFonts w:hint="eastAsia" w:ascii="方正黑体_GBK" w:hAnsi="方正黑体_GBK" w:eastAsia="方正黑体_GBK" w:cs="方正黑体_GBK"/>
          <w:sz w:val="32"/>
          <w:szCs w:val="32"/>
          <w:shd w:val="clear" w:color="auto" w:fill="FFFFFF"/>
        </w:rPr>
      </w:pPr>
      <w:r>
        <w:rPr>
          <w:rStyle w:val="15"/>
          <w:rFonts w:hint="eastAsia" w:ascii="方正黑体_GBK" w:hAnsi="方正黑体_GBK" w:eastAsia="方正黑体_GBK" w:cs="方正黑体_GBK"/>
          <w:sz w:val="32"/>
          <w:szCs w:val="32"/>
          <w:shd w:val="clear" w:color="auto" w:fill="FFFFFF"/>
        </w:rPr>
        <w:t>二、</w:t>
      </w:r>
      <w:r>
        <w:rPr>
          <w:rStyle w:val="15"/>
          <w:rFonts w:hint="eastAsia" w:ascii="方正黑体_GBK" w:hAnsi="方正黑体_GBK" w:eastAsia="方正黑体_GBK" w:cs="方正黑体_GBK"/>
          <w:sz w:val="32"/>
          <w:szCs w:val="32"/>
          <w:shd w:val="clear" w:color="auto" w:fill="FFFFFF"/>
          <w:lang w:eastAsia="zh-CN"/>
        </w:rPr>
        <w:t>单位</w:t>
      </w:r>
      <w:r>
        <w:rPr>
          <w:rStyle w:val="15"/>
          <w:rFonts w:hint="eastAsia" w:ascii="方正黑体_GBK" w:hAnsi="方正黑体_GBK" w:eastAsia="方正黑体_GBK" w:cs="方正黑体_GBK"/>
          <w:sz w:val="32"/>
          <w:szCs w:val="32"/>
          <w:shd w:val="clear" w:color="auto" w:fill="FFFFFF"/>
        </w:rPr>
        <w:t>决算</w:t>
      </w:r>
      <w:r>
        <w:rPr>
          <w:rStyle w:val="15"/>
          <w:rFonts w:hint="eastAsia" w:ascii="方正黑体_GBK" w:hAnsi="方正黑体_GBK" w:eastAsia="方正黑体_GBK" w:cs="方正黑体_GBK"/>
          <w:sz w:val="32"/>
          <w:szCs w:val="32"/>
          <w:shd w:val="clear" w:color="auto" w:fill="FFFFFF"/>
          <w:lang w:eastAsia="zh-CN"/>
        </w:rPr>
        <w:t>收支</w:t>
      </w:r>
      <w:r>
        <w:rPr>
          <w:rStyle w:val="15"/>
          <w:rFonts w:hint="eastAsia" w:ascii="方正黑体_GBK" w:hAnsi="方正黑体_GBK" w:eastAsia="方正黑体_GBK" w:cs="方正黑体_GBK"/>
          <w:sz w:val="32"/>
          <w:szCs w:val="32"/>
          <w:shd w:val="clear" w:color="auto" w:fill="FFFFFF"/>
        </w:rPr>
        <w:t>情况说明</w:t>
      </w:r>
    </w:p>
    <w:p>
      <w:pPr>
        <w:pStyle w:val="11"/>
        <w:widowControl w:val="0"/>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方正楷体_GBK" w:hAnsi="方正楷体_GBK" w:eastAsia="方正楷体_GBK" w:cs="方正楷体_GBK"/>
          <w:kern w:val="2"/>
          <w:sz w:val="32"/>
          <w:szCs w:val="32"/>
        </w:rPr>
        <w:t>（一）收入支出决算总体情况说明</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Style w:val="15"/>
          <w:rFonts w:ascii="Times New Roman" w:hAnsi="Times New Roman" w:eastAsia="方正仿宋_GBK" w:cs="Times New Roman"/>
          <w:b w:val="0"/>
          <w:bCs w:val="0"/>
          <w:sz w:val="32"/>
          <w:szCs w:val="32"/>
        </w:rPr>
        <w:t>1.总体情况。</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年度</w:t>
      </w:r>
      <w:r>
        <w:rPr>
          <w:rFonts w:hint="eastAsia" w:ascii="Times New Roman" w:hAnsi="Times New Roman" w:eastAsia="方正仿宋_GBK" w:cs="Times New Roman"/>
          <w:sz w:val="32"/>
          <w:szCs w:val="32"/>
          <w:lang w:eastAsia="zh-CN"/>
        </w:rPr>
        <w:t>收入总计1878.69万元，支出总计1878.69万元。收支较上年决算数减少579.22万元，下降23.56%</w:t>
      </w:r>
      <w:r>
        <w:rPr>
          <w:rFonts w:ascii="Times New Roman" w:hAnsi="Times New Roman" w:eastAsia="方正仿宋_GBK" w:cs="Times New Roman"/>
          <w:sz w:val="32"/>
          <w:szCs w:val="32"/>
        </w:rPr>
        <w:t>，主要原因是我单位</w:t>
      </w:r>
      <w:r>
        <w:rPr>
          <w:rFonts w:hint="eastAsia" w:ascii="Times New Roman" w:hAnsi="Times New Roman" w:eastAsia="方正仿宋_GBK" w:cs="Times New Roman"/>
          <w:sz w:val="32"/>
          <w:szCs w:val="32"/>
        </w:rPr>
        <w:t>财政供养人员和项目</w:t>
      </w:r>
      <w:r>
        <w:rPr>
          <w:rFonts w:ascii="Times New Roman" w:hAnsi="Times New Roman" w:eastAsia="方正仿宋_GBK" w:cs="Times New Roman"/>
          <w:sz w:val="32"/>
          <w:szCs w:val="32"/>
        </w:rPr>
        <w:t>与上年度比较</w:t>
      </w:r>
      <w:r>
        <w:rPr>
          <w:rFonts w:hint="eastAsia" w:ascii="Times New Roman" w:hAnsi="Times New Roman" w:eastAsia="方正仿宋_GBK" w:cs="Times New Roman"/>
          <w:sz w:val="32"/>
          <w:szCs w:val="32"/>
        </w:rPr>
        <w:t>有所减少</w:t>
      </w:r>
      <w:r>
        <w:rPr>
          <w:rFonts w:ascii="Times New Roman" w:hAnsi="Times New Roman" w:eastAsia="方正仿宋_GBK" w:cs="Times New Roman"/>
          <w:sz w:val="32"/>
          <w:szCs w:val="32"/>
        </w:rPr>
        <w:t>。</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Style w:val="15"/>
          <w:rFonts w:ascii="Times New Roman" w:hAnsi="Times New Roman" w:eastAsia="方正仿宋_GBK" w:cs="Times New Roman"/>
          <w:b w:val="0"/>
          <w:bCs w:val="0"/>
          <w:sz w:val="32"/>
          <w:szCs w:val="32"/>
        </w:rPr>
        <w:t>2.收入情况。</w:t>
      </w:r>
      <w:r>
        <w:rPr>
          <w:rStyle w:val="15"/>
          <w:rFonts w:hint="eastAsia" w:ascii="Times New Roman" w:hAnsi="Times New Roman" w:eastAsia="方正仿宋_GBK" w:cs="Times New Roman"/>
          <w:b w:val="0"/>
          <w:bCs w:val="0"/>
          <w:sz w:val="32"/>
          <w:szCs w:val="32"/>
        </w:rPr>
        <w:t>2</w:t>
      </w:r>
      <w:r>
        <w:rPr>
          <w:rFonts w:ascii="Times New Roman" w:hAnsi="Times New Roman" w:eastAsia="方正仿宋_GBK" w:cs="Times New Roman"/>
          <w:sz w:val="32"/>
          <w:szCs w:val="32"/>
        </w:rPr>
        <w:t>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年度收入总计</w:t>
      </w:r>
      <w:r>
        <w:rPr>
          <w:rFonts w:hint="eastAsia" w:ascii="Times New Roman" w:hAnsi="Times New Roman" w:eastAsia="方正仿宋_GBK" w:cs="Times New Roman"/>
          <w:sz w:val="32"/>
          <w:szCs w:val="32"/>
        </w:rPr>
        <w:t>1878.69</w:t>
      </w:r>
      <w:r>
        <w:rPr>
          <w:rFonts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rPr>
        <w:t>减少579.22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下降23.56%</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本年度财政供养人员及项目数量减少</w:t>
      </w:r>
      <w:r>
        <w:rPr>
          <w:rFonts w:ascii="Times New Roman" w:hAnsi="Times New Roman" w:eastAsia="方正仿宋_GBK" w:cs="Times New Roman"/>
          <w:sz w:val="32"/>
          <w:szCs w:val="32"/>
        </w:rPr>
        <w:t>。其中：财政拨款收入</w:t>
      </w:r>
      <w:r>
        <w:rPr>
          <w:rFonts w:hint="eastAsia" w:ascii="Times New Roman" w:hAnsi="Times New Roman" w:eastAsia="方正仿宋_GBK" w:cs="Times New Roman"/>
          <w:sz w:val="32"/>
          <w:szCs w:val="32"/>
        </w:rPr>
        <w:t>1760.6</w:t>
      </w:r>
      <w:r>
        <w:rPr>
          <w:rFonts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rPr>
        <w:t>93.72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；政府性基金财政拨款收入118.1万元，占比6.28%</w:t>
      </w:r>
      <w:r>
        <w:rPr>
          <w:rFonts w:ascii="Times New Roman" w:hAnsi="Times New Roman" w:eastAsia="方正仿宋_GBK" w:cs="Times New Roman"/>
          <w:sz w:val="32"/>
          <w:szCs w:val="32"/>
        </w:rPr>
        <w:t>。</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Style w:val="15"/>
          <w:rFonts w:ascii="Times New Roman" w:hAnsi="Times New Roman" w:eastAsia="方正仿宋_GBK" w:cs="Times New Roman"/>
          <w:b w:val="0"/>
          <w:bCs w:val="0"/>
          <w:sz w:val="32"/>
          <w:szCs w:val="32"/>
        </w:rPr>
        <w:t xml:space="preserve"> 3.支出情况。</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年度支出合计</w:t>
      </w:r>
      <w:r>
        <w:rPr>
          <w:rFonts w:hint="eastAsia" w:ascii="Times New Roman" w:hAnsi="Times New Roman" w:eastAsia="方正仿宋_GBK" w:cs="Times New Roman"/>
          <w:sz w:val="32"/>
          <w:szCs w:val="32"/>
        </w:rPr>
        <w:t>1878.69</w:t>
      </w:r>
      <w:r>
        <w:rPr>
          <w:rFonts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rPr>
        <w:t>减少579.22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下降23.56%</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本年度财政供养人员及项目数量减少</w:t>
      </w:r>
      <w:r>
        <w:rPr>
          <w:rFonts w:ascii="Times New Roman" w:hAnsi="Times New Roman" w:eastAsia="方正仿宋_GBK" w:cs="Times New Roman"/>
          <w:sz w:val="32"/>
          <w:szCs w:val="32"/>
        </w:rPr>
        <w:t>。其中：基本支出</w:t>
      </w:r>
      <w:r>
        <w:rPr>
          <w:rFonts w:hint="eastAsia" w:ascii="Times New Roman" w:hAnsi="Times New Roman" w:eastAsia="方正仿宋_GBK" w:cs="Times New Roman"/>
          <w:sz w:val="32"/>
          <w:szCs w:val="32"/>
        </w:rPr>
        <w:t>633.56</w:t>
      </w:r>
      <w:r>
        <w:rPr>
          <w:rFonts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rPr>
        <w:t>33.7</w:t>
      </w:r>
      <w:r>
        <w:rPr>
          <w:rFonts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rPr>
        <w:t>1245.13</w:t>
      </w:r>
      <w:r>
        <w:rPr>
          <w:rFonts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rPr>
        <w:t>66.3</w:t>
      </w:r>
      <w:r>
        <w:rPr>
          <w:rFonts w:ascii="Times New Roman" w:hAnsi="Times New Roman" w:eastAsia="方正仿宋_GBK" w:cs="Times New Roman"/>
          <w:sz w:val="32"/>
          <w:szCs w:val="32"/>
        </w:rPr>
        <w:t>%。</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Style w:val="15"/>
          <w:rFonts w:ascii="Times New Roman" w:hAnsi="Times New Roman" w:eastAsia="方正仿宋_GBK" w:cs="Times New Roman"/>
          <w:b w:val="0"/>
          <w:bCs w:val="0"/>
          <w:sz w:val="32"/>
          <w:szCs w:val="32"/>
        </w:rPr>
        <w:t>4.结转结余情况。</w:t>
      </w:r>
      <w:r>
        <w:rPr>
          <w:rFonts w:ascii="Times New Roman" w:hAnsi="Times New Roman" w:eastAsia="方正仿宋_GBK" w:cs="Times New Roman"/>
          <w:sz w:val="32"/>
          <w:szCs w:val="32"/>
        </w:rPr>
        <w:t>本</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年度年末无结转结余。</w:t>
      </w:r>
    </w:p>
    <w:p>
      <w:pPr>
        <w:pStyle w:val="11"/>
        <w:widowControl w:val="0"/>
        <w:spacing w:before="0" w:beforeAutospacing="0" w:after="0" w:afterAutospacing="0" w:line="560" w:lineRule="exact"/>
        <w:ind w:firstLine="640" w:firstLineChars="200"/>
        <w:rPr>
          <w:rFonts w:ascii="Times New Roman" w:hAnsi="Times New Roman" w:eastAsia="方正楷体_GBK" w:cs="Times New Roman"/>
          <w:sz w:val="32"/>
          <w:szCs w:val="32"/>
        </w:rPr>
      </w:pPr>
      <w:r>
        <w:rPr>
          <w:rStyle w:val="15"/>
          <w:rFonts w:ascii="Times New Roman" w:hAnsi="Times New Roman" w:eastAsia="方正楷体_GBK" w:cs="Times New Roman"/>
          <w:b w:val="0"/>
          <w:bCs w:val="0"/>
          <w:sz w:val="32"/>
          <w:szCs w:val="32"/>
        </w:rPr>
        <w:t>（二）财政拨款收入支出决算总体情况说明</w:t>
      </w:r>
    </w:p>
    <w:p>
      <w:pPr>
        <w:pStyle w:val="11"/>
        <w:widowControl w:val="0"/>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2024年度财政拨款收、支总计1878.69万元。与2023年相比，财政拨款收、支总计各减少579.22万元、</w:t>
      </w:r>
      <w:r>
        <w:rPr>
          <w:rFonts w:hint="eastAsia" w:ascii="Times New Roman" w:hAnsi="Times New Roman" w:eastAsia="方正仿宋_GBK" w:cs="Times New Roman"/>
          <w:sz w:val="32"/>
          <w:szCs w:val="32"/>
          <w:lang w:eastAsia="zh-CN"/>
        </w:rPr>
        <w:t>下降23.56%</w:t>
      </w:r>
      <w:r>
        <w:rPr>
          <w:rFonts w:hint="eastAsia"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本年度财政供养人员及项目数量减少</w:t>
      </w:r>
      <w:r>
        <w:rPr>
          <w:rFonts w:hint="eastAsia" w:ascii="Times New Roman" w:hAnsi="Times New Roman" w:eastAsia="方正仿宋_GBK" w:cs="Times New Roman"/>
          <w:sz w:val="32"/>
          <w:szCs w:val="32"/>
        </w:rPr>
        <w:t>。</w:t>
      </w:r>
    </w:p>
    <w:p>
      <w:pPr>
        <w:pStyle w:val="11"/>
        <w:widowControl w:val="0"/>
        <w:spacing w:before="0" w:beforeAutospacing="0" w:after="0" w:afterAutospacing="0" w:line="560" w:lineRule="exact"/>
        <w:ind w:firstLine="640" w:firstLineChars="200"/>
        <w:rPr>
          <w:rFonts w:ascii="Times New Roman" w:hAnsi="Times New Roman" w:eastAsia="方正楷体_GBK" w:cs="Times New Roman"/>
          <w:sz w:val="32"/>
          <w:szCs w:val="32"/>
        </w:rPr>
      </w:pPr>
      <w:r>
        <w:rPr>
          <w:rStyle w:val="15"/>
          <w:rFonts w:ascii="Times New Roman" w:hAnsi="Times New Roman" w:eastAsia="方正楷体_GBK" w:cs="Times New Roman"/>
          <w:b w:val="0"/>
          <w:bCs w:val="0"/>
          <w:sz w:val="32"/>
          <w:szCs w:val="32"/>
        </w:rPr>
        <w:t>（三）一般公共预算财政拨款</w:t>
      </w:r>
      <w:r>
        <w:rPr>
          <w:rStyle w:val="15"/>
          <w:rFonts w:hint="eastAsia" w:ascii="Times New Roman" w:hAnsi="Times New Roman" w:eastAsia="方正楷体_GBK" w:cs="Times New Roman"/>
          <w:b w:val="0"/>
          <w:bCs w:val="0"/>
          <w:sz w:val="32"/>
          <w:szCs w:val="32"/>
        </w:rPr>
        <w:t>收入</w:t>
      </w:r>
      <w:r>
        <w:rPr>
          <w:rStyle w:val="15"/>
          <w:rFonts w:ascii="Times New Roman" w:hAnsi="Times New Roman" w:eastAsia="方正楷体_GBK" w:cs="Times New Roman"/>
          <w:b w:val="0"/>
          <w:bCs w:val="0"/>
          <w:sz w:val="32"/>
          <w:szCs w:val="32"/>
        </w:rPr>
        <w:t>支出决算情况说明</w:t>
      </w:r>
    </w:p>
    <w:p>
      <w:pPr>
        <w:pStyle w:val="11"/>
        <w:widowControl w:val="0"/>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Style w:val="15"/>
          <w:rFonts w:ascii="Times New Roman" w:hAnsi="Times New Roman" w:eastAsia="方正仿宋_GBK" w:cs="Times New Roman"/>
          <w:b w:val="0"/>
          <w:bCs w:val="0"/>
          <w:sz w:val="32"/>
          <w:szCs w:val="32"/>
        </w:rPr>
        <w:t>1.收入情况</w:t>
      </w:r>
      <w:r>
        <w:rPr>
          <w:rFonts w:hint="eastAsia" w:ascii="Times New Roman" w:hAnsi="Times New Roman" w:eastAsia="方正仿宋_GBK" w:cs="Times New Roman"/>
          <w:sz w:val="32"/>
          <w:szCs w:val="32"/>
          <w:lang w:eastAsia="zh-CN"/>
        </w:rPr>
        <w:t>。2024年度一般公共预算财政拨款收入总计1878.69万元。与2023年相比减少579.22万元、下降23.56%，主要原因是本年度财政供养人员及项目数量减少。总</w:t>
      </w:r>
      <w:r>
        <w:rPr>
          <w:rFonts w:hint="eastAsia" w:ascii="Times New Roman" w:hAnsi="Times New Roman" w:eastAsia="方正仿宋_GBK" w:cs="Times New Roman"/>
          <w:sz w:val="32"/>
          <w:szCs w:val="32"/>
        </w:rPr>
        <w:t>体收入较年初预算数增加968.15万元，</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rPr>
        <w:t>年中预算增加项目资金</w:t>
      </w:r>
      <w:r>
        <w:rPr>
          <w:rFonts w:hint="eastAsia" w:ascii="Times New Roman" w:hAnsi="Times New Roman" w:eastAsia="方正仿宋_GBK" w:cs="Times New Roman"/>
          <w:sz w:val="32"/>
          <w:szCs w:val="32"/>
          <w:lang w:eastAsia="zh-CN"/>
        </w:rPr>
        <w:t>收入</w:t>
      </w:r>
      <w:r>
        <w:rPr>
          <w:rFonts w:hint="eastAsia" w:ascii="Times New Roman" w:hAnsi="Times New Roman" w:eastAsia="方正仿宋_GBK" w:cs="Times New Roman"/>
          <w:sz w:val="32"/>
          <w:szCs w:val="32"/>
        </w:rPr>
        <w:t>。</w:t>
      </w:r>
    </w:p>
    <w:p>
      <w:pPr>
        <w:pStyle w:val="11"/>
        <w:widowControl w:val="0"/>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2.支出情况。2024年度一般公共预算财政拨款</w:t>
      </w:r>
      <w:r>
        <w:rPr>
          <w:rFonts w:hint="eastAsia" w:ascii="Times New Roman" w:hAnsi="Times New Roman" w:eastAsia="方正仿宋_GBK" w:cs="Times New Roman"/>
          <w:sz w:val="32"/>
          <w:szCs w:val="32"/>
          <w:lang w:eastAsia="zh-CN"/>
        </w:rPr>
        <w:t>支出</w:t>
      </w:r>
      <w:r>
        <w:rPr>
          <w:rFonts w:hint="eastAsia" w:ascii="Times New Roman" w:hAnsi="Times New Roman" w:eastAsia="方正仿宋_GBK" w:cs="Times New Roman"/>
          <w:sz w:val="32"/>
          <w:szCs w:val="32"/>
        </w:rPr>
        <w:t>总计1878.69万元。与2023年相比减少579.22万元、下降23.56%，主要原因是</w:t>
      </w:r>
      <w:r>
        <w:rPr>
          <w:rFonts w:hint="eastAsia" w:ascii="Times New Roman" w:hAnsi="Times New Roman" w:eastAsia="方正仿宋_GBK" w:cs="Times New Roman"/>
          <w:sz w:val="32"/>
          <w:szCs w:val="32"/>
          <w:lang w:eastAsia="zh-CN"/>
        </w:rPr>
        <w:t>本年度财政供养人员及项目数量减少</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2024年度年初预算支出910.54万元，</w:t>
      </w:r>
      <w:r>
        <w:rPr>
          <w:rFonts w:hint="eastAsia" w:ascii="Times New Roman" w:hAnsi="Times New Roman" w:eastAsia="方正仿宋_GBK" w:cs="Times New Roman"/>
          <w:sz w:val="32"/>
          <w:szCs w:val="32"/>
          <w:lang w:eastAsia="zh-CN"/>
        </w:rPr>
        <w:t>实际</w:t>
      </w:r>
      <w:r>
        <w:rPr>
          <w:rFonts w:hint="eastAsia" w:ascii="Times New Roman" w:hAnsi="Times New Roman" w:eastAsia="方正仿宋_GBK" w:cs="Times New Roman"/>
          <w:sz w:val="32"/>
          <w:szCs w:val="32"/>
        </w:rPr>
        <w:t>支出增加968.15万元，主要原因是年中预算增加项目资金支出。</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Style w:val="15"/>
          <w:rFonts w:ascii="Times New Roman" w:hAnsi="Times New Roman" w:eastAsia="方正仿宋_GBK" w:cs="Times New Roman"/>
          <w:b w:val="0"/>
          <w:bCs w:val="0"/>
          <w:sz w:val="32"/>
          <w:szCs w:val="32"/>
        </w:rPr>
        <w:t>3.结转结余情况。</w:t>
      </w:r>
      <w:r>
        <w:rPr>
          <w:rFonts w:ascii="Times New Roman" w:hAnsi="Times New Roman" w:eastAsia="方正仿宋_GBK" w:cs="Times New Roman"/>
          <w:sz w:val="32"/>
          <w:szCs w:val="32"/>
        </w:rPr>
        <w:t>本乡镇202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年度年末无一般公共预算财政拨款结转和结余。</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Style w:val="15"/>
          <w:rFonts w:ascii="Times New Roman" w:hAnsi="Times New Roman" w:eastAsia="方正仿宋_GBK" w:cs="Times New Roman"/>
          <w:b w:val="0"/>
          <w:bCs w:val="0"/>
          <w:sz w:val="32"/>
          <w:szCs w:val="32"/>
        </w:rPr>
        <w:t>4.比较情况。</w:t>
      </w:r>
      <w:r>
        <w:rPr>
          <w:rFonts w:ascii="Times New Roman" w:hAnsi="Times New Roman" w:eastAsia="方正仿宋_GBK" w:cs="Times New Roman"/>
          <w:sz w:val="32"/>
          <w:szCs w:val="32"/>
        </w:rPr>
        <w:t>本乡镇202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 xml:space="preserve">年度一般公共预算财政拨款支出主要用于以下几个方面： </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color w:val="FF0000"/>
          <w:sz w:val="32"/>
          <w:szCs w:val="32"/>
        </w:rPr>
      </w:pPr>
      <w:r>
        <w:rPr>
          <w:rFonts w:ascii="Times New Roman" w:hAnsi="Times New Roman" w:eastAsia="方正仿宋_GBK" w:cs="Times New Roman"/>
          <w:sz w:val="32"/>
          <w:szCs w:val="32"/>
        </w:rPr>
        <w:t>（1）一般公共服务支出</w:t>
      </w:r>
      <w:r>
        <w:rPr>
          <w:rFonts w:hint="eastAsia" w:ascii="Times New Roman" w:hAnsi="Times New Roman" w:eastAsia="方正仿宋_GBK" w:cs="Times New Roman"/>
          <w:sz w:val="32"/>
          <w:szCs w:val="32"/>
        </w:rPr>
        <w:t>316.82</w:t>
      </w:r>
      <w:r>
        <w:rPr>
          <w:rFonts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rPr>
        <w:t>16.86</w:t>
      </w:r>
      <w:r>
        <w:rPr>
          <w:rFonts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rPr>
        <w:t>2.91</w:t>
      </w:r>
      <w:r>
        <w:rPr>
          <w:rFonts w:ascii="Times New Roman" w:hAnsi="Times New Roman" w:eastAsia="方正仿宋_GBK" w:cs="Times New Roman"/>
          <w:sz w:val="32"/>
          <w:szCs w:val="32"/>
        </w:rPr>
        <w:t>万元，主要原因是年中追加了职工政策性待遇经费保障以及运行经费等支出。</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（2）文化旅游体育与传媒支出</w:t>
      </w:r>
      <w:r>
        <w:rPr>
          <w:rFonts w:hint="eastAsia" w:ascii="Times New Roman" w:hAnsi="Times New Roman" w:eastAsia="方正仿宋_GBK" w:cs="Times New Roman"/>
          <w:sz w:val="32"/>
          <w:szCs w:val="32"/>
        </w:rPr>
        <w:t>29.54</w:t>
      </w:r>
      <w:r>
        <w:rPr>
          <w:rFonts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rPr>
        <w:t>1.57</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较年初预算数</w:t>
      </w:r>
      <w:r>
        <w:rPr>
          <w:rFonts w:hint="eastAsia" w:ascii="Times New Roman" w:hAnsi="Times New Roman" w:eastAsia="方正仿宋_GBK" w:cs="Times New Roman"/>
          <w:color w:val="000000"/>
          <w:sz w:val="32"/>
          <w:szCs w:val="32"/>
        </w:rPr>
        <w:t>增加4.78</w:t>
      </w:r>
      <w:r>
        <w:rPr>
          <w:rFonts w:ascii="Times New Roman" w:hAnsi="Times New Roman" w:eastAsia="方正仿宋_GBK" w:cs="Times New Roman"/>
          <w:color w:val="000000"/>
          <w:sz w:val="32"/>
          <w:szCs w:val="32"/>
        </w:rPr>
        <w:t>万元，主要</w:t>
      </w:r>
      <w:r>
        <w:rPr>
          <w:rFonts w:hint="eastAsia" w:ascii="Times New Roman" w:hAnsi="Times New Roman" w:eastAsia="方正仿宋_GBK" w:cs="Times New Roman"/>
          <w:color w:val="000000"/>
          <w:sz w:val="32"/>
          <w:szCs w:val="32"/>
        </w:rPr>
        <w:t>用于</w:t>
      </w:r>
      <w:r>
        <w:rPr>
          <w:rFonts w:ascii="Times New Roman" w:hAnsi="Times New Roman" w:eastAsia="方正仿宋_GBK" w:cs="Times New Roman"/>
          <w:color w:val="000000"/>
          <w:sz w:val="32"/>
          <w:szCs w:val="32"/>
        </w:rPr>
        <w:t>保障文化</w:t>
      </w:r>
      <w:r>
        <w:rPr>
          <w:rFonts w:ascii="Times New Roman" w:hAnsi="Times New Roman" w:eastAsia="方正仿宋_GBK" w:cs="Times New Roman"/>
          <w:sz w:val="32"/>
          <w:szCs w:val="32"/>
        </w:rPr>
        <w:t>服务中心人员待遇</w:t>
      </w:r>
      <w:r>
        <w:rPr>
          <w:rFonts w:hint="eastAsia" w:ascii="Times New Roman" w:hAnsi="Times New Roman" w:eastAsia="方正仿宋_GBK" w:cs="Times New Roman"/>
          <w:sz w:val="32"/>
          <w:szCs w:val="32"/>
        </w:rPr>
        <w:t>及文化服务活动</w:t>
      </w:r>
      <w:r>
        <w:rPr>
          <w:rFonts w:ascii="Times New Roman" w:hAnsi="Times New Roman" w:eastAsia="方正仿宋_GBK" w:cs="Times New Roman"/>
          <w:sz w:val="32"/>
          <w:szCs w:val="32"/>
        </w:rPr>
        <w:t>支出。</w:t>
      </w:r>
      <w:r>
        <w:rPr>
          <w:rFonts w:ascii="Times New Roman" w:hAnsi="Times New Roman" w:eastAsia="方正仿宋_GBK" w:cs="Times New Roman"/>
          <w:color w:val="FF0000"/>
          <w:sz w:val="32"/>
          <w:szCs w:val="32"/>
        </w:rPr>
        <w:t xml:space="preserve"> </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（3）社会保障与就业支出</w:t>
      </w:r>
      <w:r>
        <w:rPr>
          <w:rFonts w:hint="eastAsia" w:ascii="Times New Roman" w:hAnsi="Times New Roman" w:eastAsia="方正仿宋_GBK" w:cs="Times New Roman"/>
          <w:sz w:val="32"/>
          <w:szCs w:val="32"/>
        </w:rPr>
        <w:t>133.78</w:t>
      </w:r>
      <w:r>
        <w:rPr>
          <w:rFonts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rPr>
        <w:t>7.12</w:t>
      </w:r>
      <w:r>
        <w:rPr>
          <w:rFonts w:ascii="Times New Roman" w:hAnsi="Times New Roman" w:eastAsia="方正仿宋_GBK" w:cs="Times New Roman"/>
          <w:sz w:val="32"/>
          <w:szCs w:val="32"/>
        </w:rPr>
        <w:t>%，较年初预算数</w:t>
      </w:r>
      <w:r>
        <w:rPr>
          <w:rFonts w:hint="eastAsia" w:ascii="Times New Roman" w:hAnsi="Times New Roman" w:eastAsia="方正仿宋_GBK" w:cs="Times New Roman"/>
          <w:sz w:val="32"/>
          <w:szCs w:val="32"/>
        </w:rPr>
        <w:t>增加5.45</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增加4</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主要原因是</w:t>
      </w:r>
      <w:r>
        <w:rPr>
          <w:rFonts w:hint="eastAsia" w:ascii="Times New Roman" w:hAnsi="Times New Roman" w:eastAsia="方正仿宋_GBK" w:cs="Times New Roman"/>
          <w:sz w:val="32"/>
          <w:szCs w:val="32"/>
        </w:rPr>
        <w:t>便民服务中心</w:t>
      </w:r>
      <w:r>
        <w:rPr>
          <w:rFonts w:ascii="Times New Roman" w:hAnsi="Times New Roman" w:eastAsia="方正仿宋_GBK" w:cs="Times New Roman"/>
          <w:sz w:val="32"/>
          <w:szCs w:val="32"/>
        </w:rPr>
        <w:t>工作人员以及社区干部报酬等相关经费</w:t>
      </w:r>
      <w:r>
        <w:rPr>
          <w:rFonts w:hint="eastAsia" w:ascii="Times New Roman" w:hAnsi="Times New Roman" w:eastAsia="方正仿宋_GBK" w:cs="Times New Roman"/>
          <w:sz w:val="32"/>
          <w:szCs w:val="32"/>
          <w:lang w:eastAsia="zh-CN"/>
        </w:rPr>
        <w:t>调整，</w:t>
      </w:r>
      <w:r>
        <w:rPr>
          <w:rFonts w:hint="eastAsia" w:ascii="Times New Roman" w:hAnsi="Times New Roman" w:eastAsia="方正仿宋_GBK" w:cs="Times New Roman"/>
          <w:sz w:val="32"/>
          <w:szCs w:val="32"/>
        </w:rPr>
        <w:t>用于</w:t>
      </w:r>
      <w:r>
        <w:rPr>
          <w:rFonts w:ascii="Times New Roman" w:hAnsi="Times New Roman" w:eastAsia="方正仿宋_GBK" w:cs="Times New Roman"/>
          <w:sz w:val="32"/>
          <w:szCs w:val="32"/>
        </w:rPr>
        <w:t>机关社会保险缴费、职业年金支出。</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（4）卫生健康支出</w:t>
      </w:r>
      <w:r>
        <w:rPr>
          <w:rFonts w:hint="eastAsia" w:ascii="Times New Roman" w:hAnsi="Times New Roman" w:eastAsia="方正仿宋_GBK" w:cs="Times New Roman"/>
          <w:sz w:val="32"/>
          <w:szCs w:val="32"/>
        </w:rPr>
        <w:t>30.78</w:t>
      </w:r>
      <w:r>
        <w:rPr>
          <w:rFonts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rPr>
        <w:t>1.63</w:t>
      </w:r>
      <w:r>
        <w:rPr>
          <w:rFonts w:ascii="Times New Roman" w:hAnsi="Times New Roman" w:eastAsia="方正仿宋_GBK" w:cs="Times New Roman"/>
          <w:sz w:val="32"/>
          <w:szCs w:val="32"/>
        </w:rPr>
        <w:t>%，主要用于职工人员的医保、工伤、生育等社会保障支出。</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（5）城乡社区支出</w:t>
      </w:r>
      <w:r>
        <w:rPr>
          <w:rFonts w:hint="eastAsia" w:ascii="Times New Roman" w:hAnsi="Times New Roman" w:eastAsia="方正仿宋_GBK" w:cs="Times New Roman"/>
          <w:sz w:val="32"/>
          <w:szCs w:val="32"/>
        </w:rPr>
        <w:t>148.08</w:t>
      </w:r>
      <w:r>
        <w:rPr>
          <w:rFonts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rPr>
        <w:t>7.88</w:t>
      </w:r>
      <w:r>
        <w:rPr>
          <w:rFonts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rPr>
        <w:t>118.08</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主要</w:t>
      </w:r>
      <w:r>
        <w:rPr>
          <w:rFonts w:ascii="Times New Roman" w:hAnsi="Times New Roman" w:eastAsia="方正仿宋_GBK" w:cs="Times New Roman"/>
          <w:sz w:val="32"/>
          <w:szCs w:val="32"/>
        </w:rPr>
        <w:t>用于城乡社区环境卫生</w:t>
      </w:r>
      <w:r>
        <w:rPr>
          <w:rFonts w:hint="eastAsia" w:ascii="Times New Roman" w:hAnsi="Times New Roman" w:eastAsia="方正仿宋_GBK" w:cs="Times New Roman"/>
          <w:sz w:val="32"/>
          <w:szCs w:val="32"/>
        </w:rPr>
        <w:t>以及农村基础设施建设</w:t>
      </w:r>
      <w:r>
        <w:rPr>
          <w:rFonts w:ascii="Times New Roman" w:hAnsi="Times New Roman" w:eastAsia="方正仿宋_GBK" w:cs="Times New Roman"/>
          <w:sz w:val="32"/>
          <w:szCs w:val="32"/>
        </w:rPr>
        <w:t>的支出。</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（6）农林水支出</w:t>
      </w:r>
      <w:r>
        <w:rPr>
          <w:rFonts w:hint="eastAsia" w:ascii="Times New Roman" w:hAnsi="Times New Roman" w:eastAsia="方正仿宋_GBK" w:cs="Times New Roman"/>
          <w:sz w:val="32"/>
          <w:szCs w:val="32"/>
        </w:rPr>
        <w:t>1150.62</w:t>
      </w:r>
      <w:r>
        <w:rPr>
          <w:rFonts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rPr>
        <w:t>61.24</w:t>
      </w:r>
      <w:r>
        <w:rPr>
          <w:rFonts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rPr>
        <w:t>806.58</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主要原因是年中预算增加农林水项目资金</w:t>
      </w:r>
      <w:r>
        <w:rPr>
          <w:rFonts w:hint="eastAsia" w:ascii="Times New Roman" w:hAnsi="Times New Roman" w:eastAsia="方正仿宋_GBK" w:cs="Times New Roman"/>
          <w:sz w:val="32"/>
          <w:szCs w:val="32"/>
          <w:lang w:eastAsia="zh-CN"/>
        </w:rPr>
        <w:t>支出</w:t>
      </w:r>
      <w:r>
        <w:rPr>
          <w:rFonts w:hint="eastAsia" w:ascii="Times New Roman" w:hAnsi="Times New Roman" w:eastAsia="方正仿宋_GBK" w:cs="Times New Roman"/>
          <w:sz w:val="32"/>
          <w:szCs w:val="32"/>
        </w:rPr>
        <w:t>，用于产业服务发展中心人员待遇、村干部报酬、工作</w:t>
      </w:r>
      <w:r>
        <w:rPr>
          <w:rFonts w:ascii="Times New Roman" w:hAnsi="Times New Roman" w:eastAsia="方正仿宋_GBK" w:cs="Times New Roman"/>
          <w:sz w:val="32"/>
          <w:szCs w:val="32"/>
        </w:rPr>
        <w:t>经费</w:t>
      </w:r>
      <w:r>
        <w:rPr>
          <w:rFonts w:hint="eastAsia" w:ascii="Times New Roman" w:hAnsi="Times New Roman" w:eastAsia="方正仿宋_GBK" w:cs="Times New Roman"/>
          <w:sz w:val="32"/>
          <w:szCs w:val="32"/>
        </w:rPr>
        <w:t>、群众服务经费、生态效益、退耕还林、种粮直补</w:t>
      </w:r>
      <w:r>
        <w:rPr>
          <w:rFonts w:ascii="Times New Roman" w:hAnsi="Times New Roman" w:eastAsia="方正仿宋_GBK" w:cs="Times New Roman"/>
          <w:sz w:val="32"/>
          <w:szCs w:val="32"/>
        </w:rPr>
        <w:t>以及</w:t>
      </w:r>
      <w:r>
        <w:rPr>
          <w:rFonts w:hint="eastAsia" w:ascii="Times New Roman" w:hAnsi="Times New Roman" w:eastAsia="方正仿宋_GBK" w:cs="Times New Roman"/>
          <w:sz w:val="32"/>
          <w:szCs w:val="32"/>
        </w:rPr>
        <w:t>农业建设</w:t>
      </w:r>
      <w:r>
        <w:rPr>
          <w:rFonts w:ascii="Times New Roman" w:hAnsi="Times New Roman" w:eastAsia="方正仿宋_GBK" w:cs="Times New Roman"/>
          <w:sz w:val="32"/>
          <w:szCs w:val="32"/>
        </w:rPr>
        <w:t>性</w:t>
      </w:r>
      <w:r>
        <w:rPr>
          <w:rFonts w:hint="eastAsia" w:ascii="Times New Roman" w:hAnsi="Times New Roman" w:eastAsia="方正仿宋_GBK" w:cs="Times New Roman"/>
          <w:sz w:val="32"/>
          <w:szCs w:val="32"/>
        </w:rPr>
        <w:t>项目</w:t>
      </w:r>
      <w:r>
        <w:rPr>
          <w:rFonts w:ascii="Times New Roman" w:hAnsi="Times New Roman" w:eastAsia="方正仿宋_GBK" w:cs="Times New Roman"/>
          <w:sz w:val="32"/>
          <w:szCs w:val="32"/>
        </w:rPr>
        <w:t>支出。</w:t>
      </w:r>
    </w:p>
    <w:p>
      <w:pPr>
        <w:pStyle w:val="11"/>
        <w:widowControl w:val="0"/>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（7）节能环保支出10.6万元，占0.56%，较年初预算数增加10.6万元，主要原因是年中预算增加节能环保项目资金，用于支付农村环境卫生维护。</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rPr>
        <w:t>38.7</w:t>
      </w:r>
      <w:r>
        <w:rPr>
          <w:rFonts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rPr>
        <w:t>2.05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主要</w:t>
      </w:r>
      <w:r>
        <w:rPr>
          <w:rFonts w:ascii="Times New Roman" w:hAnsi="Times New Roman" w:eastAsia="方正仿宋_GBK" w:cs="Times New Roman"/>
          <w:sz w:val="32"/>
          <w:szCs w:val="32"/>
        </w:rPr>
        <w:t>用于职工住房公积金保障性支出。</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交通运输</w:t>
      </w:r>
      <w:r>
        <w:rPr>
          <w:rFonts w:ascii="Times New Roman" w:hAnsi="Times New Roman" w:eastAsia="方正仿宋_GBK" w:cs="Times New Roman"/>
          <w:sz w:val="32"/>
          <w:szCs w:val="32"/>
        </w:rPr>
        <w:t>支出</w:t>
      </w:r>
      <w:r>
        <w:rPr>
          <w:rFonts w:hint="eastAsia" w:ascii="Times New Roman" w:hAnsi="Times New Roman" w:eastAsia="方正仿宋_GBK" w:cs="Times New Roman"/>
          <w:sz w:val="32"/>
          <w:szCs w:val="32"/>
        </w:rPr>
        <w:t>19.75万元</w:t>
      </w:r>
      <w:r>
        <w:rPr>
          <w:rFonts w:ascii="Times New Roman" w:hAnsi="Times New Roman" w:eastAsia="方正仿宋_GBK" w:cs="Times New Roman"/>
          <w:sz w:val="32"/>
          <w:szCs w:val="32"/>
        </w:rPr>
        <w:t>，占</w:t>
      </w:r>
      <w:r>
        <w:rPr>
          <w:rFonts w:hint="eastAsia" w:ascii="Times New Roman" w:hAnsi="Times New Roman" w:eastAsia="方正仿宋_GBK" w:cs="Times New Roman"/>
          <w:sz w:val="32"/>
          <w:szCs w:val="32"/>
        </w:rPr>
        <w:t>1.05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主要</w:t>
      </w:r>
      <w:r>
        <w:rPr>
          <w:rFonts w:ascii="Times New Roman" w:hAnsi="Times New Roman" w:eastAsia="方正仿宋_GBK" w:cs="Times New Roman"/>
          <w:sz w:val="32"/>
          <w:szCs w:val="32"/>
        </w:rPr>
        <w:t>用于</w:t>
      </w:r>
      <w:r>
        <w:rPr>
          <w:rFonts w:hint="eastAsia" w:ascii="Times New Roman" w:hAnsi="Times New Roman" w:eastAsia="方正仿宋_GBK" w:cs="Times New Roman"/>
          <w:sz w:val="32"/>
          <w:szCs w:val="32"/>
        </w:rPr>
        <w:t>农村水毁公路修复</w:t>
      </w:r>
      <w:r>
        <w:rPr>
          <w:rFonts w:ascii="Times New Roman" w:hAnsi="Times New Roman" w:eastAsia="方正仿宋_GBK" w:cs="Times New Roman"/>
          <w:sz w:val="32"/>
          <w:szCs w:val="32"/>
        </w:rPr>
        <w:t>支出。</w:t>
      </w:r>
    </w:p>
    <w:p>
      <w:pPr>
        <w:pStyle w:val="11"/>
        <w:widowControl w:val="0"/>
        <w:spacing w:before="0" w:beforeAutospacing="0" w:after="0" w:afterAutospacing="0" w:line="560" w:lineRule="exact"/>
        <w:ind w:firstLine="640" w:firstLineChars="200"/>
        <w:rPr>
          <w:rFonts w:ascii="Times New Roman" w:hAnsi="Times New Roman" w:eastAsia="方正楷体_GBK" w:cs="Times New Roman"/>
          <w:sz w:val="32"/>
          <w:szCs w:val="32"/>
        </w:rPr>
      </w:pPr>
      <w:r>
        <w:rPr>
          <w:rStyle w:val="15"/>
          <w:rFonts w:ascii="Times New Roman" w:hAnsi="Times New Roman" w:eastAsia="方正楷体_GBK" w:cs="Times New Roman"/>
          <w:b w:val="0"/>
          <w:bCs w:val="0"/>
          <w:sz w:val="32"/>
          <w:szCs w:val="32"/>
        </w:rPr>
        <w:t>（四）一般公共预算财政拨款基本支出决算情况说明</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年度财政拨款基本支出</w:t>
      </w:r>
      <w:r>
        <w:rPr>
          <w:rFonts w:hint="eastAsia" w:ascii="Times New Roman" w:hAnsi="Times New Roman" w:eastAsia="方正仿宋_GBK" w:cs="Times New Roman"/>
          <w:sz w:val="32"/>
          <w:szCs w:val="32"/>
        </w:rPr>
        <w:t>633.56</w:t>
      </w:r>
      <w:r>
        <w:rPr>
          <w:rFonts w:ascii="Times New Roman" w:hAnsi="Times New Roman" w:eastAsia="方正仿宋_GBK" w:cs="Times New Roman"/>
          <w:sz w:val="32"/>
          <w:szCs w:val="32"/>
        </w:rPr>
        <w:t>万元。其中：人员经费</w:t>
      </w:r>
      <w:r>
        <w:rPr>
          <w:rFonts w:hint="eastAsia" w:ascii="Times New Roman" w:hAnsi="Times New Roman" w:eastAsia="方正仿宋_GBK" w:cs="Times New Roman"/>
          <w:sz w:val="32"/>
          <w:szCs w:val="32"/>
        </w:rPr>
        <w:t>581.24</w:t>
      </w:r>
      <w:r>
        <w:rPr>
          <w:rFonts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rPr>
        <w:t>减少78.84</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减少1.73</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rPr>
        <w:t>本单位本年度人员有所减少</w:t>
      </w:r>
      <w:r>
        <w:rPr>
          <w:rFonts w:ascii="Times New Roman" w:hAnsi="Times New Roman" w:eastAsia="方正仿宋_GBK" w:cs="Times New Roman"/>
          <w:sz w:val="32"/>
          <w:szCs w:val="32"/>
        </w:rPr>
        <w:t>。人员经费用途主要包括基本工资、津贴补贴、奖金、伙食补助费、绩效工资、社会保障缴费、住房公积金、医疗费以及其他工资福利支出。公用经费</w:t>
      </w:r>
      <w:r>
        <w:rPr>
          <w:rFonts w:hint="eastAsia" w:ascii="Times New Roman" w:hAnsi="Times New Roman" w:eastAsia="方正仿宋_GBK" w:cs="Times New Roman"/>
          <w:sz w:val="32"/>
          <w:szCs w:val="32"/>
        </w:rPr>
        <w:t>58.12</w:t>
      </w:r>
      <w:r>
        <w:rPr>
          <w:rFonts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rPr>
        <w:t>减少137.26</w:t>
      </w:r>
      <w:r>
        <w:rPr>
          <w:rFonts w:ascii="Times New Roman" w:hAnsi="Times New Roman" w:eastAsia="方正仿宋_GBK" w:cs="Times New Roman"/>
          <w:sz w:val="32"/>
          <w:szCs w:val="32"/>
        </w:rPr>
        <w:t>万元，主要原因是商品和服务支出</w:t>
      </w:r>
      <w:r>
        <w:rPr>
          <w:rFonts w:hint="eastAsia" w:ascii="Times New Roman" w:hAnsi="Times New Roman" w:eastAsia="方正仿宋_GBK" w:cs="Times New Roman"/>
          <w:sz w:val="32"/>
          <w:szCs w:val="32"/>
        </w:rPr>
        <w:t>减少</w:t>
      </w:r>
      <w:r>
        <w:rPr>
          <w:rFonts w:ascii="Times New Roman" w:hAnsi="Times New Roman" w:eastAsia="方正仿宋_GBK" w:cs="Times New Roman"/>
          <w:sz w:val="32"/>
          <w:szCs w:val="32"/>
        </w:rPr>
        <w:t>。公用经费用途主要包括办公费、手续费、电费、邮电费、差旅费、维修（护）费、会议费、培训费、劳务费、工会经费、公务接待费、公务用车运行维护费以及其他交通费用等。</w:t>
      </w:r>
    </w:p>
    <w:p>
      <w:pPr>
        <w:pStyle w:val="11"/>
        <w:widowControl w:val="0"/>
        <w:spacing w:before="0" w:beforeAutospacing="0" w:after="0" w:afterAutospacing="0" w:line="560" w:lineRule="exact"/>
        <w:ind w:firstLine="640" w:firstLineChars="200"/>
        <w:rPr>
          <w:rFonts w:ascii="Times New Roman" w:hAnsi="Times New Roman" w:eastAsia="方正楷体_GBK" w:cs="Times New Roman"/>
          <w:sz w:val="32"/>
          <w:szCs w:val="32"/>
        </w:rPr>
      </w:pPr>
      <w:r>
        <w:rPr>
          <w:rStyle w:val="15"/>
          <w:rFonts w:ascii="Times New Roman" w:hAnsi="Times New Roman" w:eastAsia="方正楷体_GBK" w:cs="Times New Roman"/>
          <w:b w:val="0"/>
          <w:bCs w:val="0"/>
          <w:sz w:val="32"/>
          <w:szCs w:val="32"/>
        </w:rPr>
        <w:t>（五）政府性基金预算收支决算情况说明</w:t>
      </w:r>
    </w:p>
    <w:p>
      <w:pPr>
        <w:pStyle w:val="11"/>
        <w:widowControl w:val="0"/>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年度政府性基金预算财政拨款年初结转结余0万元，年末结转结余0万元。本年收入</w:t>
      </w:r>
      <w:r>
        <w:rPr>
          <w:rFonts w:hint="eastAsia" w:ascii="Times New Roman" w:hAnsi="Times New Roman" w:eastAsia="方正仿宋_GBK" w:cs="Times New Roman"/>
          <w:sz w:val="32"/>
          <w:szCs w:val="32"/>
        </w:rPr>
        <w:t>118.08</w:t>
      </w:r>
      <w:r>
        <w:rPr>
          <w:rFonts w:ascii="Times New Roman" w:hAnsi="Times New Roman" w:eastAsia="方正仿宋_GBK" w:cs="Times New Roman"/>
          <w:sz w:val="32"/>
          <w:szCs w:val="32"/>
        </w:rPr>
        <w:t>万元，较上年决算</w:t>
      </w:r>
      <w:r>
        <w:rPr>
          <w:rFonts w:hint="eastAsia" w:ascii="Times New Roman" w:hAnsi="Times New Roman" w:eastAsia="方正仿宋_GBK" w:cs="Times New Roman"/>
          <w:sz w:val="32"/>
          <w:szCs w:val="32"/>
        </w:rPr>
        <w:t>减少826.62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，主要原因是本年度城市基础设施配套和农村基础设施建设资金收入减少。本年支出118.08万元，较上年决算数减少826.62万元，主要原因是本年度城市基础设施配套和农村基础设施建设资金支出减少。</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5"/>
          <w:rFonts w:hint="default" w:ascii="方正黑体_GBK" w:hAnsi="方正黑体_GBK" w:eastAsia="方正黑体_GBK" w:cs="方正黑体_GBK"/>
          <w:sz w:val="32"/>
          <w:szCs w:val="32"/>
          <w:shd w:val="clear" w:color="auto" w:fill="FFFFFF"/>
        </w:rPr>
      </w:pPr>
      <w:r>
        <w:rPr>
          <w:rStyle w:val="15"/>
          <w:rFonts w:hint="eastAsia" w:ascii="方正黑体_GBK" w:hAnsi="方正黑体_GBK" w:eastAsia="方正黑体_GBK" w:cs="方正黑体_GBK"/>
          <w:sz w:val="32"/>
          <w:szCs w:val="32"/>
          <w:shd w:val="clear" w:color="auto" w:fill="FFFFFF"/>
        </w:rPr>
        <w:t>三、</w:t>
      </w:r>
      <w:r>
        <w:rPr>
          <w:rStyle w:val="15"/>
          <w:rFonts w:hint="eastAsia" w:ascii="方正黑体_GBK" w:hAnsi="方正黑体_GBK" w:eastAsia="方正黑体_GBK" w:cs="方正黑体_GBK"/>
          <w:sz w:val="32"/>
          <w:szCs w:val="32"/>
          <w:shd w:val="clear" w:color="auto" w:fill="FFFFFF"/>
          <w:lang w:eastAsia="zh-CN"/>
        </w:rPr>
        <w:t>财政拨款</w:t>
      </w:r>
      <w:r>
        <w:rPr>
          <w:rStyle w:val="15"/>
          <w:rFonts w:hint="eastAsia" w:ascii="方正黑体_GBK" w:hAnsi="方正黑体_GBK" w:eastAsia="方正黑体_GBK" w:cs="方正黑体_GBK"/>
          <w:sz w:val="32"/>
          <w:szCs w:val="32"/>
          <w:shd w:val="clear" w:color="auto" w:fill="FFFFFF"/>
        </w:rPr>
        <w:t>“三公”经费情况说明</w:t>
      </w:r>
    </w:p>
    <w:p>
      <w:pPr>
        <w:pStyle w:val="11"/>
        <w:widowControl w:val="0"/>
        <w:spacing w:before="0" w:beforeAutospacing="0" w:after="0" w:afterAutospacing="0" w:line="560" w:lineRule="exact"/>
        <w:ind w:firstLine="640" w:firstLineChars="200"/>
        <w:rPr>
          <w:rFonts w:ascii="Times New Roman" w:hAnsi="Times New Roman" w:eastAsia="方正楷体_GBK" w:cs="Times New Roman"/>
          <w:sz w:val="32"/>
          <w:szCs w:val="32"/>
        </w:rPr>
      </w:pPr>
      <w:r>
        <w:rPr>
          <w:rStyle w:val="15"/>
          <w:rFonts w:ascii="Times New Roman" w:hAnsi="Times New Roman" w:eastAsia="方正楷体_GBK" w:cs="Times New Roman"/>
          <w:b w:val="0"/>
          <w:bCs w:val="0"/>
          <w:sz w:val="32"/>
          <w:szCs w:val="32"/>
        </w:rPr>
        <w:t>（一）</w:t>
      </w:r>
      <w:r>
        <w:rPr>
          <w:rStyle w:val="15"/>
          <w:rFonts w:hint="eastAsia" w:ascii="Times New Roman" w:hAnsi="Times New Roman" w:eastAsia="方正楷体_GBK" w:cs="Times New Roman"/>
          <w:b w:val="0"/>
          <w:bCs w:val="0"/>
          <w:sz w:val="32"/>
          <w:szCs w:val="32"/>
        </w:rPr>
        <w:t>“</w:t>
      </w:r>
      <w:r>
        <w:rPr>
          <w:rStyle w:val="15"/>
          <w:rFonts w:ascii="Times New Roman" w:hAnsi="Times New Roman" w:eastAsia="方正楷体_GBK" w:cs="Times New Roman"/>
          <w:b w:val="0"/>
          <w:bCs w:val="0"/>
          <w:sz w:val="32"/>
          <w:szCs w:val="32"/>
        </w:rPr>
        <w:t>三公</w:t>
      </w:r>
      <w:r>
        <w:rPr>
          <w:rStyle w:val="15"/>
          <w:rFonts w:hint="eastAsia" w:ascii="Times New Roman" w:hAnsi="Times New Roman" w:eastAsia="方正楷体_GBK" w:cs="Times New Roman"/>
          <w:b w:val="0"/>
          <w:bCs w:val="0"/>
          <w:sz w:val="32"/>
          <w:szCs w:val="32"/>
        </w:rPr>
        <w:t>”</w:t>
      </w:r>
      <w:r>
        <w:rPr>
          <w:rStyle w:val="15"/>
          <w:rFonts w:ascii="Times New Roman" w:hAnsi="Times New Roman" w:eastAsia="方正楷体_GBK" w:cs="Times New Roman"/>
          <w:b w:val="0"/>
          <w:bCs w:val="0"/>
          <w:sz w:val="32"/>
          <w:szCs w:val="32"/>
        </w:rPr>
        <w:t>经费支出总体情况说明</w:t>
      </w:r>
    </w:p>
    <w:p>
      <w:pPr>
        <w:pStyle w:val="11"/>
        <w:widowControl w:val="0"/>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年度“三公”经费支出共计</w:t>
      </w:r>
      <w:r>
        <w:rPr>
          <w:rFonts w:hint="eastAsia" w:ascii="Times New Roman" w:hAnsi="Times New Roman" w:eastAsia="方正仿宋_GBK" w:cs="Times New Roman"/>
          <w:sz w:val="32"/>
          <w:szCs w:val="32"/>
        </w:rPr>
        <w:t>7.4</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主要</w:t>
      </w:r>
      <w:r>
        <w:rPr>
          <w:rFonts w:hint="eastAsia" w:ascii="Times New Roman" w:hAnsi="Times New Roman" w:eastAsia="方正仿宋_GBK" w:cs="Times New Roman"/>
          <w:sz w:val="32"/>
          <w:szCs w:val="32"/>
          <w:lang w:eastAsia="zh-CN"/>
        </w:rPr>
        <w:t>用于保障机关正常运转和公务接待等</w:t>
      </w:r>
      <w:r>
        <w:rPr>
          <w:rFonts w:hint="eastAsia" w:ascii="Times New Roman" w:hAnsi="Times New Roman" w:eastAsia="方正仿宋_GBK" w:cs="Times New Roman"/>
          <w:sz w:val="32"/>
          <w:szCs w:val="32"/>
        </w:rPr>
        <w:t>。</w:t>
      </w:r>
    </w:p>
    <w:p>
      <w:pPr>
        <w:pStyle w:val="11"/>
        <w:widowControl w:val="0"/>
        <w:spacing w:before="0" w:beforeAutospacing="0" w:after="0" w:afterAutospacing="0" w:line="560" w:lineRule="exact"/>
        <w:ind w:firstLine="640" w:firstLineChars="200"/>
        <w:rPr>
          <w:rFonts w:ascii="Times New Roman" w:hAnsi="Times New Roman" w:eastAsia="方正楷体_GBK" w:cs="Times New Roman"/>
          <w:sz w:val="32"/>
          <w:szCs w:val="32"/>
        </w:rPr>
      </w:pPr>
      <w:r>
        <w:rPr>
          <w:rStyle w:val="15"/>
          <w:rFonts w:ascii="Times New Roman" w:hAnsi="Times New Roman" w:eastAsia="方正楷体_GBK" w:cs="Times New Roman"/>
          <w:b w:val="0"/>
          <w:bCs w:val="0"/>
          <w:sz w:val="32"/>
          <w:szCs w:val="32"/>
        </w:rPr>
        <w:t>（二）</w:t>
      </w:r>
      <w:r>
        <w:rPr>
          <w:rStyle w:val="15"/>
          <w:rFonts w:hint="eastAsia" w:ascii="Times New Roman" w:hAnsi="Times New Roman" w:eastAsia="方正楷体_GBK" w:cs="Times New Roman"/>
          <w:b w:val="0"/>
          <w:bCs w:val="0"/>
          <w:sz w:val="32"/>
          <w:szCs w:val="32"/>
        </w:rPr>
        <w:t>“</w:t>
      </w:r>
      <w:r>
        <w:rPr>
          <w:rStyle w:val="15"/>
          <w:rFonts w:ascii="Times New Roman" w:hAnsi="Times New Roman" w:eastAsia="方正楷体_GBK" w:cs="Times New Roman"/>
          <w:b w:val="0"/>
          <w:bCs w:val="0"/>
          <w:sz w:val="32"/>
          <w:szCs w:val="32"/>
        </w:rPr>
        <w:t>三公</w:t>
      </w:r>
      <w:r>
        <w:rPr>
          <w:rStyle w:val="15"/>
          <w:rFonts w:hint="eastAsia" w:ascii="Times New Roman" w:hAnsi="Times New Roman" w:eastAsia="方正楷体_GBK" w:cs="Times New Roman"/>
          <w:b w:val="0"/>
          <w:bCs w:val="0"/>
          <w:sz w:val="32"/>
          <w:szCs w:val="32"/>
        </w:rPr>
        <w:t>”</w:t>
      </w:r>
      <w:r>
        <w:rPr>
          <w:rStyle w:val="15"/>
          <w:rFonts w:ascii="Times New Roman" w:hAnsi="Times New Roman" w:eastAsia="方正楷体_GBK" w:cs="Times New Roman"/>
          <w:b w:val="0"/>
          <w:bCs w:val="0"/>
          <w:sz w:val="32"/>
          <w:szCs w:val="32"/>
        </w:rPr>
        <w:t>经费分项支出情况</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年度本乡镇因公出国（境）费用0万元，202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年度未发生因公出国（境）费用。</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年度我镇未</w:t>
      </w:r>
      <w:r>
        <w:rPr>
          <w:rFonts w:hint="eastAsia" w:ascii="Times New Roman" w:hAnsi="Times New Roman" w:eastAsia="方正仿宋_GBK" w:cs="Times New Roman"/>
          <w:sz w:val="32"/>
          <w:szCs w:val="32"/>
        </w:rPr>
        <w:t>新</w:t>
      </w:r>
      <w:r>
        <w:rPr>
          <w:rFonts w:ascii="Times New Roman" w:hAnsi="Times New Roman" w:eastAsia="方正仿宋_GBK" w:cs="Times New Roman"/>
          <w:sz w:val="32"/>
          <w:szCs w:val="32"/>
        </w:rPr>
        <w:t>购置公务车。</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公务车运行维护费</w:t>
      </w:r>
      <w:r>
        <w:rPr>
          <w:rFonts w:hint="eastAsia" w:ascii="Times New Roman" w:hAnsi="Times New Roman" w:eastAsia="方正仿宋_GBK" w:cs="Times New Roman"/>
          <w:sz w:val="32"/>
          <w:szCs w:val="32"/>
        </w:rPr>
        <w:t>5万</w:t>
      </w:r>
      <w:r>
        <w:rPr>
          <w:rFonts w:ascii="Times New Roman" w:hAnsi="Times New Roman" w:eastAsia="方正仿宋_GBK" w:cs="Times New Roman"/>
          <w:sz w:val="32"/>
          <w:szCs w:val="32"/>
        </w:rPr>
        <w:t>元，主要用于</w:t>
      </w:r>
      <w:r>
        <w:rPr>
          <w:rFonts w:hint="eastAsia" w:ascii="Times New Roman" w:hAnsi="Times New Roman" w:eastAsia="方正仿宋_GBK" w:cs="Times New Roman"/>
          <w:sz w:val="32"/>
          <w:szCs w:val="32"/>
        </w:rPr>
        <w:t>因</w:t>
      </w:r>
      <w:r>
        <w:rPr>
          <w:rFonts w:ascii="Times New Roman" w:hAnsi="Times New Roman" w:eastAsia="方正仿宋_GBK" w:cs="Times New Roman"/>
          <w:sz w:val="32"/>
          <w:szCs w:val="32"/>
        </w:rPr>
        <w:t>公出行、业务检查等工作所需车辆的燃料费、维修费、保险费等</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与上年支出数持平</w:t>
      </w:r>
      <w:r>
        <w:rPr>
          <w:rFonts w:hint="eastAsia" w:ascii="Times New Roman" w:hAnsi="Times New Roman" w:eastAsia="方正仿宋_GBK" w:cs="Times New Roman"/>
          <w:color w:val="000000"/>
          <w:sz w:val="32"/>
          <w:szCs w:val="32"/>
        </w:rPr>
        <w:t>。</w:t>
      </w:r>
    </w:p>
    <w:p>
      <w:pPr>
        <w:pStyle w:val="11"/>
        <w:widowControl w:val="0"/>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公务接待费</w:t>
      </w:r>
      <w:r>
        <w:rPr>
          <w:rFonts w:hint="eastAsia" w:ascii="Times New Roman" w:hAnsi="Times New Roman" w:eastAsia="方正仿宋_GBK" w:cs="Times New Roman"/>
          <w:sz w:val="32"/>
          <w:szCs w:val="32"/>
        </w:rPr>
        <w:t>2.4</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主要用于公务接待</w:t>
      </w:r>
      <w:r>
        <w:rPr>
          <w:rFonts w:hint="eastAsia" w:ascii="Times New Roman" w:hAnsi="Times New Roman" w:eastAsia="方正仿宋_GBK" w:cs="Times New Roman"/>
          <w:sz w:val="32"/>
          <w:szCs w:val="32"/>
        </w:rPr>
        <w:t>。</w:t>
      </w:r>
    </w:p>
    <w:p>
      <w:pPr>
        <w:pStyle w:val="11"/>
        <w:widowControl w:val="0"/>
        <w:spacing w:before="0" w:beforeAutospacing="0" w:after="0" w:afterAutospacing="0" w:line="560" w:lineRule="exact"/>
        <w:ind w:firstLine="640" w:firstLineChars="200"/>
        <w:rPr>
          <w:rFonts w:ascii="Times New Roman" w:hAnsi="Times New Roman" w:eastAsia="方正楷体_GBK" w:cs="Times New Roman"/>
          <w:sz w:val="32"/>
          <w:szCs w:val="32"/>
        </w:rPr>
      </w:pPr>
      <w:r>
        <w:rPr>
          <w:rStyle w:val="15"/>
          <w:rFonts w:ascii="Times New Roman" w:hAnsi="Times New Roman" w:eastAsia="方正楷体_GBK" w:cs="Times New Roman"/>
          <w:b w:val="0"/>
          <w:bCs w:val="0"/>
          <w:sz w:val="32"/>
          <w:szCs w:val="32"/>
        </w:rPr>
        <w:t>（三）</w:t>
      </w:r>
      <w:r>
        <w:rPr>
          <w:rStyle w:val="15"/>
          <w:rFonts w:hint="eastAsia" w:ascii="方正楷体_GBK" w:hAnsi="方正楷体_GBK" w:eastAsia="方正楷体_GBK" w:cs="方正楷体_GBK"/>
          <w:b w:val="0"/>
          <w:bCs w:val="0"/>
          <w:sz w:val="32"/>
          <w:szCs w:val="32"/>
        </w:rPr>
        <w:t>“三公”</w:t>
      </w:r>
      <w:r>
        <w:rPr>
          <w:rStyle w:val="15"/>
          <w:rFonts w:ascii="Times New Roman" w:hAnsi="Times New Roman" w:eastAsia="方正楷体_GBK" w:cs="Times New Roman"/>
          <w:b w:val="0"/>
          <w:bCs w:val="0"/>
          <w:sz w:val="32"/>
          <w:szCs w:val="32"/>
        </w:rPr>
        <w:t>经费实物量情况</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年度本部门因公出国（境）共计0个团组，0人；公务用车购置0辆，公务车保有量为3辆；国内公务接待</w:t>
      </w:r>
      <w:r>
        <w:rPr>
          <w:rFonts w:hint="eastAsia" w:ascii="Times New Roman" w:hAnsi="Times New Roman" w:eastAsia="方正仿宋_GBK" w:cs="Times New Roman"/>
          <w:sz w:val="32"/>
          <w:szCs w:val="32"/>
        </w:rPr>
        <w:t>40</w:t>
      </w:r>
      <w:r>
        <w:rPr>
          <w:rFonts w:ascii="Times New Roman" w:hAnsi="Times New Roman" w:eastAsia="方正仿宋_GBK" w:cs="Times New Roman"/>
          <w:sz w:val="32"/>
          <w:szCs w:val="32"/>
        </w:rPr>
        <w:t>批次</w:t>
      </w:r>
      <w:r>
        <w:rPr>
          <w:rFonts w:hint="eastAsia" w:ascii="Times New Roman" w:hAnsi="Times New Roman" w:eastAsia="方正仿宋_GBK" w:cs="Times New Roman"/>
          <w:sz w:val="32"/>
          <w:szCs w:val="32"/>
        </w:rPr>
        <w:t>550</w:t>
      </w:r>
      <w:r>
        <w:rPr>
          <w:rFonts w:ascii="Times New Roman" w:hAnsi="Times New Roman" w:eastAsia="方正仿宋_GBK" w:cs="Times New Roman"/>
          <w:sz w:val="32"/>
          <w:szCs w:val="32"/>
        </w:rPr>
        <w:t>人，其中：国内外事接待0批次，0人；国（境）外公务接待0批次，0人。202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年本部门人均接待费</w:t>
      </w:r>
      <w:r>
        <w:rPr>
          <w:rFonts w:hint="eastAsia" w:ascii="Times New Roman" w:hAnsi="Times New Roman" w:eastAsia="方正仿宋_GBK" w:cs="Times New Roman"/>
          <w:sz w:val="32"/>
          <w:szCs w:val="32"/>
        </w:rPr>
        <w:t>43.63</w:t>
      </w:r>
      <w:r>
        <w:rPr>
          <w:rFonts w:ascii="Times New Roman" w:hAnsi="Times New Roman" w:eastAsia="方正仿宋_GBK" w:cs="Times New Roman"/>
          <w:sz w:val="32"/>
          <w:szCs w:val="32"/>
        </w:rPr>
        <w:t>元，车均购置费0万元，车均维护费</w:t>
      </w:r>
      <w:r>
        <w:rPr>
          <w:rFonts w:hint="eastAsia" w:ascii="Times New Roman" w:hAnsi="Times New Roman" w:eastAsia="方正仿宋_GBK" w:cs="Times New Roman"/>
          <w:sz w:val="32"/>
          <w:szCs w:val="32"/>
        </w:rPr>
        <w:t>1.67</w:t>
      </w:r>
      <w:r>
        <w:rPr>
          <w:rFonts w:ascii="Times New Roman" w:hAnsi="Times New Roman" w:eastAsia="方正仿宋_GBK" w:cs="Times New Roman"/>
          <w:sz w:val="32"/>
          <w:szCs w:val="32"/>
        </w:rPr>
        <w:t>万元。</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5"/>
          <w:rFonts w:hint="default" w:ascii="方正黑体_GBK" w:hAnsi="方正黑体_GBK" w:eastAsia="方正黑体_GBK" w:cs="方正黑体_GBK"/>
          <w:sz w:val="32"/>
          <w:szCs w:val="32"/>
          <w:shd w:val="clear" w:color="auto" w:fill="FFFFFF"/>
        </w:rPr>
      </w:pPr>
      <w:r>
        <w:rPr>
          <w:rStyle w:val="15"/>
          <w:rFonts w:hint="eastAsia" w:ascii="方正黑体_GBK" w:hAnsi="方正黑体_GBK" w:eastAsia="方正黑体_GBK" w:cs="方正黑体_GBK"/>
          <w:sz w:val="32"/>
          <w:szCs w:val="32"/>
          <w:shd w:val="clear" w:color="auto" w:fill="FFFFFF"/>
        </w:rPr>
        <w:t>四、其他需要说明的事项</w:t>
      </w:r>
    </w:p>
    <w:p>
      <w:pPr>
        <w:pStyle w:val="11"/>
        <w:widowControl w:val="0"/>
        <w:spacing w:before="0" w:beforeAutospacing="0" w:after="0" w:afterAutospacing="0" w:line="560" w:lineRule="exact"/>
        <w:ind w:firstLine="640" w:firstLineChars="200"/>
        <w:rPr>
          <w:rFonts w:ascii="Times New Roman" w:hAnsi="Times New Roman" w:eastAsia="方正楷体_GBK" w:cs="Times New Roman"/>
          <w:color w:val="333333"/>
          <w:sz w:val="32"/>
          <w:szCs w:val="32"/>
        </w:rPr>
      </w:pPr>
      <w:r>
        <w:rPr>
          <w:rFonts w:ascii="Times New Roman" w:hAnsi="Times New Roman" w:eastAsia="方正楷体_GBK" w:cs="Times New Roman"/>
          <w:color w:val="333333"/>
          <w:sz w:val="32"/>
          <w:szCs w:val="32"/>
        </w:rPr>
        <w:t>（一）机关运行经费情况说明</w:t>
      </w:r>
    </w:p>
    <w:p>
      <w:pPr>
        <w:pStyle w:val="11"/>
        <w:spacing w:before="0" w:beforeAutospacing="0" w:after="0" w:afterAutospacing="0" w:line="56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sz w:val="32"/>
          <w:szCs w:val="32"/>
        </w:rPr>
        <w:t>机关运行经</w:t>
      </w:r>
      <w:r>
        <w:rPr>
          <w:rFonts w:hint="eastAsia" w:ascii="Times New Roman" w:hAnsi="Times New Roman" w:eastAsia="方正仿宋_GBK" w:cs="Times New Roman"/>
          <w:sz w:val="32"/>
          <w:szCs w:val="32"/>
        </w:rPr>
        <w:t>费支出37.03万元，主要用于开支机关办公费、水费、电费、邮电费、差旅费、会议费、培训费、公务接待费、工会经费、福利费、公务用车运行维护费、其他交通费用；机关运行经费较上年决算数增加2.34万元，增加6.75%，</w:t>
      </w:r>
      <w:r>
        <w:rPr>
          <w:rFonts w:hint="eastAsia" w:ascii="Times New Roman" w:hAnsi="Times New Roman" w:eastAsia="方正仿宋_GBK" w:cs="Times New Roman"/>
          <w:sz w:val="32"/>
          <w:szCs w:val="32"/>
          <w:lang w:eastAsia="zh-CN"/>
        </w:rPr>
        <w:t>主要原因是保障县级驻村工作人员工作和生活增加了运行成本</w:t>
      </w:r>
      <w:r>
        <w:rPr>
          <w:rFonts w:hint="eastAsia" w:ascii="Times New Roman" w:hAnsi="Times New Roman" w:eastAsia="方正仿宋_GBK" w:cs="Times New Roman"/>
          <w:sz w:val="32"/>
          <w:szCs w:val="32"/>
        </w:rPr>
        <w:t>。</w:t>
      </w:r>
    </w:p>
    <w:p>
      <w:pPr>
        <w:pStyle w:val="11"/>
        <w:widowControl w:val="0"/>
        <w:spacing w:before="0" w:beforeAutospacing="0" w:after="0" w:afterAutospacing="0" w:line="560" w:lineRule="exact"/>
        <w:ind w:firstLine="640" w:firstLineChars="200"/>
        <w:rPr>
          <w:rFonts w:ascii="Times New Roman" w:hAnsi="Times New Roman" w:eastAsia="方正楷体_GBK" w:cs="Times New Roman"/>
          <w:color w:val="333333"/>
          <w:sz w:val="32"/>
          <w:szCs w:val="32"/>
        </w:rPr>
      </w:pPr>
      <w:r>
        <w:rPr>
          <w:rFonts w:hint="eastAsia" w:ascii="Times New Roman" w:hAnsi="Times New Roman" w:eastAsia="方正楷体_GBK" w:cs="Times New Roman"/>
          <w:color w:val="333333"/>
          <w:sz w:val="32"/>
          <w:szCs w:val="32"/>
        </w:rPr>
        <w:t>（二）</w:t>
      </w:r>
      <w:r>
        <w:rPr>
          <w:rFonts w:ascii="Times New Roman" w:hAnsi="Times New Roman" w:eastAsia="方正楷体_GBK" w:cs="Times New Roman"/>
          <w:color w:val="333333"/>
          <w:sz w:val="32"/>
          <w:szCs w:val="32"/>
        </w:rPr>
        <w:t>国有资产占用情况说明</w:t>
      </w:r>
    </w:p>
    <w:p>
      <w:pPr>
        <w:pStyle w:val="11"/>
        <w:widowControl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截至202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年12月31日，本部门共有车辆3辆，其中，机要通信用车1辆、应急保障用车</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特种专业技术用车</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辆。单价50万元（含）以上通用设备0台（套）。</w:t>
      </w:r>
    </w:p>
    <w:p>
      <w:pPr>
        <w:pStyle w:val="11"/>
        <w:widowControl w:val="0"/>
        <w:spacing w:before="0" w:beforeAutospacing="0" w:after="0" w:afterAutospacing="0" w:line="560" w:lineRule="exact"/>
        <w:ind w:firstLine="640" w:firstLineChars="200"/>
        <w:rPr>
          <w:rFonts w:ascii="Times New Roman" w:hAnsi="Times New Roman" w:eastAsia="方正楷体_GBK" w:cs="Times New Roman"/>
          <w:color w:val="333333"/>
          <w:sz w:val="32"/>
          <w:szCs w:val="32"/>
        </w:rPr>
      </w:pPr>
      <w:r>
        <w:rPr>
          <w:rFonts w:hint="eastAsia" w:ascii="Times New Roman" w:hAnsi="Times New Roman" w:eastAsia="方正楷体_GBK" w:cs="Times New Roman"/>
          <w:color w:val="333333"/>
          <w:sz w:val="32"/>
          <w:szCs w:val="32"/>
        </w:rPr>
        <w:t>（三）</w:t>
      </w:r>
      <w:r>
        <w:rPr>
          <w:rFonts w:ascii="Times New Roman" w:hAnsi="Times New Roman" w:eastAsia="方正楷体_GBK" w:cs="Times New Roman"/>
          <w:color w:val="333333"/>
          <w:sz w:val="32"/>
          <w:szCs w:val="32"/>
        </w:rPr>
        <w:t>政府采购支出情况说明</w:t>
      </w:r>
    </w:p>
    <w:p>
      <w:pPr>
        <w:pStyle w:val="11"/>
        <w:widowControl w:val="0"/>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年度本部门政府采购支出总额</w:t>
      </w:r>
      <w:r>
        <w:rPr>
          <w:rFonts w:hint="eastAsia" w:ascii="Times New Roman" w:hAnsi="Times New Roman" w:eastAsia="方正仿宋_GBK" w:cs="Times New Roman"/>
          <w:sz w:val="32"/>
          <w:szCs w:val="32"/>
        </w:rPr>
        <w:t>2.07</w:t>
      </w:r>
      <w:r>
        <w:rPr>
          <w:rFonts w:ascii="Times New Roman" w:hAnsi="Times New Roman" w:eastAsia="方正仿宋_GBK" w:cs="Times New Roman"/>
          <w:sz w:val="32"/>
          <w:szCs w:val="32"/>
        </w:rPr>
        <w:t>万元，其中：政府采购货物支出</w:t>
      </w:r>
      <w:r>
        <w:rPr>
          <w:rFonts w:hint="eastAsia" w:ascii="Times New Roman" w:hAnsi="Times New Roman" w:eastAsia="方正仿宋_GBK" w:cs="Times New Roman"/>
          <w:sz w:val="32"/>
          <w:szCs w:val="32"/>
        </w:rPr>
        <w:t>2.07</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。主要用于采购办公用品等。</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5"/>
          <w:rFonts w:hint="eastAsia" w:ascii="方正黑体_GBK" w:hAnsi="方正黑体_GBK" w:eastAsia="方正黑体_GBK" w:cs="方正黑体_GBK"/>
          <w:sz w:val="32"/>
          <w:szCs w:val="32"/>
          <w:shd w:val="clear" w:color="auto" w:fill="FFFFFF"/>
          <w:lang w:val="en-US" w:eastAsia="zh-CN"/>
        </w:rPr>
      </w:pPr>
      <w:r>
        <w:rPr>
          <w:rStyle w:val="15"/>
          <w:rFonts w:hint="eastAsia" w:ascii="方正黑体_GBK" w:hAnsi="方正黑体_GBK" w:eastAsia="方正黑体_GBK" w:cs="方正黑体_GBK"/>
          <w:sz w:val="32"/>
          <w:szCs w:val="32"/>
          <w:shd w:val="clear" w:color="auto" w:fill="FFFFFF"/>
          <w:lang w:val="en-US" w:eastAsia="zh-CN"/>
        </w:rPr>
        <w:t>五、2024年度预算绩效管理情况说明</w:t>
      </w:r>
    </w:p>
    <w:p>
      <w:pPr>
        <w:pStyle w:val="21"/>
        <w:tabs>
          <w:tab w:val="center" w:pos="4153"/>
          <w:tab w:val="left" w:pos="7275"/>
        </w:tabs>
        <w:spacing w:line="560" w:lineRule="exact"/>
        <w:ind w:firstLine="640"/>
        <w:rPr>
          <w:rFonts w:eastAsia="方正楷体_GBK"/>
          <w:color w:val="333333"/>
          <w:sz w:val="32"/>
          <w:szCs w:val="32"/>
        </w:rPr>
      </w:pPr>
      <w:r>
        <w:rPr>
          <w:rFonts w:hint="eastAsia" w:eastAsia="方正楷体_GBK"/>
          <w:color w:val="333333"/>
          <w:sz w:val="32"/>
          <w:szCs w:val="32"/>
        </w:rPr>
        <w:t>（一）预算绩效管理工作开展情况</w:t>
      </w:r>
    </w:p>
    <w:p>
      <w:pPr>
        <w:pStyle w:val="21"/>
        <w:tabs>
          <w:tab w:val="center" w:pos="4153"/>
          <w:tab w:val="left" w:pos="7275"/>
        </w:tabs>
        <w:spacing w:line="560" w:lineRule="exact"/>
        <w:ind w:firstLine="640"/>
        <w:rPr>
          <w:rFonts w:eastAsia="方正仿宋_GBK" w:cs="宋体"/>
          <w:kern w:val="0"/>
          <w:sz w:val="32"/>
          <w:szCs w:val="32"/>
        </w:rPr>
      </w:pPr>
      <w:r>
        <w:rPr>
          <w:rFonts w:hint="eastAsia" w:eastAsia="方正仿宋_GBK" w:cs="宋体"/>
          <w:kern w:val="0"/>
          <w:sz w:val="32"/>
          <w:szCs w:val="32"/>
        </w:rPr>
        <w:t>根据预算绩效管理要求，我镇对单位</w:t>
      </w:r>
      <w:r>
        <w:rPr>
          <w:rFonts w:eastAsia="方正仿宋_GBK" w:cs="宋体"/>
          <w:kern w:val="0"/>
          <w:sz w:val="32"/>
          <w:szCs w:val="32"/>
        </w:rPr>
        <w:t>整体</w:t>
      </w:r>
      <w:r>
        <w:rPr>
          <w:rFonts w:hint="eastAsia" w:eastAsia="方正仿宋_GBK" w:cs="宋体"/>
          <w:kern w:val="0"/>
          <w:sz w:val="32"/>
          <w:szCs w:val="32"/>
        </w:rPr>
        <w:t>和59个项目开展了绩效自评，其中，以填报目标自评表形式开展自评59项，涉及资金</w:t>
      </w:r>
      <w:r>
        <w:rPr>
          <w:rFonts w:hint="eastAsia" w:eastAsia="方正仿宋_GBK"/>
          <w:sz w:val="32"/>
          <w:szCs w:val="32"/>
        </w:rPr>
        <w:t>1245.13</w:t>
      </w:r>
      <w:r>
        <w:rPr>
          <w:rFonts w:hint="eastAsia" w:eastAsia="方正仿宋_GBK" w:cs="宋体"/>
          <w:kern w:val="0"/>
          <w:sz w:val="32"/>
          <w:szCs w:val="32"/>
        </w:rPr>
        <w:t>万元；从评价情况</w:t>
      </w:r>
      <w:r>
        <w:rPr>
          <w:rFonts w:hint="eastAsia" w:ascii="Times New Roman" w:hAnsi="Times New Roman" w:eastAsia="方正仿宋_GBK" w:cs="Times New Roman"/>
          <w:kern w:val="0"/>
          <w:sz w:val="32"/>
          <w:szCs w:val="32"/>
          <w:lang w:val="en-US" w:eastAsia="zh-CN" w:bidi="ar-SA"/>
        </w:rPr>
        <w:t>来看</w:t>
      </w:r>
      <w:r>
        <w:rPr>
          <w:rFonts w:hint="eastAsia" w:eastAsia="方正仿宋_GBK" w:cs="宋体"/>
          <w:kern w:val="0"/>
          <w:sz w:val="32"/>
          <w:szCs w:val="32"/>
        </w:rPr>
        <w:t>，我镇2024年绩效管理工作完成良好。</w:t>
      </w:r>
    </w:p>
    <w:p>
      <w:pPr>
        <w:pStyle w:val="21"/>
        <w:tabs>
          <w:tab w:val="center" w:pos="4153"/>
          <w:tab w:val="left" w:pos="7275"/>
        </w:tabs>
        <w:spacing w:line="560" w:lineRule="exact"/>
        <w:ind w:firstLine="640"/>
        <w:rPr>
          <w:rFonts w:eastAsia="方正楷体_GBK"/>
          <w:color w:val="333333"/>
          <w:sz w:val="32"/>
          <w:szCs w:val="32"/>
        </w:rPr>
      </w:pPr>
      <w:r>
        <w:rPr>
          <w:rFonts w:hint="eastAsia" w:eastAsia="方正楷体_GBK"/>
          <w:color w:val="333333"/>
          <w:sz w:val="32"/>
          <w:szCs w:val="32"/>
        </w:rPr>
        <w:t>（二）绩效自评结果</w:t>
      </w:r>
    </w:p>
    <w:p>
      <w:pPr>
        <w:pStyle w:val="21"/>
        <w:tabs>
          <w:tab w:val="center" w:pos="4153"/>
          <w:tab w:val="left" w:pos="7275"/>
        </w:tabs>
        <w:spacing w:line="560" w:lineRule="exact"/>
        <w:ind w:firstLine="643"/>
        <w:rPr>
          <w:rFonts w:eastAsia="方正仿宋_GBK"/>
          <w:kern w:val="0"/>
          <w:sz w:val="32"/>
          <w:szCs w:val="32"/>
        </w:rPr>
      </w:pPr>
      <w:r>
        <w:rPr>
          <w:rFonts w:eastAsia="方正仿宋_GBK"/>
          <w:b/>
          <w:kern w:val="0"/>
          <w:sz w:val="32"/>
          <w:szCs w:val="32"/>
        </w:rPr>
        <w:t>1.绩效目标自评表</w:t>
      </w:r>
    </w:p>
    <w:p>
      <w:pPr>
        <w:pStyle w:val="21"/>
        <w:tabs>
          <w:tab w:val="center" w:pos="4153"/>
          <w:tab w:val="left" w:pos="7275"/>
        </w:tabs>
        <w:spacing w:line="560" w:lineRule="exact"/>
        <w:ind w:firstLine="640"/>
        <w:rPr>
          <w:rFonts w:hint="eastAsia" w:eastAsia="方正仿宋_GBK" w:cs="宋体"/>
          <w:kern w:val="0"/>
          <w:sz w:val="32"/>
          <w:szCs w:val="32"/>
          <w:lang w:val="en-US" w:eastAsia="zh-CN"/>
        </w:rPr>
      </w:pPr>
      <w:r>
        <w:rPr>
          <w:rFonts w:hint="eastAsia" w:eastAsia="方正仿宋_GBK" w:cs="宋体"/>
          <w:kern w:val="0"/>
          <w:sz w:val="32"/>
          <w:szCs w:val="32"/>
        </w:rPr>
        <w:t>根据年初设定的绩效目标，项目总体</w:t>
      </w:r>
      <w:r>
        <w:rPr>
          <w:rFonts w:eastAsia="方正仿宋_GBK" w:cs="宋体"/>
          <w:kern w:val="0"/>
          <w:sz w:val="32"/>
          <w:szCs w:val="32"/>
        </w:rPr>
        <w:t>完成情况</w:t>
      </w:r>
      <w:r>
        <w:rPr>
          <w:rFonts w:hint="eastAsia" w:eastAsia="方正仿宋_GBK" w:cs="宋体"/>
          <w:kern w:val="0"/>
          <w:sz w:val="32"/>
          <w:szCs w:val="32"/>
        </w:rPr>
        <w:t>很好。项目预算1245.13万元，执行率100%。主要产出和效果：一是</w:t>
      </w:r>
      <w:r>
        <w:rPr>
          <w:rFonts w:eastAsia="方正仿宋_GBK" w:cs="宋体"/>
          <w:kern w:val="0"/>
          <w:sz w:val="32"/>
          <w:szCs w:val="32"/>
        </w:rPr>
        <w:t>保障了乡镇运转以及人员待遇</w:t>
      </w:r>
      <w:r>
        <w:rPr>
          <w:rFonts w:hint="eastAsia" w:eastAsia="方正仿宋_GBK" w:cs="宋体"/>
          <w:kern w:val="0"/>
          <w:sz w:val="32"/>
          <w:szCs w:val="32"/>
        </w:rPr>
        <w:t>，二是</w:t>
      </w:r>
      <w:r>
        <w:rPr>
          <w:rFonts w:eastAsia="方正仿宋_GBK" w:cs="宋体"/>
          <w:kern w:val="0"/>
          <w:sz w:val="32"/>
          <w:szCs w:val="32"/>
        </w:rPr>
        <w:t>村</w:t>
      </w:r>
      <w:r>
        <w:rPr>
          <w:rFonts w:hint="eastAsia" w:eastAsia="方正仿宋_GBK" w:cs="宋体"/>
          <w:kern w:val="0"/>
          <w:sz w:val="32"/>
          <w:szCs w:val="32"/>
        </w:rPr>
        <w:t>、</w:t>
      </w:r>
      <w:r>
        <w:rPr>
          <w:rFonts w:eastAsia="方正仿宋_GBK" w:cs="宋体"/>
          <w:kern w:val="0"/>
          <w:sz w:val="32"/>
          <w:szCs w:val="32"/>
        </w:rPr>
        <w:t>社区日常运转保障等</w:t>
      </w:r>
      <w:r>
        <w:rPr>
          <w:rFonts w:hint="eastAsia" w:eastAsia="方正仿宋_GBK" w:cs="宋体"/>
          <w:kern w:val="0"/>
          <w:sz w:val="32"/>
          <w:szCs w:val="32"/>
        </w:rPr>
        <w:t>。发现的问题及原因：一是基础设施建设有待加强，二是政府项目管理制度有待完善。下一步改进措施：一是实施基础设施建设，提高群众生活质量；二是规范政府财政项目支出行为，健全科学的决策、建设和监督管理制度，提高政府项目运行效益。</w:t>
      </w:r>
      <w:r>
        <w:rPr>
          <w:rFonts w:hint="eastAsia" w:eastAsia="方正仿宋_GBK" w:cs="宋体"/>
          <w:kern w:val="0"/>
          <w:sz w:val="32"/>
          <w:szCs w:val="32"/>
          <w:lang w:val="en-US" w:eastAsia="zh-CN"/>
        </w:rPr>
        <w:tab/>
      </w:r>
    </w:p>
    <w:p>
      <w:pPr>
        <w:pStyle w:val="21"/>
        <w:tabs>
          <w:tab w:val="center" w:pos="4153"/>
          <w:tab w:val="left" w:pos="7275"/>
        </w:tabs>
        <w:spacing w:line="560" w:lineRule="exact"/>
        <w:ind w:firstLine="0" w:firstLineChars="0"/>
        <w:jc w:val="center"/>
        <w:rPr>
          <w:rFonts w:eastAsia="方正仿宋_GBK" w:cs="宋体"/>
          <w:kern w:val="0"/>
          <w:sz w:val="32"/>
          <w:szCs w:val="32"/>
        </w:rPr>
      </w:pPr>
      <w:r>
        <w:rPr>
          <w:rFonts w:hint="eastAsia" w:eastAsia="方正小标宋_GBK" w:cs="宋体"/>
          <w:color w:val="000000"/>
          <w:kern w:val="0"/>
          <w:sz w:val="32"/>
          <w:szCs w:val="32"/>
        </w:rPr>
        <w:t>部门整体绩效自评表</w:t>
      </w:r>
    </w:p>
    <w:tbl>
      <w:tblPr>
        <w:tblStyle w:val="12"/>
        <w:tblW w:w="9993" w:type="dxa"/>
        <w:tblInd w:w="-318" w:type="dxa"/>
        <w:tblLayout w:type="fixed"/>
        <w:tblCellMar>
          <w:top w:w="0" w:type="dxa"/>
          <w:left w:w="108" w:type="dxa"/>
          <w:bottom w:w="0" w:type="dxa"/>
          <w:right w:w="108" w:type="dxa"/>
        </w:tblCellMar>
      </w:tblPr>
      <w:tblGrid>
        <w:gridCol w:w="784"/>
        <w:gridCol w:w="704"/>
        <w:gridCol w:w="277"/>
        <w:gridCol w:w="239"/>
        <w:gridCol w:w="93"/>
        <w:gridCol w:w="749"/>
        <w:gridCol w:w="876"/>
        <w:gridCol w:w="314"/>
        <w:gridCol w:w="695"/>
        <w:gridCol w:w="332"/>
        <w:gridCol w:w="600"/>
        <w:gridCol w:w="79"/>
        <w:gridCol w:w="916"/>
        <w:gridCol w:w="1223"/>
        <w:gridCol w:w="56"/>
        <w:gridCol w:w="956"/>
        <w:gridCol w:w="1100"/>
      </w:tblGrid>
      <w:tr>
        <w:tblPrEx>
          <w:tblCellMar>
            <w:top w:w="0" w:type="dxa"/>
            <w:left w:w="108" w:type="dxa"/>
            <w:bottom w:w="0" w:type="dxa"/>
            <w:right w:w="108" w:type="dxa"/>
          </w:tblCellMar>
        </w:tblPrEx>
        <w:trPr>
          <w:trHeight w:val="575" w:hRule="atLeast"/>
        </w:trPr>
        <w:tc>
          <w:tcPr>
            <w:tcW w:w="784" w:type="dxa"/>
            <w:vMerge w:val="restart"/>
            <w:tcBorders>
              <w:top w:val="single" w:color="auto" w:sz="4" w:space="0"/>
              <w:left w:val="single" w:color="auto" w:sz="4" w:space="0"/>
              <w:bottom w:val="single" w:color="000000"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主管</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部门</w:t>
            </w:r>
          </w:p>
        </w:tc>
        <w:tc>
          <w:tcPr>
            <w:tcW w:w="122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高楠镇人民政府</w:t>
            </w:r>
          </w:p>
        </w:tc>
        <w:tc>
          <w:tcPr>
            <w:tcW w:w="842" w:type="dxa"/>
            <w:gridSpan w:val="2"/>
            <w:vMerge w:val="restart"/>
            <w:tcBorders>
              <w:top w:val="single" w:color="auto" w:sz="4" w:space="0"/>
              <w:left w:val="single" w:color="auto" w:sz="4" w:space="0"/>
              <w:bottom w:val="single" w:color="000000"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财政处室</w:t>
            </w:r>
          </w:p>
        </w:tc>
        <w:tc>
          <w:tcPr>
            <w:tcW w:w="119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财政办</w:t>
            </w:r>
          </w:p>
        </w:tc>
        <w:tc>
          <w:tcPr>
            <w:tcW w:w="1627" w:type="dxa"/>
            <w:gridSpan w:val="3"/>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自评总分（分）</w:t>
            </w:r>
          </w:p>
        </w:tc>
        <w:tc>
          <w:tcPr>
            <w:tcW w:w="4330" w:type="dxa"/>
            <w:gridSpan w:val="6"/>
            <w:tcBorders>
              <w:top w:val="single" w:color="auto" w:sz="4" w:space="0"/>
              <w:left w:val="nil"/>
              <w:bottom w:val="single" w:color="auto" w:sz="4" w:space="0"/>
              <w:right w:val="single" w:color="000000"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98</w:t>
            </w:r>
          </w:p>
        </w:tc>
      </w:tr>
      <w:tr>
        <w:tblPrEx>
          <w:tblCellMar>
            <w:top w:w="0" w:type="dxa"/>
            <w:left w:w="108" w:type="dxa"/>
            <w:bottom w:w="0" w:type="dxa"/>
            <w:right w:w="108" w:type="dxa"/>
          </w:tblCellMar>
        </w:tblPrEx>
        <w:trPr>
          <w:trHeight w:val="575" w:hRule="atLeast"/>
        </w:trPr>
        <w:tc>
          <w:tcPr>
            <w:tcW w:w="784" w:type="dxa"/>
            <w:vMerge w:val="continue"/>
            <w:tcBorders>
              <w:top w:val="single" w:color="auto" w:sz="4" w:space="0"/>
              <w:left w:val="single" w:color="auto" w:sz="4" w:space="0"/>
              <w:bottom w:val="single" w:color="000000" w:sz="4" w:space="0"/>
              <w:right w:val="single" w:color="auto" w:sz="4" w:space="0"/>
            </w:tcBorders>
            <w:noWrap w:val="0"/>
            <w:vAlign w:val="center"/>
          </w:tcPr>
          <w:p>
            <w:pPr>
              <w:spacing w:line="560" w:lineRule="exact"/>
              <w:jc w:val="center"/>
              <w:rPr>
                <w:rFonts w:eastAsia="方正仿宋_GBK" w:cs="宋体"/>
                <w:color w:val="000000"/>
                <w:kern w:val="0"/>
                <w:sz w:val="32"/>
                <w:szCs w:val="32"/>
              </w:rPr>
            </w:pPr>
          </w:p>
        </w:tc>
        <w:tc>
          <w:tcPr>
            <w:tcW w:w="122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spacing w:line="560" w:lineRule="exact"/>
              <w:jc w:val="center"/>
              <w:rPr>
                <w:rFonts w:eastAsia="方正仿宋_GBK" w:cs="宋体"/>
                <w:color w:val="000000"/>
                <w:kern w:val="0"/>
                <w:sz w:val="32"/>
                <w:szCs w:val="32"/>
              </w:rPr>
            </w:pPr>
          </w:p>
        </w:tc>
        <w:tc>
          <w:tcPr>
            <w:tcW w:w="842"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spacing w:line="560" w:lineRule="exact"/>
              <w:jc w:val="center"/>
              <w:rPr>
                <w:rFonts w:eastAsia="方正仿宋_GBK" w:cs="宋体"/>
                <w:color w:val="000000"/>
                <w:kern w:val="0"/>
                <w:sz w:val="32"/>
                <w:szCs w:val="32"/>
              </w:rPr>
            </w:pPr>
          </w:p>
        </w:tc>
        <w:tc>
          <w:tcPr>
            <w:tcW w:w="119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spacing w:line="560" w:lineRule="exact"/>
              <w:jc w:val="center"/>
              <w:rPr>
                <w:rFonts w:eastAsia="方正仿宋_GBK" w:cs="宋体"/>
                <w:color w:val="000000"/>
                <w:kern w:val="0"/>
                <w:sz w:val="32"/>
                <w:szCs w:val="32"/>
              </w:rPr>
            </w:pPr>
          </w:p>
        </w:tc>
        <w:tc>
          <w:tcPr>
            <w:tcW w:w="1627" w:type="dxa"/>
            <w:gridSpan w:val="3"/>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部门</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联系人</w:t>
            </w:r>
          </w:p>
        </w:tc>
        <w:tc>
          <w:tcPr>
            <w:tcW w:w="995" w:type="dxa"/>
            <w:gridSpan w:val="2"/>
            <w:tcBorders>
              <w:top w:val="nil"/>
              <w:left w:val="nil"/>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项目办</w:t>
            </w:r>
          </w:p>
        </w:tc>
        <w:tc>
          <w:tcPr>
            <w:tcW w:w="1223" w:type="dxa"/>
            <w:tcBorders>
              <w:top w:val="nil"/>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联系电话</w:t>
            </w:r>
          </w:p>
        </w:tc>
        <w:tc>
          <w:tcPr>
            <w:tcW w:w="2112" w:type="dxa"/>
            <w:gridSpan w:val="3"/>
            <w:tcBorders>
              <w:top w:val="single" w:color="auto" w:sz="4" w:space="0"/>
              <w:left w:val="nil"/>
              <w:bottom w:val="single" w:color="auto" w:sz="4" w:space="0"/>
              <w:right w:val="single" w:color="000000"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59500000</w:t>
            </w:r>
          </w:p>
        </w:tc>
      </w:tr>
      <w:tr>
        <w:tblPrEx>
          <w:tblCellMar>
            <w:top w:w="0" w:type="dxa"/>
            <w:left w:w="108" w:type="dxa"/>
            <w:bottom w:w="0" w:type="dxa"/>
            <w:right w:w="108" w:type="dxa"/>
          </w:tblCellMar>
        </w:tblPrEx>
        <w:trPr>
          <w:trHeight w:val="575" w:hRule="atLeast"/>
        </w:trPr>
        <w:tc>
          <w:tcPr>
            <w:tcW w:w="784" w:type="dxa"/>
            <w:vMerge w:val="restart"/>
            <w:tcBorders>
              <w:top w:val="nil"/>
              <w:left w:val="single" w:color="auto" w:sz="4" w:space="0"/>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部门预算执行情况</w:t>
            </w:r>
          </w:p>
        </w:tc>
        <w:tc>
          <w:tcPr>
            <w:tcW w:w="981" w:type="dxa"/>
            <w:gridSpan w:val="2"/>
            <w:vMerge w:val="restart"/>
            <w:tcBorders>
              <w:top w:val="nil"/>
              <w:left w:val="nil"/>
              <w:right w:val="nil"/>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预算</w:t>
            </w:r>
          </w:p>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资金</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（万元）</w:t>
            </w:r>
          </w:p>
        </w:tc>
        <w:tc>
          <w:tcPr>
            <w:tcW w:w="1081" w:type="dxa"/>
            <w:gridSpan w:val="3"/>
            <w:tcBorders>
              <w:top w:val="single" w:color="auto" w:sz="4" w:space="0"/>
              <w:left w:val="single" w:color="auto" w:sz="4" w:space="0"/>
              <w:bottom w:val="single" w:color="auto" w:sz="4" w:space="0"/>
              <w:right w:val="single" w:color="000000"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年初</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预算数</w:t>
            </w:r>
          </w:p>
        </w:tc>
        <w:tc>
          <w:tcPr>
            <w:tcW w:w="2217" w:type="dxa"/>
            <w:gridSpan w:val="4"/>
            <w:tcBorders>
              <w:top w:val="single" w:color="auto" w:sz="4" w:space="0"/>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全年（调整）</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预算数</w:t>
            </w:r>
          </w:p>
        </w:tc>
        <w:tc>
          <w:tcPr>
            <w:tcW w:w="1595" w:type="dxa"/>
            <w:gridSpan w:val="3"/>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全年执行数</w:t>
            </w:r>
          </w:p>
        </w:tc>
        <w:tc>
          <w:tcPr>
            <w:tcW w:w="1223" w:type="dxa"/>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执行率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w:t>
            </w:r>
          </w:p>
        </w:tc>
        <w:tc>
          <w:tcPr>
            <w:tcW w:w="1012" w:type="dxa"/>
            <w:gridSpan w:val="2"/>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执行率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权重</w:t>
            </w:r>
          </w:p>
        </w:tc>
        <w:tc>
          <w:tcPr>
            <w:tcW w:w="1100" w:type="dxa"/>
            <w:tcBorders>
              <w:top w:val="nil"/>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执行率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得分</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（分）</w:t>
            </w:r>
          </w:p>
        </w:tc>
      </w:tr>
      <w:tr>
        <w:tblPrEx>
          <w:tblCellMar>
            <w:top w:w="0" w:type="dxa"/>
            <w:left w:w="108" w:type="dxa"/>
            <w:bottom w:w="0" w:type="dxa"/>
            <w:right w:w="108" w:type="dxa"/>
          </w:tblCellMar>
        </w:tblPrEx>
        <w:trPr>
          <w:trHeight w:val="575" w:hRule="atLeast"/>
        </w:trPr>
        <w:tc>
          <w:tcPr>
            <w:tcW w:w="784" w:type="dxa"/>
            <w:vMerge w:val="continue"/>
            <w:tcBorders>
              <w:top w:val="nil"/>
              <w:left w:val="single" w:color="auto" w:sz="4" w:space="0"/>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p>
        </w:tc>
        <w:tc>
          <w:tcPr>
            <w:tcW w:w="981" w:type="dxa"/>
            <w:gridSpan w:val="2"/>
            <w:vMerge w:val="continue"/>
            <w:tcBorders>
              <w:left w:val="nil"/>
              <w:bottom w:val="single" w:color="auto" w:sz="4" w:space="0"/>
              <w:right w:val="nil"/>
            </w:tcBorders>
            <w:noWrap w:val="0"/>
            <w:vAlign w:val="center"/>
          </w:tcPr>
          <w:p>
            <w:pPr>
              <w:spacing w:line="560" w:lineRule="exact"/>
              <w:jc w:val="center"/>
              <w:rPr>
                <w:rFonts w:hint="eastAsia" w:eastAsia="方正仿宋_GBK" w:cs="宋体"/>
                <w:color w:val="000000"/>
                <w:kern w:val="0"/>
                <w:sz w:val="32"/>
                <w:szCs w:val="32"/>
              </w:rPr>
            </w:pPr>
          </w:p>
        </w:tc>
        <w:tc>
          <w:tcPr>
            <w:tcW w:w="1081" w:type="dxa"/>
            <w:gridSpan w:val="3"/>
            <w:tcBorders>
              <w:top w:val="single" w:color="auto" w:sz="4" w:space="0"/>
              <w:left w:val="single" w:color="auto" w:sz="4" w:space="0"/>
              <w:bottom w:val="single" w:color="auto" w:sz="4" w:space="0"/>
              <w:right w:val="single" w:color="000000"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251.62</w:t>
            </w:r>
          </w:p>
        </w:tc>
        <w:tc>
          <w:tcPr>
            <w:tcW w:w="2217" w:type="dxa"/>
            <w:gridSpan w:val="4"/>
            <w:tcBorders>
              <w:top w:val="single" w:color="auto" w:sz="4" w:space="0"/>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993.51</w:t>
            </w:r>
          </w:p>
        </w:tc>
        <w:tc>
          <w:tcPr>
            <w:tcW w:w="1595" w:type="dxa"/>
            <w:gridSpan w:val="3"/>
            <w:tcBorders>
              <w:top w:val="single" w:color="auto" w:sz="4" w:space="0"/>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1245.13</w:t>
            </w:r>
          </w:p>
        </w:tc>
        <w:tc>
          <w:tcPr>
            <w:tcW w:w="1223" w:type="dxa"/>
            <w:tcBorders>
              <w:top w:val="nil"/>
              <w:left w:val="nil"/>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100</w:t>
            </w:r>
          </w:p>
        </w:tc>
        <w:tc>
          <w:tcPr>
            <w:tcW w:w="1012" w:type="dxa"/>
            <w:gridSpan w:val="2"/>
            <w:tcBorders>
              <w:top w:val="nil"/>
              <w:left w:val="nil"/>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100%</w:t>
            </w:r>
          </w:p>
        </w:tc>
        <w:tc>
          <w:tcPr>
            <w:tcW w:w="1100" w:type="dxa"/>
            <w:tcBorders>
              <w:top w:val="nil"/>
              <w:left w:val="nil"/>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98</w:t>
            </w:r>
          </w:p>
        </w:tc>
      </w:tr>
      <w:tr>
        <w:tblPrEx>
          <w:tblCellMar>
            <w:top w:w="0" w:type="dxa"/>
            <w:left w:w="108" w:type="dxa"/>
            <w:bottom w:w="0" w:type="dxa"/>
            <w:right w:w="108" w:type="dxa"/>
          </w:tblCellMar>
        </w:tblPrEx>
        <w:trPr>
          <w:trHeight w:val="671" w:hRule="atLeast"/>
        </w:trPr>
        <w:tc>
          <w:tcPr>
            <w:tcW w:w="784" w:type="dxa"/>
            <w:vMerge w:val="restart"/>
            <w:tcBorders>
              <w:top w:val="nil"/>
              <w:left w:val="single" w:color="auto" w:sz="4" w:space="0"/>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当年绩效目标</w:t>
            </w:r>
          </w:p>
        </w:tc>
        <w:tc>
          <w:tcPr>
            <w:tcW w:w="2062" w:type="dxa"/>
            <w:gridSpan w:val="5"/>
            <w:tcBorders>
              <w:top w:val="single" w:color="auto" w:sz="4" w:space="0"/>
              <w:left w:val="nil"/>
              <w:bottom w:val="single" w:color="auto" w:sz="4" w:space="0"/>
              <w:right w:val="single" w:color="000000"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年初绩效目标</w:t>
            </w:r>
          </w:p>
        </w:tc>
        <w:tc>
          <w:tcPr>
            <w:tcW w:w="3812" w:type="dxa"/>
            <w:gridSpan w:val="7"/>
            <w:tcBorders>
              <w:top w:val="single" w:color="auto" w:sz="4" w:space="0"/>
              <w:left w:val="nil"/>
              <w:bottom w:val="single" w:color="auto" w:sz="4" w:space="0"/>
              <w:right w:val="single" w:color="000000"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全年（调整）绩效目标</w:t>
            </w:r>
          </w:p>
        </w:tc>
        <w:tc>
          <w:tcPr>
            <w:tcW w:w="3335" w:type="dxa"/>
            <w:gridSpan w:val="4"/>
            <w:tcBorders>
              <w:top w:val="single" w:color="auto" w:sz="4" w:space="0"/>
              <w:left w:val="nil"/>
              <w:bottom w:val="single" w:color="auto" w:sz="4" w:space="0"/>
              <w:right w:val="single" w:color="000000"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全年目标实际完成情况</w:t>
            </w:r>
          </w:p>
        </w:tc>
      </w:tr>
      <w:tr>
        <w:tblPrEx>
          <w:tblCellMar>
            <w:top w:w="0" w:type="dxa"/>
            <w:left w:w="108" w:type="dxa"/>
            <w:bottom w:w="0" w:type="dxa"/>
            <w:right w:w="108" w:type="dxa"/>
          </w:tblCellMar>
        </w:tblPrEx>
        <w:trPr>
          <w:trHeight w:val="712" w:hRule="atLeast"/>
        </w:trPr>
        <w:tc>
          <w:tcPr>
            <w:tcW w:w="784" w:type="dxa"/>
            <w:vMerge w:val="continue"/>
            <w:tcBorders>
              <w:top w:val="nil"/>
              <w:left w:val="single" w:color="auto" w:sz="4" w:space="0"/>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p>
        </w:tc>
        <w:tc>
          <w:tcPr>
            <w:tcW w:w="2062" w:type="dxa"/>
            <w:gridSpan w:val="5"/>
            <w:tcBorders>
              <w:top w:val="single" w:color="auto" w:sz="4" w:space="0"/>
              <w:left w:val="nil"/>
              <w:bottom w:val="single" w:color="auto" w:sz="4" w:space="0"/>
              <w:right w:val="single" w:color="000000" w:sz="4" w:space="0"/>
            </w:tcBorders>
            <w:noWrap w:val="0"/>
            <w:vAlign w:val="center"/>
          </w:tcPr>
          <w:p>
            <w:pPr>
              <w:numPr>
                <w:ilvl w:val="0"/>
                <w:numId w:val="1"/>
              </w:numPr>
              <w:spacing w:line="560" w:lineRule="exact"/>
              <w:rPr>
                <w:rFonts w:eastAsia="方正仿宋_GBK" w:cs="宋体"/>
                <w:color w:val="000000"/>
                <w:kern w:val="0"/>
                <w:sz w:val="32"/>
                <w:szCs w:val="32"/>
              </w:rPr>
            </w:pPr>
            <w:r>
              <w:rPr>
                <w:rFonts w:eastAsia="方正仿宋_GBK" w:cs="宋体"/>
                <w:color w:val="000000"/>
                <w:kern w:val="0"/>
                <w:sz w:val="32"/>
                <w:szCs w:val="32"/>
              </w:rPr>
              <w:t>保障了乡镇运转以及人员待遇。2.村社区日常运转保障等。</w:t>
            </w:r>
          </w:p>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3.</w:t>
            </w:r>
            <w:r>
              <w:rPr>
                <w:rFonts w:eastAsia="方正仿宋_GBK" w:cs="宋体"/>
                <w:color w:val="000000"/>
                <w:kern w:val="0"/>
                <w:sz w:val="32"/>
                <w:szCs w:val="32"/>
              </w:rPr>
              <w:t>加强综合治理，维护社会稳定，妥善处理突发性、群体性事件，调节和处理好各种利益矛盾和纠纷</w:t>
            </w:r>
            <w:r>
              <w:rPr>
                <w:rFonts w:hint="eastAsia" w:eastAsia="方正仿宋_GBK" w:cs="宋体"/>
                <w:color w:val="000000"/>
                <w:kern w:val="0"/>
                <w:sz w:val="32"/>
                <w:szCs w:val="32"/>
              </w:rPr>
              <w:t>。</w:t>
            </w:r>
          </w:p>
        </w:tc>
        <w:tc>
          <w:tcPr>
            <w:tcW w:w="3812" w:type="dxa"/>
            <w:gridSpan w:val="7"/>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1.实施基础设施建设，便于群众出行，提高群众生活质量。</w:t>
            </w:r>
          </w:p>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2.规范政府财政项目支出行为，健全科学的决策、建设和监督管理制度，提高政府项目运行效益。</w:t>
            </w:r>
          </w:p>
        </w:tc>
        <w:tc>
          <w:tcPr>
            <w:tcW w:w="3335" w:type="dxa"/>
            <w:gridSpan w:val="4"/>
            <w:tcBorders>
              <w:top w:val="single" w:color="auto" w:sz="4" w:space="0"/>
              <w:left w:val="nil"/>
              <w:bottom w:val="single" w:color="auto" w:sz="4" w:space="0"/>
              <w:right w:val="single" w:color="000000"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1.贯彻执行上级的各项方针政策，稳定和完善农村基本经营管理，加强农业基础设施建设，改善农业生产条件，确保各项工作目标任务圆满完成。2.</w:t>
            </w:r>
            <w:r>
              <w:rPr>
                <w:rFonts w:eastAsia="方正仿宋_GBK" w:cs="宋体"/>
                <w:color w:val="000000"/>
                <w:kern w:val="0"/>
                <w:sz w:val="32"/>
                <w:szCs w:val="32"/>
              </w:rPr>
              <w:t>加强项目建设，促进农业发展、加强人居环境提升、</w:t>
            </w:r>
            <w:r>
              <w:rPr>
                <w:rFonts w:hint="eastAsia" w:eastAsia="方正仿宋_GBK" w:cs="宋体"/>
                <w:color w:val="000000"/>
                <w:kern w:val="0"/>
                <w:sz w:val="32"/>
                <w:szCs w:val="32"/>
              </w:rPr>
              <w:t>各项</w:t>
            </w:r>
            <w:r>
              <w:rPr>
                <w:rFonts w:eastAsia="方正仿宋_GBK" w:cs="宋体"/>
                <w:color w:val="000000"/>
                <w:kern w:val="0"/>
                <w:sz w:val="32"/>
                <w:szCs w:val="32"/>
              </w:rPr>
              <w:t>补贴</w:t>
            </w:r>
            <w:r>
              <w:rPr>
                <w:rFonts w:hint="eastAsia" w:eastAsia="方正仿宋_GBK" w:cs="宋体"/>
                <w:color w:val="000000"/>
                <w:kern w:val="0"/>
                <w:sz w:val="32"/>
                <w:szCs w:val="32"/>
              </w:rPr>
              <w:t>、基础设施</w:t>
            </w:r>
            <w:r>
              <w:rPr>
                <w:rFonts w:eastAsia="方正仿宋_GBK" w:cs="宋体"/>
                <w:color w:val="000000"/>
                <w:kern w:val="0"/>
                <w:sz w:val="32"/>
                <w:szCs w:val="32"/>
              </w:rPr>
              <w:t>等项目建设</w:t>
            </w:r>
            <w:r>
              <w:rPr>
                <w:rFonts w:hint="eastAsia" w:eastAsia="方正仿宋_GBK" w:cs="宋体"/>
                <w:color w:val="000000"/>
                <w:kern w:val="0"/>
                <w:sz w:val="32"/>
                <w:szCs w:val="32"/>
              </w:rPr>
              <w:t>。</w:t>
            </w:r>
          </w:p>
        </w:tc>
      </w:tr>
      <w:tr>
        <w:tblPrEx>
          <w:tblCellMar>
            <w:top w:w="0" w:type="dxa"/>
            <w:left w:w="108" w:type="dxa"/>
            <w:bottom w:w="0" w:type="dxa"/>
            <w:right w:w="108" w:type="dxa"/>
          </w:tblCellMar>
        </w:tblPrEx>
        <w:trPr>
          <w:trHeight w:val="575" w:hRule="atLeast"/>
        </w:trPr>
        <w:tc>
          <w:tcPr>
            <w:tcW w:w="784" w:type="dxa"/>
            <w:vMerge w:val="restart"/>
            <w:tcBorders>
              <w:top w:val="nil"/>
              <w:left w:val="single" w:color="auto" w:sz="4" w:space="0"/>
              <w:right w:val="single" w:color="auto" w:sz="4" w:space="0"/>
            </w:tcBorders>
            <w:noWrap w:val="0"/>
            <w:textDirection w:val="tbRlV"/>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绩效指标</w:t>
            </w:r>
          </w:p>
        </w:tc>
        <w:tc>
          <w:tcPr>
            <w:tcW w:w="704" w:type="dxa"/>
            <w:tcBorders>
              <w:top w:val="nil"/>
              <w:left w:val="nil"/>
              <w:bottom w:val="single" w:color="auto" w:sz="4" w:space="0"/>
              <w:right w:val="nil"/>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指标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名称</w:t>
            </w:r>
          </w:p>
        </w:tc>
        <w:tc>
          <w:tcPr>
            <w:tcW w:w="609" w:type="dxa"/>
            <w:gridSpan w:val="3"/>
            <w:tcBorders>
              <w:top w:val="nil"/>
              <w:left w:val="single" w:color="auto" w:sz="4" w:space="0"/>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计量</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单位</w:t>
            </w:r>
          </w:p>
        </w:tc>
        <w:tc>
          <w:tcPr>
            <w:tcW w:w="749" w:type="dxa"/>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指标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性质</w:t>
            </w:r>
          </w:p>
        </w:tc>
        <w:tc>
          <w:tcPr>
            <w:tcW w:w="876" w:type="dxa"/>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年初</w:t>
            </w:r>
          </w:p>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指标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值</w:t>
            </w:r>
          </w:p>
        </w:tc>
        <w:tc>
          <w:tcPr>
            <w:tcW w:w="1009" w:type="dxa"/>
            <w:gridSpan w:val="2"/>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调整</w:t>
            </w:r>
          </w:p>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指标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值</w:t>
            </w:r>
          </w:p>
        </w:tc>
        <w:tc>
          <w:tcPr>
            <w:tcW w:w="1011" w:type="dxa"/>
            <w:gridSpan w:val="3"/>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全年</w:t>
            </w:r>
          </w:p>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完成</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值</w:t>
            </w:r>
          </w:p>
        </w:tc>
        <w:tc>
          <w:tcPr>
            <w:tcW w:w="916" w:type="dxa"/>
            <w:tcBorders>
              <w:top w:val="nil"/>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得分</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系数</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w:t>
            </w:r>
          </w:p>
        </w:tc>
        <w:tc>
          <w:tcPr>
            <w:tcW w:w="1279" w:type="dxa"/>
            <w:gridSpan w:val="2"/>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指标权重</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（分）</w:t>
            </w:r>
          </w:p>
        </w:tc>
        <w:tc>
          <w:tcPr>
            <w:tcW w:w="956" w:type="dxa"/>
            <w:tcBorders>
              <w:top w:val="nil"/>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指标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得分</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（分）</w:t>
            </w:r>
          </w:p>
        </w:tc>
        <w:tc>
          <w:tcPr>
            <w:tcW w:w="1100" w:type="dxa"/>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是否核心</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指标</w:t>
            </w:r>
          </w:p>
        </w:tc>
      </w:tr>
      <w:tr>
        <w:tblPrEx>
          <w:tblCellMar>
            <w:top w:w="0" w:type="dxa"/>
            <w:left w:w="108" w:type="dxa"/>
            <w:bottom w:w="0" w:type="dxa"/>
            <w:right w:w="108" w:type="dxa"/>
          </w:tblCellMar>
        </w:tblPrEx>
        <w:trPr>
          <w:trHeight w:val="536" w:hRule="atLeast"/>
        </w:trPr>
        <w:tc>
          <w:tcPr>
            <w:tcW w:w="784" w:type="dxa"/>
            <w:vMerge w:val="continue"/>
            <w:tcBorders>
              <w:left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p>
        </w:tc>
        <w:tc>
          <w:tcPr>
            <w:tcW w:w="704" w:type="dxa"/>
            <w:tcBorders>
              <w:top w:val="nil"/>
              <w:left w:val="nil"/>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执行序时进度</w:t>
            </w:r>
          </w:p>
        </w:tc>
        <w:tc>
          <w:tcPr>
            <w:tcW w:w="609" w:type="dxa"/>
            <w:gridSpan w:val="3"/>
            <w:tcBorders>
              <w:top w:val="nil"/>
              <w:left w:val="single" w:color="auto" w:sz="4" w:space="0"/>
              <w:bottom w:val="single" w:color="auto" w:sz="4" w:space="0"/>
              <w:right w:val="nil"/>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月</w:t>
            </w:r>
          </w:p>
        </w:tc>
        <w:tc>
          <w:tcPr>
            <w:tcW w:w="749" w:type="dxa"/>
            <w:tcBorders>
              <w:top w:val="nil"/>
              <w:left w:val="single" w:color="auto" w:sz="4" w:space="0"/>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w:t>
            </w:r>
          </w:p>
        </w:tc>
        <w:tc>
          <w:tcPr>
            <w:tcW w:w="876" w:type="dxa"/>
            <w:tcBorders>
              <w:top w:val="nil"/>
              <w:left w:val="single" w:color="auto" w:sz="4" w:space="0"/>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12</w:t>
            </w:r>
          </w:p>
        </w:tc>
        <w:tc>
          <w:tcPr>
            <w:tcW w:w="1009" w:type="dxa"/>
            <w:gridSpan w:val="2"/>
            <w:tcBorders>
              <w:top w:val="nil"/>
              <w:left w:val="single" w:color="auto" w:sz="4" w:space="0"/>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0</w:t>
            </w:r>
          </w:p>
        </w:tc>
        <w:tc>
          <w:tcPr>
            <w:tcW w:w="1011" w:type="dxa"/>
            <w:gridSpan w:val="3"/>
            <w:tcBorders>
              <w:top w:val="nil"/>
              <w:left w:val="single" w:color="auto" w:sz="4" w:space="0"/>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12</w:t>
            </w:r>
          </w:p>
        </w:tc>
        <w:tc>
          <w:tcPr>
            <w:tcW w:w="916" w:type="dxa"/>
            <w:tcBorders>
              <w:top w:val="nil"/>
              <w:left w:val="single" w:color="auto" w:sz="4" w:space="0"/>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100</w:t>
            </w:r>
          </w:p>
        </w:tc>
        <w:tc>
          <w:tcPr>
            <w:tcW w:w="1279" w:type="dxa"/>
            <w:gridSpan w:val="2"/>
            <w:tcBorders>
              <w:top w:val="nil"/>
              <w:left w:val="single" w:color="auto" w:sz="4" w:space="0"/>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20</w:t>
            </w:r>
          </w:p>
        </w:tc>
        <w:tc>
          <w:tcPr>
            <w:tcW w:w="956" w:type="dxa"/>
            <w:tcBorders>
              <w:top w:val="nil"/>
              <w:left w:val="single" w:color="auto" w:sz="4" w:space="0"/>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20</w:t>
            </w:r>
          </w:p>
        </w:tc>
        <w:tc>
          <w:tcPr>
            <w:tcW w:w="1100" w:type="dxa"/>
            <w:tcBorders>
              <w:top w:val="nil"/>
              <w:left w:val="single" w:color="auto" w:sz="4" w:space="0"/>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是</w:t>
            </w:r>
          </w:p>
        </w:tc>
      </w:tr>
      <w:tr>
        <w:tblPrEx>
          <w:tblCellMar>
            <w:top w:w="0" w:type="dxa"/>
            <w:left w:w="108" w:type="dxa"/>
            <w:bottom w:w="0" w:type="dxa"/>
            <w:right w:w="108" w:type="dxa"/>
          </w:tblCellMar>
        </w:tblPrEx>
        <w:trPr>
          <w:trHeight w:val="591" w:hRule="atLeast"/>
        </w:trPr>
        <w:tc>
          <w:tcPr>
            <w:tcW w:w="784" w:type="dxa"/>
            <w:vMerge w:val="continue"/>
            <w:tcBorders>
              <w:left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p>
        </w:tc>
        <w:tc>
          <w:tcPr>
            <w:tcW w:w="704"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保障工作运转率</w:t>
            </w:r>
          </w:p>
        </w:tc>
        <w:tc>
          <w:tcPr>
            <w:tcW w:w="609" w:type="dxa"/>
            <w:gridSpan w:val="3"/>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w:t>
            </w:r>
          </w:p>
        </w:tc>
        <w:tc>
          <w:tcPr>
            <w:tcW w:w="749"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w:t>
            </w:r>
          </w:p>
        </w:tc>
        <w:tc>
          <w:tcPr>
            <w:tcW w:w="876"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95</w:t>
            </w:r>
          </w:p>
        </w:tc>
        <w:tc>
          <w:tcPr>
            <w:tcW w:w="1009" w:type="dxa"/>
            <w:gridSpan w:val="2"/>
            <w:tcBorders>
              <w:top w:val="single" w:color="auto" w:sz="4" w:space="0"/>
              <w:left w:val="nil"/>
              <w:bottom w:val="single" w:color="auto" w:sz="4" w:space="0"/>
              <w:right w:val="single" w:color="000000"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0</w:t>
            </w:r>
          </w:p>
        </w:tc>
        <w:tc>
          <w:tcPr>
            <w:tcW w:w="1011" w:type="dxa"/>
            <w:gridSpan w:val="3"/>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95</w:t>
            </w:r>
          </w:p>
        </w:tc>
        <w:tc>
          <w:tcPr>
            <w:tcW w:w="916"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93</w:t>
            </w:r>
          </w:p>
        </w:tc>
        <w:tc>
          <w:tcPr>
            <w:tcW w:w="1279" w:type="dxa"/>
            <w:gridSpan w:val="2"/>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30</w:t>
            </w:r>
          </w:p>
        </w:tc>
        <w:tc>
          <w:tcPr>
            <w:tcW w:w="956"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28</w:t>
            </w:r>
          </w:p>
        </w:tc>
        <w:tc>
          <w:tcPr>
            <w:tcW w:w="1100"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是</w:t>
            </w:r>
          </w:p>
        </w:tc>
      </w:tr>
      <w:tr>
        <w:tblPrEx>
          <w:tblCellMar>
            <w:top w:w="0" w:type="dxa"/>
            <w:left w:w="108" w:type="dxa"/>
            <w:bottom w:w="0" w:type="dxa"/>
            <w:right w:w="108" w:type="dxa"/>
          </w:tblCellMar>
        </w:tblPrEx>
        <w:trPr>
          <w:trHeight w:val="591" w:hRule="atLeast"/>
        </w:trPr>
        <w:tc>
          <w:tcPr>
            <w:tcW w:w="784" w:type="dxa"/>
            <w:vMerge w:val="continue"/>
            <w:tcBorders>
              <w:left w:val="single" w:color="auto" w:sz="4" w:space="0"/>
              <w:bottom w:val="nil"/>
              <w:right w:val="single" w:color="auto" w:sz="4" w:space="0"/>
            </w:tcBorders>
            <w:noWrap w:val="0"/>
            <w:vAlign w:val="center"/>
          </w:tcPr>
          <w:p>
            <w:pPr>
              <w:spacing w:line="560" w:lineRule="exact"/>
              <w:jc w:val="center"/>
              <w:rPr>
                <w:rFonts w:hint="eastAsia" w:eastAsia="方正仿宋_GBK" w:cs="宋体"/>
                <w:color w:val="000000"/>
                <w:kern w:val="0"/>
                <w:sz w:val="32"/>
                <w:szCs w:val="32"/>
              </w:rPr>
            </w:pPr>
          </w:p>
        </w:tc>
        <w:tc>
          <w:tcPr>
            <w:tcW w:w="704"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经费拨付率</w:t>
            </w:r>
          </w:p>
        </w:tc>
        <w:tc>
          <w:tcPr>
            <w:tcW w:w="609" w:type="dxa"/>
            <w:gridSpan w:val="3"/>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w:t>
            </w:r>
          </w:p>
        </w:tc>
        <w:tc>
          <w:tcPr>
            <w:tcW w:w="749"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w:t>
            </w:r>
          </w:p>
        </w:tc>
        <w:tc>
          <w:tcPr>
            <w:tcW w:w="876"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100</w:t>
            </w:r>
          </w:p>
        </w:tc>
        <w:tc>
          <w:tcPr>
            <w:tcW w:w="1009" w:type="dxa"/>
            <w:gridSpan w:val="2"/>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0</w:t>
            </w:r>
          </w:p>
        </w:tc>
        <w:tc>
          <w:tcPr>
            <w:tcW w:w="1011" w:type="dxa"/>
            <w:gridSpan w:val="3"/>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100</w:t>
            </w:r>
          </w:p>
        </w:tc>
        <w:tc>
          <w:tcPr>
            <w:tcW w:w="916"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100</w:t>
            </w:r>
          </w:p>
        </w:tc>
        <w:tc>
          <w:tcPr>
            <w:tcW w:w="1279" w:type="dxa"/>
            <w:gridSpan w:val="2"/>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30</w:t>
            </w:r>
          </w:p>
        </w:tc>
        <w:tc>
          <w:tcPr>
            <w:tcW w:w="956"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30</w:t>
            </w:r>
          </w:p>
        </w:tc>
        <w:tc>
          <w:tcPr>
            <w:tcW w:w="1100"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是</w:t>
            </w:r>
          </w:p>
        </w:tc>
      </w:tr>
      <w:tr>
        <w:tblPrEx>
          <w:tblCellMar>
            <w:top w:w="0" w:type="dxa"/>
            <w:left w:w="108" w:type="dxa"/>
            <w:bottom w:w="0" w:type="dxa"/>
            <w:right w:w="108" w:type="dxa"/>
          </w:tblCellMar>
        </w:tblPrEx>
        <w:trPr>
          <w:trHeight w:val="591" w:hRule="atLeast"/>
        </w:trPr>
        <w:tc>
          <w:tcPr>
            <w:tcW w:w="784" w:type="dxa"/>
            <w:tcBorders>
              <w:top w:val="nil"/>
              <w:left w:val="single" w:color="auto" w:sz="4" w:space="0"/>
              <w:bottom w:val="nil"/>
              <w:right w:val="single" w:color="auto" w:sz="4" w:space="0"/>
            </w:tcBorders>
            <w:noWrap w:val="0"/>
            <w:vAlign w:val="center"/>
          </w:tcPr>
          <w:p>
            <w:pPr>
              <w:spacing w:line="560" w:lineRule="exact"/>
              <w:jc w:val="center"/>
              <w:rPr>
                <w:rFonts w:hint="eastAsia" w:eastAsia="方正仿宋_GBK" w:cs="宋体"/>
                <w:color w:val="000000"/>
                <w:kern w:val="0"/>
                <w:sz w:val="32"/>
                <w:szCs w:val="32"/>
              </w:rPr>
            </w:pPr>
          </w:p>
        </w:tc>
        <w:tc>
          <w:tcPr>
            <w:tcW w:w="704"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服务对象满意度</w:t>
            </w:r>
          </w:p>
        </w:tc>
        <w:tc>
          <w:tcPr>
            <w:tcW w:w="609" w:type="dxa"/>
            <w:gridSpan w:val="3"/>
            <w:tcBorders>
              <w:top w:val="single" w:color="auto" w:sz="4" w:space="0"/>
              <w:left w:val="nil"/>
              <w:bottom w:val="single" w:color="auto" w:sz="4" w:space="0"/>
              <w:right w:val="single" w:color="000000" w:sz="4" w:space="0"/>
            </w:tcBorders>
            <w:noWrap w:val="0"/>
            <w:vAlign w:val="center"/>
          </w:tcPr>
          <w:p>
            <w:pPr>
              <w:spacing w:line="560" w:lineRule="exact"/>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w:t>
            </w:r>
          </w:p>
        </w:tc>
        <w:tc>
          <w:tcPr>
            <w:tcW w:w="749"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w:t>
            </w:r>
          </w:p>
        </w:tc>
        <w:tc>
          <w:tcPr>
            <w:tcW w:w="876"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95</w:t>
            </w:r>
          </w:p>
        </w:tc>
        <w:tc>
          <w:tcPr>
            <w:tcW w:w="1009" w:type="dxa"/>
            <w:gridSpan w:val="2"/>
            <w:tcBorders>
              <w:top w:val="single" w:color="auto" w:sz="4" w:space="0"/>
              <w:left w:val="nil"/>
              <w:bottom w:val="single" w:color="auto" w:sz="4" w:space="0"/>
              <w:right w:val="single" w:color="000000" w:sz="4" w:space="0"/>
            </w:tcBorders>
            <w:noWrap w:val="0"/>
            <w:vAlign w:val="center"/>
          </w:tcPr>
          <w:p>
            <w:pPr>
              <w:spacing w:line="560" w:lineRule="exact"/>
              <w:rPr>
                <w:rFonts w:hint="default"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3</w:t>
            </w:r>
          </w:p>
        </w:tc>
        <w:tc>
          <w:tcPr>
            <w:tcW w:w="1011" w:type="dxa"/>
            <w:gridSpan w:val="3"/>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98</w:t>
            </w:r>
          </w:p>
        </w:tc>
        <w:tc>
          <w:tcPr>
            <w:tcW w:w="916"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100</w:t>
            </w:r>
          </w:p>
        </w:tc>
        <w:tc>
          <w:tcPr>
            <w:tcW w:w="1279" w:type="dxa"/>
            <w:gridSpan w:val="2"/>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20</w:t>
            </w:r>
          </w:p>
        </w:tc>
        <w:tc>
          <w:tcPr>
            <w:tcW w:w="956"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20</w:t>
            </w:r>
          </w:p>
        </w:tc>
        <w:tc>
          <w:tcPr>
            <w:tcW w:w="1100" w:type="dxa"/>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是</w:t>
            </w:r>
          </w:p>
        </w:tc>
      </w:tr>
      <w:tr>
        <w:tblPrEx>
          <w:tblCellMar>
            <w:top w:w="0" w:type="dxa"/>
            <w:left w:w="108" w:type="dxa"/>
            <w:bottom w:w="0" w:type="dxa"/>
            <w:right w:w="108" w:type="dxa"/>
          </w:tblCellMar>
        </w:tblPrEx>
        <w:trPr>
          <w:trHeight w:val="591" w:hRule="atLeast"/>
        </w:trPr>
        <w:tc>
          <w:tcPr>
            <w:tcW w:w="784"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说明</w:t>
            </w:r>
          </w:p>
        </w:tc>
        <w:tc>
          <w:tcPr>
            <w:tcW w:w="9209" w:type="dxa"/>
            <w:gridSpan w:val="16"/>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p>
        </w:tc>
      </w:tr>
    </w:tbl>
    <w:p>
      <w:pPr>
        <w:pStyle w:val="21"/>
        <w:tabs>
          <w:tab w:val="center" w:pos="4153"/>
          <w:tab w:val="left" w:pos="7275"/>
        </w:tabs>
        <w:spacing w:line="560" w:lineRule="exact"/>
        <w:ind w:firstLine="640"/>
        <w:rPr>
          <w:rFonts w:hint="eastAsia" w:eastAsia="方正小标宋_GBK" w:cs="宋体"/>
          <w:color w:val="000000"/>
          <w:kern w:val="0"/>
          <w:sz w:val="32"/>
          <w:szCs w:val="32"/>
        </w:rPr>
      </w:pPr>
      <w:r>
        <w:rPr>
          <w:rFonts w:hint="eastAsia" w:eastAsia="方正仿宋_GBK" w:cs="宋体"/>
          <w:sz w:val="32"/>
          <w:szCs w:val="32"/>
        </w:rPr>
        <w:t>城口县高楠镇2024年方斗村传统村落农文旅融合项目绩</w:t>
      </w:r>
      <w:r>
        <w:rPr>
          <w:rFonts w:hint="eastAsia" w:eastAsia="方正仿宋_GBK" w:cs="宋体"/>
          <w:kern w:val="0"/>
          <w:sz w:val="32"/>
          <w:szCs w:val="32"/>
        </w:rPr>
        <w:t>效目标自评综述：根据年初设定的绩效目标，项目建成后，能提升提升方斗村农村人居环境品质、完善农村基础设施建设、提高公共服务水平，进一步增加农村居民收入，促使乡风文明程度、乡村治理效能显著提升，提高群众满意度；项目全年预算数为96.47万元，执行数为96.47万元，完成预算的100%。</w:t>
      </w:r>
    </w:p>
    <w:p>
      <w:pPr>
        <w:pStyle w:val="21"/>
        <w:tabs>
          <w:tab w:val="center" w:pos="4153"/>
          <w:tab w:val="left" w:pos="7275"/>
        </w:tabs>
        <w:spacing w:line="560" w:lineRule="exact"/>
        <w:ind w:firstLine="0" w:firstLineChars="0"/>
        <w:jc w:val="center"/>
        <w:rPr>
          <w:rFonts w:hint="eastAsia" w:eastAsia="方正小标宋_GBK" w:cs="宋体"/>
          <w:color w:val="000000"/>
          <w:kern w:val="0"/>
          <w:sz w:val="32"/>
          <w:szCs w:val="32"/>
        </w:rPr>
      </w:pPr>
      <w:r>
        <w:rPr>
          <w:rFonts w:hint="eastAsia" w:eastAsia="方正小标宋_GBK" w:cs="宋体"/>
          <w:color w:val="000000"/>
          <w:kern w:val="0"/>
          <w:sz w:val="32"/>
          <w:szCs w:val="32"/>
        </w:rPr>
        <w:t>一级／二级项目绩效自评表</w:t>
      </w:r>
    </w:p>
    <w:tbl>
      <w:tblPr>
        <w:tblStyle w:val="12"/>
        <w:tblW w:w="0" w:type="auto"/>
        <w:jc w:val="center"/>
        <w:tblLayout w:type="fixed"/>
        <w:tblCellMar>
          <w:top w:w="0" w:type="dxa"/>
          <w:left w:w="108" w:type="dxa"/>
          <w:bottom w:w="0" w:type="dxa"/>
          <w:right w:w="108" w:type="dxa"/>
        </w:tblCellMar>
      </w:tblPr>
      <w:tblGrid>
        <w:gridCol w:w="841"/>
        <w:gridCol w:w="751"/>
        <w:gridCol w:w="537"/>
        <w:gridCol w:w="166"/>
        <w:gridCol w:w="249"/>
        <w:gridCol w:w="455"/>
        <w:gridCol w:w="141"/>
        <w:gridCol w:w="222"/>
        <w:gridCol w:w="340"/>
        <w:gridCol w:w="699"/>
        <w:gridCol w:w="1004"/>
        <w:gridCol w:w="1091"/>
        <w:gridCol w:w="936"/>
        <w:gridCol w:w="414"/>
        <w:gridCol w:w="986"/>
        <w:gridCol w:w="1229"/>
      </w:tblGrid>
      <w:tr>
        <w:tblPrEx>
          <w:tblCellMar>
            <w:top w:w="0" w:type="dxa"/>
            <w:left w:w="108" w:type="dxa"/>
            <w:bottom w:w="0" w:type="dxa"/>
            <w:right w:w="108" w:type="dxa"/>
          </w:tblCellMar>
        </w:tblPrEx>
        <w:trPr>
          <w:trHeight w:val="479"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项目</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名称</w:t>
            </w:r>
          </w:p>
        </w:tc>
        <w:tc>
          <w:tcPr>
            <w:tcW w:w="1703" w:type="dxa"/>
            <w:gridSpan w:val="4"/>
            <w:tcBorders>
              <w:top w:val="single" w:color="auto" w:sz="4" w:space="0"/>
              <w:left w:val="nil"/>
              <w:bottom w:val="single" w:color="auto" w:sz="4" w:space="0"/>
              <w:right w:val="single" w:color="000000"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kern w:val="0"/>
                <w:sz w:val="32"/>
                <w:szCs w:val="32"/>
              </w:rPr>
              <w:t>2024年高楠镇方斗村传统村落农文旅融合项目</w:t>
            </w:r>
          </w:p>
        </w:tc>
        <w:tc>
          <w:tcPr>
            <w:tcW w:w="818" w:type="dxa"/>
            <w:gridSpan w:val="3"/>
            <w:tcBorders>
              <w:top w:val="single" w:color="auto" w:sz="4" w:space="0"/>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项目</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编码</w:t>
            </w:r>
          </w:p>
        </w:tc>
        <w:tc>
          <w:tcPr>
            <w:tcW w:w="1039" w:type="dxa"/>
            <w:gridSpan w:val="2"/>
            <w:tcBorders>
              <w:top w:val="single" w:color="auto" w:sz="4" w:space="0"/>
              <w:left w:val="nil"/>
              <w:bottom w:val="single" w:color="auto" w:sz="4" w:space="0"/>
              <w:right w:val="single" w:color="000000" w:sz="4" w:space="0"/>
            </w:tcBorders>
            <w:noWrap w:val="0"/>
            <w:vAlign w:val="center"/>
          </w:tcPr>
          <w:p>
            <w:pPr>
              <w:spacing w:line="560" w:lineRule="exact"/>
              <w:jc w:val="center"/>
              <w:rPr>
                <w:rFonts w:hint="eastAsia" w:eastAsia="方正仿宋_GBK" w:cs="宋体"/>
                <w:color w:val="000000"/>
                <w:kern w:val="0"/>
                <w:sz w:val="32"/>
                <w:szCs w:val="32"/>
              </w:rPr>
            </w:pPr>
          </w:p>
        </w:tc>
        <w:tc>
          <w:tcPr>
            <w:tcW w:w="1004"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自评</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总分</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（分）</w:t>
            </w:r>
          </w:p>
        </w:tc>
        <w:tc>
          <w:tcPr>
            <w:tcW w:w="4656" w:type="dxa"/>
            <w:gridSpan w:val="5"/>
            <w:tcBorders>
              <w:top w:val="single" w:color="auto" w:sz="4" w:space="0"/>
              <w:left w:val="nil"/>
              <w:bottom w:val="single" w:color="auto" w:sz="4" w:space="0"/>
              <w:right w:val="single" w:color="000000"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98</w:t>
            </w:r>
          </w:p>
        </w:tc>
      </w:tr>
      <w:tr>
        <w:tblPrEx>
          <w:tblCellMar>
            <w:top w:w="0" w:type="dxa"/>
            <w:left w:w="108" w:type="dxa"/>
            <w:bottom w:w="0" w:type="dxa"/>
            <w:right w:w="108" w:type="dxa"/>
          </w:tblCellMar>
        </w:tblPrEx>
        <w:trPr>
          <w:trHeight w:val="479" w:hRule="atLeast"/>
          <w:jc w:val="center"/>
        </w:trPr>
        <w:tc>
          <w:tcPr>
            <w:tcW w:w="84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主管</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部门</w:t>
            </w:r>
          </w:p>
        </w:tc>
        <w:tc>
          <w:tcPr>
            <w:tcW w:w="1703" w:type="dxa"/>
            <w:gridSpan w:val="4"/>
            <w:tcBorders>
              <w:top w:val="single" w:color="auto" w:sz="4" w:space="0"/>
              <w:left w:val="nil"/>
              <w:bottom w:val="single" w:color="auto" w:sz="4" w:space="0"/>
              <w:right w:val="single" w:color="000000"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住建委</w:t>
            </w:r>
          </w:p>
        </w:tc>
        <w:tc>
          <w:tcPr>
            <w:tcW w:w="818" w:type="dxa"/>
            <w:gridSpan w:val="3"/>
            <w:tcBorders>
              <w:top w:val="nil"/>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财政</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处室</w:t>
            </w:r>
          </w:p>
        </w:tc>
        <w:tc>
          <w:tcPr>
            <w:tcW w:w="1039" w:type="dxa"/>
            <w:gridSpan w:val="2"/>
            <w:tcBorders>
              <w:top w:val="single" w:color="auto" w:sz="4" w:space="0"/>
              <w:left w:val="nil"/>
              <w:bottom w:val="single" w:color="auto" w:sz="4" w:space="0"/>
              <w:right w:val="single" w:color="000000"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财政办</w:t>
            </w:r>
          </w:p>
        </w:tc>
        <w:tc>
          <w:tcPr>
            <w:tcW w:w="1004" w:type="dxa"/>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项目</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联系人</w:t>
            </w:r>
          </w:p>
        </w:tc>
        <w:tc>
          <w:tcPr>
            <w:tcW w:w="1091" w:type="dxa"/>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项目办</w:t>
            </w:r>
          </w:p>
        </w:tc>
        <w:tc>
          <w:tcPr>
            <w:tcW w:w="1350" w:type="dxa"/>
            <w:gridSpan w:val="2"/>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联系电话</w:t>
            </w:r>
          </w:p>
        </w:tc>
        <w:tc>
          <w:tcPr>
            <w:tcW w:w="2215" w:type="dxa"/>
            <w:gridSpan w:val="2"/>
            <w:tcBorders>
              <w:top w:val="single" w:color="auto" w:sz="4" w:space="0"/>
              <w:left w:val="nil"/>
              <w:bottom w:val="single" w:color="auto" w:sz="4" w:space="0"/>
              <w:right w:val="single" w:color="000000"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59500000</w:t>
            </w:r>
          </w:p>
        </w:tc>
      </w:tr>
      <w:tr>
        <w:tblPrEx>
          <w:tblCellMar>
            <w:top w:w="0" w:type="dxa"/>
            <w:left w:w="108" w:type="dxa"/>
            <w:bottom w:w="0" w:type="dxa"/>
            <w:right w:w="108" w:type="dxa"/>
          </w:tblCellMar>
        </w:tblPrEx>
        <w:trPr>
          <w:trHeight w:val="479" w:hRule="atLeast"/>
          <w:jc w:val="center"/>
        </w:trPr>
        <w:tc>
          <w:tcPr>
            <w:tcW w:w="841" w:type="dxa"/>
            <w:vMerge w:val="restart"/>
            <w:tcBorders>
              <w:top w:val="nil"/>
              <w:left w:val="single" w:color="auto" w:sz="4" w:space="0"/>
              <w:bottom w:val="single" w:color="auto" w:sz="4" w:space="0"/>
              <w:right w:val="single" w:color="auto" w:sz="4" w:space="0"/>
            </w:tcBorders>
            <w:noWrap w:val="0"/>
            <w:textDirection w:val="tbRlV"/>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项目资金（万元）</w:t>
            </w:r>
          </w:p>
        </w:tc>
        <w:tc>
          <w:tcPr>
            <w:tcW w:w="1288" w:type="dxa"/>
            <w:gridSpan w:val="2"/>
            <w:vMerge w:val="restart"/>
            <w:tcBorders>
              <w:top w:val="nil"/>
              <w:left w:val="nil"/>
              <w:right w:val="nil"/>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年度</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总金额</w:t>
            </w:r>
          </w:p>
        </w:tc>
        <w:tc>
          <w:tcPr>
            <w:tcW w:w="1011" w:type="dxa"/>
            <w:gridSpan w:val="4"/>
            <w:tcBorders>
              <w:top w:val="single" w:color="auto" w:sz="4" w:space="0"/>
              <w:left w:val="single" w:color="auto" w:sz="4" w:space="0"/>
              <w:bottom w:val="single" w:color="auto" w:sz="4" w:space="0"/>
              <w:right w:val="single" w:color="000000"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年初</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预算数</w:t>
            </w:r>
          </w:p>
        </w:tc>
        <w:tc>
          <w:tcPr>
            <w:tcW w:w="1261" w:type="dxa"/>
            <w:gridSpan w:val="3"/>
            <w:tcBorders>
              <w:top w:val="single" w:color="auto" w:sz="4" w:space="0"/>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全年</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（调整）预算数</w:t>
            </w:r>
          </w:p>
        </w:tc>
        <w:tc>
          <w:tcPr>
            <w:tcW w:w="2095" w:type="dxa"/>
            <w:gridSpan w:val="2"/>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全年执行数</w:t>
            </w:r>
          </w:p>
        </w:tc>
        <w:tc>
          <w:tcPr>
            <w:tcW w:w="1350" w:type="dxa"/>
            <w:gridSpan w:val="2"/>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执行率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w:t>
            </w:r>
          </w:p>
        </w:tc>
        <w:tc>
          <w:tcPr>
            <w:tcW w:w="986" w:type="dxa"/>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执行率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权重</w:t>
            </w:r>
          </w:p>
        </w:tc>
        <w:tc>
          <w:tcPr>
            <w:tcW w:w="1229" w:type="dxa"/>
            <w:tcBorders>
              <w:top w:val="nil"/>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执行率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得分</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（分）</w:t>
            </w:r>
          </w:p>
        </w:tc>
      </w:tr>
      <w:tr>
        <w:tblPrEx>
          <w:tblCellMar>
            <w:top w:w="0" w:type="dxa"/>
            <w:left w:w="108" w:type="dxa"/>
            <w:bottom w:w="0" w:type="dxa"/>
            <w:right w:w="108" w:type="dxa"/>
          </w:tblCellMar>
        </w:tblPrEx>
        <w:trPr>
          <w:trHeight w:val="479"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p>
        </w:tc>
        <w:tc>
          <w:tcPr>
            <w:tcW w:w="1288" w:type="dxa"/>
            <w:gridSpan w:val="2"/>
            <w:vMerge w:val="continue"/>
            <w:tcBorders>
              <w:left w:val="nil"/>
              <w:bottom w:val="single" w:color="auto" w:sz="4" w:space="0"/>
              <w:right w:val="nil"/>
            </w:tcBorders>
            <w:noWrap w:val="0"/>
            <w:vAlign w:val="center"/>
          </w:tcPr>
          <w:p>
            <w:pPr>
              <w:spacing w:line="560" w:lineRule="exact"/>
              <w:jc w:val="center"/>
              <w:rPr>
                <w:rFonts w:hint="eastAsia" w:eastAsia="方正仿宋_GBK" w:cs="宋体"/>
                <w:color w:val="000000"/>
                <w:kern w:val="0"/>
                <w:sz w:val="32"/>
                <w:szCs w:val="32"/>
              </w:rPr>
            </w:pPr>
          </w:p>
        </w:tc>
        <w:tc>
          <w:tcPr>
            <w:tcW w:w="1011" w:type="dxa"/>
            <w:gridSpan w:val="4"/>
            <w:tcBorders>
              <w:top w:val="single" w:color="auto" w:sz="4" w:space="0"/>
              <w:left w:val="single" w:color="auto" w:sz="4" w:space="0"/>
              <w:bottom w:val="single" w:color="auto" w:sz="4" w:space="0"/>
              <w:right w:val="single" w:color="000000"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96.47</w:t>
            </w:r>
          </w:p>
        </w:tc>
        <w:tc>
          <w:tcPr>
            <w:tcW w:w="1261" w:type="dxa"/>
            <w:gridSpan w:val="3"/>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0</w:t>
            </w:r>
          </w:p>
        </w:tc>
        <w:tc>
          <w:tcPr>
            <w:tcW w:w="2095" w:type="dxa"/>
            <w:gridSpan w:val="2"/>
            <w:tcBorders>
              <w:top w:val="single" w:color="auto" w:sz="4" w:space="0"/>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96.47</w:t>
            </w:r>
          </w:p>
        </w:tc>
        <w:tc>
          <w:tcPr>
            <w:tcW w:w="1350" w:type="dxa"/>
            <w:gridSpan w:val="2"/>
            <w:tcBorders>
              <w:top w:val="nil"/>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100</w:t>
            </w:r>
          </w:p>
        </w:tc>
        <w:tc>
          <w:tcPr>
            <w:tcW w:w="986" w:type="dxa"/>
            <w:tcBorders>
              <w:top w:val="nil"/>
              <w:left w:val="nil"/>
              <w:bottom w:val="single" w:color="auto" w:sz="4" w:space="0"/>
              <w:right w:val="single" w:color="auto" w:sz="4" w:space="0"/>
            </w:tcBorders>
            <w:noWrap w:val="0"/>
            <w:vAlign w:val="center"/>
          </w:tcPr>
          <w:p>
            <w:pPr>
              <w:spacing w:line="560" w:lineRule="exact"/>
              <w:jc w:val="center"/>
              <w:rPr>
                <w:rFonts w:eastAsia="方正仿宋_GBK" w:cs="宋体"/>
                <w:kern w:val="0"/>
                <w:sz w:val="32"/>
                <w:szCs w:val="32"/>
              </w:rPr>
            </w:pPr>
            <w:r>
              <w:rPr>
                <w:rFonts w:hint="eastAsia" w:eastAsia="方正仿宋_GBK" w:cs="宋体"/>
                <w:kern w:val="0"/>
                <w:sz w:val="32"/>
                <w:szCs w:val="32"/>
              </w:rPr>
              <w:t>100</w:t>
            </w:r>
          </w:p>
        </w:tc>
        <w:tc>
          <w:tcPr>
            <w:tcW w:w="1229" w:type="dxa"/>
            <w:tcBorders>
              <w:top w:val="nil"/>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98</w:t>
            </w:r>
          </w:p>
        </w:tc>
      </w:tr>
      <w:tr>
        <w:tblPrEx>
          <w:tblCellMar>
            <w:top w:w="0" w:type="dxa"/>
            <w:left w:w="108" w:type="dxa"/>
            <w:bottom w:w="0" w:type="dxa"/>
            <w:right w:w="108" w:type="dxa"/>
          </w:tblCellMar>
        </w:tblPrEx>
        <w:trPr>
          <w:trHeight w:val="479"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p>
        </w:tc>
        <w:tc>
          <w:tcPr>
            <w:tcW w:w="1288" w:type="dxa"/>
            <w:gridSpan w:val="2"/>
            <w:tcBorders>
              <w:top w:val="nil"/>
              <w:left w:val="nil"/>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其中：</w:t>
            </w:r>
          </w:p>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县级支出</w:t>
            </w:r>
          </w:p>
        </w:tc>
        <w:tc>
          <w:tcPr>
            <w:tcW w:w="1011" w:type="dxa"/>
            <w:gridSpan w:val="4"/>
            <w:tcBorders>
              <w:top w:val="single" w:color="auto" w:sz="4" w:space="0"/>
              <w:left w:val="single" w:color="auto" w:sz="4" w:space="0"/>
              <w:bottom w:val="single" w:color="auto" w:sz="4" w:space="0"/>
              <w:right w:val="single" w:color="000000" w:sz="4" w:space="0"/>
            </w:tcBorders>
            <w:noWrap w:val="0"/>
            <w:vAlign w:val="center"/>
          </w:tcPr>
          <w:p>
            <w:pPr>
              <w:spacing w:line="560" w:lineRule="exact"/>
              <w:jc w:val="center"/>
              <w:rPr>
                <w:rFonts w:eastAsia="方正仿宋_GBK" w:cs="宋体"/>
                <w:color w:val="000000"/>
                <w:kern w:val="0"/>
                <w:sz w:val="32"/>
                <w:szCs w:val="32"/>
              </w:rPr>
            </w:pPr>
          </w:p>
        </w:tc>
        <w:tc>
          <w:tcPr>
            <w:tcW w:w="1261" w:type="dxa"/>
            <w:gridSpan w:val="3"/>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p>
        </w:tc>
        <w:tc>
          <w:tcPr>
            <w:tcW w:w="2095" w:type="dxa"/>
            <w:gridSpan w:val="2"/>
            <w:tcBorders>
              <w:top w:val="single" w:color="auto" w:sz="4" w:space="0"/>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p>
        </w:tc>
        <w:tc>
          <w:tcPr>
            <w:tcW w:w="1350" w:type="dxa"/>
            <w:gridSpan w:val="2"/>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p>
        </w:tc>
        <w:tc>
          <w:tcPr>
            <w:tcW w:w="986" w:type="dxa"/>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p>
        </w:tc>
        <w:tc>
          <w:tcPr>
            <w:tcW w:w="1229" w:type="dxa"/>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p>
        </w:tc>
      </w:tr>
      <w:tr>
        <w:tblPrEx>
          <w:tblCellMar>
            <w:top w:w="0" w:type="dxa"/>
            <w:left w:w="108" w:type="dxa"/>
            <w:bottom w:w="0" w:type="dxa"/>
            <w:right w:w="108" w:type="dxa"/>
          </w:tblCellMar>
        </w:tblPrEx>
        <w:trPr>
          <w:trHeight w:val="479"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p>
        </w:tc>
        <w:tc>
          <w:tcPr>
            <w:tcW w:w="1288" w:type="dxa"/>
            <w:gridSpan w:val="2"/>
            <w:tcBorders>
              <w:top w:val="nil"/>
              <w:left w:val="nil"/>
              <w:bottom w:val="single" w:color="auto" w:sz="4" w:space="0"/>
              <w:right w:val="nil"/>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补助区县</w:t>
            </w:r>
          </w:p>
        </w:tc>
        <w:tc>
          <w:tcPr>
            <w:tcW w:w="1011" w:type="dxa"/>
            <w:gridSpan w:val="4"/>
            <w:tcBorders>
              <w:top w:val="single" w:color="auto" w:sz="4" w:space="0"/>
              <w:left w:val="single" w:color="auto" w:sz="4" w:space="0"/>
              <w:bottom w:val="single" w:color="auto" w:sz="4" w:space="0"/>
              <w:right w:val="single" w:color="000000" w:sz="4" w:space="0"/>
            </w:tcBorders>
            <w:noWrap w:val="0"/>
            <w:vAlign w:val="center"/>
          </w:tcPr>
          <w:p>
            <w:pPr>
              <w:spacing w:line="560" w:lineRule="exact"/>
              <w:jc w:val="center"/>
              <w:rPr>
                <w:rFonts w:hint="eastAsia" w:eastAsia="方正仿宋_GBK" w:cs="宋体"/>
                <w:color w:val="000000"/>
                <w:kern w:val="0"/>
                <w:sz w:val="32"/>
                <w:szCs w:val="32"/>
              </w:rPr>
            </w:pPr>
          </w:p>
        </w:tc>
        <w:tc>
          <w:tcPr>
            <w:tcW w:w="1261" w:type="dxa"/>
            <w:gridSpan w:val="3"/>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p>
        </w:tc>
        <w:tc>
          <w:tcPr>
            <w:tcW w:w="2095" w:type="dxa"/>
            <w:gridSpan w:val="2"/>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p>
        </w:tc>
        <w:tc>
          <w:tcPr>
            <w:tcW w:w="1350" w:type="dxa"/>
            <w:gridSpan w:val="2"/>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p>
        </w:tc>
        <w:tc>
          <w:tcPr>
            <w:tcW w:w="986" w:type="dxa"/>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p>
        </w:tc>
        <w:tc>
          <w:tcPr>
            <w:tcW w:w="1229" w:type="dxa"/>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p>
        </w:tc>
      </w:tr>
      <w:tr>
        <w:tblPrEx>
          <w:tblCellMar>
            <w:top w:w="0" w:type="dxa"/>
            <w:left w:w="108" w:type="dxa"/>
            <w:bottom w:w="0" w:type="dxa"/>
            <w:right w:w="108" w:type="dxa"/>
          </w:tblCellMar>
        </w:tblPrEx>
        <w:trPr>
          <w:trHeight w:val="479"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当年绩效目标</w:t>
            </w:r>
          </w:p>
        </w:tc>
        <w:tc>
          <w:tcPr>
            <w:tcW w:w="2521" w:type="dxa"/>
            <w:gridSpan w:val="7"/>
            <w:tcBorders>
              <w:top w:val="single" w:color="auto" w:sz="4" w:space="0"/>
              <w:left w:val="nil"/>
              <w:bottom w:val="single" w:color="auto" w:sz="4" w:space="0"/>
              <w:right w:val="single" w:color="000000"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年初绩效目标</w:t>
            </w:r>
          </w:p>
        </w:tc>
        <w:tc>
          <w:tcPr>
            <w:tcW w:w="3134" w:type="dxa"/>
            <w:gridSpan w:val="4"/>
            <w:tcBorders>
              <w:top w:val="single" w:color="auto" w:sz="4" w:space="0"/>
              <w:left w:val="nil"/>
              <w:bottom w:val="single" w:color="auto" w:sz="4" w:space="0"/>
              <w:right w:val="single" w:color="000000"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全年（调整）绩效目标</w:t>
            </w:r>
          </w:p>
        </w:tc>
        <w:tc>
          <w:tcPr>
            <w:tcW w:w="3565" w:type="dxa"/>
            <w:gridSpan w:val="4"/>
            <w:tcBorders>
              <w:top w:val="single" w:color="auto" w:sz="4" w:space="0"/>
              <w:left w:val="nil"/>
              <w:bottom w:val="single" w:color="auto" w:sz="4" w:space="0"/>
              <w:right w:val="single" w:color="000000"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全年目标实际完成情况</w:t>
            </w:r>
          </w:p>
        </w:tc>
      </w:tr>
      <w:tr>
        <w:tblPrEx>
          <w:tblCellMar>
            <w:top w:w="0" w:type="dxa"/>
            <w:left w:w="108" w:type="dxa"/>
            <w:bottom w:w="0" w:type="dxa"/>
            <w:right w:w="108" w:type="dxa"/>
          </w:tblCellMar>
        </w:tblPrEx>
        <w:trPr>
          <w:trHeight w:val="107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p>
        </w:tc>
        <w:tc>
          <w:tcPr>
            <w:tcW w:w="2521" w:type="dxa"/>
            <w:gridSpan w:val="7"/>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改造传统村落房屋，租赁民宿给市场主体，收取租金，为集体经济增加收入</w:t>
            </w:r>
          </w:p>
        </w:tc>
        <w:tc>
          <w:tcPr>
            <w:tcW w:w="3134" w:type="dxa"/>
            <w:gridSpan w:val="4"/>
            <w:tcBorders>
              <w:top w:val="single" w:color="auto" w:sz="4" w:space="0"/>
              <w:left w:val="nil"/>
              <w:bottom w:val="single" w:color="auto" w:sz="4" w:space="0"/>
              <w:right w:val="single" w:color="000000" w:sz="4" w:space="0"/>
            </w:tcBorders>
            <w:noWrap w:val="0"/>
            <w:vAlign w:val="center"/>
          </w:tcPr>
          <w:p>
            <w:pPr>
              <w:spacing w:line="560" w:lineRule="exact"/>
              <w:rPr>
                <w:rFonts w:hint="eastAsia" w:eastAsia="方正仿宋_GBK" w:cs="宋体"/>
                <w:color w:val="000000"/>
                <w:kern w:val="0"/>
                <w:sz w:val="32"/>
                <w:szCs w:val="32"/>
              </w:rPr>
            </w:pPr>
          </w:p>
        </w:tc>
        <w:tc>
          <w:tcPr>
            <w:tcW w:w="3565" w:type="dxa"/>
            <w:gridSpan w:val="4"/>
            <w:tcBorders>
              <w:top w:val="single" w:color="auto" w:sz="4" w:space="0"/>
              <w:left w:val="nil"/>
              <w:bottom w:val="single" w:color="auto" w:sz="4" w:space="0"/>
              <w:right w:val="single" w:color="000000"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改造传统村落民房，发展民宿经济。</w:t>
            </w:r>
          </w:p>
        </w:tc>
      </w:tr>
      <w:tr>
        <w:tblPrEx>
          <w:tblCellMar>
            <w:top w:w="0" w:type="dxa"/>
            <w:left w:w="108" w:type="dxa"/>
            <w:bottom w:w="0" w:type="dxa"/>
            <w:right w:w="108" w:type="dxa"/>
          </w:tblCellMar>
        </w:tblPrEx>
        <w:trPr>
          <w:trHeight w:val="479" w:hRule="atLeast"/>
          <w:jc w:val="center"/>
        </w:trPr>
        <w:tc>
          <w:tcPr>
            <w:tcW w:w="841" w:type="dxa"/>
            <w:vMerge w:val="restart"/>
            <w:tcBorders>
              <w:top w:val="nil"/>
              <w:left w:val="single" w:color="auto" w:sz="4" w:space="0"/>
              <w:right w:val="single" w:color="auto" w:sz="4" w:space="0"/>
            </w:tcBorders>
            <w:noWrap w:val="0"/>
            <w:textDirection w:val="tbRlV"/>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绩效指标</w:t>
            </w:r>
          </w:p>
        </w:tc>
        <w:tc>
          <w:tcPr>
            <w:tcW w:w="751" w:type="dxa"/>
            <w:tcBorders>
              <w:top w:val="nil"/>
              <w:left w:val="nil"/>
              <w:bottom w:val="single" w:color="auto" w:sz="4" w:space="0"/>
              <w:right w:val="nil"/>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指标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名称</w:t>
            </w:r>
          </w:p>
        </w:tc>
        <w:tc>
          <w:tcPr>
            <w:tcW w:w="703" w:type="dxa"/>
            <w:gridSpan w:val="2"/>
            <w:tcBorders>
              <w:top w:val="nil"/>
              <w:left w:val="single" w:color="auto" w:sz="4" w:space="0"/>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计量</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单位</w:t>
            </w:r>
          </w:p>
        </w:tc>
        <w:tc>
          <w:tcPr>
            <w:tcW w:w="704" w:type="dxa"/>
            <w:gridSpan w:val="2"/>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指标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性质</w:t>
            </w:r>
          </w:p>
        </w:tc>
        <w:tc>
          <w:tcPr>
            <w:tcW w:w="703" w:type="dxa"/>
            <w:gridSpan w:val="3"/>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年初</w:t>
            </w:r>
          </w:p>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指标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值</w:t>
            </w:r>
          </w:p>
        </w:tc>
        <w:tc>
          <w:tcPr>
            <w:tcW w:w="699" w:type="dxa"/>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调整</w:t>
            </w:r>
          </w:p>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指标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值</w:t>
            </w:r>
          </w:p>
        </w:tc>
        <w:tc>
          <w:tcPr>
            <w:tcW w:w="1004" w:type="dxa"/>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全年</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完成值</w:t>
            </w:r>
          </w:p>
        </w:tc>
        <w:tc>
          <w:tcPr>
            <w:tcW w:w="1091" w:type="dxa"/>
            <w:tcBorders>
              <w:top w:val="nil"/>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得分</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系数</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w:t>
            </w:r>
          </w:p>
        </w:tc>
        <w:tc>
          <w:tcPr>
            <w:tcW w:w="936" w:type="dxa"/>
            <w:tcBorders>
              <w:top w:val="nil"/>
              <w:left w:val="nil"/>
              <w:bottom w:val="single" w:color="auto" w:sz="4" w:space="0"/>
              <w:right w:val="single" w:color="auto" w:sz="4" w:space="0"/>
            </w:tcBorders>
            <w:noWrap w:val="0"/>
            <w:vAlign w:val="center"/>
          </w:tcPr>
          <w:p>
            <w:pPr>
              <w:spacing w:line="560" w:lineRule="exact"/>
              <w:jc w:val="center"/>
              <w:rPr>
                <w:rFonts w:eastAsia="方正仿宋_GBK" w:cs="宋体"/>
                <w:color w:val="000000"/>
                <w:kern w:val="0"/>
                <w:sz w:val="32"/>
                <w:szCs w:val="32"/>
              </w:rPr>
            </w:pPr>
            <w:r>
              <w:rPr>
                <w:rFonts w:hint="eastAsia" w:eastAsia="方正仿宋_GBK" w:cs="宋体"/>
                <w:color w:val="000000"/>
                <w:kern w:val="0"/>
                <w:sz w:val="32"/>
                <w:szCs w:val="32"/>
              </w:rPr>
              <w:t>指标</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权重</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（分）</w:t>
            </w:r>
          </w:p>
        </w:tc>
        <w:tc>
          <w:tcPr>
            <w:tcW w:w="1400" w:type="dxa"/>
            <w:gridSpan w:val="2"/>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指标得分</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（分）</w:t>
            </w:r>
          </w:p>
        </w:tc>
        <w:tc>
          <w:tcPr>
            <w:tcW w:w="1229" w:type="dxa"/>
            <w:tcBorders>
              <w:top w:val="nil"/>
              <w:left w:val="nil"/>
              <w:bottom w:val="single" w:color="auto" w:sz="4" w:space="0"/>
              <w:right w:val="single" w:color="auto" w:sz="4" w:space="0"/>
            </w:tcBorders>
            <w:noWrap w:val="0"/>
            <w:vAlign w:val="center"/>
          </w:tcPr>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是否核心</w:t>
            </w:r>
          </w:p>
          <w:p>
            <w:pPr>
              <w:spacing w:line="560" w:lineRule="exact"/>
              <w:jc w:val="center"/>
              <w:rPr>
                <w:rFonts w:hint="eastAsia" w:eastAsia="方正仿宋_GBK" w:cs="宋体"/>
                <w:color w:val="000000"/>
                <w:kern w:val="0"/>
                <w:sz w:val="32"/>
                <w:szCs w:val="32"/>
              </w:rPr>
            </w:pPr>
            <w:r>
              <w:rPr>
                <w:rFonts w:hint="eastAsia" w:eastAsia="方正仿宋_GBK" w:cs="宋体"/>
                <w:color w:val="000000"/>
                <w:kern w:val="0"/>
                <w:sz w:val="32"/>
                <w:szCs w:val="32"/>
              </w:rPr>
              <w:t>指标</w:t>
            </w:r>
          </w:p>
        </w:tc>
      </w:tr>
      <w:tr>
        <w:tblPrEx>
          <w:tblCellMar>
            <w:top w:w="0" w:type="dxa"/>
            <w:left w:w="108" w:type="dxa"/>
            <w:bottom w:w="0" w:type="dxa"/>
            <w:right w:w="108" w:type="dxa"/>
          </w:tblCellMar>
        </w:tblPrEx>
        <w:trPr>
          <w:trHeight w:val="417" w:hRule="atLeast"/>
          <w:jc w:val="center"/>
        </w:trPr>
        <w:tc>
          <w:tcPr>
            <w:tcW w:w="841" w:type="dxa"/>
            <w:vMerge w:val="continue"/>
            <w:tcBorders>
              <w:left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p>
        </w:tc>
        <w:tc>
          <w:tcPr>
            <w:tcW w:w="751" w:type="dxa"/>
            <w:tcBorders>
              <w:top w:val="nil"/>
              <w:left w:val="nil"/>
              <w:bottom w:val="single" w:color="auto" w:sz="4" w:space="0"/>
              <w:right w:val="nil"/>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改造提升民房面积</w:t>
            </w:r>
          </w:p>
        </w:tc>
        <w:tc>
          <w:tcPr>
            <w:tcW w:w="703" w:type="dxa"/>
            <w:gridSpan w:val="2"/>
            <w:tcBorders>
              <w:top w:val="nil"/>
              <w:left w:val="single" w:color="auto" w:sz="4" w:space="0"/>
              <w:bottom w:val="single" w:color="auto" w:sz="4" w:space="0"/>
              <w:right w:val="nil"/>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平方米</w:t>
            </w:r>
          </w:p>
        </w:tc>
        <w:tc>
          <w:tcPr>
            <w:tcW w:w="704" w:type="dxa"/>
            <w:gridSpan w:val="2"/>
            <w:tcBorders>
              <w:top w:val="nil"/>
              <w:left w:val="single" w:color="auto" w:sz="4" w:space="0"/>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w:t>
            </w:r>
          </w:p>
        </w:tc>
        <w:tc>
          <w:tcPr>
            <w:tcW w:w="703" w:type="dxa"/>
            <w:gridSpan w:val="3"/>
            <w:tcBorders>
              <w:top w:val="nil"/>
              <w:left w:val="single" w:color="auto" w:sz="4" w:space="0"/>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300</w:t>
            </w:r>
          </w:p>
        </w:tc>
        <w:tc>
          <w:tcPr>
            <w:tcW w:w="699" w:type="dxa"/>
            <w:tcBorders>
              <w:top w:val="nil"/>
              <w:left w:val="single" w:color="auto" w:sz="4" w:space="0"/>
              <w:bottom w:val="single" w:color="auto" w:sz="4" w:space="0"/>
              <w:right w:val="nil"/>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0</w:t>
            </w:r>
          </w:p>
        </w:tc>
        <w:tc>
          <w:tcPr>
            <w:tcW w:w="1004" w:type="dxa"/>
            <w:tcBorders>
              <w:top w:val="nil"/>
              <w:left w:val="single" w:color="auto" w:sz="4" w:space="0"/>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300</w:t>
            </w:r>
          </w:p>
        </w:tc>
        <w:tc>
          <w:tcPr>
            <w:tcW w:w="1091" w:type="dxa"/>
            <w:tcBorders>
              <w:top w:val="nil"/>
              <w:left w:val="single" w:color="auto" w:sz="4" w:space="0"/>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100</w:t>
            </w:r>
          </w:p>
        </w:tc>
        <w:tc>
          <w:tcPr>
            <w:tcW w:w="936" w:type="dxa"/>
            <w:tcBorders>
              <w:top w:val="nil"/>
              <w:left w:val="single" w:color="auto" w:sz="4" w:space="0"/>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35</w:t>
            </w:r>
          </w:p>
        </w:tc>
        <w:tc>
          <w:tcPr>
            <w:tcW w:w="1400" w:type="dxa"/>
            <w:gridSpan w:val="2"/>
            <w:tcBorders>
              <w:top w:val="nil"/>
              <w:left w:val="single" w:color="auto" w:sz="4" w:space="0"/>
              <w:bottom w:val="single" w:color="auto" w:sz="4" w:space="0"/>
              <w:right w:val="nil"/>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35</w:t>
            </w:r>
          </w:p>
        </w:tc>
        <w:tc>
          <w:tcPr>
            <w:tcW w:w="1229" w:type="dxa"/>
            <w:tcBorders>
              <w:top w:val="nil"/>
              <w:left w:val="single" w:color="auto" w:sz="4" w:space="0"/>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是</w:t>
            </w:r>
          </w:p>
        </w:tc>
      </w:tr>
      <w:tr>
        <w:tblPrEx>
          <w:tblCellMar>
            <w:top w:w="0" w:type="dxa"/>
            <w:left w:w="108" w:type="dxa"/>
            <w:bottom w:w="0" w:type="dxa"/>
            <w:right w:w="108" w:type="dxa"/>
          </w:tblCellMar>
        </w:tblPrEx>
        <w:trPr>
          <w:trHeight w:val="602" w:hRule="atLeast"/>
          <w:jc w:val="center"/>
        </w:trPr>
        <w:tc>
          <w:tcPr>
            <w:tcW w:w="841" w:type="dxa"/>
            <w:vMerge w:val="continue"/>
            <w:tcBorders>
              <w:left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p>
        </w:tc>
        <w:tc>
          <w:tcPr>
            <w:tcW w:w="751" w:type="dxa"/>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运转保障率</w:t>
            </w:r>
          </w:p>
        </w:tc>
        <w:tc>
          <w:tcPr>
            <w:tcW w:w="703" w:type="dxa"/>
            <w:gridSpan w:val="2"/>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w:t>
            </w:r>
          </w:p>
        </w:tc>
        <w:tc>
          <w:tcPr>
            <w:tcW w:w="704" w:type="dxa"/>
            <w:gridSpan w:val="2"/>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w:t>
            </w:r>
          </w:p>
        </w:tc>
        <w:tc>
          <w:tcPr>
            <w:tcW w:w="703" w:type="dxa"/>
            <w:gridSpan w:val="3"/>
            <w:tcBorders>
              <w:top w:val="single" w:color="auto" w:sz="4" w:space="0"/>
              <w:left w:val="nil"/>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100</w:t>
            </w:r>
          </w:p>
        </w:tc>
        <w:tc>
          <w:tcPr>
            <w:tcW w:w="699" w:type="dxa"/>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0</w:t>
            </w:r>
          </w:p>
        </w:tc>
        <w:tc>
          <w:tcPr>
            <w:tcW w:w="1004" w:type="dxa"/>
            <w:tcBorders>
              <w:top w:val="single" w:color="auto" w:sz="4" w:space="0"/>
              <w:left w:val="nil"/>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100</w:t>
            </w:r>
          </w:p>
        </w:tc>
        <w:tc>
          <w:tcPr>
            <w:tcW w:w="1091" w:type="dxa"/>
            <w:tcBorders>
              <w:top w:val="single" w:color="auto" w:sz="4" w:space="0"/>
              <w:left w:val="nil"/>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100</w:t>
            </w:r>
          </w:p>
        </w:tc>
        <w:tc>
          <w:tcPr>
            <w:tcW w:w="936" w:type="dxa"/>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35</w:t>
            </w:r>
          </w:p>
        </w:tc>
        <w:tc>
          <w:tcPr>
            <w:tcW w:w="1400" w:type="dxa"/>
            <w:gridSpan w:val="2"/>
            <w:tcBorders>
              <w:top w:val="single" w:color="auto" w:sz="4" w:space="0"/>
              <w:left w:val="nil"/>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35</w:t>
            </w:r>
          </w:p>
        </w:tc>
        <w:tc>
          <w:tcPr>
            <w:tcW w:w="1229" w:type="dxa"/>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是</w:t>
            </w:r>
          </w:p>
        </w:tc>
      </w:tr>
      <w:tr>
        <w:tblPrEx>
          <w:tblCellMar>
            <w:top w:w="0" w:type="dxa"/>
            <w:left w:w="108" w:type="dxa"/>
            <w:bottom w:w="0" w:type="dxa"/>
            <w:right w:w="108" w:type="dxa"/>
          </w:tblCellMar>
        </w:tblPrEx>
        <w:trPr>
          <w:trHeight w:val="602" w:hRule="atLeast"/>
          <w:jc w:val="center"/>
        </w:trPr>
        <w:tc>
          <w:tcPr>
            <w:tcW w:w="841" w:type="dxa"/>
            <w:vMerge w:val="continue"/>
            <w:tcBorders>
              <w:left w:val="single" w:color="auto" w:sz="4" w:space="0"/>
              <w:bottom w:val="nil"/>
              <w:right w:val="single" w:color="auto" w:sz="4" w:space="0"/>
            </w:tcBorders>
            <w:noWrap w:val="0"/>
            <w:vAlign w:val="center"/>
          </w:tcPr>
          <w:p>
            <w:pPr>
              <w:spacing w:line="560" w:lineRule="exact"/>
              <w:rPr>
                <w:rFonts w:hint="eastAsia" w:eastAsia="方正仿宋_GBK" w:cs="宋体"/>
                <w:color w:val="000000"/>
                <w:kern w:val="0"/>
                <w:sz w:val="32"/>
                <w:szCs w:val="32"/>
              </w:rPr>
            </w:pPr>
          </w:p>
        </w:tc>
        <w:tc>
          <w:tcPr>
            <w:tcW w:w="751" w:type="dxa"/>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服务对象满意度</w:t>
            </w:r>
          </w:p>
        </w:tc>
        <w:tc>
          <w:tcPr>
            <w:tcW w:w="703" w:type="dxa"/>
            <w:gridSpan w:val="2"/>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w:t>
            </w:r>
          </w:p>
        </w:tc>
        <w:tc>
          <w:tcPr>
            <w:tcW w:w="704" w:type="dxa"/>
            <w:gridSpan w:val="2"/>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w:t>
            </w:r>
          </w:p>
        </w:tc>
        <w:tc>
          <w:tcPr>
            <w:tcW w:w="703" w:type="dxa"/>
            <w:gridSpan w:val="3"/>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0</w:t>
            </w:r>
          </w:p>
        </w:tc>
        <w:tc>
          <w:tcPr>
            <w:tcW w:w="699" w:type="dxa"/>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95</w:t>
            </w:r>
          </w:p>
        </w:tc>
        <w:tc>
          <w:tcPr>
            <w:tcW w:w="1004" w:type="dxa"/>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98</w:t>
            </w:r>
          </w:p>
        </w:tc>
        <w:tc>
          <w:tcPr>
            <w:tcW w:w="1091" w:type="dxa"/>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100</w:t>
            </w:r>
          </w:p>
        </w:tc>
        <w:tc>
          <w:tcPr>
            <w:tcW w:w="936" w:type="dxa"/>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30</w:t>
            </w:r>
          </w:p>
        </w:tc>
        <w:tc>
          <w:tcPr>
            <w:tcW w:w="1400" w:type="dxa"/>
            <w:gridSpan w:val="2"/>
            <w:tcBorders>
              <w:top w:val="single" w:color="auto" w:sz="4" w:space="0"/>
              <w:left w:val="nil"/>
              <w:bottom w:val="single" w:color="auto" w:sz="4" w:space="0"/>
              <w:right w:val="single" w:color="auto" w:sz="4" w:space="0"/>
            </w:tcBorders>
            <w:noWrap w:val="0"/>
            <w:vAlign w:val="center"/>
          </w:tcPr>
          <w:p>
            <w:pPr>
              <w:spacing w:line="560" w:lineRule="exact"/>
              <w:rPr>
                <w:rFonts w:eastAsia="方正仿宋_GBK" w:cs="宋体"/>
                <w:color w:val="000000"/>
                <w:kern w:val="0"/>
                <w:sz w:val="32"/>
                <w:szCs w:val="32"/>
              </w:rPr>
            </w:pPr>
            <w:r>
              <w:rPr>
                <w:rFonts w:hint="eastAsia" w:eastAsia="方正仿宋_GBK" w:cs="宋体"/>
                <w:color w:val="000000"/>
                <w:kern w:val="0"/>
                <w:sz w:val="32"/>
                <w:szCs w:val="32"/>
              </w:rPr>
              <w:t>28</w:t>
            </w:r>
          </w:p>
        </w:tc>
        <w:tc>
          <w:tcPr>
            <w:tcW w:w="1229" w:type="dxa"/>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是</w:t>
            </w:r>
          </w:p>
        </w:tc>
      </w:tr>
      <w:tr>
        <w:tblPrEx>
          <w:tblCellMar>
            <w:top w:w="0" w:type="dxa"/>
            <w:left w:w="108" w:type="dxa"/>
            <w:bottom w:w="0" w:type="dxa"/>
            <w:right w:w="108" w:type="dxa"/>
          </w:tblCellMar>
        </w:tblPrEx>
        <w:trPr>
          <w:trHeight w:val="602" w:hRule="atLeast"/>
          <w:jc w:val="center"/>
        </w:trPr>
        <w:tc>
          <w:tcPr>
            <w:tcW w:w="841" w:type="dxa"/>
            <w:tcBorders>
              <w:top w:val="nil"/>
              <w:left w:val="single" w:color="auto" w:sz="4" w:space="0"/>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r>
              <w:rPr>
                <w:rFonts w:hint="eastAsia" w:eastAsia="方正仿宋_GBK" w:cs="宋体"/>
                <w:color w:val="000000"/>
                <w:kern w:val="0"/>
                <w:sz w:val="32"/>
                <w:szCs w:val="32"/>
              </w:rPr>
              <w:t>说明</w:t>
            </w:r>
          </w:p>
        </w:tc>
        <w:tc>
          <w:tcPr>
            <w:tcW w:w="9220" w:type="dxa"/>
            <w:gridSpan w:val="15"/>
            <w:tcBorders>
              <w:top w:val="single" w:color="auto" w:sz="4" w:space="0"/>
              <w:left w:val="nil"/>
              <w:bottom w:val="single" w:color="auto" w:sz="4" w:space="0"/>
              <w:right w:val="single" w:color="auto" w:sz="4" w:space="0"/>
            </w:tcBorders>
            <w:noWrap w:val="0"/>
            <w:vAlign w:val="center"/>
          </w:tcPr>
          <w:p>
            <w:pPr>
              <w:spacing w:line="560" w:lineRule="exact"/>
              <w:rPr>
                <w:rFonts w:hint="eastAsia" w:eastAsia="方正仿宋_GBK" w:cs="宋体"/>
                <w:color w:val="000000"/>
                <w:kern w:val="0"/>
                <w:sz w:val="32"/>
                <w:szCs w:val="32"/>
              </w:rPr>
            </w:pPr>
          </w:p>
        </w:tc>
      </w:tr>
    </w:tbl>
    <w:p>
      <w:pPr>
        <w:pStyle w:val="21"/>
        <w:tabs>
          <w:tab w:val="center" w:pos="4153"/>
          <w:tab w:val="left" w:pos="7275"/>
        </w:tabs>
        <w:spacing w:line="550" w:lineRule="exact"/>
        <w:ind w:firstLine="643"/>
        <w:rPr>
          <w:rFonts w:eastAsia="方正仿宋_GBK"/>
          <w:b/>
          <w:kern w:val="0"/>
          <w:sz w:val="32"/>
          <w:szCs w:val="32"/>
        </w:rPr>
      </w:pPr>
    </w:p>
    <w:p>
      <w:pPr>
        <w:pStyle w:val="21"/>
        <w:tabs>
          <w:tab w:val="center" w:pos="4153"/>
          <w:tab w:val="left" w:pos="7275"/>
        </w:tabs>
        <w:spacing w:line="550" w:lineRule="exact"/>
        <w:ind w:firstLine="640"/>
        <w:rPr>
          <w:rFonts w:eastAsia="方正楷体_GBK"/>
          <w:color w:val="333333"/>
          <w:sz w:val="32"/>
          <w:szCs w:val="32"/>
        </w:rPr>
      </w:pPr>
      <w:r>
        <w:rPr>
          <w:rFonts w:eastAsia="方正仿宋_GBK"/>
          <w:b/>
          <w:kern w:val="0"/>
          <w:sz w:val="32"/>
          <w:szCs w:val="32"/>
        </w:rPr>
        <w:t>2.绩效自评报告或案例</w:t>
      </w:r>
      <w:r>
        <w:rPr>
          <w:rFonts w:hint="eastAsia" w:eastAsia="方正仿宋_GBK"/>
          <w:b/>
          <w:kern w:val="0"/>
          <w:sz w:val="32"/>
          <w:szCs w:val="32"/>
          <w:lang w:eastAsia="zh-CN"/>
        </w:rPr>
        <w:t>：</w:t>
      </w:r>
      <w:r>
        <w:rPr>
          <w:rFonts w:eastAsia="方正楷体_GBK"/>
          <w:color w:val="333333"/>
          <w:sz w:val="32"/>
          <w:szCs w:val="32"/>
        </w:rPr>
        <w:t>无</w:t>
      </w:r>
    </w:p>
    <w:p>
      <w:pPr>
        <w:pStyle w:val="21"/>
        <w:tabs>
          <w:tab w:val="center" w:pos="4153"/>
          <w:tab w:val="left" w:pos="7275"/>
        </w:tabs>
        <w:spacing w:line="550" w:lineRule="exact"/>
        <w:ind w:firstLine="640"/>
        <w:rPr>
          <w:rFonts w:eastAsia="方正仿宋_GBK"/>
          <w:kern w:val="0"/>
          <w:sz w:val="32"/>
          <w:szCs w:val="32"/>
        </w:rPr>
      </w:pPr>
      <w:r>
        <w:rPr>
          <w:rFonts w:eastAsia="方正楷体_GBK"/>
          <w:color w:val="333333"/>
          <w:sz w:val="32"/>
          <w:szCs w:val="32"/>
        </w:rPr>
        <w:t>（三）重点绩效评价结果</w:t>
      </w:r>
      <w:r>
        <w:rPr>
          <w:rFonts w:hint="eastAsia" w:eastAsia="方正楷体_GBK"/>
          <w:color w:val="333333"/>
          <w:sz w:val="32"/>
          <w:szCs w:val="32"/>
          <w:lang w:eastAsia="zh-CN"/>
        </w:rPr>
        <w:t>：</w:t>
      </w:r>
      <w:r>
        <w:rPr>
          <w:rFonts w:eastAsia="方正仿宋_GBK"/>
          <w:kern w:val="0"/>
          <w:sz w:val="32"/>
          <w:szCs w:val="32"/>
        </w:rPr>
        <w:t>无</w:t>
      </w:r>
    </w:p>
    <w:p>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Style w:val="15"/>
          <w:rFonts w:hint="eastAsia" w:ascii="方正黑体_GBK" w:hAnsi="方正黑体_GBK" w:eastAsia="方正黑体_GBK" w:cs="方正黑体_GBK"/>
          <w:sz w:val="32"/>
          <w:szCs w:val="32"/>
          <w:shd w:val="clear" w:color="auto" w:fill="FFFFFF"/>
          <w:lang w:val="en-US" w:eastAsia="zh-CN" w:bidi="ar-SA"/>
        </w:rPr>
      </w:pPr>
      <w:r>
        <w:rPr>
          <w:rStyle w:val="18"/>
          <w:rFonts w:hint="eastAsia" w:ascii="方正仿宋_GBK" w:hAnsi="方正仿宋_GBK" w:eastAsia="方正仿宋_GBK" w:cs="方正仿宋_GBK"/>
          <w:b/>
          <w:bCs/>
          <w:sz w:val="32"/>
          <w:szCs w:val="32"/>
          <w:shd w:val="clear" w:fill="FFFFFF"/>
        </w:rPr>
        <w:t xml:space="preserve"> </w:t>
      </w:r>
      <w:r>
        <w:rPr>
          <w:rStyle w:val="18"/>
          <w:rFonts w:hint="eastAsia" w:ascii="方正仿宋_GBK" w:hAnsi="方正仿宋_GBK" w:eastAsia="方正仿宋_GBK" w:cs="方正仿宋_GBK"/>
          <w:b/>
          <w:bCs/>
          <w:sz w:val="32"/>
          <w:szCs w:val="32"/>
          <w:shd w:val="clear" w:fill="FFFFFF"/>
          <w:lang w:val="en-US" w:eastAsia="zh-CN"/>
        </w:rPr>
        <w:t xml:space="preserve">  </w:t>
      </w:r>
      <w:r>
        <w:rPr>
          <w:rStyle w:val="15"/>
          <w:rFonts w:hint="eastAsia" w:ascii="黑体" w:hAnsi="黑体" w:eastAsia="黑体" w:cs="黑体"/>
          <w:sz w:val="32"/>
          <w:szCs w:val="32"/>
          <w:shd w:val="clear" w:color="auto" w:fill="FFFFFF"/>
          <w:lang w:val="en-US" w:eastAsia="zh-CN" w:bidi="ar-SA"/>
        </w:rPr>
        <w:t xml:space="preserve"> </w:t>
      </w:r>
      <w:r>
        <w:rPr>
          <w:rStyle w:val="15"/>
          <w:rFonts w:hint="eastAsia" w:ascii="方正黑体_GBK" w:hAnsi="方正黑体_GBK" w:eastAsia="方正黑体_GBK" w:cs="方正黑体_GBK"/>
          <w:sz w:val="32"/>
          <w:szCs w:val="32"/>
          <w:shd w:val="clear" w:color="auto" w:fill="FFFFFF"/>
          <w:lang w:val="en-US" w:eastAsia="zh-CN" w:bidi="ar-SA"/>
        </w:rPr>
        <w:t>六、专业名词解释</w:t>
      </w:r>
    </w:p>
    <w:p>
      <w:pPr>
        <w:spacing w:line="550" w:lineRule="exact"/>
        <w:ind w:firstLine="640" w:firstLineChars="200"/>
        <w:rPr>
          <w:rFonts w:eastAsia="方正仿宋_GBK"/>
          <w:kern w:val="0"/>
          <w:sz w:val="32"/>
          <w:szCs w:val="32"/>
        </w:rPr>
      </w:pPr>
      <w:r>
        <w:rPr>
          <w:rFonts w:eastAsia="方正楷体_GBK"/>
          <w:color w:val="333333"/>
          <w:sz w:val="32"/>
          <w:szCs w:val="32"/>
        </w:rPr>
        <w:t>（一）财政拨款收入：</w:t>
      </w:r>
      <w:r>
        <w:rPr>
          <w:rFonts w:eastAsia="方正仿宋_GBK"/>
          <w:kern w:val="0"/>
          <w:sz w:val="32"/>
          <w:szCs w:val="32"/>
        </w:rPr>
        <w:t>指本年度从本级财政部门取得的财政拨款，包括一般公共预算财政拨款和政府性基金预算财政拨款。</w:t>
      </w:r>
    </w:p>
    <w:p>
      <w:pPr>
        <w:spacing w:line="550" w:lineRule="exact"/>
        <w:ind w:firstLine="640" w:firstLineChars="200"/>
        <w:rPr>
          <w:rFonts w:eastAsia="方正仿宋_GBK"/>
          <w:kern w:val="0"/>
          <w:sz w:val="32"/>
          <w:szCs w:val="32"/>
        </w:rPr>
      </w:pPr>
      <w:r>
        <w:rPr>
          <w:rFonts w:eastAsia="方正楷体_GBK"/>
          <w:color w:val="333333"/>
          <w:sz w:val="32"/>
          <w:szCs w:val="32"/>
        </w:rPr>
        <w:t>（二）事业收入：</w:t>
      </w:r>
      <w:r>
        <w:rPr>
          <w:rFonts w:eastAsia="方正仿宋_GBK"/>
          <w:kern w:val="0"/>
          <w:sz w:val="32"/>
          <w:szCs w:val="32"/>
        </w:rPr>
        <w:t>指事业单位开展专业业务活动及其辅助活动取得的现金流入；事业单位收到的财政专户实际核拨的教育收费等资金在此反映。</w:t>
      </w:r>
    </w:p>
    <w:p>
      <w:pPr>
        <w:spacing w:line="550" w:lineRule="exact"/>
        <w:ind w:firstLine="640" w:firstLineChars="200"/>
        <w:rPr>
          <w:rFonts w:eastAsia="方正仿宋_GBK"/>
          <w:kern w:val="0"/>
          <w:sz w:val="32"/>
          <w:szCs w:val="32"/>
        </w:rPr>
      </w:pPr>
      <w:r>
        <w:rPr>
          <w:rFonts w:eastAsia="方正楷体_GBK"/>
          <w:color w:val="333333"/>
          <w:sz w:val="32"/>
          <w:szCs w:val="32"/>
        </w:rPr>
        <w:t>（三）经营收入：</w:t>
      </w:r>
      <w:r>
        <w:rPr>
          <w:rFonts w:eastAsia="方正仿宋_GBK"/>
          <w:kern w:val="0"/>
          <w:sz w:val="32"/>
          <w:szCs w:val="32"/>
        </w:rPr>
        <w:t>指事业单位在专业业务活动及其辅助活动之外开展非独立核算经营活动取得的现金流入。</w:t>
      </w:r>
    </w:p>
    <w:p>
      <w:pPr>
        <w:spacing w:line="550" w:lineRule="exact"/>
        <w:ind w:firstLine="640" w:firstLineChars="200"/>
        <w:rPr>
          <w:rFonts w:eastAsia="方正仿宋_GBK"/>
          <w:kern w:val="0"/>
          <w:sz w:val="32"/>
          <w:szCs w:val="32"/>
        </w:rPr>
      </w:pPr>
      <w:r>
        <w:rPr>
          <w:rFonts w:eastAsia="方正楷体_GBK"/>
          <w:color w:val="333333"/>
          <w:sz w:val="32"/>
          <w:szCs w:val="32"/>
        </w:rPr>
        <w:t>（四）其他收入：</w:t>
      </w:r>
      <w:r>
        <w:rPr>
          <w:rFonts w:eastAsia="方正仿宋_GBK"/>
          <w:kern w:val="0"/>
          <w:sz w:val="32"/>
          <w:szCs w:val="32"/>
        </w:rPr>
        <w:t>指单位取得的除“财政拨款 收入”、“事业收入”、“经营收入”等以外的收入，包括未纳入财政预算或财政专户管理的投资收益、银行存款利息收入、租金收入、捐赠收入，现金盘盈收入、 存货盘盈收入、收回已核销的应收及预付款项、无法偿付的应付及预收款项等。各单位从本级财政部门以外的同级单位取得的经费、从非本级财政部门取得的经费， 以及行政单位收到的财政专户管理资金反映在本项内。</w:t>
      </w:r>
    </w:p>
    <w:p>
      <w:pPr>
        <w:spacing w:line="550" w:lineRule="exact"/>
        <w:ind w:firstLine="640" w:firstLineChars="200"/>
        <w:rPr>
          <w:rFonts w:eastAsia="方正仿宋_GBK"/>
          <w:kern w:val="0"/>
          <w:sz w:val="32"/>
          <w:szCs w:val="32"/>
        </w:rPr>
      </w:pPr>
      <w:r>
        <w:rPr>
          <w:rFonts w:eastAsia="方正楷体_GBK"/>
          <w:color w:val="333333"/>
          <w:sz w:val="32"/>
          <w:szCs w:val="32"/>
        </w:rPr>
        <w:t>（五）用事业基金弥补收支差额：</w:t>
      </w:r>
      <w:r>
        <w:rPr>
          <w:rFonts w:eastAsia="方正仿宋_GBK"/>
          <w:kern w:val="0"/>
          <w:sz w:val="32"/>
          <w:szCs w:val="32"/>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spacing w:line="550" w:lineRule="exact"/>
        <w:ind w:firstLine="640" w:firstLineChars="200"/>
        <w:rPr>
          <w:rFonts w:eastAsia="方正仿宋_GBK"/>
          <w:kern w:val="0"/>
          <w:sz w:val="32"/>
          <w:szCs w:val="32"/>
        </w:rPr>
      </w:pPr>
      <w:r>
        <w:rPr>
          <w:rFonts w:eastAsia="方正楷体_GBK"/>
          <w:color w:val="333333"/>
          <w:sz w:val="32"/>
          <w:szCs w:val="32"/>
        </w:rPr>
        <w:t>（六）年初结转和结余：</w:t>
      </w:r>
      <w:r>
        <w:rPr>
          <w:rFonts w:eastAsia="方正仿宋_GBK"/>
          <w:kern w:val="0"/>
          <w:sz w:val="32"/>
          <w:szCs w:val="32"/>
        </w:rPr>
        <w:t>指单位上年结转本年使用的基本支出结转、项目支出结转和结余、经营结余。</w:t>
      </w:r>
    </w:p>
    <w:p>
      <w:pPr>
        <w:spacing w:line="550" w:lineRule="exact"/>
        <w:ind w:firstLine="640" w:firstLineChars="200"/>
        <w:rPr>
          <w:rFonts w:eastAsia="方正仿宋_GBK"/>
          <w:kern w:val="0"/>
          <w:sz w:val="32"/>
          <w:szCs w:val="32"/>
        </w:rPr>
      </w:pPr>
      <w:r>
        <w:rPr>
          <w:rFonts w:eastAsia="方正楷体_GBK"/>
          <w:color w:val="333333"/>
          <w:sz w:val="32"/>
          <w:szCs w:val="32"/>
        </w:rPr>
        <w:t>（七）结余分配：</w:t>
      </w:r>
      <w:r>
        <w:rPr>
          <w:rFonts w:eastAsia="方正仿宋_GBK"/>
          <w:kern w:val="0"/>
          <w:sz w:val="32"/>
          <w:szCs w:val="32"/>
        </w:rPr>
        <w:t>指单位按照国家有关规定，缴纳所得税、提取专用基金、转入事业基金等当年结余的分配情况。</w:t>
      </w:r>
    </w:p>
    <w:p>
      <w:pPr>
        <w:spacing w:line="550" w:lineRule="exact"/>
        <w:ind w:firstLine="640" w:firstLineChars="200"/>
        <w:rPr>
          <w:rFonts w:eastAsia="方正仿宋_GBK"/>
          <w:kern w:val="0"/>
          <w:sz w:val="32"/>
          <w:szCs w:val="32"/>
        </w:rPr>
      </w:pPr>
      <w:r>
        <w:rPr>
          <w:rFonts w:eastAsia="方正楷体_GBK"/>
          <w:color w:val="333333"/>
          <w:sz w:val="32"/>
          <w:szCs w:val="32"/>
        </w:rPr>
        <w:t>（八）年末结转和结余：</w:t>
      </w:r>
      <w:r>
        <w:rPr>
          <w:rFonts w:eastAsia="方正仿宋_GBK"/>
          <w:kern w:val="0"/>
          <w:sz w:val="32"/>
          <w:szCs w:val="32"/>
        </w:rPr>
        <w:t>指单位结转下年的基本支出结转、项目支出结转和结余、经营结余。</w:t>
      </w:r>
    </w:p>
    <w:p>
      <w:pPr>
        <w:spacing w:line="550" w:lineRule="exact"/>
        <w:ind w:firstLine="640" w:firstLineChars="200"/>
        <w:rPr>
          <w:rFonts w:eastAsia="方正仿宋_GBK"/>
          <w:kern w:val="0"/>
          <w:sz w:val="32"/>
          <w:szCs w:val="32"/>
        </w:rPr>
      </w:pPr>
      <w:r>
        <w:rPr>
          <w:rFonts w:eastAsia="方正楷体_GBK"/>
          <w:color w:val="333333"/>
          <w:sz w:val="32"/>
          <w:szCs w:val="32"/>
        </w:rPr>
        <w:t>（九）基本支出：</w:t>
      </w:r>
      <w:r>
        <w:rPr>
          <w:rFonts w:eastAsia="方正仿宋_GBK"/>
          <w:kern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50" w:lineRule="exact"/>
        <w:ind w:firstLine="640" w:firstLineChars="200"/>
        <w:rPr>
          <w:rFonts w:eastAsia="方正仿宋_GBK"/>
          <w:kern w:val="0"/>
          <w:sz w:val="32"/>
          <w:szCs w:val="32"/>
        </w:rPr>
      </w:pPr>
      <w:r>
        <w:rPr>
          <w:rFonts w:eastAsia="方正楷体_GBK"/>
          <w:color w:val="333333"/>
          <w:sz w:val="32"/>
          <w:szCs w:val="32"/>
        </w:rPr>
        <w:t>（十）项目支出：</w:t>
      </w:r>
      <w:r>
        <w:rPr>
          <w:rFonts w:eastAsia="方正仿宋_GBK"/>
          <w:kern w:val="0"/>
          <w:sz w:val="32"/>
          <w:szCs w:val="32"/>
        </w:rPr>
        <w:t>指在基本支出之外为完成特定行政任务和事业发展目标所发生的支出。</w:t>
      </w:r>
    </w:p>
    <w:p>
      <w:pPr>
        <w:spacing w:line="550" w:lineRule="exact"/>
        <w:ind w:firstLine="640" w:firstLineChars="200"/>
        <w:rPr>
          <w:rFonts w:eastAsia="方正仿宋_GBK"/>
          <w:kern w:val="0"/>
          <w:sz w:val="32"/>
          <w:szCs w:val="32"/>
        </w:rPr>
      </w:pPr>
      <w:r>
        <w:rPr>
          <w:rFonts w:eastAsia="方正楷体_GBK"/>
          <w:color w:val="333333"/>
          <w:sz w:val="32"/>
          <w:szCs w:val="32"/>
        </w:rPr>
        <w:t>（十一）经营支出：</w:t>
      </w:r>
      <w:r>
        <w:rPr>
          <w:rFonts w:eastAsia="方正仿宋_GBK"/>
          <w:kern w:val="0"/>
          <w:sz w:val="32"/>
          <w:szCs w:val="32"/>
        </w:rPr>
        <w:t>指事业单位在专业业务活动及其辅助活动之外开展非独立核算经营活动发生的支出。</w:t>
      </w:r>
    </w:p>
    <w:p>
      <w:pPr>
        <w:spacing w:line="550" w:lineRule="exact"/>
        <w:ind w:firstLine="640" w:firstLineChars="200"/>
        <w:rPr>
          <w:rFonts w:eastAsia="方正仿宋_GBK"/>
          <w:kern w:val="0"/>
          <w:sz w:val="32"/>
          <w:szCs w:val="32"/>
        </w:rPr>
      </w:pPr>
      <w:r>
        <w:rPr>
          <w:rFonts w:eastAsia="方正楷体_GBK"/>
          <w:color w:val="333333"/>
          <w:sz w:val="32"/>
          <w:szCs w:val="32"/>
        </w:rPr>
        <w:t>（十二）“三公”经费：</w:t>
      </w:r>
      <w:r>
        <w:rPr>
          <w:rFonts w:eastAsia="方正仿宋_GBK"/>
          <w:kern w:val="0"/>
          <w:sz w:val="32"/>
          <w:szCs w:val="32"/>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pPr>
        <w:spacing w:line="550" w:lineRule="exact"/>
        <w:ind w:firstLine="640" w:firstLineChars="200"/>
        <w:rPr>
          <w:rFonts w:eastAsia="方正仿宋_GBK"/>
          <w:kern w:val="0"/>
          <w:sz w:val="32"/>
          <w:szCs w:val="32"/>
        </w:rPr>
      </w:pPr>
      <w:r>
        <w:rPr>
          <w:rFonts w:eastAsia="方正楷体_GBK"/>
          <w:color w:val="333333"/>
          <w:sz w:val="32"/>
          <w:szCs w:val="32"/>
        </w:rPr>
        <w:t>（十三）机关运行经费</w:t>
      </w:r>
      <w:r>
        <w:rPr>
          <w:rFonts w:eastAsia="方正仿宋_GBK"/>
          <w:kern w:val="0"/>
          <w:sz w:val="32"/>
          <w:szCs w:val="32"/>
        </w:rPr>
        <w:t>：为保障行政单位（含 参照公务员法管理的事业单位）运行用于购买货物和服务等的各项公用经费，包括办公及印刷费、邮电费、差旅费、会议费、福利费、日常维护费、专用材料及一般 设备购置费、办公用房水电费、办公用房取暖费、办公用房物业管理费、公务用车运行维护费以及其他费用。</w:t>
      </w:r>
    </w:p>
    <w:p>
      <w:pPr>
        <w:spacing w:line="550" w:lineRule="exact"/>
        <w:ind w:firstLine="640" w:firstLineChars="200"/>
        <w:rPr>
          <w:rFonts w:eastAsia="方正仿宋_GBK"/>
          <w:kern w:val="0"/>
          <w:sz w:val="32"/>
          <w:szCs w:val="32"/>
        </w:rPr>
      </w:pPr>
      <w:r>
        <w:rPr>
          <w:rFonts w:eastAsia="方正楷体_GBK"/>
          <w:color w:val="333333"/>
          <w:sz w:val="32"/>
          <w:szCs w:val="32"/>
        </w:rPr>
        <w:t>（十四）工资福利支出（支出经济分类科目类级）：</w:t>
      </w:r>
      <w:r>
        <w:rPr>
          <w:rFonts w:eastAsia="方正仿宋_GBK"/>
          <w:kern w:val="0"/>
          <w:sz w:val="32"/>
          <w:szCs w:val="32"/>
        </w:rPr>
        <w:t>反映单位开支的在职职工和编制外长期聘用人员的各类劳动报酬，以及为上述人员缴纳的各项社会保险费等。</w:t>
      </w:r>
    </w:p>
    <w:p>
      <w:pPr>
        <w:spacing w:line="550" w:lineRule="exact"/>
        <w:ind w:firstLine="640" w:firstLineChars="200"/>
        <w:rPr>
          <w:rFonts w:eastAsia="方正仿宋_GBK"/>
          <w:kern w:val="0"/>
          <w:sz w:val="32"/>
          <w:szCs w:val="32"/>
        </w:rPr>
      </w:pPr>
      <w:r>
        <w:rPr>
          <w:rFonts w:eastAsia="方正楷体_GBK"/>
          <w:color w:val="333333"/>
          <w:sz w:val="32"/>
          <w:szCs w:val="32"/>
        </w:rPr>
        <w:t>（十五）商品和服务支出（支出经济分类科目类级）：</w:t>
      </w:r>
      <w:r>
        <w:rPr>
          <w:rFonts w:eastAsia="方正仿宋_GBK"/>
          <w:kern w:val="0"/>
          <w:sz w:val="32"/>
          <w:szCs w:val="32"/>
        </w:rPr>
        <w:t>反映单位购买商品和服务的支出（不包括用于购置固定资产的支出、战略性和应急储备支出）。</w:t>
      </w:r>
    </w:p>
    <w:p>
      <w:pPr>
        <w:spacing w:line="550" w:lineRule="exact"/>
        <w:ind w:firstLine="640" w:firstLineChars="200"/>
        <w:rPr>
          <w:rFonts w:eastAsia="方正仿宋_GBK"/>
          <w:kern w:val="0"/>
          <w:sz w:val="32"/>
          <w:szCs w:val="32"/>
        </w:rPr>
      </w:pPr>
      <w:r>
        <w:rPr>
          <w:rFonts w:eastAsia="方正楷体_GBK"/>
          <w:color w:val="333333"/>
          <w:sz w:val="32"/>
          <w:szCs w:val="32"/>
        </w:rPr>
        <w:t>（十六）对个人和家庭的补助（支出经济分类科目类级）：</w:t>
      </w:r>
      <w:r>
        <w:rPr>
          <w:rFonts w:eastAsia="方正仿宋_GBK"/>
          <w:kern w:val="0"/>
          <w:sz w:val="32"/>
          <w:szCs w:val="32"/>
        </w:rPr>
        <w:t>反映用于对个人和家庭的补助支出。</w:t>
      </w:r>
    </w:p>
    <w:p>
      <w:pPr>
        <w:pStyle w:val="21"/>
        <w:tabs>
          <w:tab w:val="center" w:pos="4153"/>
          <w:tab w:val="left" w:pos="7275"/>
        </w:tabs>
        <w:spacing w:line="550" w:lineRule="exact"/>
        <w:ind w:firstLine="640"/>
        <w:rPr>
          <w:rFonts w:eastAsia="方正仿宋_GBK"/>
          <w:kern w:val="0"/>
          <w:sz w:val="32"/>
          <w:szCs w:val="32"/>
        </w:rPr>
      </w:pPr>
      <w:r>
        <w:rPr>
          <w:rFonts w:eastAsia="方正楷体_GBK"/>
          <w:color w:val="333333"/>
          <w:sz w:val="32"/>
          <w:szCs w:val="32"/>
        </w:rPr>
        <w:t>（十七）其他资本性支出（支出经济分类科目类级）：</w:t>
      </w:r>
      <w:r>
        <w:rPr>
          <w:rFonts w:eastAsia="方正仿宋_GBK"/>
          <w:kern w:val="0"/>
          <w:sz w:val="32"/>
          <w:szCs w:val="32"/>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5"/>
          <w:rFonts w:hint="eastAsia" w:ascii="方正黑体_GBK" w:hAnsi="方正黑体_GBK" w:eastAsia="方正黑体_GBK" w:cs="方正黑体_GBK"/>
          <w:sz w:val="32"/>
          <w:szCs w:val="32"/>
          <w:shd w:val="clear" w:color="auto" w:fill="FFFFFF"/>
        </w:rPr>
      </w:pPr>
      <w:r>
        <w:rPr>
          <w:rStyle w:val="15"/>
          <w:rFonts w:hint="eastAsia" w:ascii="方正黑体_GBK" w:hAnsi="方正黑体_GBK" w:eastAsia="方正黑体_GBK" w:cs="方正黑体_GBK"/>
          <w:sz w:val="32"/>
          <w:szCs w:val="32"/>
          <w:shd w:val="clear" w:color="auto" w:fill="FFFFFF"/>
          <w:lang w:val="en-US" w:eastAsia="zh-CN"/>
        </w:rPr>
        <w:t>七、决算公开联系方式及信息反馈渠道</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557"/>
        <w:gridCol w:w="798"/>
        <w:gridCol w:w="3336"/>
        <w:gridCol w:w="1128"/>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p>
          <w:p>
            <w:pPr>
              <w:spacing w:line="400" w:lineRule="exact"/>
              <w:jc w:val="center"/>
              <w:textAlignment w:val="bottom"/>
              <w:rPr>
                <w:rFonts w:cs="宋体"/>
                <w:b/>
                <w:color w:val="auto"/>
                <w:sz w:val="32"/>
                <w:szCs w:val="32"/>
              </w:rPr>
            </w:pP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bookmarkStart w:id="0" w:name="_GoBack"/>
            <w:bookmarkEnd w:id="0"/>
            <w:r>
              <w:rPr>
                <w:rFonts w:hint="eastAsia" w:ascii="方正仿宋_GBK" w:hAnsi="方正仿宋_GBK" w:eastAsia="方正仿宋_GBK" w:cs="方正仿宋_GBK"/>
                <w:color w:val="auto"/>
                <w:kern w:val="0"/>
                <w:sz w:val="32"/>
                <w:szCs w:val="32"/>
                <w:shd w:val="clear" w:fill="FFFFFF"/>
                <w:lang w:val="en-US" w:eastAsia="zh-CN"/>
              </w:rPr>
              <w:t>高楠镇人民政府</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59500000</w:t>
            </w:r>
          </w:p>
          <w:p>
            <w:pPr>
              <w:spacing w:line="400" w:lineRule="exact"/>
              <w:jc w:val="center"/>
              <w:textAlignment w:val="bottom"/>
              <w:rPr>
                <w:rFonts w:cs="宋体"/>
                <w:b/>
                <w:color w:val="000000"/>
                <w:sz w:val="32"/>
                <w:szCs w:val="32"/>
              </w:rPr>
            </w:pPr>
          </w:p>
          <w:p>
            <w:pPr>
              <w:spacing w:line="400" w:lineRule="exact"/>
              <w:jc w:val="center"/>
              <w:textAlignment w:val="bottom"/>
              <w:rPr>
                <w:rFonts w:cs="宋体"/>
                <w:b/>
                <w:color w:val="000000"/>
                <w:sz w:val="32"/>
                <w:szCs w:val="32"/>
              </w:rPr>
            </w:pPr>
          </w:p>
          <w:p>
            <w:pPr>
              <w:spacing w:line="400" w:lineRule="exact"/>
              <w:jc w:val="center"/>
              <w:textAlignment w:val="bottom"/>
              <w:rPr>
                <w:rFonts w:cs="宋体"/>
                <w:b/>
                <w:color w:val="000000"/>
                <w:sz w:val="32"/>
                <w:szCs w:val="32"/>
              </w:rPr>
            </w:pPr>
          </w:p>
          <w:p>
            <w:pPr>
              <w:spacing w:line="400" w:lineRule="exact"/>
              <w:jc w:val="center"/>
              <w:textAlignment w:val="bottom"/>
              <w:rPr>
                <w:rFonts w:cs="宋体"/>
                <w:b/>
                <w:color w:val="000000"/>
                <w:sz w:val="32"/>
                <w:szCs w:val="32"/>
              </w:rPr>
            </w:pPr>
          </w:p>
          <w:p>
            <w:pPr>
              <w:spacing w:line="400" w:lineRule="exact"/>
              <w:jc w:val="center"/>
              <w:textAlignment w:val="bottom"/>
              <w:rPr>
                <w:rFonts w:cs="宋体"/>
                <w:b/>
                <w:color w:val="000000"/>
                <w:sz w:val="32"/>
                <w:szCs w:val="32"/>
              </w:rPr>
            </w:pPr>
          </w:p>
          <w:p>
            <w:pPr>
              <w:spacing w:line="400" w:lineRule="exact"/>
              <w:jc w:val="center"/>
              <w:textAlignment w:val="bottom"/>
              <w:rPr>
                <w:rFonts w:cs="宋体"/>
                <w:b/>
                <w:color w:val="000000"/>
                <w:sz w:val="32"/>
                <w:szCs w:val="32"/>
              </w:rPr>
            </w:pPr>
          </w:p>
          <w:p>
            <w:pPr>
              <w:spacing w:line="400" w:lineRule="exact"/>
              <w:jc w:val="center"/>
              <w:textAlignment w:val="bottom"/>
              <w:rPr>
                <w:rFonts w:cs="宋体"/>
                <w:b/>
                <w:color w:val="000000"/>
                <w:sz w:val="32"/>
                <w:szCs w:val="32"/>
              </w:rPr>
            </w:pPr>
          </w:p>
          <w:p>
            <w:pPr>
              <w:spacing w:line="400" w:lineRule="exact"/>
              <w:jc w:val="center"/>
              <w:textAlignment w:val="bottom"/>
              <w:rPr>
                <w:rFonts w:cs="宋体"/>
                <w:b/>
                <w:color w:val="000000"/>
                <w:sz w:val="32"/>
                <w:szCs w:val="32"/>
              </w:rPr>
            </w:pPr>
          </w:p>
          <w:p>
            <w:pPr>
              <w:pStyle w:val="2"/>
              <w:rPr>
                <w:rFonts w:cs="宋体"/>
                <w:b/>
                <w:color w:val="000000"/>
                <w:sz w:val="32"/>
                <w:szCs w:val="32"/>
              </w:rPr>
            </w:pPr>
          </w:p>
          <w:p>
            <w:pPr>
              <w:pStyle w:val="3"/>
              <w:rPr>
                <w:rFonts w:cs="宋体"/>
                <w:b/>
                <w:color w:val="000000"/>
                <w:sz w:val="32"/>
                <w:szCs w:val="32"/>
              </w:rPr>
            </w:pP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spacing w:line="400" w:lineRule="exact"/>
              <w:jc w:val="both"/>
              <w:textAlignment w:val="bottom"/>
              <w:rPr>
                <w:rFonts w:cs="宋体"/>
                <w:b/>
                <w:color w:val="000000"/>
                <w:sz w:val="32"/>
                <w:szCs w:val="32"/>
              </w:rPr>
            </w:pPr>
          </w:p>
          <w:p>
            <w:pPr>
              <w:spacing w:line="400" w:lineRule="exact"/>
              <w:jc w:val="center"/>
              <w:textAlignment w:val="bottom"/>
              <w:rPr>
                <w:rFonts w:cs="宋体"/>
                <w:b/>
                <w:color w:val="000000"/>
                <w:sz w:val="32"/>
                <w:szCs w:val="32"/>
              </w:rPr>
            </w:pPr>
          </w:p>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2"/>
                <w:szCs w:val="22"/>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2"/>
                <w:szCs w:val="22"/>
              </w:rPr>
            </w:pPr>
            <w:r>
              <w:rPr>
                <w:rFonts w:cs="宋体"/>
                <w:color w:val="000000"/>
                <w:sz w:val="22"/>
                <w:szCs w:val="22"/>
              </w:rPr>
              <w:t>公开</w:t>
            </w:r>
            <w:r>
              <w:rPr>
                <w:rFonts w:hint="default" w:ascii="Times New Roman" w:hAnsi="Times New Roman" w:cs="Times New Roman"/>
                <w:color w:val="000000"/>
                <w:sz w:val="22"/>
                <w:szCs w:val="22"/>
              </w:rPr>
              <w:t>01</w:t>
            </w:r>
            <w:r>
              <w:rPr>
                <w:rFonts w:cs="宋体"/>
                <w:color w:val="000000"/>
                <w:sz w:val="22"/>
                <w:szCs w:val="22"/>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2"/>
                <w:szCs w:val="22"/>
              </w:rPr>
              <w:t>单位：</w:t>
            </w:r>
            <w:r>
              <w:rPr>
                <w:sz w:val="22"/>
                <w:szCs w:val="22"/>
                <w:u w:color="auto"/>
              </w:rPr>
              <w:t>城口县高楠镇人民政府（本级）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2"/>
                <w:szCs w:val="22"/>
              </w:rPr>
            </w:pPr>
            <w:r>
              <w:rPr>
                <w:rFonts w:cs="宋体"/>
                <w:color w:val="000000"/>
                <w:sz w:val="22"/>
                <w:szCs w:val="22"/>
              </w:rPr>
              <w:t>单位：</w:t>
            </w:r>
            <w:r>
              <w:rPr>
                <w:rFonts w:cs="宋体"/>
                <w:sz w:val="22"/>
                <w:szCs w:val="22"/>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2"/>
                <w:szCs w:val="22"/>
              </w:rPr>
            </w:pPr>
            <w:r>
              <w:rPr>
                <w:rFonts w:cs="宋体"/>
                <w:b/>
                <w:color w:val="000000"/>
                <w:sz w:val="22"/>
                <w:szCs w:val="22"/>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2"/>
                <w:szCs w:val="22"/>
              </w:rPr>
            </w:pPr>
            <w:r>
              <w:rPr>
                <w:rFonts w:cs="宋体"/>
                <w:b/>
                <w:color w:val="000000"/>
                <w:sz w:val="22"/>
                <w:szCs w:val="22"/>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2"/>
                <w:szCs w:val="22"/>
              </w:rPr>
            </w:pPr>
            <w:r>
              <w:rPr>
                <w:rFonts w:cs="宋体"/>
                <w:b/>
                <w:color w:val="000000"/>
                <w:sz w:val="22"/>
                <w:szCs w:val="22"/>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2"/>
                <w:szCs w:val="22"/>
              </w:rPr>
            </w:pPr>
            <w:r>
              <w:rPr>
                <w:rFonts w:cs="宋体"/>
                <w:b/>
                <w:color w:val="000000"/>
                <w:sz w:val="22"/>
                <w:szCs w:val="22"/>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2"/>
                <w:szCs w:val="22"/>
              </w:rPr>
            </w:pPr>
            <w:r>
              <w:rPr>
                <w:rFonts w:cs="宋体"/>
                <w:b/>
                <w:color w:val="000000"/>
                <w:sz w:val="22"/>
                <w:szCs w:val="22"/>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1,515.96</w:t>
            </w:r>
            <w:r>
              <w:rPr>
                <w:rFonts w:ascii="Times New Roman" w:hAnsi="Times New Roman"/>
                <w:color w:val="000000"/>
                <w:sz w:val="22"/>
                <w:szCs w:val="22"/>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282.14</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118.08</w:t>
            </w:r>
            <w:r>
              <w:rPr>
                <w:rFonts w:ascii="Times New Roman" w:hAnsi="Times New Roman"/>
                <w:color w:val="000000"/>
                <w:sz w:val="22"/>
                <w:szCs w:val="22"/>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7.57</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60.66</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21.63</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10.60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148.08</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1,057.39</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19.75</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26.23</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2"/>
                <w:szCs w:val="22"/>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2"/>
                <w:szCs w:val="22"/>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1,634.04</w:t>
            </w:r>
            <w:r>
              <w:rPr>
                <w:rFonts w:ascii="Times New Roman" w:hAnsi="Times New Roman"/>
                <w:color w:val="000000"/>
                <w:sz w:val="22"/>
                <w:szCs w:val="22"/>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1,634.04</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2"/>
                <w:szCs w:val="22"/>
              </w:rPr>
            </w:pPr>
            <w:r>
              <w:rPr>
                <w:rFonts w:cs="宋体"/>
                <w:b/>
                <w:bCs/>
                <w:color w:val="000000"/>
                <w:sz w:val="22"/>
                <w:szCs w:val="22"/>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2"/>
                <w:szCs w:val="22"/>
              </w:rPr>
            </w:pPr>
            <w:r>
              <w:rPr>
                <w:rFonts w:cs="宋体"/>
                <w:b/>
                <w:color w:val="000000"/>
                <w:sz w:val="22"/>
                <w:szCs w:val="22"/>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1,634.04</w:t>
            </w:r>
            <w:r>
              <w:rPr>
                <w:rFonts w:ascii="Times New Roman" w:hAnsi="Times New Roman"/>
                <w:color w:val="000000"/>
                <w:sz w:val="22"/>
                <w:szCs w:val="22"/>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2"/>
                <w:szCs w:val="22"/>
              </w:rPr>
            </w:pPr>
            <w:r>
              <w:rPr>
                <w:rFonts w:cs="宋体"/>
                <w:b/>
                <w:color w:val="000000"/>
                <w:sz w:val="22"/>
                <w:szCs w:val="22"/>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1,634.04</w:t>
            </w:r>
            <w:r>
              <w:rPr>
                <w:rFonts w:ascii="Times New Roman" w:hAnsi="Times New Roman"/>
                <w:color w:val="000000"/>
                <w:sz w:val="22"/>
                <w:szCs w:val="22"/>
                <w:u w:color="auto"/>
              </w:rPr>
              <w:t xml:space="preserve"> </w:t>
            </w:r>
          </w:p>
        </w:tc>
      </w:tr>
    </w:tbl>
    <w:p>
      <w:pPr>
        <w:rPr>
          <w:rFonts w:hint="default" w:cs="宋体"/>
          <w:sz w:val="24"/>
          <w:szCs w:val="24"/>
        </w:rPr>
      </w:pPr>
    </w:p>
    <w:p>
      <w:pPr>
        <w:spacing w:line="240" w:lineRule="exact"/>
        <w:rPr>
          <w:rFonts w:hint="default" w:cs="宋体"/>
          <w:sz w:val="32"/>
          <w:szCs w:val="32"/>
        </w:rPr>
      </w:pPr>
      <w:r>
        <w:rPr>
          <w:rFonts w:cs="宋体"/>
          <w:sz w:val="24"/>
          <w:szCs w:val="24"/>
        </w:rPr>
        <w:t>备注：1.本表反映单位本年度的总收支和年末结转结余情况。</w:t>
      </w:r>
      <w:r>
        <w:rPr>
          <w:rFonts w:cs="宋体"/>
          <w:sz w:val="24"/>
          <w:szCs w:val="24"/>
        </w:rPr>
        <w:br w:type="textWrapping"/>
      </w:r>
      <w:r>
        <w:rPr>
          <w:rFonts w:cs="宋体"/>
          <w:sz w:val="24"/>
          <w:szCs w:val="24"/>
        </w:rPr>
        <w:t xml:space="preserve">      2.本套报表金额单位转换时可能存在尾数误差。</w:t>
      </w:r>
      <w:r>
        <w:rPr>
          <w:rFonts w:cs="宋体"/>
          <w:sz w:val="24"/>
          <w:szCs w:val="24"/>
        </w:rPr>
        <w:br w:type="textWrapping"/>
      </w:r>
      <w:r>
        <w:rPr>
          <w:rFonts w:cs="宋体"/>
          <w:sz w:val="32"/>
          <w:szCs w:val="32"/>
        </w:rPr>
        <w:br w:type="textWrapping"/>
      </w:r>
    </w:p>
    <w:tbl>
      <w:tblPr>
        <w:tblStyle w:val="12"/>
        <w:tblW w:w="5059" w:type="pct"/>
        <w:tblInd w:w="0" w:type="dxa"/>
        <w:tblLayout w:type="fixed"/>
        <w:tblCellMar>
          <w:top w:w="0" w:type="dxa"/>
          <w:left w:w="0" w:type="dxa"/>
          <w:bottom w:w="0" w:type="dxa"/>
          <w:right w:w="0" w:type="dxa"/>
        </w:tblCellMar>
      </w:tblPr>
      <w:tblGrid>
        <w:gridCol w:w="823"/>
        <w:gridCol w:w="1680"/>
        <w:gridCol w:w="910"/>
        <w:gridCol w:w="835"/>
        <w:gridCol w:w="723"/>
        <w:gridCol w:w="828"/>
        <w:gridCol w:w="840"/>
        <w:gridCol w:w="746"/>
        <w:gridCol w:w="777"/>
        <w:gridCol w:w="761"/>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22"/>
                <w:szCs w:val="22"/>
              </w:rPr>
            </w:pPr>
          </w:p>
          <w:p>
            <w:pPr>
              <w:jc w:val="center"/>
              <w:textAlignment w:val="bottom"/>
              <w:rPr>
                <w:rFonts w:cs="宋体"/>
                <w:b/>
                <w:color w:val="000000"/>
                <w:sz w:val="22"/>
                <w:szCs w:val="22"/>
              </w:rPr>
            </w:pPr>
          </w:p>
          <w:p>
            <w:pPr>
              <w:pStyle w:val="3"/>
            </w:pPr>
          </w:p>
          <w:p>
            <w:pPr>
              <w:jc w:val="center"/>
              <w:textAlignment w:val="bottom"/>
              <w:rPr>
                <w:rFonts w:cs="宋体"/>
                <w:b/>
                <w:color w:val="000000"/>
                <w:sz w:val="22"/>
                <w:szCs w:val="22"/>
              </w:rPr>
            </w:pPr>
          </w:p>
          <w:p>
            <w:pPr>
              <w:jc w:val="center"/>
              <w:textAlignment w:val="bottom"/>
              <w:rPr>
                <w:rFonts w:hint="default" w:cs="宋体"/>
                <w:b/>
                <w:color w:val="000000"/>
                <w:sz w:val="22"/>
                <w:szCs w:val="22"/>
              </w:rPr>
            </w:pPr>
            <w:r>
              <w:rPr>
                <w:rFonts w:cs="宋体"/>
                <w:b/>
                <w:color w:val="000000"/>
                <w:sz w:val="22"/>
                <w:szCs w:val="2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2"/>
                <w:szCs w:val="22"/>
              </w:rPr>
            </w:pPr>
            <w:r>
              <w:rPr>
                <w:rFonts w:cs="宋体"/>
                <w:sz w:val="22"/>
                <w:szCs w:val="22"/>
              </w:rPr>
              <w:t>单位：</w:t>
            </w:r>
            <w:r>
              <w:rPr>
                <w:sz w:val="22"/>
                <w:szCs w:val="22"/>
                <w:u w:color="auto"/>
              </w:rPr>
              <w:t>城口县高楠镇人民政府（本级）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2"/>
                <w:szCs w:val="22"/>
              </w:rPr>
            </w:pPr>
            <w:r>
              <w:rPr>
                <w:rFonts w:cs="宋体"/>
                <w:color w:val="000000"/>
                <w:sz w:val="22"/>
                <w:szCs w:val="22"/>
              </w:rPr>
              <w:t>公开</w:t>
            </w:r>
            <w:r>
              <w:rPr>
                <w:rFonts w:hint="default" w:ascii="Times New Roman" w:hAnsi="Times New Roman" w:cs="Times New Roman"/>
                <w:color w:val="000000"/>
                <w:sz w:val="22"/>
                <w:szCs w:val="22"/>
              </w:rPr>
              <w:t>02</w:t>
            </w:r>
            <w:r>
              <w:rPr>
                <w:rFonts w:cs="宋体"/>
                <w:color w:val="000000"/>
                <w:sz w:val="22"/>
                <w:szCs w:val="22"/>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2"/>
                <w:szCs w:val="22"/>
              </w:rPr>
            </w:pPr>
            <w:r>
              <w:rPr>
                <w:rFonts w:cs="宋体"/>
                <w:color w:val="000000"/>
                <w:sz w:val="22"/>
                <w:szCs w:val="22"/>
              </w:rPr>
              <w:t>单位：</w:t>
            </w:r>
            <w:r>
              <w:rPr>
                <w:rFonts w:cs="宋体"/>
                <w:sz w:val="22"/>
                <w:szCs w:val="22"/>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2"/>
                <w:szCs w:val="22"/>
              </w:rPr>
            </w:pPr>
            <w:r>
              <w:rPr>
                <w:rFonts w:hint="default" w:ascii="Times New Roman" w:hAnsi="Times New Roman"/>
                <w:b/>
                <w:bCs/>
                <w:color w:val="000000"/>
                <w:sz w:val="22"/>
                <w:szCs w:val="22"/>
              </w:rPr>
              <w:t>1,634.04</w:t>
            </w:r>
            <w:r>
              <w:rPr>
                <w:rFonts w:ascii="Times New Roman" w:hAnsi="Times New Roman"/>
                <w:b/>
                <w:color w:val="000000"/>
                <w:sz w:val="22"/>
                <w:szCs w:val="22"/>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2"/>
                <w:szCs w:val="22"/>
              </w:rPr>
            </w:pPr>
            <w:r>
              <w:rPr>
                <w:rFonts w:hint="default" w:ascii="Times New Roman" w:hAnsi="Times New Roman"/>
                <w:b/>
                <w:bCs/>
                <w:color w:val="000000"/>
                <w:sz w:val="22"/>
                <w:szCs w:val="22"/>
              </w:rPr>
              <w:t>1,634.04</w:t>
            </w:r>
            <w:r>
              <w:rPr>
                <w:rFonts w:ascii="Times New Roman" w:hAnsi="Times New Roman"/>
                <w:b/>
                <w:color w:val="000000"/>
                <w:sz w:val="22"/>
                <w:szCs w:val="22"/>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2"/>
                <w:szCs w:val="22"/>
              </w:rPr>
            </w:pPr>
            <w:r>
              <w:rPr>
                <w:rFonts w:hint="default" w:ascii="Times New Roman" w:hAnsi="Times New Roman"/>
                <w:b/>
                <w:bCs/>
                <w:color w:val="000000"/>
                <w:sz w:val="22"/>
                <w:szCs w:val="22"/>
              </w:rPr>
              <w:t>0.00</w:t>
            </w:r>
            <w:r>
              <w:rPr>
                <w:rFonts w:ascii="Times New Roman" w:hAnsi="Times New Roman"/>
                <w:b/>
                <w:color w:val="000000"/>
                <w:sz w:val="22"/>
                <w:szCs w:val="22"/>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2"/>
                <w:szCs w:val="22"/>
              </w:rPr>
            </w:pPr>
            <w:r>
              <w:rPr>
                <w:rFonts w:hint="default" w:ascii="Times New Roman" w:hAnsi="Times New Roman"/>
                <w:b/>
                <w:bCs/>
                <w:color w:val="000000"/>
                <w:sz w:val="22"/>
                <w:szCs w:val="22"/>
              </w:rPr>
              <w:t>0.00</w:t>
            </w:r>
            <w:r>
              <w:rPr>
                <w:rFonts w:ascii="Times New Roman" w:hAnsi="Times New Roman"/>
                <w:b/>
                <w:color w:val="000000"/>
                <w:sz w:val="22"/>
                <w:szCs w:val="22"/>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2"/>
                <w:szCs w:val="22"/>
              </w:rPr>
            </w:pPr>
            <w:r>
              <w:rPr>
                <w:rFonts w:hint="default" w:ascii="Times New Roman" w:hAnsi="Times New Roman"/>
                <w:b/>
                <w:bCs/>
                <w:color w:val="000000"/>
                <w:sz w:val="22"/>
                <w:szCs w:val="22"/>
              </w:rPr>
              <w:t>0.00</w:t>
            </w:r>
            <w:r>
              <w:rPr>
                <w:rFonts w:ascii="Times New Roman" w:hAnsi="Times New Roman"/>
                <w:b/>
                <w:color w:val="000000"/>
                <w:sz w:val="22"/>
                <w:szCs w:val="22"/>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2"/>
                <w:szCs w:val="22"/>
              </w:rPr>
            </w:pPr>
            <w:r>
              <w:rPr>
                <w:rFonts w:hint="default" w:ascii="Times New Roman" w:hAnsi="Times New Roman"/>
                <w:b/>
                <w:bCs/>
                <w:color w:val="000000"/>
                <w:sz w:val="22"/>
                <w:szCs w:val="22"/>
              </w:rPr>
              <w:t>0.00</w:t>
            </w:r>
            <w:r>
              <w:rPr>
                <w:rFonts w:ascii="Times New Roman" w:hAnsi="Times New Roman"/>
                <w:b/>
                <w:color w:val="000000"/>
                <w:sz w:val="22"/>
                <w:szCs w:val="22"/>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2"/>
                <w:szCs w:val="22"/>
              </w:rPr>
            </w:pPr>
            <w:r>
              <w:rPr>
                <w:rFonts w:hint="default" w:ascii="Times New Roman" w:hAnsi="Times New Roman"/>
                <w:b/>
                <w:bCs/>
                <w:color w:val="000000"/>
                <w:sz w:val="22"/>
                <w:szCs w:val="22"/>
              </w:rPr>
              <w:t>0.00</w:t>
            </w:r>
            <w:r>
              <w:rPr>
                <w:rFonts w:ascii="Times New Roman" w:hAnsi="Times New Roman"/>
                <w:b/>
                <w:color w:val="000000"/>
                <w:sz w:val="22"/>
                <w:szCs w:val="22"/>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2"/>
                <w:szCs w:val="22"/>
              </w:rPr>
            </w:pPr>
            <w:r>
              <w:rPr>
                <w:rFonts w:hint="default" w:ascii="Times New Roman" w:hAnsi="Times New Roman"/>
                <w:b/>
                <w:bCs/>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282.14</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282.14</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273.77</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273.77</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254.50</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254.50</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19.27</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19.27</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8.37</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8.37</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8.37</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8.37</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7.57</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7.57</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7.57</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7.57</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7.57</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7.57</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60.66</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60.66</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57.63</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57.63</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31.18</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31.18</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15.59</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15.59</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10.87</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10.87</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20820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临时救助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3.03</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3.03</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2082001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临时救助支出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3.03</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3.03</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21.63</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21.63</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21.63</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21.63</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16.56</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16.56</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5.07</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5.07</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10.60</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10.60</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自然生态保护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5.60</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5.60</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2110402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农村环境保护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5.60</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5.60</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5.00</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5.00</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148.08</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148.08</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30.00</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30.00</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30.00</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30.00</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12.78</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12.78</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12.78</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12.78</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城市基础设施配套费安排的支出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105.30</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105.30</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2121399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其他城市基础设施配套费安排的支出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105.30</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105.30</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1,057.39</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1,057.39</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37.31</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37.31</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2130124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农村合作经济</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2130152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对高校毕业生到基层任职补助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32.31</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32.31</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14.06</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14.06</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14.06</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14.06</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925.63</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925.63</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524.94</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524.94</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281.83</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281.83</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118.86</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118.86</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80.40</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80.40</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80.40</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80.40</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19.75</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19.75</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19.75</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19.75</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其他公路水路运输支出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19.75</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19.75</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26.23</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26.23</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26.23</w:t>
            </w:r>
            <w:r>
              <w:rPr>
                <w:rFonts w:ascii="Times New Roman" w:hAnsi="Times New Roman"/>
                <w:b/>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26.23</w:t>
            </w:r>
            <w:r>
              <w:rPr>
                <w:rFonts w:ascii="Times New Roman" w:hAnsi="Times New Roman"/>
                <w:b/>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26.23</w:t>
            </w:r>
            <w:r>
              <w:rPr>
                <w:rFonts w:ascii="Times New Roman" w:hAnsi="Times New Roman"/>
                <w:color w:val="000000"/>
                <w:sz w:val="22"/>
                <w:szCs w:val="22"/>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26.23</w:t>
            </w:r>
            <w:r>
              <w:rPr>
                <w:rFonts w:ascii="Times New Roman" w:hAnsi="Times New Roman"/>
                <w:color w:val="000000"/>
                <w:sz w:val="22"/>
                <w:szCs w:val="22"/>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bl>
    <w:p>
      <w:pPr>
        <w:ind w:left="600" w:hanging="660" w:hangingChars="300"/>
        <w:rPr>
          <w:rFonts w:hint="default" w:cs="宋体"/>
          <w:sz w:val="22"/>
          <w:szCs w:val="22"/>
        </w:rPr>
      </w:pPr>
      <w:r>
        <w:rPr>
          <w:rFonts w:cs="宋体"/>
          <w:sz w:val="22"/>
          <w:szCs w:val="22"/>
        </w:rPr>
        <w:t>备注：1.本表反映单位本年度取得的各项收入情况。</w:t>
      </w:r>
      <w:r>
        <w:rPr>
          <w:rFonts w:cs="宋体"/>
          <w:sz w:val="22"/>
          <w:szCs w:val="22"/>
        </w:rPr>
        <w:br w:type="textWrapping"/>
      </w:r>
      <w:r>
        <w:rPr>
          <w:rFonts w:cs="宋体"/>
          <w:sz w:val="22"/>
          <w:szCs w:val="22"/>
        </w:rPr>
        <w:t>2.本套报表金额单位转换时可能存在尾数误差。</w:t>
      </w:r>
      <w:r>
        <w:rPr>
          <w:rFonts w:cs="宋体"/>
          <w:sz w:val="22"/>
          <w:szCs w:val="22"/>
        </w:rPr>
        <w:br w:type="textWrapping"/>
      </w:r>
      <w:r>
        <w:rPr>
          <w:rFonts w:cs="宋体"/>
          <w:sz w:val="22"/>
          <w:szCs w:val="22"/>
        </w:rPr>
        <w:br w:type="textWrapping"/>
      </w:r>
    </w:p>
    <w:p>
      <w:pPr>
        <w:rPr>
          <w:rFonts w:hint="default" w:cs="宋体"/>
          <w:sz w:val="22"/>
          <w:szCs w:val="22"/>
        </w:rPr>
      </w:pPr>
      <w:r>
        <w:rPr>
          <w:rFonts w:cs="宋体"/>
          <w:sz w:val="22"/>
          <w:szCs w:val="22"/>
        </w:rPr>
        <w:br w:type="page"/>
      </w:r>
    </w:p>
    <w:tbl>
      <w:tblPr>
        <w:tblStyle w:val="12"/>
        <w:tblW w:w="5000" w:type="pct"/>
        <w:tblInd w:w="0" w:type="dxa"/>
        <w:tblLayout w:type="fixed"/>
        <w:tblCellMar>
          <w:top w:w="0" w:type="dxa"/>
          <w:left w:w="0" w:type="dxa"/>
          <w:bottom w:w="0" w:type="dxa"/>
          <w:right w:w="0" w:type="dxa"/>
        </w:tblCellMar>
      </w:tblPr>
      <w:tblGrid>
        <w:gridCol w:w="744"/>
        <w:gridCol w:w="2073"/>
        <w:gridCol w:w="1060"/>
        <w:gridCol w:w="1016"/>
        <w:gridCol w:w="935"/>
        <w:gridCol w:w="896"/>
        <w:gridCol w:w="974"/>
        <w:gridCol w:w="1122"/>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2"/>
                <w:szCs w:val="22"/>
              </w:rPr>
            </w:pPr>
            <w:r>
              <w:rPr>
                <w:rFonts w:cs="宋体"/>
                <w:sz w:val="22"/>
                <w:szCs w:val="22"/>
              </w:rPr>
              <w:t>单位</w:t>
            </w:r>
            <w:r>
              <w:rPr>
                <w:rFonts w:cs="宋体"/>
                <w:color w:val="000000"/>
                <w:sz w:val="22"/>
                <w:szCs w:val="22"/>
              </w:rPr>
              <w:t>：</w:t>
            </w:r>
            <w:r>
              <w:rPr>
                <w:color w:val="000000"/>
                <w:sz w:val="22"/>
                <w:szCs w:val="22"/>
                <w:u w:color="auto"/>
              </w:rPr>
              <w:t xml:space="preserve">城口县高楠镇人民政府（本级）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2"/>
                <w:szCs w:val="22"/>
              </w:rPr>
            </w:pPr>
            <w:r>
              <w:rPr>
                <w:rFonts w:cs="宋体"/>
                <w:color w:val="000000"/>
                <w:sz w:val="22"/>
                <w:szCs w:val="22"/>
              </w:rPr>
              <w:t>公开</w:t>
            </w:r>
            <w:r>
              <w:rPr>
                <w:rFonts w:hint="default" w:ascii="Times New Roman" w:hAnsi="Times New Roman" w:cs="Times New Roman"/>
                <w:color w:val="000000"/>
                <w:sz w:val="22"/>
                <w:szCs w:val="22"/>
              </w:rPr>
              <w:t>03</w:t>
            </w:r>
            <w:r>
              <w:rPr>
                <w:rFonts w:cs="宋体"/>
                <w:color w:val="000000"/>
                <w:sz w:val="22"/>
                <w:szCs w:val="22"/>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2"/>
                <w:szCs w:val="22"/>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2"/>
                <w:szCs w:val="22"/>
              </w:rPr>
            </w:pPr>
            <w:r>
              <w:rPr>
                <w:rFonts w:cs="宋体"/>
                <w:color w:val="000000"/>
                <w:sz w:val="22"/>
                <w:szCs w:val="22"/>
              </w:rPr>
              <w:t>单位：</w:t>
            </w:r>
            <w:r>
              <w:rPr>
                <w:rFonts w:cs="宋体"/>
                <w:sz w:val="22"/>
                <w:szCs w:val="22"/>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2"/>
                <w:szCs w:val="22"/>
              </w:rPr>
            </w:pPr>
            <w:r>
              <w:rPr>
                <w:rFonts w:hint="default" w:ascii="Times New Roman" w:hAnsi="Times New Roman"/>
                <w:b/>
                <w:bCs/>
                <w:color w:val="000000"/>
                <w:sz w:val="22"/>
                <w:szCs w:val="22"/>
              </w:rPr>
              <w:t>1,634.04</w:t>
            </w:r>
            <w:r>
              <w:rPr>
                <w:rFonts w:ascii="Times New Roman" w:hAnsi="Times New Roman"/>
                <w:b/>
                <w:color w:val="000000"/>
                <w:sz w:val="22"/>
                <w:szCs w:val="22"/>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2"/>
                <w:szCs w:val="22"/>
              </w:rPr>
            </w:pPr>
            <w:r>
              <w:rPr>
                <w:rFonts w:hint="default" w:ascii="Times New Roman" w:hAnsi="Times New Roman"/>
                <w:b/>
                <w:bCs/>
                <w:color w:val="000000"/>
                <w:sz w:val="22"/>
                <w:szCs w:val="22"/>
              </w:rPr>
              <w:t>388.91</w:t>
            </w:r>
            <w:r>
              <w:rPr>
                <w:rFonts w:ascii="Times New Roman" w:hAnsi="Times New Roman"/>
                <w:b/>
                <w:color w:val="000000"/>
                <w:sz w:val="22"/>
                <w:szCs w:val="22"/>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2"/>
                <w:szCs w:val="22"/>
              </w:rPr>
            </w:pPr>
            <w:r>
              <w:rPr>
                <w:rFonts w:hint="default" w:ascii="Times New Roman" w:hAnsi="Times New Roman"/>
                <w:b/>
                <w:bCs/>
                <w:color w:val="000000"/>
                <w:sz w:val="22"/>
                <w:szCs w:val="22"/>
              </w:rPr>
              <w:t>1,245.13</w:t>
            </w:r>
            <w:r>
              <w:rPr>
                <w:rFonts w:ascii="Times New Roman" w:hAnsi="Times New Roman"/>
                <w:b/>
                <w:color w:val="000000"/>
                <w:sz w:val="22"/>
                <w:szCs w:val="22"/>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2"/>
                <w:szCs w:val="22"/>
              </w:rPr>
            </w:pPr>
            <w:r>
              <w:rPr>
                <w:rFonts w:hint="default" w:ascii="Times New Roman" w:hAnsi="Times New Roman"/>
                <w:b/>
                <w:bCs/>
                <w:color w:val="000000"/>
                <w:sz w:val="22"/>
                <w:szCs w:val="22"/>
              </w:rPr>
              <w:t>0.00</w:t>
            </w:r>
            <w:r>
              <w:rPr>
                <w:rFonts w:ascii="Times New Roman" w:hAnsi="Times New Roman"/>
                <w:b/>
                <w:color w:val="000000"/>
                <w:sz w:val="22"/>
                <w:szCs w:val="22"/>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2"/>
                <w:szCs w:val="22"/>
              </w:rPr>
            </w:pPr>
            <w:r>
              <w:rPr>
                <w:rFonts w:hint="default" w:ascii="Times New Roman" w:hAnsi="Times New Roman"/>
                <w:b/>
                <w:bCs/>
                <w:color w:val="000000"/>
                <w:sz w:val="22"/>
                <w:szCs w:val="22"/>
              </w:rPr>
              <w:t>0.00</w:t>
            </w:r>
            <w:r>
              <w:rPr>
                <w:rFonts w:ascii="Times New Roman" w:hAnsi="Times New Roman"/>
                <w:b/>
                <w:color w:val="000000"/>
                <w:sz w:val="22"/>
                <w:szCs w:val="22"/>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2"/>
                <w:szCs w:val="22"/>
              </w:rPr>
            </w:pPr>
            <w:r>
              <w:rPr>
                <w:rFonts w:hint="default" w:ascii="Times New Roman" w:hAnsi="Times New Roman"/>
                <w:b/>
                <w:bCs/>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282.14</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258.23</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23.91</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273.77</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254.50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19.27</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254.50</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254.50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19.27</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19.27</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8.37</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3.73</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4.64</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8.37</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3.73</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4.64</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7.57</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7.57</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7.57</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7.57</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7.57</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7.57</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60.66</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57.63</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3.03</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57.63</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57.63</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31.18</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31.18</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15.59</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15.59</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10.87</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10.87</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20820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临时救助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3.03</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3.03</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2082001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临时救助支出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3.03</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3.03</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21.63</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21.63</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21.63</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21.63</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16.56</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16.56</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5.07</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5.07</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10.60</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10.60</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自然生态保护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5.60</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5.60</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2110402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农村环境保护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5.60</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5.60</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5.00</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5.00</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148.08</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148.08</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30.00</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30.00</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30.00</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30.00</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12.78</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12.78</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12.78</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12.78</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城市基础设施配套费安排的支出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105.30</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105.30</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2121399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其他城市基础设施配套费安排的支出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105.30</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105.30</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1,057.39</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25.19</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1,032.20</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37.31</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25.19</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12.12</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2130124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农村合作经济</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2130152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对高校毕业生到基层任职补助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32.31</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25.19</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7.12</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14.06</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14.06</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14.06</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14.06</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925.63</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925.63</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524.94</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524.94</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281.83</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281.83</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118.86</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118.86</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80.40</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80.40</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80.40</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80.40</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19.75</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19.75</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19.75</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19.75</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2140199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其他公路水路运输支出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19.75</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19.75</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26.23</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26.23</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2"/>
                <w:szCs w:val="22"/>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26.23</w:t>
            </w:r>
            <w:r>
              <w:rPr>
                <w:rFonts w:ascii="Times New Roman" w:hAnsi="Times New Roman"/>
                <w:b/>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26.23</w:t>
            </w:r>
            <w:r>
              <w:rPr>
                <w:rFonts w:ascii="Times New Roman" w:hAnsi="Times New Roman"/>
                <w:b/>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r>
              <w:rPr>
                <w:rFonts w:ascii="Times New Roman" w:hAnsi="Times New Roman"/>
                <w:b/>
                <w:color w:val="000000"/>
                <w:sz w:val="22"/>
                <w:szCs w:val="22"/>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26.23</w:t>
            </w:r>
            <w:r>
              <w:rPr>
                <w:rFonts w:ascii="Times New Roman" w:hAnsi="Times New Roman"/>
                <w:color w:val="000000"/>
                <w:sz w:val="22"/>
                <w:szCs w:val="22"/>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26.23</w:t>
            </w:r>
            <w:r>
              <w:rPr>
                <w:rFonts w:ascii="Times New Roman" w:hAnsi="Times New Roman"/>
                <w:color w:val="000000"/>
                <w:sz w:val="22"/>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r>
              <w:rPr>
                <w:rFonts w:ascii="Times New Roman" w:hAnsi="Times New Roman"/>
                <w:color w:val="000000"/>
                <w:sz w:val="22"/>
                <w:szCs w:val="22"/>
                <w:u w:color="auto"/>
              </w:rPr>
              <w:t xml:space="preserve"> </w:t>
            </w:r>
          </w:p>
        </w:tc>
      </w:tr>
    </w:tbl>
    <w:p>
      <w:pPr>
        <w:rPr>
          <w:rFonts w:hint="default" w:cs="宋体"/>
          <w:sz w:val="22"/>
          <w:szCs w:val="22"/>
        </w:rPr>
      </w:pPr>
      <w:r>
        <w:rPr>
          <w:rFonts w:cs="宋体"/>
          <w:sz w:val="22"/>
          <w:szCs w:val="22"/>
        </w:rPr>
        <w:t>备注：1.本表反映单位本年度各项支出情况。</w:t>
      </w:r>
      <w:r>
        <w:rPr>
          <w:rFonts w:cs="宋体"/>
          <w:sz w:val="22"/>
          <w:szCs w:val="22"/>
        </w:rPr>
        <w:br w:type="textWrapping"/>
      </w:r>
      <w:r>
        <w:rPr>
          <w:rFonts w:cs="宋体"/>
          <w:sz w:val="22"/>
          <w:szCs w:val="22"/>
        </w:rPr>
        <w:t xml:space="preserve">      2.本套报表金额单位转换时可能存在尾数误差。</w:t>
      </w:r>
      <w:r>
        <w:rPr>
          <w:rFonts w:cs="宋体"/>
          <w:sz w:val="22"/>
          <w:szCs w:val="22"/>
        </w:rPr>
        <w:br w:type="textWrapping"/>
      </w:r>
      <w:r>
        <w:rPr>
          <w:rFonts w:cs="宋体"/>
          <w:sz w:val="22"/>
          <w:szCs w:val="22"/>
        </w:rPr>
        <w:br w:type="textWrapping"/>
      </w:r>
    </w:p>
    <w:p>
      <w:pPr>
        <w:rPr>
          <w:rFonts w:hint="default" w:cs="宋体"/>
          <w:sz w:val="22"/>
          <w:szCs w:val="22"/>
        </w:rPr>
      </w:pPr>
      <w:r>
        <w:rPr>
          <w:rFonts w:cs="宋体"/>
          <w:sz w:val="22"/>
          <w:szCs w:val="22"/>
        </w:rPr>
        <w:br w:type="page"/>
      </w:r>
    </w:p>
    <w:p>
      <w:pPr>
        <w:rPr>
          <w:rFonts w:hint="default" w:cs="宋体"/>
          <w:sz w:val="22"/>
          <w:szCs w:val="22"/>
        </w:rPr>
      </w:pPr>
    </w:p>
    <w:tbl>
      <w:tblPr>
        <w:tblStyle w:val="12"/>
        <w:tblW w:w="4790" w:type="pct"/>
        <w:tblInd w:w="0" w:type="dxa"/>
        <w:tblLayout w:type="autofit"/>
        <w:tblCellMar>
          <w:top w:w="0" w:type="dxa"/>
          <w:left w:w="0" w:type="dxa"/>
          <w:bottom w:w="0" w:type="dxa"/>
          <w:right w:w="0" w:type="dxa"/>
        </w:tblCellMar>
      </w:tblPr>
      <w:tblGrid>
        <w:gridCol w:w="2585"/>
        <w:gridCol w:w="666"/>
        <w:gridCol w:w="2767"/>
        <w:gridCol w:w="666"/>
        <w:gridCol w:w="666"/>
        <w:gridCol w:w="530"/>
        <w:gridCol w:w="93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22"/>
                <w:szCs w:val="22"/>
              </w:rPr>
            </w:pPr>
            <w:r>
              <w:rPr>
                <w:rFonts w:cs="宋体"/>
                <w:b/>
                <w:color w:val="000000"/>
                <w:sz w:val="22"/>
                <w:szCs w:val="2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2"/>
                <w:szCs w:val="22"/>
              </w:rPr>
            </w:pPr>
            <w:r>
              <w:rPr>
                <w:rFonts w:cs="宋体"/>
                <w:sz w:val="22"/>
                <w:szCs w:val="22"/>
              </w:rPr>
              <w:t>单位</w:t>
            </w:r>
            <w:r>
              <w:rPr>
                <w:rFonts w:cs="宋体"/>
                <w:color w:val="000000"/>
                <w:sz w:val="22"/>
                <w:szCs w:val="22"/>
              </w:rPr>
              <w:t>：</w:t>
            </w:r>
            <w:r>
              <w:rPr>
                <w:color w:val="000000"/>
                <w:sz w:val="22"/>
                <w:szCs w:val="22"/>
                <w:u w:color="auto"/>
              </w:rPr>
              <w:t>城口县高楠镇人民政府（本级）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2"/>
                <w:szCs w:val="22"/>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2"/>
                <w:szCs w:val="22"/>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2"/>
                <w:szCs w:val="22"/>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2"/>
                <w:szCs w:val="22"/>
              </w:rPr>
            </w:pPr>
            <w:r>
              <w:rPr>
                <w:rFonts w:cs="宋体"/>
                <w:color w:val="000000"/>
                <w:sz w:val="22"/>
                <w:szCs w:val="22"/>
              </w:rPr>
              <w:t>公开</w:t>
            </w:r>
            <w:r>
              <w:rPr>
                <w:rFonts w:hint="default" w:ascii="Times New Roman" w:hAnsi="Times New Roman" w:cs="Times New Roman"/>
                <w:color w:val="000000"/>
                <w:sz w:val="22"/>
                <w:szCs w:val="22"/>
              </w:rPr>
              <w:t>04</w:t>
            </w:r>
            <w:r>
              <w:rPr>
                <w:rFonts w:cs="宋体"/>
                <w:color w:val="000000"/>
                <w:sz w:val="22"/>
                <w:szCs w:val="22"/>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2"/>
                <w:szCs w:val="22"/>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2"/>
                <w:szCs w:val="22"/>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2"/>
                <w:szCs w:val="22"/>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2"/>
                <w:szCs w:val="22"/>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2"/>
                <w:szCs w:val="22"/>
              </w:rPr>
            </w:pPr>
            <w:r>
              <w:rPr>
                <w:rFonts w:cs="宋体"/>
                <w:color w:val="000000"/>
                <w:sz w:val="22"/>
                <w:szCs w:val="22"/>
              </w:rPr>
              <w:t>单位：</w:t>
            </w:r>
            <w:r>
              <w:rPr>
                <w:rFonts w:cs="宋体"/>
                <w:sz w:val="22"/>
                <w:szCs w:val="22"/>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22"/>
                <w:szCs w:val="22"/>
              </w:rPr>
            </w:pPr>
            <w:r>
              <w:rPr>
                <w:rFonts w:cs="宋体"/>
                <w:b/>
                <w:color w:val="000000"/>
                <w:sz w:val="22"/>
                <w:szCs w:val="22"/>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22"/>
                <w:szCs w:val="22"/>
              </w:rPr>
            </w:pPr>
            <w:r>
              <w:rPr>
                <w:rFonts w:cs="宋体"/>
                <w:b/>
                <w:color w:val="000000"/>
                <w:sz w:val="22"/>
                <w:szCs w:val="22"/>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2"/>
                <w:szCs w:val="22"/>
              </w:rPr>
            </w:pPr>
            <w:r>
              <w:rPr>
                <w:rFonts w:cs="宋体"/>
                <w:b/>
                <w:color w:val="000000"/>
                <w:sz w:val="22"/>
                <w:szCs w:val="22"/>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2"/>
                <w:szCs w:val="22"/>
              </w:rPr>
            </w:pPr>
            <w:r>
              <w:rPr>
                <w:rFonts w:cs="宋体"/>
                <w:b/>
                <w:color w:val="000000"/>
                <w:sz w:val="22"/>
                <w:szCs w:val="22"/>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2"/>
                <w:szCs w:val="22"/>
              </w:rPr>
            </w:pPr>
            <w:r>
              <w:rPr>
                <w:rFonts w:cs="宋体"/>
                <w:b/>
                <w:color w:val="000000"/>
                <w:sz w:val="22"/>
                <w:szCs w:val="22"/>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22"/>
                <w:szCs w:val="22"/>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22"/>
                <w:szCs w:val="22"/>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22"/>
                <w:szCs w:val="22"/>
              </w:rPr>
            </w:pPr>
            <w:r>
              <w:rPr>
                <w:rFonts w:cs="宋体"/>
                <w:b/>
                <w:color w:val="000000"/>
                <w:sz w:val="22"/>
                <w:szCs w:val="22"/>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2"/>
                <w:szCs w:val="22"/>
              </w:rPr>
            </w:pPr>
            <w:r>
              <w:rPr>
                <w:rFonts w:cs="宋体"/>
                <w:b/>
                <w:color w:val="000000"/>
                <w:sz w:val="22"/>
                <w:szCs w:val="22"/>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2"/>
                <w:szCs w:val="22"/>
              </w:rPr>
            </w:pPr>
            <w:r>
              <w:rPr>
                <w:rFonts w:cs="宋体"/>
                <w:b/>
                <w:color w:val="000000"/>
                <w:sz w:val="22"/>
                <w:szCs w:val="22"/>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2"/>
                <w:szCs w:val="22"/>
              </w:rPr>
            </w:pPr>
            <w:r>
              <w:rPr>
                <w:rFonts w:cs="宋体"/>
                <w:b/>
                <w:color w:val="000000"/>
                <w:sz w:val="22"/>
                <w:szCs w:val="22"/>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1,515.96</w:t>
            </w:r>
            <w:r>
              <w:rPr>
                <w:rFonts w:ascii="Times New Roman" w:hAnsi="Times New Roman"/>
                <w:color w:val="000000"/>
                <w:sz w:val="22"/>
                <w:szCs w:val="22"/>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282.14</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282.14</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118.08</w:t>
            </w:r>
            <w:r>
              <w:rPr>
                <w:rFonts w:ascii="Times New Roman" w:hAnsi="Times New Roman"/>
                <w:color w:val="000000"/>
                <w:sz w:val="22"/>
                <w:szCs w:val="22"/>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7.57</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7.57</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60.66</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60.66</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21.63</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21.63</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10.60</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10.60</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148.08</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30.00</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118.08</w:t>
            </w: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1,057.39</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1,057.39</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19.75</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19.75</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26.23</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26.23</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22"/>
                <w:szCs w:val="2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1,634.04</w:t>
            </w:r>
            <w:r>
              <w:rPr>
                <w:rFonts w:ascii="Times New Roman" w:hAnsi="Times New Roman"/>
                <w:color w:val="000000"/>
                <w:sz w:val="22"/>
                <w:szCs w:val="22"/>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1,634.04</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1,515.96</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118.08</w:t>
            </w: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2"/>
                <w:szCs w:val="22"/>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22"/>
                <w:szCs w:val="22"/>
              </w:rPr>
            </w:pPr>
            <w:r>
              <w:rPr>
                <w:rFonts w:cs="宋体"/>
                <w:b/>
                <w:color w:val="000000"/>
                <w:sz w:val="22"/>
                <w:szCs w:val="22"/>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1,634.04</w:t>
            </w:r>
            <w:r>
              <w:rPr>
                <w:rFonts w:ascii="Times New Roman" w:hAnsi="Times New Roman"/>
                <w:color w:val="000000"/>
                <w:sz w:val="22"/>
                <w:szCs w:val="22"/>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22"/>
                <w:szCs w:val="22"/>
              </w:rPr>
            </w:pPr>
            <w:r>
              <w:rPr>
                <w:rFonts w:cs="宋体"/>
                <w:b/>
                <w:color w:val="000000"/>
                <w:sz w:val="22"/>
                <w:szCs w:val="22"/>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1,634.04</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1,515.96</w:t>
            </w:r>
            <w:r>
              <w:rPr>
                <w:rFonts w:ascii="Times New Roman" w:hAnsi="Times New Roman"/>
                <w:color w:val="000000"/>
                <w:sz w:val="22"/>
                <w:szCs w:val="22"/>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118.08</w:t>
            </w:r>
            <w:r>
              <w:rPr>
                <w:rFonts w:ascii="Times New Roman" w:hAnsi="Times New Roman"/>
                <w:color w:val="000000"/>
                <w:sz w:val="22"/>
                <w:szCs w:val="22"/>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bl>
    <w:p>
      <w:pPr>
        <w:spacing w:line="240" w:lineRule="exact"/>
        <w:rPr>
          <w:rFonts w:hint="eastAsia" w:asciiTheme="majorEastAsia" w:hAnsiTheme="majorEastAsia" w:eastAsiaTheme="majorEastAsia" w:cstheme="majorEastAsia"/>
          <w:sz w:val="22"/>
          <w:szCs w:val="22"/>
        </w:rPr>
      </w:pPr>
      <w:r>
        <w:rPr>
          <w:rFonts w:cs="宋体"/>
          <w:sz w:val="22"/>
          <w:szCs w:val="22"/>
        </w:rPr>
        <w:t>备注：1.本表反映单位本年度一般公共预算财政拨款、政府性基金预算财政拨款及国有资本经营预算财政拨款的总收支和年末结转结余情况。</w:t>
      </w:r>
      <w:r>
        <w:rPr>
          <w:rFonts w:cs="宋体"/>
          <w:sz w:val="22"/>
          <w:szCs w:val="22"/>
        </w:rPr>
        <w:br w:type="textWrapping"/>
      </w:r>
      <w:r>
        <w:rPr>
          <w:rFonts w:cs="宋体"/>
          <w:sz w:val="22"/>
          <w:szCs w:val="22"/>
        </w:rPr>
        <w:t xml:space="preserve">      2.本套报表金额单位转换时可能存在尾数误差。</w:t>
      </w:r>
      <w:r>
        <w:rPr>
          <w:rFonts w:cs="宋体"/>
          <w:sz w:val="22"/>
          <w:szCs w:val="22"/>
        </w:rPr>
        <w:br w:type="textWrapping"/>
      </w:r>
      <w:r>
        <w:rPr>
          <w:rFonts w:cs="宋体"/>
          <w:sz w:val="22"/>
          <w:szCs w:val="22"/>
        </w:rPr>
        <w:br w:type="textWrapping"/>
      </w:r>
      <w:r>
        <w:rPr>
          <w:rFonts w:hint="eastAsia" w:asciiTheme="majorEastAsia" w:hAnsiTheme="majorEastAsia" w:eastAsiaTheme="majorEastAsia" w:cstheme="majorEastAsia"/>
          <w:sz w:val="22"/>
          <w:szCs w:val="22"/>
        </w:rPr>
        <w:br w:type="page"/>
      </w:r>
    </w:p>
    <w:tbl>
      <w:tblPr>
        <w:tblStyle w:val="12"/>
        <w:tblW w:w="5000" w:type="pct"/>
        <w:tblInd w:w="0" w:type="dxa"/>
        <w:tblLayout w:type="fixed"/>
        <w:tblCellMar>
          <w:top w:w="0" w:type="dxa"/>
          <w:left w:w="0" w:type="dxa"/>
          <w:bottom w:w="0" w:type="dxa"/>
          <w:right w:w="0" w:type="dxa"/>
        </w:tblCellMar>
      </w:tblPr>
      <w:tblGrid>
        <w:gridCol w:w="751"/>
        <w:gridCol w:w="2345"/>
        <w:gridCol w:w="1903"/>
        <w:gridCol w:w="1898"/>
        <w:gridCol w:w="1922"/>
      </w:tblGrid>
      <w:tr>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sz w:val="22"/>
                <w:szCs w:val="22"/>
              </w:rPr>
              <w:t>单位</w:t>
            </w:r>
            <w:r>
              <w:rPr>
                <w:rFonts w:hint="eastAsia" w:asciiTheme="majorEastAsia" w:hAnsiTheme="majorEastAsia" w:eastAsiaTheme="majorEastAsia" w:cstheme="majorEastAsia"/>
                <w:color w:val="000000"/>
                <w:sz w:val="22"/>
                <w:szCs w:val="22"/>
              </w:rPr>
              <w:t>：</w:t>
            </w:r>
            <w:r>
              <w:rPr>
                <w:rFonts w:hint="eastAsia" w:asciiTheme="majorEastAsia" w:hAnsiTheme="majorEastAsia" w:eastAsiaTheme="majorEastAsia" w:cstheme="majorEastAsia"/>
                <w:color w:val="000000"/>
                <w:sz w:val="22"/>
                <w:szCs w:val="22"/>
                <w:u w:color="auto"/>
              </w:rPr>
              <w:t>城口县高楠镇人民政府（本级）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单位：</w:t>
            </w:r>
            <w:r>
              <w:rPr>
                <w:rFonts w:hint="eastAsia" w:asciiTheme="majorEastAsia" w:hAnsiTheme="majorEastAsia" w:eastAsiaTheme="majorEastAsia" w:cstheme="majorEastAsia"/>
                <w:sz w:val="22"/>
                <w:szCs w:val="22"/>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r>
      <w:tr>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bCs/>
                <w:color w:val="000000"/>
                <w:sz w:val="22"/>
                <w:szCs w:val="22"/>
              </w:rPr>
              <w:t>1,515.96</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bCs/>
                <w:color w:val="000000"/>
                <w:sz w:val="22"/>
                <w:szCs w:val="22"/>
              </w:rPr>
              <w:t>388.91</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bCs/>
                <w:color w:val="000000"/>
                <w:sz w:val="22"/>
                <w:szCs w:val="22"/>
              </w:rPr>
              <w:t>1,127.05</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282.14</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258.23</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23.91</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273.77</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254.50</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19.27</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254.50</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254.50</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19.27</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19.27</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8.37</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3.73</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4.64</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8.37</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3.73</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4.64</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7.57</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7.57</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7.57</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7.57</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7.57</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7.57</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60.66</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57.63</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3.03</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57.63</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57.63</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31.18</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31.18</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15.59</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15.59</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10.87</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10.87</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3.03</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3.03</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3.03</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3.03</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21.63</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21.63</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21.63</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21.63</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16.56</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16.56</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5.07</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5.07</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10.60</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10.60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5.60</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5.60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5.60</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5.60</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5.00</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5.00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5.00</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5.00</w:t>
            </w:r>
            <w:r>
              <w:rPr>
                <w:rFonts w:hint="eastAsia" w:asciiTheme="majorEastAsia" w:hAnsiTheme="majorEastAsia" w:eastAsiaTheme="majorEastAsia" w:cstheme="majorEastAsia"/>
                <w:color w:val="000000"/>
                <w:sz w:val="22"/>
                <w:szCs w:val="22"/>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30.00</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30.00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30.00</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30.00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30.00</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30.00</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1,057.39</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25.19</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1,032.20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37.31</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25.19</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12.12</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5.00</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5.00</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2130152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对高校毕业生到基层任职补助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32.31</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25.19</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7.12</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14.06</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14.06</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14.06</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14.06</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925.63</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925.63</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524.94</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524.94</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281.83</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281.83</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118.86</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118.86</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80.40</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80.40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80.40</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80.40</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19.75</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19.75</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19.75</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19.75</w:t>
            </w:r>
            <w:r>
              <w:rPr>
                <w:rFonts w:hint="eastAsia" w:asciiTheme="majorEastAsia" w:hAnsiTheme="majorEastAsia" w:eastAsiaTheme="majorEastAsia" w:cstheme="majorEastAsia"/>
                <w:b/>
                <w:color w:val="000000"/>
                <w:sz w:val="22"/>
                <w:szCs w:val="22"/>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其他公路水路运输支出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19.75</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19.75</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26.23</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26.23</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26.23</w:t>
            </w:r>
            <w:r>
              <w:rPr>
                <w:rFonts w:hint="eastAsia" w:asciiTheme="majorEastAsia" w:hAnsiTheme="majorEastAsia" w:eastAsiaTheme="majorEastAsia" w:cstheme="majorEastAsia"/>
                <w:b/>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26.23</w:t>
            </w:r>
            <w:r>
              <w:rPr>
                <w:rFonts w:hint="eastAsia" w:asciiTheme="majorEastAsia" w:hAnsiTheme="majorEastAsia" w:eastAsiaTheme="majorEastAsia" w:cstheme="majorEastAsia"/>
                <w:b/>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26.23</w:t>
            </w:r>
            <w:r>
              <w:rPr>
                <w:rFonts w:hint="eastAsia" w:asciiTheme="majorEastAsia" w:hAnsiTheme="majorEastAsia" w:eastAsiaTheme="majorEastAsia" w:cstheme="majorEastAsia"/>
                <w:color w:val="000000"/>
                <w:sz w:val="22"/>
                <w:szCs w:val="22"/>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26.23</w:t>
            </w:r>
            <w:r>
              <w:rPr>
                <w:rFonts w:hint="eastAsia" w:asciiTheme="majorEastAsia" w:hAnsiTheme="majorEastAsia" w:eastAsiaTheme="majorEastAsia" w:cstheme="majorEastAsia"/>
                <w:color w:val="000000"/>
                <w:sz w:val="22"/>
                <w:szCs w:val="22"/>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r>
    </w:tbl>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备注：1.本表反映单位本年度一般公共预算财政拨款支出情况。</w:t>
      </w:r>
      <w:r>
        <w:rPr>
          <w:rFonts w:hint="eastAsia" w:asciiTheme="majorEastAsia" w:hAnsiTheme="majorEastAsia" w:eastAsiaTheme="majorEastAsia" w:cstheme="majorEastAsia"/>
          <w:sz w:val="22"/>
          <w:szCs w:val="22"/>
        </w:rPr>
        <w:br w:type="textWrapping"/>
      </w:r>
      <w:r>
        <w:rPr>
          <w:rFonts w:hint="eastAsia" w:asciiTheme="majorEastAsia" w:hAnsiTheme="majorEastAsia" w:eastAsiaTheme="majorEastAsia" w:cstheme="majorEastAsia"/>
          <w:sz w:val="22"/>
          <w:szCs w:val="22"/>
        </w:rPr>
        <w:t xml:space="preserve">      2.本套报表金额单位转换时可能存在尾数误差。</w:t>
      </w:r>
      <w:r>
        <w:rPr>
          <w:rFonts w:hint="eastAsia" w:asciiTheme="majorEastAsia" w:hAnsiTheme="majorEastAsia" w:eastAsiaTheme="majorEastAsia" w:cstheme="majorEastAsia"/>
          <w:sz w:val="22"/>
          <w:szCs w:val="22"/>
        </w:rPr>
        <w:br w:type="textWrapping"/>
      </w:r>
      <w:r>
        <w:rPr>
          <w:rFonts w:hint="eastAsia" w:asciiTheme="majorEastAsia" w:hAnsiTheme="majorEastAsia" w:eastAsiaTheme="majorEastAsia" w:cstheme="majorEastAsia"/>
          <w:sz w:val="22"/>
          <w:szCs w:val="22"/>
        </w:rPr>
        <w:br w:type="textWrapping"/>
      </w:r>
    </w:p>
    <w:p>
      <w:pPr>
        <w:ind w:firstLine="660" w:firstLineChars="30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br w:type="page"/>
      </w:r>
    </w:p>
    <w:tbl>
      <w:tblPr>
        <w:tblStyle w:val="12"/>
        <w:tblW w:w="4993" w:type="pct"/>
        <w:tblInd w:w="0" w:type="dxa"/>
        <w:tblLayout w:type="fixed"/>
        <w:tblCellMar>
          <w:top w:w="0" w:type="dxa"/>
          <w:left w:w="0" w:type="dxa"/>
          <w:bottom w:w="0" w:type="dxa"/>
          <w:right w:w="0" w:type="dxa"/>
        </w:tblCellMar>
      </w:tblPr>
      <w:tblGrid>
        <w:gridCol w:w="462"/>
        <w:gridCol w:w="1617"/>
        <w:gridCol w:w="887"/>
        <w:gridCol w:w="502"/>
        <w:gridCol w:w="1170"/>
        <w:gridCol w:w="816"/>
        <w:gridCol w:w="502"/>
        <w:gridCol w:w="1993"/>
        <w:gridCol w:w="85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sz w:val="18"/>
                <w:szCs w:val="18"/>
              </w:rPr>
              <w:t>单位</w:t>
            </w:r>
            <w:r>
              <w:rPr>
                <w:rFonts w:hint="eastAsia" w:asciiTheme="majorEastAsia" w:hAnsiTheme="majorEastAsia" w:eastAsiaTheme="majorEastAsia" w:cstheme="majorEastAsia"/>
                <w:color w:val="000000"/>
                <w:sz w:val="18"/>
                <w:szCs w:val="18"/>
              </w:rPr>
              <w:t>：</w:t>
            </w:r>
            <w:r>
              <w:rPr>
                <w:rFonts w:hint="eastAsia" w:asciiTheme="majorEastAsia" w:hAnsiTheme="majorEastAsia" w:eastAsiaTheme="majorEastAsia" w:cstheme="majorEastAsia"/>
                <w:color w:val="000000"/>
                <w:sz w:val="18"/>
                <w:szCs w:val="18"/>
                <w:u w:color="auto"/>
              </w:rPr>
              <w:t>城口县高楠镇人民政府（本级）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Theme="majorEastAsia" w:hAnsiTheme="majorEastAsia" w:eastAsiaTheme="majorEastAsia" w:cstheme="majorEastAsia"/>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Theme="majorEastAsia" w:hAnsiTheme="majorEastAsia" w:eastAsiaTheme="majorEastAsia" w:cstheme="majorEastAsia"/>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Theme="majorEastAsia" w:hAnsiTheme="majorEastAsia" w:eastAsiaTheme="majorEastAsia" w:cstheme="majorEastAsia"/>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Theme="majorEastAsia" w:hAnsiTheme="majorEastAsia" w:eastAsiaTheme="majorEastAsia" w:cstheme="majorEastAsia"/>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Theme="majorEastAsia" w:hAnsiTheme="majorEastAsia" w:eastAsiaTheme="majorEastAsia" w:cstheme="majorEastAsia"/>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Theme="majorEastAsia" w:hAnsiTheme="majorEastAsia" w:eastAsiaTheme="majorEastAsia" w:cstheme="majorEastAsia"/>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Theme="majorEastAsia" w:hAnsiTheme="majorEastAsia" w:eastAsiaTheme="majorEastAsia" w:cstheme="majorEastAsia"/>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单位：</w:t>
            </w:r>
            <w:r>
              <w:rPr>
                <w:rFonts w:hint="eastAsia" w:asciiTheme="majorEastAsia" w:hAnsiTheme="majorEastAsia" w:eastAsiaTheme="majorEastAsia" w:cstheme="majorEastAsia"/>
                <w:sz w:val="18"/>
                <w:szCs w:val="18"/>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eastAsia" w:asciiTheme="majorEastAsia" w:hAnsiTheme="majorEastAsia" w:eastAsiaTheme="majorEastAsia" w:cstheme="majorEastAsia"/>
                <w:b/>
                <w:color w:val="000000"/>
                <w:sz w:val="18"/>
                <w:szCs w:val="18"/>
              </w:rPr>
            </w:pPr>
            <w:r>
              <w:rPr>
                <w:rFonts w:hint="eastAsia" w:asciiTheme="majorEastAsia" w:hAnsiTheme="majorEastAsia" w:eastAsiaTheme="majorEastAsia" w:cstheme="majorEastAsia"/>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eastAsia" w:asciiTheme="majorEastAsia" w:hAnsiTheme="majorEastAsia" w:eastAsiaTheme="majorEastAsia" w:cstheme="majorEastAsia"/>
                <w:b/>
                <w:color w:val="000000"/>
                <w:sz w:val="18"/>
                <w:szCs w:val="18"/>
              </w:rPr>
            </w:pPr>
            <w:r>
              <w:rPr>
                <w:rFonts w:hint="eastAsia" w:asciiTheme="majorEastAsia" w:hAnsiTheme="majorEastAsia" w:eastAsiaTheme="majorEastAsia" w:cstheme="majorEastAsia"/>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eastAsia" w:asciiTheme="majorEastAsia" w:hAnsiTheme="majorEastAsia" w:eastAsiaTheme="majorEastAsia" w:cstheme="majorEastAsia"/>
                <w:b/>
                <w:color w:val="000000"/>
                <w:sz w:val="18"/>
                <w:szCs w:val="18"/>
              </w:rPr>
            </w:pPr>
            <w:r>
              <w:rPr>
                <w:rFonts w:hint="eastAsia" w:asciiTheme="majorEastAsia" w:hAnsiTheme="majorEastAsia" w:eastAsiaTheme="majorEastAsia" w:cstheme="majorEastAsia"/>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eastAsia" w:asciiTheme="majorEastAsia" w:hAnsiTheme="majorEastAsia" w:eastAsiaTheme="majorEastAsia" w:cstheme="majorEastAsia"/>
                <w:b/>
                <w:color w:val="000000"/>
                <w:sz w:val="18"/>
                <w:szCs w:val="18"/>
              </w:rPr>
            </w:pPr>
            <w:r>
              <w:rPr>
                <w:rFonts w:hint="eastAsia" w:asciiTheme="majorEastAsia" w:hAnsiTheme="majorEastAsia" w:eastAsiaTheme="majorEastAsia" w:cstheme="majorEastAsia"/>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eastAsia" w:asciiTheme="majorEastAsia" w:hAnsiTheme="majorEastAsia" w:eastAsiaTheme="majorEastAsia" w:cstheme="majorEastAsia"/>
                <w:b/>
                <w:color w:val="000000"/>
                <w:sz w:val="18"/>
                <w:szCs w:val="18"/>
              </w:rPr>
            </w:pPr>
            <w:r>
              <w:rPr>
                <w:rFonts w:hint="eastAsia" w:asciiTheme="majorEastAsia" w:hAnsiTheme="majorEastAsia" w:eastAsiaTheme="majorEastAsia" w:cstheme="majorEastAsia"/>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eastAsia" w:asciiTheme="majorEastAsia" w:hAnsiTheme="majorEastAsia" w:eastAsiaTheme="majorEastAsia" w:cstheme="majorEastAsia"/>
                <w:b/>
                <w:color w:val="000000"/>
                <w:sz w:val="18"/>
                <w:szCs w:val="18"/>
              </w:rPr>
            </w:pPr>
            <w:r>
              <w:rPr>
                <w:rFonts w:hint="eastAsia" w:asciiTheme="majorEastAsia" w:hAnsiTheme="majorEastAsia" w:eastAsiaTheme="majorEastAsia" w:cstheme="majorEastAsia"/>
                <w:b/>
                <w:color w:val="000000"/>
                <w:sz w:val="18"/>
                <w:szCs w:val="18"/>
              </w:rPr>
              <w:t>经济分类科目编码</w:t>
            </w:r>
          </w:p>
        </w:tc>
        <w:tc>
          <w:tcPr>
            <w:tcW w:w="66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eastAsia" w:asciiTheme="majorEastAsia" w:hAnsiTheme="majorEastAsia" w:eastAsiaTheme="majorEastAsia" w:cstheme="majorEastAsia"/>
                <w:b/>
                <w:color w:val="000000"/>
                <w:sz w:val="18"/>
                <w:szCs w:val="18"/>
              </w:rPr>
            </w:pPr>
            <w:r>
              <w:rPr>
                <w:rFonts w:hint="eastAsia" w:asciiTheme="majorEastAsia" w:hAnsiTheme="majorEastAsia" w:eastAsiaTheme="majorEastAsia" w:cstheme="majorEastAsia"/>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eastAsia" w:asciiTheme="majorEastAsia" w:hAnsiTheme="majorEastAsia" w:eastAsiaTheme="majorEastAsia" w:cstheme="majorEastAsia"/>
                <w:b/>
                <w:color w:val="000000"/>
                <w:sz w:val="18"/>
                <w:szCs w:val="18"/>
              </w:rPr>
            </w:pPr>
            <w:r>
              <w:rPr>
                <w:rFonts w:hint="eastAsia" w:asciiTheme="majorEastAsia" w:hAnsiTheme="majorEastAsia" w:eastAsiaTheme="majorEastAsia" w:cstheme="majorEastAsia"/>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eastAsia" w:asciiTheme="majorEastAsia" w:hAnsiTheme="majorEastAsia" w:eastAsiaTheme="majorEastAsia" w:cstheme="majorEastAsia"/>
                <w:b/>
                <w:color w:val="000000"/>
                <w:sz w:val="18"/>
                <w:szCs w:val="18"/>
              </w:rPr>
            </w:pPr>
            <w:r>
              <w:rPr>
                <w:rFonts w:hint="eastAsia" w:asciiTheme="majorEastAsia" w:hAnsiTheme="majorEastAsia" w:eastAsiaTheme="majorEastAsia" w:cstheme="majorEastAsia"/>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eastAsia" w:asciiTheme="majorEastAsia" w:hAnsiTheme="majorEastAsia" w:eastAsiaTheme="majorEastAsia" w:cstheme="majorEastAsia"/>
                <w:b/>
                <w:color w:val="000000"/>
                <w:sz w:val="18"/>
                <w:szCs w:val="18"/>
              </w:rPr>
            </w:pPr>
            <w:r>
              <w:rPr>
                <w:rFonts w:hint="eastAsia" w:asciiTheme="majorEastAsia" w:hAnsiTheme="majorEastAsia" w:eastAsiaTheme="majorEastAsia" w:cstheme="majorEastAsia"/>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eastAsia" w:asciiTheme="majorEastAsia" w:hAnsiTheme="majorEastAsia" w:eastAsiaTheme="majorEastAsia" w:cstheme="majorEastAsia"/>
                <w:b/>
                <w:color w:val="000000"/>
                <w:sz w:val="18"/>
                <w:szCs w:val="18"/>
              </w:rPr>
            </w:pPr>
            <w:r>
              <w:rPr>
                <w:rFonts w:hint="eastAsia" w:asciiTheme="majorEastAsia" w:hAnsiTheme="majorEastAsia" w:eastAsiaTheme="majorEastAsia" w:cstheme="majorEastAsia"/>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eastAsia" w:asciiTheme="majorEastAsia" w:hAnsiTheme="majorEastAsia" w:eastAsiaTheme="majorEastAsia" w:cstheme="majorEastAsia"/>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eastAsia" w:asciiTheme="majorEastAsia" w:hAnsiTheme="majorEastAsia" w:eastAsiaTheme="majorEastAsia" w:cstheme="majorEastAsia"/>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eastAsia" w:asciiTheme="majorEastAsia" w:hAnsiTheme="majorEastAsia" w:eastAsiaTheme="majorEastAsia" w:cstheme="majorEastAsia"/>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eastAsia" w:asciiTheme="majorEastAsia" w:hAnsiTheme="majorEastAsia" w:eastAsiaTheme="majorEastAsia" w:cstheme="majorEastAsia"/>
                <w:b/>
                <w:color w:val="000000"/>
                <w:sz w:val="18"/>
                <w:szCs w:val="18"/>
              </w:rPr>
            </w:pPr>
          </w:p>
        </w:tc>
        <w:tc>
          <w:tcPr>
            <w:tcW w:w="66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eastAsia" w:asciiTheme="majorEastAsia" w:hAnsiTheme="majorEastAsia" w:eastAsiaTheme="majorEastAsia" w:cstheme="majorEastAsia"/>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eastAsia" w:asciiTheme="majorEastAsia" w:hAnsiTheme="majorEastAsia" w:eastAsiaTheme="majorEastAsia" w:cstheme="majorEastAsia"/>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eastAsia" w:asciiTheme="majorEastAsia" w:hAnsiTheme="majorEastAsia" w:eastAsiaTheme="majorEastAsia" w:cstheme="majorEastAsia"/>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eastAsia" w:asciiTheme="majorEastAsia" w:hAnsiTheme="majorEastAsia" w:eastAsiaTheme="majorEastAsia" w:cstheme="majorEastAsia"/>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eastAsia" w:asciiTheme="majorEastAsia" w:hAnsiTheme="majorEastAsia" w:eastAsiaTheme="majorEastAsia" w:cstheme="majorEastAsia"/>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313.43</w:t>
            </w: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sz w:val="18"/>
                <w:szCs w:val="18"/>
              </w:rPr>
              <w:t>302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37.03</w:t>
            </w: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68.19</w:t>
            </w: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30201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11.33</w:t>
            </w: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122.91</w:t>
            </w: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30202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27.70</w:t>
            </w: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30203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30204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30205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31.18</w:t>
            </w: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30206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6.73</w:t>
            </w: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15.59</w:t>
            </w: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30207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16.56</w:t>
            </w: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30208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30209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5.07</w:t>
            </w:r>
            <w:r>
              <w:rPr>
                <w:rFonts w:hint="eastAsia" w:asciiTheme="majorEastAsia" w:hAnsiTheme="majorEastAsia" w:eastAsiaTheme="majorEastAsia" w:cstheme="majorEastAsia"/>
                <w:color w:val="000000"/>
                <w:sz w:val="22"/>
                <w:szCs w:val="22"/>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30211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26.23</w:t>
            </w:r>
            <w:r>
              <w:rPr>
                <w:rFonts w:hint="eastAsia" w:asciiTheme="majorEastAsia" w:hAnsiTheme="majorEastAsia" w:eastAsiaTheme="majorEastAsia" w:cstheme="majorEastAsia"/>
                <w:color w:val="000000"/>
                <w:sz w:val="22"/>
                <w:szCs w:val="22"/>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30212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30213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30214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b/>
                <w:bCs/>
                <w:color w:val="000000"/>
                <w:sz w:val="20"/>
                <w:szCs w:val="20"/>
              </w:rPr>
            </w:pPr>
            <w:r>
              <w:rPr>
                <w:rFonts w:hint="eastAsia" w:asciiTheme="majorEastAsia" w:hAnsiTheme="majorEastAsia" w:eastAsiaTheme="majorEastAsia" w:cstheme="majorEastAsia"/>
                <w:b/>
                <w:bCs/>
                <w:color w:val="000000"/>
                <w:sz w:val="20"/>
                <w:szCs w:val="20"/>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b/>
                <w:bCs/>
                <w:color w:val="000000"/>
                <w:sz w:val="20"/>
                <w:szCs w:val="20"/>
              </w:rPr>
            </w:pPr>
            <w:r>
              <w:rPr>
                <w:rFonts w:hint="eastAsia" w:asciiTheme="majorEastAsia" w:hAnsiTheme="majorEastAsia" w:eastAsiaTheme="majorEastAsia" w:cstheme="majorEastAsia"/>
                <w:b/>
                <w:bCs/>
                <w:color w:val="000000"/>
                <w:sz w:val="20"/>
                <w:szCs w:val="20"/>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38.45</w:t>
            </w: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30215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30216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30217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30218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b/>
                <w:bCs/>
                <w:color w:val="000000"/>
                <w:sz w:val="20"/>
                <w:szCs w:val="20"/>
              </w:rPr>
            </w:pPr>
            <w:r>
              <w:rPr>
                <w:rFonts w:hint="eastAsia" w:asciiTheme="majorEastAsia" w:hAnsiTheme="majorEastAsia" w:eastAsiaTheme="majorEastAsia" w:cstheme="majorEastAsia"/>
                <w:b/>
                <w:bCs/>
                <w:color w:val="000000"/>
                <w:sz w:val="20"/>
                <w:szCs w:val="20"/>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b/>
                <w:bCs/>
                <w:color w:val="000000"/>
                <w:sz w:val="20"/>
                <w:szCs w:val="20"/>
              </w:rPr>
            </w:pPr>
            <w:r>
              <w:rPr>
                <w:rFonts w:hint="eastAsia" w:asciiTheme="majorEastAsia" w:hAnsiTheme="majorEastAsia" w:eastAsiaTheme="majorEastAsia" w:cstheme="majorEastAsia"/>
                <w:b/>
                <w:bCs/>
                <w:color w:val="000000"/>
                <w:sz w:val="20"/>
                <w:szCs w:val="20"/>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30224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37.65</w:t>
            </w: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30225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30226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0.80</w:t>
            </w: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30227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30228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2.60</w:t>
            </w: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200" w:firstLineChars="100"/>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30229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1.33</w:t>
            </w: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30231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5.00</w:t>
            </w:r>
            <w:r>
              <w:rPr>
                <w:rFonts w:hint="eastAsia" w:asciiTheme="majorEastAsia" w:hAnsiTheme="majorEastAsia" w:eastAsiaTheme="majorEastAsia" w:cstheme="majorEastAsia"/>
                <w:color w:val="000000"/>
                <w:sz w:val="20"/>
                <w:szCs w:val="20"/>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b/>
                <w:bCs/>
                <w:color w:val="000000"/>
                <w:sz w:val="20"/>
                <w:szCs w:val="20"/>
              </w:rPr>
            </w:pPr>
            <w:r>
              <w:rPr>
                <w:rFonts w:hint="eastAsia" w:asciiTheme="majorEastAsia" w:hAnsiTheme="majorEastAsia" w:eastAsiaTheme="majorEastAsia" w:cstheme="majorEastAsia"/>
                <w:b/>
                <w:bCs/>
                <w:color w:val="000000"/>
                <w:sz w:val="20"/>
                <w:szCs w:val="20"/>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b/>
                <w:bCs/>
                <w:color w:val="000000"/>
                <w:sz w:val="20"/>
                <w:szCs w:val="20"/>
              </w:rPr>
            </w:pPr>
            <w:r>
              <w:rPr>
                <w:rFonts w:hint="eastAsia" w:asciiTheme="majorEastAsia" w:hAnsiTheme="majorEastAsia" w:eastAsiaTheme="majorEastAsia" w:cstheme="majorEastAsia"/>
                <w:b/>
                <w:bCs/>
                <w:color w:val="000000"/>
                <w:sz w:val="20"/>
                <w:szCs w:val="20"/>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30239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10.03</w:t>
            </w:r>
            <w:r>
              <w:rPr>
                <w:rFonts w:hint="eastAsia" w:asciiTheme="majorEastAsia" w:hAnsiTheme="majorEastAsia" w:eastAsiaTheme="majorEastAsia" w:cstheme="majorEastAsia"/>
                <w:color w:val="000000"/>
                <w:sz w:val="22"/>
                <w:szCs w:val="22"/>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30240</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22"/>
                <w:szCs w:val="22"/>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30299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22"/>
                <w:szCs w:val="22"/>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sz w:val="18"/>
                <w:szCs w:val="18"/>
              </w:rPr>
              <w:t>307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22"/>
                <w:szCs w:val="22"/>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30701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22"/>
                <w:szCs w:val="22"/>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30702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eastAsia" w:asciiTheme="majorEastAsia" w:hAnsiTheme="majorEastAsia" w:eastAsiaTheme="majorEastAsia" w:cstheme="majorEastAsia"/>
                <w:color w:val="000000"/>
                <w:sz w:val="22"/>
                <w:szCs w:val="22"/>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22"/>
                <w:szCs w:val="22"/>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30703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eastAsia" w:asciiTheme="majorEastAsia" w:hAnsiTheme="majorEastAsia" w:eastAsiaTheme="majorEastAsia" w:cstheme="majorEastAsia"/>
                <w:color w:val="000000"/>
                <w:sz w:val="22"/>
                <w:szCs w:val="22"/>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22"/>
                <w:szCs w:val="22"/>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30704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eastAsia" w:asciiTheme="majorEastAsia" w:hAnsiTheme="majorEastAsia" w:eastAsiaTheme="majorEastAsia" w:cstheme="majorEastAsia"/>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eastAsia" w:asciiTheme="majorEastAsia" w:hAnsiTheme="majorEastAsia" w:eastAsiaTheme="majorEastAsia" w:cstheme="majorEastAsia"/>
                <w:color w:val="000000"/>
                <w:sz w:val="22"/>
                <w:szCs w:val="22"/>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eastAsia" w:asciiTheme="majorEastAsia" w:hAnsiTheme="majorEastAsia" w:eastAsiaTheme="majorEastAsia" w:cstheme="majorEastAsia"/>
                <w:b/>
                <w:color w:val="000000"/>
                <w:sz w:val="18"/>
                <w:szCs w:val="18"/>
              </w:rPr>
            </w:pPr>
            <w:r>
              <w:rPr>
                <w:rFonts w:hint="eastAsia" w:asciiTheme="majorEastAsia" w:hAnsiTheme="majorEastAsia" w:eastAsiaTheme="majorEastAsia" w:cstheme="majorEastAsia"/>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351.88</w:t>
            </w:r>
            <w:r>
              <w:rPr>
                <w:rFonts w:hint="eastAsia" w:asciiTheme="majorEastAsia" w:hAnsiTheme="majorEastAsia" w:eastAsiaTheme="majorEastAsia" w:cstheme="majorEastAsia"/>
                <w:color w:val="000000"/>
                <w:sz w:val="18"/>
                <w:szCs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eastAsia" w:asciiTheme="majorEastAsia" w:hAnsiTheme="majorEastAsia" w:eastAsiaTheme="majorEastAsia" w:cstheme="majorEastAsia"/>
                <w:b/>
                <w:color w:val="000000"/>
                <w:sz w:val="18"/>
                <w:szCs w:val="18"/>
              </w:rPr>
            </w:pPr>
            <w:r>
              <w:rPr>
                <w:rFonts w:hint="eastAsia" w:asciiTheme="majorEastAsia" w:hAnsiTheme="majorEastAsia" w:eastAsiaTheme="majorEastAsia" w:cstheme="majorEastAsia"/>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37.03</w:t>
            </w:r>
            <w:r>
              <w:rPr>
                <w:rFonts w:hint="eastAsia" w:asciiTheme="majorEastAsia" w:hAnsiTheme="majorEastAsia" w:eastAsiaTheme="majorEastAsia" w:cstheme="majorEastAsia"/>
                <w:color w:val="000000"/>
                <w:sz w:val="22"/>
                <w:szCs w:val="22"/>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备注：1.本表反映单位本年度一般公共预算财政拨款基本支出明细情况。</w:t>
      </w:r>
      <w:r>
        <w:rPr>
          <w:rFonts w:hint="eastAsia" w:asciiTheme="majorEastAsia" w:hAnsiTheme="majorEastAsia" w:eastAsiaTheme="majorEastAsia" w:cstheme="majorEastAsia"/>
          <w:sz w:val="22"/>
          <w:szCs w:val="22"/>
        </w:rPr>
        <w:br w:type="textWrapping"/>
      </w:r>
      <w:r>
        <w:rPr>
          <w:rFonts w:hint="eastAsia" w:asciiTheme="majorEastAsia" w:hAnsiTheme="majorEastAsia" w:eastAsiaTheme="majorEastAsia" w:cstheme="majorEastAsia"/>
          <w:sz w:val="22"/>
          <w:szCs w:val="22"/>
        </w:rPr>
        <w:t xml:space="preserve">      2.本套报表金额单位转换时可能存在尾数误差。</w:t>
      </w:r>
      <w:r>
        <w:rPr>
          <w:rFonts w:hint="eastAsia" w:asciiTheme="majorEastAsia" w:hAnsiTheme="majorEastAsia" w:eastAsiaTheme="majorEastAsia" w:cstheme="majorEastAsia"/>
          <w:sz w:val="22"/>
          <w:szCs w:val="22"/>
        </w:rPr>
        <w:br w:type="textWrapping"/>
      </w:r>
      <w:r>
        <w:rPr>
          <w:rFonts w:hint="eastAsia" w:asciiTheme="majorEastAsia" w:hAnsiTheme="majorEastAsia" w:eastAsiaTheme="majorEastAsia" w:cstheme="majorEastAsia"/>
          <w:sz w:val="22"/>
          <w:szCs w:val="22"/>
        </w:rPr>
        <w:br w:type="textWrapping"/>
      </w:r>
      <w:r>
        <w:rPr>
          <w:rFonts w:hint="eastAsia" w:asciiTheme="majorEastAsia" w:hAnsiTheme="majorEastAsia" w:eastAsiaTheme="majorEastAsia" w:cstheme="majorEastAsia"/>
          <w:sz w:val="22"/>
          <w:szCs w:val="22"/>
        </w:rPr>
        <w:br w:type="page"/>
      </w:r>
    </w:p>
    <w:tbl>
      <w:tblPr>
        <w:tblStyle w:val="12"/>
        <w:tblW w:w="5000" w:type="pct"/>
        <w:tblInd w:w="0" w:type="dxa"/>
        <w:tblLayout w:type="fixed"/>
        <w:tblCellMar>
          <w:top w:w="0" w:type="dxa"/>
          <w:left w:w="0" w:type="dxa"/>
          <w:bottom w:w="0" w:type="dxa"/>
          <w:right w:w="0" w:type="dxa"/>
        </w:tblCellMar>
      </w:tblPr>
      <w:tblGrid>
        <w:gridCol w:w="760"/>
        <w:gridCol w:w="2069"/>
        <w:gridCol w:w="979"/>
        <w:gridCol w:w="979"/>
        <w:gridCol w:w="979"/>
        <w:gridCol w:w="979"/>
        <w:gridCol w:w="1016"/>
        <w:gridCol w:w="105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sz w:val="22"/>
                <w:szCs w:val="22"/>
              </w:rPr>
              <w:t>单位</w:t>
            </w:r>
            <w:r>
              <w:rPr>
                <w:rFonts w:hint="eastAsia" w:asciiTheme="majorEastAsia" w:hAnsiTheme="majorEastAsia" w:eastAsiaTheme="majorEastAsia" w:cstheme="majorEastAsia"/>
                <w:color w:val="000000"/>
                <w:sz w:val="22"/>
                <w:szCs w:val="22"/>
              </w:rPr>
              <w:t>：</w:t>
            </w:r>
            <w:r>
              <w:rPr>
                <w:rFonts w:hint="eastAsia" w:asciiTheme="majorEastAsia" w:hAnsiTheme="majorEastAsia" w:eastAsiaTheme="majorEastAsia" w:cstheme="majorEastAsia"/>
                <w:color w:val="000000"/>
                <w:sz w:val="22"/>
                <w:szCs w:val="22"/>
                <w:u w:color="auto"/>
              </w:rPr>
              <w:t>城口县高楠镇人民政府（本级）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单位：</w:t>
            </w:r>
            <w:r>
              <w:rPr>
                <w:rFonts w:hint="eastAsia" w:asciiTheme="majorEastAsia" w:hAnsiTheme="majorEastAsia" w:eastAsiaTheme="majorEastAsia" w:cstheme="majorEastAsia"/>
                <w:sz w:val="22"/>
                <w:szCs w:val="22"/>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bCs/>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bCs/>
                <w:color w:val="000000"/>
                <w:sz w:val="22"/>
                <w:szCs w:val="22"/>
              </w:rPr>
              <w:t>118.08</w:t>
            </w:r>
            <w:r>
              <w:rPr>
                <w:rFonts w:hint="eastAsia" w:asciiTheme="majorEastAsia" w:hAnsiTheme="majorEastAsia" w:eastAsiaTheme="majorEastAsia" w:cstheme="majorEastAsia"/>
                <w:b/>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bCs/>
                <w:color w:val="000000"/>
                <w:sz w:val="22"/>
                <w:szCs w:val="22"/>
              </w:rPr>
              <w:t>118.08</w:t>
            </w:r>
            <w:r>
              <w:rPr>
                <w:rFonts w:hint="eastAsia" w:asciiTheme="majorEastAsia" w:hAnsiTheme="majorEastAsia" w:eastAsiaTheme="majorEastAsia" w:cstheme="majorEastAsia"/>
                <w:b/>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bCs/>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bCs/>
                <w:color w:val="000000"/>
                <w:sz w:val="22"/>
                <w:szCs w:val="22"/>
              </w:rPr>
              <w:t>118.08</w:t>
            </w:r>
            <w:r>
              <w:rPr>
                <w:rFonts w:hint="eastAsia" w:asciiTheme="majorEastAsia" w:hAnsiTheme="majorEastAsia" w:eastAsiaTheme="majorEastAsia" w:cstheme="majorEastAsia"/>
                <w:b/>
                <w:color w:val="000000"/>
                <w:sz w:val="22"/>
                <w:szCs w:val="22"/>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bCs/>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118.08</w:t>
            </w:r>
            <w:r>
              <w:rPr>
                <w:rFonts w:hint="eastAsia" w:asciiTheme="majorEastAsia" w:hAnsiTheme="majorEastAsia" w:eastAsiaTheme="majorEastAsia" w:cstheme="majorEastAsia"/>
                <w:b/>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118.08</w:t>
            </w:r>
            <w:r>
              <w:rPr>
                <w:rFonts w:hint="eastAsia" w:asciiTheme="majorEastAsia" w:hAnsiTheme="majorEastAsia" w:eastAsiaTheme="majorEastAsia" w:cstheme="majorEastAsia"/>
                <w:b/>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118.08</w:t>
            </w:r>
            <w:r>
              <w:rPr>
                <w:rFonts w:hint="eastAsia" w:asciiTheme="majorEastAsia" w:hAnsiTheme="majorEastAsia" w:eastAsiaTheme="majorEastAsia" w:cstheme="majorEastAsia"/>
                <w:b/>
                <w:color w:val="000000"/>
                <w:sz w:val="22"/>
                <w:szCs w:val="22"/>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12.78</w:t>
            </w:r>
            <w:r>
              <w:rPr>
                <w:rFonts w:hint="eastAsia" w:asciiTheme="majorEastAsia" w:hAnsiTheme="majorEastAsia" w:eastAsiaTheme="majorEastAsia" w:cstheme="majorEastAsia"/>
                <w:b/>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12.78</w:t>
            </w:r>
            <w:r>
              <w:rPr>
                <w:rFonts w:hint="eastAsia" w:asciiTheme="majorEastAsia" w:hAnsiTheme="majorEastAsia" w:eastAsiaTheme="majorEastAsia" w:cstheme="majorEastAsia"/>
                <w:b/>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12.78</w:t>
            </w:r>
            <w:r>
              <w:rPr>
                <w:rFonts w:hint="eastAsia" w:asciiTheme="majorEastAsia" w:hAnsiTheme="majorEastAsia" w:eastAsiaTheme="majorEastAsia" w:cstheme="majorEastAsia"/>
                <w:b/>
                <w:color w:val="000000"/>
                <w:sz w:val="22"/>
                <w:szCs w:val="22"/>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12.78</w:t>
            </w:r>
            <w:r>
              <w:rPr>
                <w:rFonts w:hint="eastAsia" w:asciiTheme="majorEastAsia" w:hAnsiTheme="majorEastAsia" w:eastAsiaTheme="majorEastAsia" w:cstheme="majorEastAsia"/>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12.78</w:t>
            </w:r>
            <w:r>
              <w:rPr>
                <w:rFonts w:hint="eastAsia" w:asciiTheme="majorEastAsia" w:hAnsiTheme="majorEastAsia" w:eastAsiaTheme="majorEastAsia" w:cstheme="majorEastAsia"/>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12.78</w:t>
            </w:r>
            <w:r>
              <w:rPr>
                <w:rFonts w:hint="eastAsia" w:asciiTheme="majorEastAsia" w:hAnsiTheme="majorEastAsia" w:eastAsiaTheme="majorEastAsia" w:cstheme="majorEastAsia"/>
                <w:color w:val="000000"/>
                <w:sz w:val="22"/>
                <w:szCs w:val="22"/>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21213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b/>
                <w:color w:val="000000"/>
                <w:sz w:val="22"/>
                <w:szCs w:val="22"/>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105.30</w:t>
            </w:r>
            <w:r>
              <w:rPr>
                <w:rFonts w:hint="eastAsia" w:asciiTheme="majorEastAsia" w:hAnsiTheme="majorEastAsia" w:eastAsiaTheme="majorEastAsia" w:cstheme="majorEastAsia"/>
                <w:b/>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105.30</w:t>
            </w:r>
            <w:r>
              <w:rPr>
                <w:rFonts w:hint="eastAsia" w:asciiTheme="majorEastAsia" w:hAnsiTheme="majorEastAsia" w:eastAsiaTheme="majorEastAsia" w:cstheme="majorEastAsia"/>
                <w:b/>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105.30</w:t>
            </w:r>
            <w:r>
              <w:rPr>
                <w:rFonts w:hint="eastAsia" w:asciiTheme="majorEastAsia" w:hAnsiTheme="majorEastAsia" w:eastAsiaTheme="majorEastAsia" w:cstheme="majorEastAsia"/>
                <w:b/>
                <w:color w:val="000000"/>
                <w:sz w:val="22"/>
                <w:szCs w:val="22"/>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2121399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105.30</w:t>
            </w:r>
            <w:r>
              <w:rPr>
                <w:rFonts w:hint="eastAsia" w:asciiTheme="majorEastAsia" w:hAnsiTheme="majorEastAsia" w:eastAsiaTheme="majorEastAsia" w:cstheme="majorEastAsia"/>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105.30</w:t>
            </w:r>
            <w:r>
              <w:rPr>
                <w:rFonts w:hint="eastAsia" w:asciiTheme="majorEastAsia" w:hAnsiTheme="majorEastAsia" w:eastAsiaTheme="majorEastAsia" w:cstheme="majorEastAsia"/>
                <w:color w:val="000000"/>
                <w:sz w:val="22"/>
                <w:szCs w:val="22"/>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105.30</w:t>
            </w:r>
            <w:r>
              <w:rPr>
                <w:rFonts w:hint="eastAsia" w:asciiTheme="majorEastAsia" w:hAnsiTheme="majorEastAsia" w:eastAsiaTheme="majorEastAsia" w:cstheme="majorEastAsia"/>
                <w:color w:val="000000"/>
                <w:sz w:val="22"/>
                <w:szCs w:val="22"/>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0.00</w:t>
            </w:r>
            <w:r>
              <w:rPr>
                <w:rFonts w:hint="eastAsia" w:asciiTheme="majorEastAsia" w:hAnsiTheme="majorEastAsia" w:eastAsiaTheme="majorEastAsia" w:cstheme="majorEastAsia"/>
                <w:color w:val="000000"/>
                <w:sz w:val="22"/>
                <w:szCs w:val="22"/>
                <w:u w:color="auto"/>
              </w:rPr>
              <w:t xml:space="preserve"> </w:t>
            </w:r>
          </w:p>
        </w:tc>
      </w:tr>
    </w:tbl>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备注：1.本表反映单位本年度政府性基金预算财政拨款收入支出及结转和结余情况。</w:t>
      </w:r>
      <w:r>
        <w:rPr>
          <w:rFonts w:hint="eastAsia" w:asciiTheme="majorEastAsia" w:hAnsiTheme="majorEastAsia" w:eastAsiaTheme="majorEastAsia" w:cstheme="majorEastAsia"/>
          <w:sz w:val="22"/>
          <w:szCs w:val="22"/>
        </w:rPr>
        <w:br w:type="textWrapping"/>
      </w:r>
      <w:r>
        <w:rPr>
          <w:rFonts w:hint="eastAsia" w:asciiTheme="majorEastAsia" w:hAnsiTheme="majorEastAsia" w:eastAsiaTheme="majorEastAsia" w:cstheme="majorEastAsia"/>
          <w:sz w:val="22"/>
          <w:szCs w:val="22"/>
        </w:rPr>
        <w:t xml:space="preserve">      2.本套报表金额单位转换时可能存在尾数误差。</w:t>
      </w:r>
      <w:r>
        <w:rPr>
          <w:rFonts w:hint="eastAsia" w:asciiTheme="majorEastAsia" w:hAnsiTheme="majorEastAsia" w:eastAsiaTheme="majorEastAsia" w:cstheme="majorEastAsia"/>
          <w:sz w:val="22"/>
          <w:szCs w:val="22"/>
        </w:rPr>
        <w:br w:type="textWrapping"/>
      </w:r>
      <w:r>
        <w:rPr>
          <w:rFonts w:hint="eastAsia" w:asciiTheme="majorEastAsia" w:hAnsiTheme="majorEastAsia" w:eastAsiaTheme="majorEastAsia" w:cstheme="majorEastAsia"/>
          <w:sz w:val="22"/>
          <w:szCs w:val="22"/>
        </w:rPr>
        <w:br w:type="textWrapping"/>
      </w:r>
    </w:p>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br w:type="page"/>
      </w:r>
    </w:p>
    <w:tbl>
      <w:tblPr>
        <w:tblStyle w:val="12"/>
        <w:tblW w:w="5000" w:type="pct"/>
        <w:tblInd w:w="0" w:type="dxa"/>
        <w:tblLayout w:type="fixed"/>
        <w:tblCellMar>
          <w:top w:w="0" w:type="dxa"/>
          <w:left w:w="0" w:type="dxa"/>
          <w:bottom w:w="0" w:type="dxa"/>
          <w:right w:w="0" w:type="dxa"/>
        </w:tblCellMar>
      </w:tblPr>
      <w:tblGrid>
        <w:gridCol w:w="744"/>
        <w:gridCol w:w="2081"/>
        <w:gridCol w:w="1884"/>
        <w:gridCol w:w="109"/>
        <w:gridCol w:w="1994"/>
        <w:gridCol w:w="49"/>
        <w:gridCol w:w="1957"/>
      </w:tblGrid>
      <w:tr>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sz w:val="22"/>
                <w:szCs w:val="22"/>
              </w:rPr>
              <w:t>单位</w:t>
            </w:r>
            <w:r>
              <w:rPr>
                <w:rFonts w:hint="eastAsia" w:asciiTheme="majorEastAsia" w:hAnsiTheme="majorEastAsia" w:eastAsiaTheme="majorEastAsia" w:cstheme="majorEastAsia"/>
                <w:color w:val="000000"/>
                <w:sz w:val="22"/>
                <w:szCs w:val="22"/>
              </w:rPr>
              <w:t>：</w:t>
            </w:r>
            <w:r>
              <w:rPr>
                <w:rFonts w:hint="eastAsia" w:asciiTheme="majorEastAsia" w:hAnsiTheme="majorEastAsia" w:eastAsiaTheme="majorEastAsia" w:cstheme="majorEastAsia"/>
                <w:color w:val="000000"/>
                <w:sz w:val="22"/>
                <w:szCs w:val="22"/>
                <w:u w:color="auto"/>
              </w:rPr>
              <w:t>城口县高楠镇人民政府（本级）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Theme="majorEastAsia" w:hAnsiTheme="majorEastAsia" w:eastAsiaTheme="majorEastAsia" w:cstheme="majorEastAsia"/>
                <w:color w:val="000000"/>
                <w:sz w:val="22"/>
                <w:szCs w:val="22"/>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单位：</w:t>
            </w:r>
            <w:r>
              <w:rPr>
                <w:rFonts w:hint="eastAsia" w:asciiTheme="majorEastAsia" w:hAnsiTheme="majorEastAsia" w:eastAsiaTheme="majorEastAsia" w:cstheme="majorEastAsia"/>
                <w:sz w:val="22"/>
                <w:szCs w:val="22"/>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color w:val="000000"/>
                <w:sz w:val="22"/>
                <w:szCs w:val="22"/>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color w:val="000000"/>
                <w:sz w:val="22"/>
                <w:szCs w:val="22"/>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bCs/>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ajorEastAsia" w:hAnsiTheme="majorEastAsia" w:eastAsiaTheme="majorEastAsia" w:cstheme="majorEastAsia"/>
                <w:b/>
                <w:color w:val="000000"/>
                <w:sz w:val="22"/>
                <w:szCs w:val="22"/>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b/>
                <w:bCs/>
                <w:color w:val="000000"/>
                <w:sz w:val="22"/>
                <w:szCs w:val="22"/>
              </w:rPr>
              <w:t>0.00</w:t>
            </w:r>
            <w:r>
              <w:rPr>
                <w:rFonts w:hint="eastAsia" w:asciiTheme="majorEastAsia" w:hAnsiTheme="majorEastAsia" w:eastAsiaTheme="majorEastAsia" w:cstheme="majorEastAsia"/>
                <w:b/>
                <w:color w:val="000000"/>
                <w:sz w:val="22"/>
                <w:szCs w:val="22"/>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Theme="majorEastAsia" w:hAnsiTheme="majorEastAsia" w:eastAsiaTheme="majorEastAsia" w:cstheme="majorEastAsia"/>
                <w:color w:val="000000"/>
                <w:sz w:val="22"/>
                <w:szCs w:val="22"/>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ajorEastAsia" w:hAnsiTheme="majorEastAsia" w:eastAsiaTheme="majorEastAsia" w:cstheme="majorEastAsia"/>
                <w:b/>
                <w:color w:val="000000"/>
                <w:sz w:val="22"/>
                <w:szCs w:val="22"/>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heme="majorEastAsia" w:hAnsiTheme="majorEastAsia" w:eastAsiaTheme="majorEastAsia" w:cstheme="majorEastAsia"/>
                <w:b/>
                <w:color w:val="000000"/>
                <w:sz w:val="22"/>
                <w:szCs w:val="22"/>
              </w:rPr>
            </w:pPr>
            <w:r>
              <w:rPr>
                <w:rFonts w:hint="eastAsia" w:asciiTheme="majorEastAsia" w:hAnsiTheme="majorEastAsia" w:eastAsiaTheme="majorEastAsia" w:cstheme="majorEastAsia"/>
                <w:color w:val="000000"/>
                <w:sz w:val="22"/>
                <w:szCs w:val="22"/>
              </w:rPr>
              <w:t xml:space="preserve">0.00 </w:t>
            </w:r>
          </w:p>
        </w:tc>
      </w:tr>
    </w:tbl>
    <w:p>
      <w:pPr>
        <w:rPr>
          <w:rFonts w:hint="default" w:cs="宋体"/>
          <w:sz w:val="32"/>
          <w:szCs w:val="32"/>
        </w:rPr>
      </w:pPr>
      <w:r>
        <w:rPr>
          <w:rFonts w:hint="eastAsia" w:asciiTheme="majorEastAsia" w:hAnsiTheme="majorEastAsia" w:eastAsiaTheme="majorEastAsia" w:cstheme="majorEastAsia"/>
          <w:sz w:val="22"/>
          <w:szCs w:val="22"/>
        </w:rPr>
        <w:t>备注：本表反映单位本年度国有资本经营预算财政拨款支出情况。本单位无国有资本经营收支，故本表无数据。</w:t>
      </w:r>
      <w:r>
        <w:rPr>
          <w:rFonts w:hint="eastAsia" w:asciiTheme="majorEastAsia" w:hAnsiTheme="majorEastAsia" w:eastAsiaTheme="majorEastAsia" w:cstheme="majorEastAsia"/>
          <w:sz w:val="22"/>
          <w:szCs w:val="22"/>
        </w:rPr>
        <w:br w:type="textWrapping"/>
      </w:r>
      <w:r>
        <w:rPr>
          <w:rFonts w:cs="宋体"/>
          <w:sz w:val="32"/>
          <w:szCs w:val="32"/>
        </w:rPr>
        <w:br w:type="textWrapping"/>
      </w:r>
    </w:p>
    <w:p>
      <w:pPr>
        <w:rPr>
          <w:rFonts w:hint="default" w:cs="宋体"/>
          <w:sz w:val="32"/>
          <w:szCs w:val="32"/>
        </w:rPr>
      </w:pPr>
      <w:r>
        <w:rPr>
          <w:rFonts w:hint="default" w:cs="宋体"/>
          <w:sz w:val="32"/>
          <w:szCs w:val="32"/>
        </w:rPr>
        <w:br w:type="page"/>
      </w:r>
    </w:p>
    <w:tbl>
      <w:tblPr>
        <w:tblStyle w:val="12"/>
        <w:tblW w:w="4611" w:type="pct"/>
        <w:tblInd w:w="0" w:type="dxa"/>
        <w:tblLayout w:type="fixed"/>
        <w:tblCellMar>
          <w:top w:w="0" w:type="dxa"/>
          <w:left w:w="170" w:type="dxa"/>
          <w:bottom w:w="0" w:type="dxa"/>
          <w:right w:w="170" w:type="dxa"/>
        </w:tblCellMar>
      </w:tblPr>
      <w:tblGrid>
        <w:gridCol w:w="1829"/>
        <w:gridCol w:w="1391"/>
        <w:gridCol w:w="1367"/>
        <w:gridCol w:w="2115"/>
        <w:gridCol w:w="1431"/>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22"/>
                <w:szCs w:val="22"/>
              </w:rPr>
            </w:pPr>
            <w:r>
              <w:rPr>
                <w:rFonts w:cs="宋体"/>
                <w:b/>
                <w:color w:val="000000"/>
                <w:kern w:val="2"/>
                <w:sz w:val="22"/>
                <w:szCs w:val="2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2"/>
                <w:szCs w:val="22"/>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2"/>
                <w:szCs w:val="22"/>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2"/>
                <w:szCs w:val="22"/>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2"/>
                <w:szCs w:val="22"/>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2"/>
                <w:szCs w:val="22"/>
              </w:rPr>
            </w:pPr>
            <w:r>
              <w:rPr>
                <w:rFonts w:cs="宋体"/>
                <w:color w:val="000000"/>
                <w:kern w:val="2"/>
                <w:sz w:val="22"/>
                <w:szCs w:val="22"/>
              </w:rPr>
              <w:t>公开</w:t>
            </w:r>
            <w:r>
              <w:rPr>
                <w:rFonts w:hint="default" w:ascii="Times New Roman" w:hAnsi="Times New Roman"/>
                <w:color w:val="000000"/>
                <w:kern w:val="2"/>
                <w:sz w:val="22"/>
                <w:szCs w:val="22"/>
              </w:rPr>
              <w:t>09</w:t>
            </w:r>
            <w:r>
              <w:rPr>
                <w:rFonts w:cs="宋体"/>
                <w:color w:val="000000"/>
                <w:kern w:val="2"/>
                <w:sz w:val="22"/>
                <w:szCs w:val="22"/>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2"/>
                <w:szCs w:val="22"/>
              </w:rPr>
            </w:pPr>
            <w:r>
              <w:rPr>
                <w:rFonts w:hint="eastAsia" w:cs="宋体"/>
                <w:kern w:val="2"/>
                <w:sz w:val="22"/>
                <w:szCs w:val="22"/>
                <w:lang w:eastAsia="zh-CN"/>
              </w:rPr>
              <w:t>单位</w:t>
            </w:r>
            <w:r>
              <w:rPr>
                <w:rFonts w:cs="宋体"/>
                <w:color w:val="000000"/>
                <w:kern w:val="2"/>
                <w:sz w:val="22"/>
                <w:szCs w:val="22"/>
              </w:rPr>
              <w:t>：</w:t>
            </w:r>
            <w:r>
              <w:rPr>
                <w:color w:val="000000"/>
                <w:sz w:val="22"/>
                <w:szCs w:val="22"/>
                <w:u w:color="auto"/>
              </w:rPr>
              <w:t>城口县高楠镇人民政府（本级）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2"/>
                <w:szCs w:val="22"/>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2"/>
                <w:szCs w:val="22"/>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2"/>
                <w:szCs w:val="22"/>
              </w:rPr>
            </w:pPr>
            <w:r>
              <w:rPr>
                <w:rFonts w:cs="宋体"/>
                <w:color w:val="000000"/>
                <w:kern w:val="2"/>
                <w:sz w:val="22"/>
                <w:szCs w:val="22"/>
              </w:rPr>
              <w:t>单位：</w:t>
            </w:r>
            <w:r>
              <w:rPr>
                <w:rFonts w:cs="宋体"/>
                <w:kern w:val="2"/>
                <w:sz w:val="22"/>
                <w:szCs w:val="22"/>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22"/>
                <w:szCs w:val="22"/>
              </w:rPr>
            </w:pPr>
            <w:r>
              <w:rPr>
                <w:rFonts w:cs="宋体"/>
                <w:b/>
                <w:color w:val="000000"/>
                <w:kern w:val="2"/>
                <w:sz w:val="22"/>
                <w:szCs w:val="22"/>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22"/>
                <w:szCs w:val="22"/>
              </w:rPr>
            </w:pPr>
            <w:r>
              <w:rPr>
                <w:rFonts w:cs="宋体"/>
                <w:b/>
                <w:color w:val="000000"/>
                <w:kern w:val="2"/>
                <w:sz w:val="22"/>
                <w:szCs w:val="22"/>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22"/>
                <w:szCs w:val="22"/>
              </w:rPr>
            </w:pPr>
            <w:r>
              <w:rPr>
                <w:rFonts w:cs="宋体"/>
                <w:b/>
                <w:color w:val="000000"/>
                <w:kern w:val="2"/>
                <w:sz w:val="22"/>
                <w:szCs w:val="22"/>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22"/>
                <w:szCs w:val="22"/>
              </w:rPr>
            </w:pPr>
            <w:r>
              <w:rPr>
                <w:rFonts w:cs="宋体"/>
                <w:b/>
                <w:color w:val="000000"/>
                <w:kern w:val="2"/>
                <w:sz w:val="22"/>
                <w:szCs w:val="22"/>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22"/>
                <w:szCs w:val="22"/>
              </w:rPr>
            </w:pPr>
            <w:r>
              <w:rPr>
                <w:rFonts w:cs="宋体"/>
                <w:b/>
                <w:color w:val="000000"/>
                <w:kern w:val="2"/>
                <w:sz w:val="22"/>
                <w:szCs w:val="22"/>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22"/>
                <w:szCs w:val="22"/>
              </w:rPr>
            </w:pPr>
            <w:r>
              <w:rPr>
                <w:rFonts w:cs="宋体"/>
                <w:b/>
                <w:color w:val="000000"/>
                <w:kern w:val="2"/>
                <w:sz w:val="22"/>
                <w:szCs w:val="22"/>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22"/>
                <w:szCs w:val="22"/>
              </w:rPr>
            </w:pPr>
            <w:r>
              <w:rPr>
                <w:rFonts w:cs="宋体"/>
                <w:b/>
                <w:color w:val="000000"/>
                <w:kern w:val="2"/>
                <w:sz w:val="22"/>
                <w:szCs w:val="22"/>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37.03</w:t>
            </w: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hint="default" w:ascii="Times New Roman" w:hAnsi="Times New Roman"/>
                <w:color w:val="000000"/>
                <w:kern w:val="2"/>
                <w:sz w:val="22"/>
                <w:szCs w:val="22"/>
              </w:rPr>
              <w:t>5.00</w:t>
            </w:r>
            <w:r>
              <w:rPr>
                <w:rFonts w:ascii="Times New Roman" w:hAnsi="Times New Roman"/>
                <w:color w:val="000000"/>
                <w:sz w:val="22"/>
                <w:szCs w:val="22"/>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hint="default" w:ascii="Times New Roman" w:hAnsi="Times New Roman"/>
                <w:color w:val="000000"/>
                <w:kern w:val="2"/>
                <w:sz w:val="22"/>
                <w:szCs w:val="22"/>
              </w:rPr>
              <w:t>5.00</w:t>
            </w: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37.03</w:t>
            </w: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hint="default" w:ascii="Times New Roman" w:hAnsi="Times New Roman"/>
                <w:color w:val="000000"/>
                <w:kern w:val="2"/>
                <w:sz w:val="22"/>
                <w:szCs w:val="22"/>
              </w:rPr>
              <w:t>5.00</w:t>
            </w:r>
            <w:r>
              <w:rPr>
                <w:rFonts w:ascii="Times New Roman" w:hAnsi="Times New Roman"/>
                <w:color w:val="000000"/>
                <w:sz w:val="22"/>
                <w:szCs w:val="22"/>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hint="default" w:ascii="Times New Roman" w:hAnsi="Times New Roman"/>
                <w:color w:val="000000"/>
                <w:kern w:val="2"/>
                <w:sz w:val="22"/>
                <w:szCs w:val="22"/>
              </w:rPr>
              <w:t>5.00</w:t>
            </w: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3</w:t>
            </w: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hint="default" w:ascii="Times New Roman" w:hAnsi="Times New Roman"/>
                <w:color w:val="000000"/>
                <w:kern w:val="2"/>
                <w:sz w:val="22"/>
                <w:szCs w:val="22"/>
              </w:rPr>
              <w:t>5.00</w:t>
            </w:r>
            <w:r>
              <w:rPr>
                <w:rFonts w:ascii="Times New Roman" w:hAnsi="Times New Roman"/>
                <w:color w:val="000000"/>
                <w:sz w:val="22"/>
                <w:szCs w:val="22"/>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hint="default" w:ascii="Times New Roman" w:hAnsi="Times New Roman"/>
                <w:color w:val="000000"/>
                <w:kern w:val="2"/>
                <w:sz w:val="22"/>
                <w:szCs w:val="22"/>
              </w:rPr>
              <w:t>5.00</w:t>
            </w: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hint="default" w:ascii="Times New Roman" w:hAnsi="Times New Roman"/>
                <w:color w:val="000000"/>
                <w:kern w:val="2"/>
                <w:sz w:val="22"/>
                <w:szCs w:val="22"/>
              </w:rPr>
              <w:t>3</w:t>
            </w: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2.08</w:t>
            </w: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2.08</w:t>
            </w: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2.08</w:t>
            </w: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22"/>
                <w:szCs w:val="22"/>
              </w:rPr>
            </w:pPr>
            <w:r>
              <w:rPr>
                <w:rFonts w:cs="宋体"/>
                <w:b/>
                <w:bCs/>
                <w:color w:val="000000"/>
                <w:kern w:val="2"/>
                <w:sz w:val="22"/>
                <w:szCs w:val="22"/>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2.08</w:t>
            </w:r>
            <w:r>
              <w:rPr>
                <w:rFonts w:ascii="Times New Roman" w:hAnsi="Times New Roman"/>
                <w:color w:val="000000"/>
                <w:sz w:val="22"/>
                <w:szCs w:val="22"/>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22"/>
                <w:szCs w:val="22"/>
              </w:rPr>
            </w:pPr>
            <w:r>
              <w:rPr>
                <w:rFonts w:cs="宋体"/>
                <w:b/>
                <w:color w:val="000000"/>
                <w:kern w:val="2"/>
                <w:sz w:val="22"/>
                <w:szCs w:val="22"/>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22"/>
                <w:szCs w:val="22"/>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22"/>
                <w:szCs w:val="22"/>
              </w:rPr>
            </w:pPr>
          </w:p>
        </w:tc>
      </w:tr>
      <w:tr>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22"/>
                <w:szCs w:val="22"/>
              </w:rPr>
            </w:pPr>
            <w:r>
              <w:rPr>
                <w:rFonts w:cs="宋体"/>
                <w:b/>
                <w:color w:val="000000"/>
                <w:kern w:val="2"/>
                <w:sz w:val="22"/>
                <w:szCs w:val="22"/>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22"/>
                <w:szCs w:val="22"/>
              </w:rPr>
            </w:pPr>
            <w:r>
              <w:rPr>
                <w:rFonts w:hint="default" w:ascii="Times New Roman" w:hAnsi="Times New Roman"/>
                <w:color w:val="000000"/>
                <w:kern w:val="2"/>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22"/>
                <w:szCs w:val="22"/>
              </w:rPr>
            </w:pP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22"/>
                <w:szCs w:val="22"/>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22"/>
                <w:szCs w:val="22"/>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22"/>
                <w:szCs w:val="22"/>
              </w:rPr>
            </w:pPr>
            <w:r>
              <w:rPr>
                <w:rFonts w:cs="宋体"/>
                <w:b/>
                <w:bCs/>
                <w:color w:val="000000"/>
                <w:sz w:val="22"/>
                <w:szCs w:val="22"/>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0.50</w:t>
            </w:r>
            <w:r>
              <w:rPr>
                <w:rFonts w:ascii="Times New Roman" w:hAnsi="Times New Roman"/>
                <w:color w:val="000000"/>
                <w:sz w:val="22"/>
                <w:szCs w:val="22"/>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22"/>
                <w:szCs w:val="22"/>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22"/>
                <w:szCs w:val="22"/>
              </w:rPr>
            </w:pPr>
          </w:p>
        </w:tc>
      </w:tr>
    </w:tbl>
    <w:p>
      <w:pPr>
        <w:rPr>
          <w:rFonts w:hint="default"/>
          <w:sz w:val="32"/>
          <w:szCs w:val="32"/>
        </w:rPr>
      </w:pPr>
      <w:r>
        <w:rPr>
          <w:rFonts w:cs="宋体"/>
          <w:sz w:val="22"/>
          <w:szCs w:val="22"/>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2"/>
          <w:szCs w:val="22"/>
        </w:rPr>
        <w:br w:type="textWrapping"/>
      </w:r>
      <w:r>
        <w:rPr>
          <w:rFonts w:cs="宋体"/>
          <w:sz w:val="22"/>
          <w:szCs w:val="22"/>
        </w:rPr>
        <w:t xml:space="preserve">      2.本套报表金额单位转换时可能存在尾数误差。</w:t>
      </w:r>
      <w:r>
        <w:rPr>
          <w:rFonts w:cs="宋体"/>
          <w:sz w:val="22"/>
          <w:szCs w:val="22"/>
        </w:rPr>
        <w:br w:type="textWrapping"/>
      </w:r>
      <w:r>
        <w:rPr>
          <w:rFonts w:cs="宋体"/>
          <w:sz w:val="32"/>
          <w:szCs w:val="32"/>
        </w:rPr>
        <w:br w:type="textWrapping"/>
      </w:r>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ACA4E2"/>
    <w:multiLevelType w:val="singleLevel"/>
    <w:tmpl w:val="42ACA4E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1ODFiMzQwMzZiYWJiNWQ2NjZjMmNjOGZjMjEzZjA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1B6352"/>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580C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51570"/>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Times New Roman" w:eastAsia="宋体"/>
      <w:sz w:val="44"/>
      <w:szCs w:val="20"/>
    </w:rPr>
  </w:style>
  <w:style w:type="paragraph" w:styleId="3">
    <w:name w:val="toc 5"/>
    <w:basedOn w:val="1"/>
    <w:next w:val="1"/>
    <w:autoRedefine/>
    <w:qFormat/>
    <w:uiPriority w:val="99"/>
    <w:pPr>
      <w:spacing w:line="594" w:lineRule="exact"/>
      <w:jc w:val="left"/>
    </w:pPr>
    <w:rPr>
      <w:rFonts w:ascii="Times New Roman" w:hAnsi="Times New Roman" w:eastAsia="方正仿宋_GBK"/>
      <w:sz w:val="32"/>
      <w:szCs w:val="32"/>
    </w:rPr>
  </w:style>
  <w:style w:type="paragraph" w:styleId="4">
    <w:name w:val="Body Text Indent"/>
    <w:basedOn w:val="1"/>
    <w:next w:val="5"/>
    <w:autoRedefine/>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autoRedefine/>
    <w:unhideWhenUsed/>
    <w:qFormat/>
    <w:uiPriority w:val="99"/>
    <w:pPr>
      <w:ind w:firstLine="420" w:firstLineChars="200"/>
    </w:pPr>
  </w:style>
  <w:style w:type="paragraph" w:styleId="6">
    <w:name w:val="Balloon Text"/>
    <w:basedOn w:val="1"/>
    <w:link w:val="20"/>
    <w:autoRedefine/>
    <w:qFormat/>
    <w:uiPriority w:val="0"/>
    <w:rPr>
      <w:sz w:val="18"/>
      <w:szCs w:val="18"/>
    </w:rPr>
  </w:style>
  <w:style w:type="paragraph" w:styleId="7">
    <w:name w:val="footer"/>
    <w:basedOn w:val="1"/>
    <w:autoRedefine/>
    <w:qFormat/>
    <w:uiPriority w:val="0"/>
    <w:pPr>
      <w:tabs>
        <w:tab w:val="center" w:pos="4153"/>
        <w:tab w:val="right" w:pos="8306"/>
      </w:tabs>
      <w:snapToGrid w:val="0"/>
    </w:pPr>
    <w:rPr>
      <w:sz w:val="18"/>
      <w:szCs w:val="18"/>
    </w:rPr>
  </w:style>
  <w:style w:type="paragraph" w:styleId="8">
    <w:name w:val="header"/>
    <w:basedOn w:val="1"/>
    <w:autoRedefine/>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autoRedefine/>
    <w:unhideWhenUsed/>
    <w:qFormat/>
    <w:uiPriority w:val="0"/>
    <w:pPr>
      <w:spacing w:before="100" w:beforeAutospacing="1" w:after="100" w:afterAutospacing="1"/>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autoRedefine/>
    <w:qFormat/>
    <w:uiPriority w:val="0"/>
    <w:rPr>
      <w:b/>
    </w:rPr>
  </w:style>
  <w:style w:type="paragraph" w:customStyle="1" w:styleId="16">
    <w:name w:val="列出段落1"/>
    <w:basedOn w:val="1"/>
    <w:autoRedefine/>
    <w:qFormat/>
    <w:uiPriority w:val="99"/>
    <w:pPr>
      <w:ind w:firstLine="420" w:firstLineChars="200"/>
    </w:pPr>
    <w:rPr>
      <w:rFonts w:hint="default"/>
    </w:rPr>
  </w:style>
  <w:style w:type="paragraph" w:customStyle="1" w:styleId="17">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basedOn w:val="14"/>
    <w:autoRedefine/>
    <w:qFormat/>
    <w:uiPriority w:val="0"/>
    <w:rPr>
      <w:rFonts w:hint="default" w:ascii="Wingdings" w:hAnsi="Wingdings" w:cs="Wingdings"/>
      <w:b/>
      <w:bCs/>
    </w:rPr>
  </w:style>
  <w:style w:type="paragraph" w:customStyle="1" w:styleId="19">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Char"/>
    <w:basedOn w:val="14"/>
    <w:link w:val="6"/>
    <w:autoRedefine/>
    <w:qFormat/>
    <w:uiPriority w:val="0"/>
    <w:rPr>
      <w:rFonts w:ascii="宋体" w:hAnsi="宋体"/>
      <w:sz w:val="18"/>
      <w:szCs w:val="18"/>
    </w:rPr>
  </w:style>
  <w:style w:type="paragraph" w:customStyle="1" w:styleId="21">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4</TotalTime>
  <ScaleCrop>false</ScaleCrop>
  <LinksUpToDate>false</LinksUpToDate>
  <CharactersWithSpaces>26313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1+</cp:lastModifiedBy>
  <dcterms:modified xsi:type="dcterms:W3CDTF">2025-09-25T08:02:48Z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