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bookmarkStart w:id="0" w:name="_GoBack"/>
    </w:p>
    <w:p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</w:p>
    <w:p>
      <w:pPr>
        <w:spacing w:line="1780" w:lineRule="exact"/>
        <w:jc w:val="center"/>
        <w:rPr>
          <w:rFonts w:hint="default" w:ascii="Times New Roman" w:hAnsi="Times New Roman" w:eastAsia="方正小标宋_GBK" w:cs="Times New Roman"/>
          <w:sz w:val="120"/>
          <w:szCs w:val="32"/>
        </w:rPr>
      </w:pPr>
      <w:r>
        <w:rPr>
          <w:rFonts w:hint="default" w:ascii="Times New Roman" w:hAnsi="Times New Roman" w:eastAsia="方正小标宋_GBK" w:cs="Times New Roman"/>
          <w:b/>
          <w:color w:val="FF0000"/>
          <w:w w:val="55"/>
          <w:sz w:val="144"/>
          <w:szCs w:val="144"/>
        </w:rPr>
        <w:t>中共城口县高观镇委员会</w:t>
      </w:r>
    </w:p>
    <w:p>
      <w:pPr>
        <w:rPr>
          <w:rFonts w:hint="default" w:ascii="Times New Roman" w:hAnsi="Times New Roman" w:eastAsia="方正仿宋_GBK" w:cs="Times New Roman"/>
          <w:szCs w:val="32"/>
        </w:rPr>
      </w:pPr>
    </w:p>
    <w:p>
      <w:pPr>
        <w:pStyle w:val="8"/>
        <w:ind w:left="0" w:leftChars="0" w:firstLine="320" w:firstLineChars="100"/>
        <w:jc w:val="both"/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高观委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文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签发人：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庞雪飞</w:t>
      </w:r>
    </w:p>
    <w:p>
      <w:pPr>
        <w:spacing w:line="579" w:lineRule="exact"/>
        <w:jc w:val="center"/>
        <w:rPr>
          <w:rFonts w:hint="default" w:ascii="Times New Roman" w:hAnsi="Times New Roman" w:eastAsia="方正小标宋_GBK" w:cs="Times New Roman"/>
          <w:color w:val="FF0000"/>
          <w:sz w:val="52"/>
          <w:szCs w:val="5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3079115</wp:posOffset>
                </wp:positionH>
                <wp:positionV relativeFrom="paragraph">
                  <wp:posOffset>191135</wp:posOffset>
                </wp:positionV>
                <wp:extent cx="2520315" cy="0"/>
                <wp:effectExtent l="0" t="9525" r="13335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2.45pt;margin-top:15.05pt;height:0pt;width:198.45pt;z-index:251661312;mso-width-relative:page;mso-height-relative:page;" filled="f" stroked="t" coordsize="21600,21600" o:gfxdata="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BYAAABkcnMvUEsBAhQAFAAAAAgAh07iQB6bww3Y&#10;AAAACQEAAA8AAAAAAAAAAQAgAAAAOAAAAGRycy9kb3ducmV2LnhtbFBLAQIUABQAAAAIAIdO4kDN&#10;Rgvq0QEAAG4DAAAOAAAAAAAAAAEAIAAAAD0BAABkcnMvZTJvRG9jLnhtbFBLBQYAAAAABgAGAFkB&#10;AACA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192405</wp:posOffset>
                </wp:positionV>
                <wp:extent cx="2520315" cy="0"/>
                <wp:effectExtent l="0" t="9525" r="13335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15.15pt;height:0pt;width:198.45pt;z-index:251660288;mso-width-relative:page;mso-height-relative:page;" filled="f" stroked="t" coordsize="21600,21600" o:gfxdata="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DMlPju1QAA&#10;AAYBAAAPAAAAAAAAAAEAIAAAADgAAABkcnMvZG93bnJldi54bWxQSwECFAAUAAAACACHTuJAdJsW&#10;sdIBAABuAwAADgAAAAAAAAABACAAAAA6AQAAZHJzL2Uyb0RvYy54bWxQSwUGAAAAAAYABgBZAQAA&#10;fg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小标宋_GBK" w:cs="Times New Roman"/>
          <w:color w:val="FF0000"/>
          <w:sz w:val="52"/>
          <w:szCs w:val="52"/>
        </w:rPr>
        <w:t>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中共城口县高观镇委员会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44"/>
          <w:szCs w:val="44"/>
          <w:lang w:val="en-US" w:eastAsia="zh-CN"/>
        </w:rPr>
        <w:t>城口县高观镇人民政府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2025年法治政府建设情况报告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县委、县政府：</w:t>
      </w:r>
    </w:p>
    <w:p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2025年，高观镇始终坚持以习近平新时代中国特色社会主义思想为根本遵循，全面贯彻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党的二十大和二十届二中、三中全会精神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，深入践行习近平法治思想，认真落实市委六届历次全会和县委十四届历次全会部署要求，紧扣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法治赋能基层治理、法治护航高质量发展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主线，推动法治政府建设与镇域经济社会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展、基层治理实践深度融合，持续提升政府治理体系和治理能力现代化水平，为全镇各项事业稳步推进筑牢法治根基。现将本年度工作情况报告如下：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bidi="ar"/>
        </w:rPr>
        <w:t>一、</w:t>
      </w: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年推进法治政府建设的主要措施和成效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（一）深学笃行习近平法治思想，筑牢法治根基。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一是推动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思想学习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走深走实。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将习近平法治思想纳入全镇党员干部培训核心内容，融入各类专题学习、干部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思享汇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等载体，系统开展宪法、重点法律法规及重大政策培训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，推动理论学习入脑入心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二是提升领导干部法治素养。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严格落实党政主要负责人现场述法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领导干部应知应会党内法规、国家法律清单制度，组织开展党内法规集中培训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、警示教育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各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次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讲授专题纪律党课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次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深化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学法+考试+旁听庭审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长效机制，组织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全体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干部职工参加法治考试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旁听庭审，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参考率、合格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率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达100%，切实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提升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干部运用法治思维开展工作的能力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是构建全民普法工作格局。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创新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网格+法治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普法矩阵，以新时代文明实践站为依托，深入开展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法律六进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活动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场次，组织村干部、普法志愿者进村入户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宣讲民法典、土地承包法等重点法律法规1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次，发放宣传资料6000余份，覆盖群众5000人次，全面提升群众法治意识和素养。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（二）</w:t>
      </w:r>
      <w:r>
        <w:rPr>
          <w:rFonts w:hint="default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规范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科学民主</w:t>
      </w:r>
      <w:r>
        <w:rPr>
          <w:rFonts w:hint="default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决策，提升决策质效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一是严格执行“三重一大”决策制度。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结合乡镇工作实际，将乡村建设、集体资产处置、重大民生事项等纳入决策范畴，严格落实集体研究、民主决策流程，重大决策必须开展合法性审查和可行性论证，广泛征求意见。全年召开党委议事决策会议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次，集体研究重大事项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224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项，均按程序规范推进，确保决策科学合法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二是深化“群众说事、干部答题”机制。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highlight w:val="none"/>
        </w:rPr>
        <w:t>全年召开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院坝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highlight w:val="none"/>
        </w:rPr>
        <w:t>会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highlight w:val="none"/>
        </w:rPr>
        <w:t>次，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聚焦污水治理、道路改造等群众关切问题，广泛收集意见建议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119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条，采纳合理建议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75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条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highlight w:val="none"/>
          <w:lang w:eastAsia="zh-CN"/>
        </w:rPr>
        <w:t>三是建立健全行政决策执行、跟踪反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馈与后评估机制。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对农村饮水安全工程、人居环境整治等6项重大民生决策开展专项评估，邀请镇人大代表、村民代表参与“走村观摩”并提出改进建议。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</w:pPr>
      <w:r>
        <w:rPr>
          <w:rFonts w:hint="default" w:ascii="方正楷体_GBK" w:hAnsi="方正楷体_GBK" w:eastAsia="方正楷体_GBK" w:cs="方正楷体_GBK"/>
          <w:b w:val="0"/>
          <w:bCs w:val="0"/>
          <w:sz w:val="32"/>
          <w:szCs w:val="32"/>
          <w:lang w:eastAsia="zh-CN"/>
        </w:rPr>
        <w:t>（三）强化规范性文件监管，筑牢制度防线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eastAsia="zh-CN"/>
        </w:rPr>
        <w:t>一是健全全流程管理机制。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建立规范性文件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起草—审查—备案—清理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全流程管理机制，明确规范性文件起草需征求相关部门、村（社区）及群众意见，由镇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人大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进行合法性审查后报镇党委会议审议。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  <w:t>二是落实常态化清理报备。</w:t>
      </w:r>
      <w:r>
        <w:rPr>
          <w:rFonts w:hint="eastAsia" w:ascii="Times New Roman" w:hAnsi="Times New Roman" w:eastAsia="方正仿宋_GBK" w:cs="Times New Roman"/>
          <w:b w:val="0"/>
          <w:bCs w:val="0"/>
          <w:kern w:val="0"/>
          <w:sz w:val="32"/>
          <w:szCs w:val="32"/>
          <w:lang w:val="en-US" w:eastAsia="zh-CN"/>
        </w:rPr>
        <w:t>定岗定责、专人负责，每季度开展1次规范性文件专项清理，按要求及时向司法部门报备清理情况，确保文件合法规范、动态更新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（四）开展涉企执法整治行动，规范行政执法行为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  <w:t>一是全面规范涉企执法行为。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聚焦乱收费、乱罚款、乱检查、乱查封等8个方面突出问题，开展专项整治行动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2次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，坚决杜绝侵害企业合法权益的执法行为。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扎实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推行行政检查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扫码入企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模式，落地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企业码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执法码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两码互核机制，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信用+执法”综合场景实施率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100%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  <w:t>二是深入推进行政执法规范化建设。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持续深化柔性执法，细化完善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一免两轻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（轻微违法免罚、一般违法从轻或减轻处罚）事项清单，对符合条件的涉企轻微违法行为，以教育引导、限期整改为主，做到宽严相济、法理相融。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（五）深化综合行政执法改革，提升执法质效。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  <w:t>一是‌整合资源强队伍‌。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整合交通、文化、农业等多个领域‌执法权限，以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一支队伍管执法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为核心，配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齐配强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专职执法人员‌7名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bCs/>
          <w:sz w:val="32"/>
          <w:szCs w:val="32"/>
        </w:rPr>
        <w:t>配备执法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装备7套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开展执法技能培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训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次‌，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邀请上级部门专业人员现场指导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，执法规范化水平显著提升。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二是‌优化流程提效能‌。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制定标准化执法流程图和操作规范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梳理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确定赋权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乡镇执法事项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59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全面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推广“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执法+监督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数字应用平台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，实现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检查—立案—处理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全流程线上办理，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平台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执法人员活跃率100%；全年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办理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简易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行政处罚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>件9件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办案时长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较以往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缩短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‌40%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‌。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三是规范执法护平安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。深化道路交通安全治理，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联合县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交巡警、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驻镇派出所常态化开展联合执法，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纠正各类交通违法行为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190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；聚焦消防安全，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经营性场所、小微企业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执法检查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96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次，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及时消除安全隐患；强化重点行业监管，开展烟花爆竹、危化品专项检查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完成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问题整改109个。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default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）健全行政权力监督体系，规范权力运行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lang w:val="en-US" w:eastAsia="zh-CN"/>
        </w:rPr>
        <w:t>一是强化行政执法全方位监督。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构建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党内监督+行政监督+社会监督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立体化监督网络，主动接受镇人大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、纪委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监督，全年向镇人大主席团报告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行政执法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工作2次，开展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执法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专项督查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次，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自评自查2次，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发现并整改问题12个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是深化政务公开提效便民。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畅通“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线上+线下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双公开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渠道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，通过政务公开网站、政务公示栏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动态公开惠民政策、预算决算等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事项，累计公开信息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443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；高效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办结12345政务服务便民热线群众诉求3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，保障群众知情权、监督权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是抓实涉企纠纷化解与执法监督。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迭代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涉企行政争议预防化解机制，落实多元化解办法，精准防范化解涉企纠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深化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以案促改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专项行动，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强化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个案监督纠错，推动问题整改闭环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全年行政复议、行政诉讼案件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零发生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七</w:t>
      </w:r>
      <w:r>
        <w:rPr>
          <w:rFonts w:hint="default" w:ascii="方正楷体_GBK" w:hAnsi="方正楷体_GBK" w:eastAsia="方正楷体_GBK" w:cs="方正楷体_GBK"/>
          <w:sz w:val="32"/>
          <w:szCs w:val="32"/>
        </w:rPr>
        <w:t>）加强诚信政府建设，增强政府公信力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一是健全合同管理机制。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构建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前期审查、中期跟踪、后期评估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的政府合同全周期管理体系，组建由法律顾问、财务人员组成的合同审核小组，对政府采购、工程建设等各类合同开展合法性、风险性审查，全年审核合同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39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份，提出风险防范建议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条。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二是强化涉企资金兑现。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聚焦企业急难愁盼，通过政企座谈会、上门走访等方式精准摸排诉求，梳理涉企历史遗留债务，建立台账清单、明确责任时限，闭环推进资金拨付兑现。全年累计清偿拖欠企业账款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984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万元。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bidi="ar"/>
        </w:rPr>
        <w:t>二、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32"/>
          <w:lang w:val="en-US" w:eastAsia="zh-CN" w:bidi="ar"/>
        </w:rPr>
        <w:t>2025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年党政主要负责人履行推进法治政府建设第一责任人职责情况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党政主要负责人牢固树立“法治是治国理政的基本方式”理念，坚决扛起法治建设“第一责任人”职责，以“关键少数”示范引领全镇法治政府建设走深走实。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一是统筹谋划抓部署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。将法治政府建设纳入镇党委、政府年度重点工作和发展总体规划，与中心工作同部署、同推进、同考核。</w:t>
      </w:r>
      <w:r>
        <w:rPr>
          <w:rFonts w:ascii="Times New Roman" w:hAnsi="Times New Roman" w:eastAsia="方正仿宋_GBK" w:cs="Times New Roman"/>
          <w:sz w:val="32"/>
          <w:szCs w:val="32"/>
        </w:rPr>
        <w:t>每半年听取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次法治建设工作情况汇报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，聚焦综治中心规范化建设、执法队伍提质、涉企政策落地等重点难点问题，研究制定解决方案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10项，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确保法治建设任务层层压实、落地见效。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二是带头示范践法治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。压实“一岗双责”，牵头推进“大综合一体化”行政执法改革、双竹村法治微公园建设等重点工作，推动协调解决阵地建设、人员调配、执法装备配备等关键问题6个，以法治思维破解发展难题。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三是从严督导促落实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。带头履行督查职责，带队开展法治建设专项督查，精准发现并推动整改“重业务轻法治”、普法精准度不足等突出问题，形成“督查—整改—回头看”闭环机制。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四是带头学法强引领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。坚持把学法用法作为履职必修课，参加党委理论学习中心组法治专题学习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，带头钻研习近平法治思想和相关法律法规；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每月组织开展干部“思享汇”1次，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带动形成“一把手”带头学、班子成员示范学、全员主动学的良好氛围，推动法治理念深入人心。</w:t>
      </w:r>
    </w:p>
    <w:p>
      <w:pPr>
        <w:pStyle w:val="1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三、存在的主要问题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一是信访维权类矛盾化解有待加强。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结合“八张问题清单”排查发现，群众信访诉求以劳务债权纠纷、劳动事故赔偿等维权型为主，少数群众缺乏依法维权意识，信访方式过激，“非访”量呈上升趋势。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二是重点人员服务管理不够规范。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结合法治督察考核反馈，对特殊人群缺乏法律层面强制措施支撑，县外居住或务工重点人员信息掌握不精准，管理手段单一、措施滞后。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三是精准普法工作存在短板。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群众投诉数据显示，20%的投诉源于法律政策理解偏差，其中老年人群体占比65%；现有普法阵地仅3个，且形式单一，针对土地纠纷、电信诈骗等热点的专项普法仅开展5次，难以满足不同群体差异化法治需求。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四、</w:t>
      </w: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</w:rPr>
        <w:t>下一步工作打算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2026年，高观镇将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继续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深入贯彻习近平法治思想和上级相关会议精神，聚焦法治建设重点任务，持续补短板、强弱项，着力推动各项工作提质增效。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leftChars="0" w:firstLine="642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一是健全信访矛盾化解机制。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组建镇综治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、司法所、法律顾问联动的前置调解专班，每月开展1次劳务债权、劳动事故赔偿等热点矛盾排查，实行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受理—调解—回访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闭环管理；开通法治化诉求绿色通道，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设立党政领导接访下访日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直接受理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群众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诉求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；每季度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开展1次信访法治宣传，对过激信访行为开展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一对一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法治劝导，联合派出所规范信访秩序，遏制非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正常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上访。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二是规范重点人员服务管理。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建立重点人员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一人一档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动态管理机制，网格员每季度更新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次信息，对县外人员通过异地协作、亲属联动精准掌握动态；联合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司法所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梳理相关法律法规，制定特殊人群分类管控指引，细化教育、帮扶、约束措施；每半年组织1次工作人员专题培训，强化依法管理能力，确保管控规范有力。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三是深化精准普法提质增效。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针对重点人群开展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菜单式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普法，积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极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开展法治阵地建设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，健全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1+2+N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普法新机制，以平安建设为牵引，深化专项普法与基层治理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N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项行动有效结合，努力提高基层治理现代化水平，促进全镇各项事业健康、协调、稳步发展。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 xml:space="preserve">                     </w:t>
      </w:r>
    </w:p>
    <w:p>
      <w:pPr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4160" w:firstLineChars="1300"/>
        <w:textAlignment w:val="auto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中共城口县高观镇委员会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4480" w:firstLineChars="14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城口县高观镇人民政府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                  202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年1月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 w:bidi="ar-SA"/>
        </w:rPr>
        <w:t>19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（联系人：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王峰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；联系电话：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15856019398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0" w:firstLineChars="1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40005</wp:posOffset>
                </wp:positionV>
                <wp:extent cx="5615940" cy="0"/>
                <wp:effectExtent l="0" t="6350" r="0" b="635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3.15pt;height:0pt;width:442.2pt;z-index:251664384;mso-width-relative:page;mso-height-relative:page;" filled="f" stroked="t" coordsize="21600,21600" o:gfxdata="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ILqSEbQAAAABAEAAA8AAAAAAAAAAQAgAAAAOAAAAGRycy9kb3ducmV2LnhtbFBLAQIUABQA&#10;AAAIAIdO4kDqsmAF4gEAAJ8DAAAOAAAAAAAAAAEAIAAAADUBAABkcnMvZTJvRG9jLnhtbFBLBQYA&#10;AAAABgAGAFkBAACJBQAAAAA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主送：县委（1份）、县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政府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1份）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抄送：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县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委依法治县办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（1份）。</w:t>
      </w:r>
    </w:p>
    <w:p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280" w:firstLineChars="100"/>
        <w:jc w:val="lef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1270</wp:posOffset>
                </wp:positionV>
                <wp:extent cx="5615940" cy="0"/>
                <wp:effectExtent l="0" t="6350" r="0" b="63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1.25pt;margin-top:0.1pt;height:0pt;width:442.2pt;z-index:251662336;mso-width-relative:page;mso-height-relative:page;" filled="f" stroked="t" coordsize="21600,21600" o:gfxdata="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uelLV0AAAAAQBAAAPAAAAAAAAAAEAIAAAADgAAABkcnMvZG93bnJldi54bWxQSwECFAAU&#10;AAAACACHTuJANYZbruMBAACfAwAADgAAAAAAAAABACAAAAA1AQAAZHJzL2Uyb0RvYy54bWxQSwUG&#10;AAAAAAYABgBZAQAAigUAAAAA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379730</wp:posOffset>
                </wp:positionV>
                <wp:extent cx="5615940" cy="0"/>
                <wp:effectExtent l="0" t="6350" r="0" b="63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29.9pt;height:0pt;width:442.2pt;z-index:251663360;mso-width-relative:page;mso-height-relative:page;" filled="f" stroked="t" coordsize="21600,21600" o:gfxdata="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eMkI5dIAAAAGAQAADwAAAAAAAAABACAAAAA4AAAAZHJzL2Rvd25yZXYueG1sUEsBAhQA&#10;FAAAAAgAh07iQGOAH+TiAQAAnwMAAA4AAAAAAAAAAQAgAAAANwEAAGRycy9lMm9Eb2MueG1sUEsF&#10;BgAAAAAGAAYAWQEAAIsFAAAAAA=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中共城口县高观镇委员会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 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202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eastAsia="方正仿宋_GBK" w:cs="Times New Roman"/>
          <w:sz w:val="28"/>
          <w:szCs w:val="28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日印发</w:t>
      </w:r>
    </w:p>
    <w:bookmarkEnd w:id="0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-471805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7.1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EGYiPtYAAAAIAQAADwAAAAAAAAABACAAAAA4AAAAZHJzL2Rvd25yZXYueG1sUEsB&#10;AhQAFAAAAAgAh07iQCYa0m4aAgAAKQQAAA4AAAAAAAAAAQAgAAAAO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ZmFhMmY3OTFkMWQ1ZGJmY2U2MzhhMzA2YzY1YmUifQ=="/>
  </w:docVars>
  <w:rsids>
    <w:rsidRoot w:val="00000000"/>
    <w:rsid w:val="04390EE3"/>
    <w:rsid w:val="04CF3E50"/>
    <w:rsid w:val="063757A4"/>
    <w:rsid w:val="07992B4F"/>
    <w:rsid w:val="097F1366"/>
    <w:rsid w:val="0DBAC57D"/>
    <w:rsid w:val="0DCB34F3"/>
    <w:rsid w:val="0DCC66ED"/>
    <w:rsid w:val="11A93B4C"/>
    <w:rsid w:val="125C296C"/>
    <w:rsid w:val="12CC7AF2"/>
    <w:rsid w:val="133B7343"/>
    <w:rsid w:val="17B40B54"/>
    <w:rsid w:val="1DD170CB"/>
    <w:rsid w:val="212A2C60"/>
    <w:rsid w:val="215C4736"/>
    <w:rsid w:val="21846149"/>
    <w:rsid w:val="22C11246"/>
    <w:rsid w:val="23DA3267"/>
    <w:rsid w:val="25CA020F"/>
    <w:rsid w:val="25D823FC"/>
    <w:rsid w:val="276B793B"/>
    <w:rsid w:val="2A3825E2"/>
    <w:rsid w:val="2A5A4C93"/>
    <w:rsid w:val="2BBF066C"/>
    <w:rsid w:val="2EBE07DF"/>
    <w:rsid w:val="30956B44"/>
    <w:rsid w:val="321059CF"/>
    <w:rsid w:val="33BB3B1D"/>
    <w:rsid w:val="33DB40D7"/>
    <w:rsid w:val="348C6C89"/>
    <w:rsid w:val="3A6F5083"/>
    <w:rsid w:val="3BD3519D"/>
    <w:rsid w:val="3D7A708E"/>
    <w:rsid w:val="3E506F79"/>
    <w:rsid w:val="3F732F1F"/>
    <w:rsid w:val="3F9B2476"/>
    <w:rsid w:val="420F56EB"/>
    <w:rsid w:val="463E2142"/>
    <w:rsid w:val="46AC4F69"/>
    <w:rsid w:val="4757351A"/>
    <w:rsid w:val="47C15148"/>
    <w:rsid w:val="4C786019"/>
    <w:rsid w:val="4CBF4629"/>
    <w:rsid w:val="50412BC6"/>
    <w:rsid w:val="534432F8"/>
    <w:rsid w:val="563C64C0"/>
    <w:rsid w:val="568D446F"/>
    <w:rsid w:val="594C13A1"/>
    <w:rsid w:val="5A6C3332"/>
    <w:rsid w:val="5F6179CE"/>
    <w:rsid w:val="5FD0A647"/>
    <w:rsid w:val="630A4AD9"/>
    <w:rsid w:val="6351687D"/>
    <w:rsid w:val="64520D72"/>
    <w:rsid w:val="6667518D"/>
    <w:rsid w:val="691D5B26"/>
    <w:rsid w:val="6A0665BA"/>
    <w:rsid w:val="6A2E7AA9"/>
    <w:rsid w:val="6B7912C3"/>
    <w:rsid w:val="6B87372B"/>
    <w:rsid w:val="6BBC3C61"/>
    <w:rsid w:val="6F3FF751"/>
    <w:rsid w:val="71696914"/>
    <w:rsid w:val="71C1536F"/>
    <w:rsid w:val="76FD8097"/>
    <w:rsid w:val="78B35B5F"/>
    <w:rsid w:val="7BFF4CE1"/>
    <w:rsid w:val="DEF7D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</w:style>
  <w:style w:type="paragraph" w:styleId="5">
    <w:name w:val="Body Text"/>
    <w:basedOn w:val="1"/>
    <w:next w:val="6"/>
    <w:unhideWhenUsed/>
    <w:qFormat/>
    <w:uiPriority w:val="99"/>
    <w:pPr>
      <w:ind w:left="108"/>
    </w:pPr>
    <w:rPr>
      <w:rFonts w:ascii="Microsoft JhengHei" w:hAnsi="Microsoft JhengHei" w:eastAsia="Microsoft JhengHei"/>
      <w:sz w:val="32"/>
      <w:szCs w:val="22"/>
    </w:rPr>
  </w:style>
  <w:style w:type="paragraph" w:customStyle="1" w:styleId="6">
    <w:name w:val="默认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toc 5"/>
    <w:basedOn w:val="1"/>
    <w:next w:val="1"/>
    <w:qFormat/>
    <w:uiPriority w:val="0"/>
    <w:pPr>
      <w:ind w:left="1680" w:leftChars="800"/>
    </w:pPr>
  </w:style>
  <w:style w:type="paragraph" w:styleId="8">
    <w:name w:val="Date"/>
    <w:basedOn w:val="1"/>
    <w:next w:val="1"/>
    <w:unhideWhenUsed/>
    <w:qFormat/>
    <w:uiPriority w:val="99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Heading1"/>
    <w:basedOn w:val="1"/>
    <w:next w:val="1"/>
    <w:qFormat/>
    <w:uiPriority w:val="0"/>
    <w:pPr>
      <w:spacing w:beforeAutospacing="1" w:afterAutospacing="1"/>
      <w:jc w:val="left"/>
    </w:pPr>
    <w:rPr>
      <w:rFonts w:ascii="宋体" w:hAnsi="宋体"/>
      <w:b/>
      <w:kern w:val="44"/>
      <w:sz w:val="48"/>
      <w:szCs w:val="48"/>
    </w:rPr>
  </w:style>
  <w:style w:type="paragraph" w:customStyle="1" w:styleId="16">
    <w:name w:val="无间隔1"/>
    <w:basedOn w:val="1"/>
    <w:qFormat/>
    <w:uiPriority w:val="0"/>
    <w:rPr>
      <w:szCs w:val="32"/>
    </w:rPr>
  </w:style>
  <w:style w:type="paragraph" w:customStyle="1" w:styleId="17">
    <w:name w:val="一级标题"/>
    <w:basedOn w:val="1"/>
    <w:qFormat/>
    <w:uiPriority w:val="0"/>
    <w:pPr>
      <w:jc w:val="left"/>
    </w:pPr>
    <w:rPr>
      <w:rFonts w:eastAsia="黑体"/>
    </w:rPr>
  </w:style>
  <w:style w:type="paragraph" w:customStyle="1" w:styleId="18">
    <w:name w:val="正-文"/>
    <w:basedOn w:val="1"/>
    <w:qFormat/>
    <w:uiPriority w:val="0"/>
    <w:pPr>
      <w:ind w:firstLine="640"/>
    </w:pPr>
    <w:rPr>
      <w:rFonts w:cstheme="minorBidi"/>
      <w:szCs w:val="32"/>
    </w:rPr>
  </w:style>
  <w:style w:type="paragraph" w:customStyle="1" w:styleId="19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2112</Words>
  <Characters>2167</Characters>
  <Lines>0</Lines>
  <Paragraphs>0</Paragraphs>
  <TotalTime>47</TotalTime>
  <ScaleCrop>false</ScaleCrop>
  <LinksUpToDate>false</LinksUpToDate>
  <CharactersWithSpaces>2184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2023-12-29T20:35:00Z</dcterms:created>
  <dc:creator>Administrator</dc:creator>
  <cp:lastModifiedBy>ckuos</cp:lastModifiedBy>
  <cp:lastPrinted>2026-01-26T14:56:00Z</cp:lastPrinted>
  <dcterms:modified xsi:type="dcterms:W3CDTF">2026-02-26T15:01:40Z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AA2CDD55CFE6468896DF38FB4CE22427_13</vt:lpwstr>
  </property>
  <property fmtid="{D5CDD505-2E9C-101B-9397-08002B2CF9AE}" pid="4" name="KSOTemplateDocerSaveRecord">
    <vt:lpwstr>eyJoZGlkIjoiMDJjOGVjNzlhYzQ5MWQ3NjA5ZGJlZWRhZTNjYTk2YTEiLCJ1c2VySWQiOiI3NjE1MzQwOTAifQ==</vt:lpwstr>
  </property>
</Properties>
</file>