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leader="dot" w:pos="8400"/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Style w:val="8"/>
          <w:rFonts w:hint="eastAsia" w:ascii="方正小标宋_GBK" w:hAnsi="方正小标宋_GBK" w:eastAsia="方正小标宋_GBK" w:cs="方正小标宋_GBK"/>
          <w:lang w:eastAsia="zh-CN"/>
        </w:rPr>
      </w:pPr>
      <w:bookmarkStart w:id="4" w:name="_GoBack"/>
      <w:r>
        <w:rPr>
          <w:rStyle w:val="8"/>
          <w:rFonts w:hint="eastAsia" w:ascii="方正小标宋_GBK" w:hAnsi="方正小标宋_GBK" w:eastAsia="方正小标宋_GBK" w:cs="方正小标宋_GBK"/>
        </w:rPr>
        <w:t>高观镇20</w:t>
      </w:r>
      <w:r>
        <w:rPr>
          <w:rStyle w:val="8"/>
          <w:rFonts w:hint="eastAsia" w:ascii="方正小标宋_GBK" w:hAnsi="方正小标宋_GBK" w:eastAsia="方正小标宋_GBK" w:cs="方正小标宋_GBK"/>
          <w:lang w:val="en-US" w:eastAsia="zh-CN"/>
        </w:rPr>
        <w:t>2</w:t>
      </w:r>
      <w:r>
        <w:rPr>
          <w:rStyle w:val="8"/>
          <w:rFonts w:hint="eastAsia" w:ascii="方正小标宋_GBK" w:hAnsi="方正小标宋_GBK" w:cs="方正小标宋_GBK"/>
          <w:lang w:val="en-US" w:eastAsia="zh-CN"/>
        </w:rPr>
        <w:t>4</w:t>
      </w:r>
      <w:r>
        <w:rPr>
          <w:rStyle w:val="8"/>
          <w:rFonts w:hint="eastAsia" w:ascii="方正小标宋_GBK" w:hAnsi="方正小标宋_GBK" w:eastAsia="方正小标宋_GBK" w:cs="方正小标宋_GBK"/>
          <w:lang w:val="en-US" w:eastAsia="zh-CN"/>
        </w:rPr>
        <w:t>年</w:t>
      </w:r>
      <w:r>
        <w:rPr>
          <w:rStyle w:val="8"/>
          <w:rFonts w:hint="eastAsia" w:ascii="方正小标宋_GBK" w:hAnsi="方正小标宋_GBK" w:eastAsia="方正小标宋_GBK" w:cs="方正小标宋_GBK"/>
        </w:rPr>
        <w:t>财政预算执行情况及20</w:t>
      </w:r>
      <w:r>
        <w:rPr>
          <w:rStyle w:val="8"/>
          <w:rFonts w:hint="eastAsia" w:ascii="方正小标宋_GBK" w:hAnsi="方正小标宋_GBK" w:eastAsia="方正小标宋_GBK" w:cs="方正小标宋_GBK"/>
          <w:lang w:val="en-US" w:eastAsia="zh-CN"/>
        </w:rPr>
        <w:t>2</w:t>
      </w:r>
      <w:r>
        <w:rPr>
          <w:rStyle w:val="8"/>
          <w:rFonts w:hint="eastAsia" w:ascii="方正小标宋_GBK" w:hAnsi="方正小标宋_GBK" w:cs="方正小标宋_GBK"/>
          <w:lang w:val="en-US" w:eastAsia="zh-CN"/>
        </w:rPr>
        <w:t>5</w:t>
      </w:r>
      <w:r>
        <w:rPr>
          <w:rStyle w:val="8"/>
          <w:rFonts w:hint="eastAsia" w:ascii="方正小标宋_GBK" w:hAnsi="方正小标宋_GBK" w:eastAsia="方正小标宋_GBK" w:cs="方正小标宋_GBK"/>
        </w:rPr>
        <w:t>年财政预算</w:t>
      </w:r>
      <w:r>
        <w:rPr>
          <w:rStyle w:val="8"/>
          <w:rFonts w:hint="eastAsia" w:ascii="方正小标宋_GBK" w:hAnsi="方正小标宋_GBK" w:cs="方正小标宋_GBK"/>
          <w:lang w:val="en-US" w:eastAsia="zh-CN"/>
        </w:rPr>
        <w:t>草案</w:t>
      </w:r>
      <w:r>
        <w:rPr>
          <w:rStyle w:val="8"/>
          <w:rFonts w:hint="eastAsia" w:ascii="方正小标宋_GBK" w:hAnsi="方正小标宋_GBK" w:eastAsia="方正小标宋_GBK" w:cs="方正小标宋_GBK"/>
        </w:rPr>
        <w:t>的报告</w:t>
      </w:r>
    </w:p>
    <w:p>
      <w:pPr>
        <w:pageBreakBefore w:val="0"/>
        <w:widowControl/>
        <w:kinsoku/>
        <w:wordWrap/>
        <w:topLinePunct w:val="0"/>
        <w:bidi w:val="0"/>
        <w:spacing w:after="62" w:afterLines="20"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各位代表：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受镇人民政府委托，现将高观镇20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年财政预算执行情况和202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年预算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草案的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报告提请大会审议，并请各位代表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和列席人员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提出意见。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</w:pPr>
      <w:bookmarkStart w:id="0" w:name="_Toc4989"/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一、20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方正黑体_GBK" w:cs="Times New Roman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年预算执行情况</w:t>
      </w:r>
      <w:bookmarkEnd w:id="0"/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全镇完成财政总收入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2866.4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万元，一般公共预算收入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2303.35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万元（其中年初预算为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1388.01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万元，调整预算为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915.34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万元），政府性基金预算收入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563.06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镇财政支出累计完成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2866.41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万元，（其中，一般公共预算支出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2303.35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万元，政府性基金预算支出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563.06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万元）。</w:t>
      </w:r>
    </w:p>
    <w:p>
      <w:pPr>
        <w:pageBreakBefore w:val="0"/>
        <w:kinsoku/>
        <w:wordWrap/>
        <w:topLinePunct w:val="0"/>
        <w:bidi w:val="0"/>
        <w:spacing w:line="560" w:lineRule="exact"/>
        <w:ind w:left="643"/>
        <w:rPr>
          <w:rFonts w:hint="eastAsia" w:ascii="Times New Roman" w:hAnsi="Times New Roman" w:eastAsia="方正楷体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</w:rPr>
        <w:t>（一）一般公共预算执行情况</w:t>
      </w:r>
    </w:p>
    <w:p>
      <w:pPr>
        <w:pageBreakBefore w:val="0"/>
        <w:kinsoku/>
        <w:wordWrap/>
        <w:topLinePunct w:val="0"/>
        <w:bidi w:val="0"/>
        <w:spacing w:line="560" w:lineRule="exact"/>
        <w:ind w:left="643"/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</w:pPr>
      <w:bookmarkStart w:id="1" w:name="OLE_LINK1"/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1.收入项目执行情况</w:t>
      </w:r>
      <w:bookmarkEnd w:id="1"/>
    </w:p>
    <w:p>
      <w:pPr>
        <w:pageBreakBefore w:val="0"/>
        <w:widowControl/>
        <w:kinsoku/>
        <w:wordWrap/>
        <w:topLinePunct w:val="0"/>
        <w:bidi w:val="0"/>
        <w:spacing w:after="62" w:afterLines="2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年镇级一般公共预算安排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2303.35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万元，（其中，年初预算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1388.01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万元，追加预算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915.34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万元）。 </w:t>
      </w:r>
    </w:p>
    <w:p>
      <w:pPr>
        <w:pageBreakBefore w:val="0"/>
        <w:kinsoku/>
        <w:wordWrap/>
        <w:topLinePunct w:val="0"/>
        <w:bidi w:val="0"/>
        <w:spacing w:line="560" w:lineRule="exact"/>
        <w:ind w:left="643"/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2.支出执行情况</w:t>
      </w:r>
    </w:p>
    <w:p>
      <w:pPr>
        <w:pageBreakBefore w:val="0"/>
        <w:widowControl/>
        <w:kinsoku/>
        <w:wordWrap/>
        <w:topLinePunct w:val="0"/>
        <w:bidi w:val="0"/>
        <w:spacing w:after="62" w:afterLines="20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截止20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年12月，镇一般公共预算支出实现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2303.35</w:t>
      </w:r>
    </w:p>
    <w:p>
      <w:pPr>
        <w:pageBreakBefore w:val="0"/>
        <w:widowControl/>
        <w:kinsoku/>
        <w:wordWrap/>
        <w:topLinePunct w:val="0"/>
        <w:bidi w:val="0"/>
        <w:spacing w:after="62" w:afterLines="20"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万元，具体如下：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2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——一般公共服务支出</w:t>
      </w:r>
      <w:r>
        <w:rPr>
          <w:rFonts w:hint="eastAsia" w:eastAsia="方正仿宋_GBK" w:cs="Times New Roman"/>
          <w:b/>
          <w:color w:val="000000"/>
          <w:sz w:val="32"/>
          <w:szCs w:val="32"/>
          <w:lang w:val="en-US" w:eastAsia="zh-CN"/>
        </w:rPr>
        <w:t>511.43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主要用于：保障镇党政机关、人民团体单位基本支出；兑现干部职工基本工资提标，全额保障镇属财政供养人员津补贴、绩效考核奖和健康休养费发放。</w:t>
      </w:r>
    </w:p>
    <w:p>
      <w:pPr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2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——文化体育与传媒支出</w:t>
      </w:r>
      <w:r>
        <w:rPr>
          <w:rFonts w:hint="eastAsia" w:eastAsia="方正仿宋_GBK" w:cs="Times New Roman"/>
          <w:b/>
          <w:color w:val="000000"/>
          <w:sz w:val="32"/>
          <w:szCs w:val="32"/>
          <w:lang w:val="en-US" w:eastAsia="zh-CN"/>
        </w:rPr>
        <w:t>17.57万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主要用于：保障文化站基本支出，用于文化站财政供养人员工资福利支出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及开展文体活动支出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2" w:firstLineChars="200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  <w:bookmarkStart w:id="2" w:name="OLE_LINK3"/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——社会保障和就业支出</w:t>
      </w:r>
      <w:r>
        <w:rPr>
          <w:rFonts w:hint="eastAsia" w:eastAsia="方正楷体_GBK" w:cs="Times New Roman"/>
          <w:b/>
          <w:color w:val="000000"/>
          <w:sz w:val="32"/>
          <w:szCs w:val="32"/>
          <w:lang w:val="en-US" w:eastAsia="zh-CN"/>
        </w:rPr>
        <w:t>155.58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主要用于：安排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12.6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万元，用于社保所人员基本支出和公用经费；安排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139.62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万元，用于机关事业单位养老保险和职业年金缴费支出；安排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3.36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元，用于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临时救助支出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2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——</w:t>
      </w:r>
      <w:r>
        <w:rPr>
          <w:rFonts w:hint="eastAsia" w:eastAsia="方正仿宋_GBK" w:cs="Times New Roman"/>
          <w:b/>
          <w:color w:val="000000"/>
          <w:sz w:val="32"/>
          <w:szCs w:val="32"/>
          <w:lang w:val="en-US" w:eastAsia="zh-CN"/>
        </w:rPr>
        <w:t>卫生健康支出27.79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主要用于：安排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27.79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万元，用于镇属行政事业单位职工基本医疗、大病医疗、工伤保险、生育保险等医疗保障缴费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</w:t>
      </w:r>
      <w:bookmarkEnd w:id="2"/>
    </w:p>
    <w:p>
      <w:pPr>
        <w:pStyle w:val="2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——</w:t>
      </w:r>
      <w:r>
        <w:rPr>
          <w:rFonts w:hint="eastAsia" w:eastAsia="方正仿宋_GBK" w:cs="Times New Roman"/>
          <w:b/>
          <w:color w:val="000000"/>
          <w:sz w:val="32"/>
          <w:szCs w:val="32"/>
          <w:lang w:val="en-US" w:eastAsia="zh-CN"/>
        </w:rPr>
        <w:t>节能环保支出8.8万元。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主要用于：安排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7.8万元，用于农村环境综合改造整治；安排1万元用于中央林业草原生态保护恢复资金。</w:t>
      </w:r>
    </w:p>
    <w:p>
      <w:pPr>
        <w:ind w:firstLine="642" w:firstLineChars="200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——</w:t>
      </w:r>
      <w:r>
        <w:rPr>
          <w:rFonts w:hint="eastAsia" w:eastAsia="方正仿宋_GBK" w:cs="Times New Roman"/>
          <w:b/>
          <w:color w:val="000000"/>
          <w:sz w:val="32"/>
          <w:szCs w:val="32"/>
          <w:lang w:val="en-US" w:eastAsia="zh-CN"/>
        </w:rPr>
        <w:t>商业服务业等支出34.19万元。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主要用于：安排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34.19万元，用于城口县高观镇人民政府商贸中心改造项目。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2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城乡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社区支出</w:t>
      </w:r>
      <w:r>
        <w:rPr>
          <w:rFonts w:hint="eastAsia" w:eastAsia="方正仿宋_GBK" w:cs="Times New Roman"/>
          <w:b/>
          <w:color w:val="00000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主要用于：安排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万元，组织全镇辖区内垃圾清运，实施场镇路灯、污水管网、市政路面修复和园林绿化工程等市政设施设备日常维修维护，进一步完善区域中心场镇功能，提高市政管理能力。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3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——农林水支出</w:t>
      </w:r>
      <w:r>
        <w:rPr>
          <w:rFonts w:hint="eastAsia" w:eastAsia="方正仿宋_GBK" w:cs="Times New Roman"/>
          <w:b/>
          <w:color w:val="auto"/>
          <w:sz w:val="32"/>
          <w:szCs w:val="32"/>
          <w:lang w:val="en-US" w:eastAsia="zh-CN"/>
        </w:rPr>
        <w:t>1451.57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主要用于：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3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安排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10.93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万元，用于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对高校毕业生到基层任职补助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3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安排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万元，用于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林业草原防灾减灾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支出。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30"/>
        <w:rPr>
          <w:rFonts w:hint="default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安排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4.89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万元，用于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高观镇抗旱支出。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安排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835.7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万元，用于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生产发展支出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安排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228.68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万元，用于农村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基础设施建设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排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72.86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用于其他巩固脱贫攻坚成果衔接乡村振兴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支出。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排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277.51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万元，用于农村综合改革（具体为：安排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48.46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万元，用于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村社区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日常办公经费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；安排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229.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05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万元，用于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年村社区干部工资及其他支出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3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——灾害防治及应急管理支出</w:t>
      </w:r>
      <w:r>
        <w:rPr>
          <w:rFonts w:hint="eastAsia" w:eastAsia="方正仿宋_GBK" w:cs="Times New Roman"/>
          <w:b/>
          <w:color w:val="000000"/>
          <w:sz w:val="32"/>
          <w:szCs w:val="32"/>
          <w:lang w:val="en-US" w:eastAsia="zh-CN"/>
        </w:rPr>
        <w:t>19.85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主要用于：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安排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19.85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万元，用于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防汛抗旱应急救灾项目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2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——住房保障支出</w:t>
      </w:r>
      <w:r>
        <w:rPr>
          <w:rFonts w:hint="eastAsia" w:eastAsia="方正仿宋_GBK" w:cs="Times New Roman"/>
          <w:b/>
          <w:color w:val="000000"/>
          <w:sz w:val="32"/>
          <w:szCs w:val="32"/>
          <w:lang w:val="en-US" w:eastAsia="zh-CN"/>
        </w:rPr>
        <w:t>36.55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主要用于：安排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36.55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万元，用于保障镇属干部职工按法定比例缴纳住房公积金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topLinePunct w:val="0"/>
        <w:bidi w:val="0"/>
        <w:spacing w:line="560" w:lineRule="exact"/>
        <w:ind w:left="643"/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（二）政府性基金预算执行情况</w:t>
      </w:r>
    </w:p>
    <w:p>
      <w:pPr>
        <w:pageBreakBefore w:val="0"/>
        <w:kinsoku/>
        <w:wordWrap/>
        <w:topLinePunct w:val="0"/>
        <w:bidi w:val="0"/>
        <w:spacing w:line="560" w:lineRule="exact"/>
        <w:ind w:left="643"/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1.收入项目执行情况</w:t>
      </w:r>
    </w:p>
    <w:p>
      <w:pPr>
        <w:pageBreakBefore w:val="0"/>
        <w:widowControl/>
        <w:kinsoku/>
        <w:wordWrap/>
        <w:topLinePunct w:val="0"/>
        <w:bidi w:val="0"/>
        <w:spacing w:after="62" w:afterLines="2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年镇级政府性基金预算安排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563.06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万元，（其中，年初预算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万元，追加预算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563.06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万元）。 </w:t>
      </w:r>
    </w:p>
    <w:p>
      <w:pPr>
        <w:pageBreakBefore w:val="0"/>
        <w:kinsoku/>
        <w:wordWrap/>
        <w:topLinePunct w:val="0"/>
        <w:bidi w:val="0"/>
        <w:spacing w:line="560" w:lineRule="exact"/>
        <w:ind w:left="643"/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2.支出执行情况</w:t>
      </w:r>
    </w:p>
    <w:p>
      <w:pPr>
        <w:pageBreakBefore w:val="0"/>
        <w:widowControl/>
        <w:kinsoku/>
        <w:wordWrap/>
        <w:topLinePunct w:val="0"/>
        <w:bidi w:val="0"/>
        <w:spacing w:after="62" w:afterLines="20"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截止20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年12月，镇级政府性基金预算支出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563.06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万元，完成预算的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%，具体如下：</w:t>
      </w:r>
    </w:p>
    <w:p>
      <w:pPr>
        <w:pageBreakBefore w:val="0"/>
        <w:widowControl/>
        <w:kinsoku/>
        <w:wordWrap/>
        <w:topLinePunct w:val="0"/>
        <w:bidi w:val="0"/>
        <w:spacing w:after="62" w:afterLines="20" w:line="560" w:lineRule="exact"/>
        <w:ind w:firstLine="642" w:firstLineChars="200"/>
        <w:jc w:val="left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——</w:t>
      </w:r>
      <w:r>
        <w:rPr>
          <w:rFonts w:hint="eastAsia" w:eastAsia="方正仿宋_GBK" w:cs="Times New Roman"/>
          <w:b/>
          <w:color w:val="000000"/>
          <w:sz w:val="32"/>
          <w:szCs w:val="32"/>
          <w:lang w:val="en-US" w:eastAsia="zh-CN"/>
        </w:rPr>
        <w:t>用于巩固脱贫攻坚成果衔接乡村振兴的彩票公益金支出536.41万元。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（具体为：安排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314.33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用于城口县2024年高观镇蔬菜大棚提档提升项目；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安排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0.49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用于城口县2023年高观镇蒲池村优质种苗基地建设项目；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安排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50.69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用于城口县2023年高观镇特色产业传统工艺作坊项目；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安排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73.55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用于城口县2023年高观镇人居环境整治项目；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安排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97.35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用于产业基地建设）。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2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——其他国有土地使用权出让收入安排的支出</w:t>
      </w:r>
      <w:r>
        <w:rPr>
          <w:rFonts w:hint="eastAsia" w:eastAsia="方正仿宋_GBK" w:cs="Times New Roman"/>
          <w:b/>
          <w:color w:val="000000"/>
          <w:sz w:val="32"/>
          <w:szCs w:val="32"/>
          <w:lang w:val="en-US" w:eastAsia="zh-CN"/>
        </w:rPr>
        <w:t>26.65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用于公路养护专项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资金。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从20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年我镇财政收支执行情况看，镇财政认真贯彻新《预算法》，全面落实镇党委决策部署和镇人大决议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决定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，扎实有效推进各项财政工作，有力有效地服务于全镇经济社会发展。主要集中体现在以下3个方面：</w:t>
      </w:r>
    </w:p>
    <w:p>
      <w:pPr>
        <w:pageBreakBefore w:val="0"/>
        <w:widowControl/>
        <w:numPr>
          <w:ilvl w:val="0"/>
          <w:numId w:val="1"/>
        </w:numPr>
        <w:kinsoku/>
        <w:wordWrap/>
        <w:topLinePunct w:val="0"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kern w:val="0"/>
          <w:sz w:val="32"/>
          <w:szCs w:val="32"/>
        </w:rPr>
        <w:t>加强收入征管，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</w:rPr>
        <w:t>为完成全年任务打下坚实的基础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积极应对经济下行压力，按照“稳中求进”的总体思路，争取上级投入，统筹本级支出，加大财政投资，稳定经济增长。</w:t>
      </w: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加强财税收入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组织的预测和分析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。强化经济形势分析，全面收集镇域内基本建设、产业发展等财经数据，及时了解影响收入增减的各种因素，加强收入征管，增强组织收入的预见性和针对性，掌握主动权。</w:t>
      </w: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强化重点税源监管。结合本镇实际，抓好重大基建项目等重点税源监管工作，完善征管措施，堵塞征管漏洞，严格依法征收，确保应收尽收。</w:t>
      </w: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多渠道挖掘增收潜力。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在保障资金安全的前提下，加快项目资金调度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督促相关单位加快财政支出报账进度，确保项目资金尽快发挥效益，促进财政收入入库。坚持“抓大、稳中、盯小”并重的收入征管措施，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在加大税收征管的同时，加强城市建设配套费等非税收入管理，拓宽财政收入渠道。</w:t>
      </w:r>
    </w:p>
    <w:p>
      <w:pPr>
        <w:pageBreakBefore w:val="0"/>
        <w:widowControl/>
        <w:numPr>
          <w:ilvl w:val="0"/>
          <w:numId w:val="0"/>
        </w:numPr>
        <w:kinsoku/>
        <w:wordWrap/>
        <w:topLinePunct w:val="0"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楷体_GBK" w:cs="Times New Roman"/>
          <w:b w:val="0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方正楷体_GBK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eastAsia="方正楷体_GBK" w:cs="Times New Roman"/>
          <w:b w:val="0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kern w:val="0"/>
          <w:sz w:val="32"/>
          <w:szCs w:val="32"/>
        </w:rPr>
        <w:t>提高保障供给能力，确保全镇正常运转。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贯彻执行中央厉行节约规定，严格落实“三公”经费和财政供养人员只减不增，控制一般性开支，停止新建政府性楼堂馆所等规定，在压缩节庆、会议等一般性开支的同时，始终坚持科学发展观，调整优化财政支出结构，统筹兼顾，有保有压，全力保障镇属行政事业单位基本运行和刚性支出需求，兑现社会保障、涉农补贴等民生政策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加大投入贫困村、贫困户基础设施建设和产业发展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投入，确保全镇重点工程项目建设有序推进。</w:t>
      </w:r>
    </w:p>
    <w:p>
      <w:pPr>
        <w:pageBreakBefore w:val="0"/>
        <w:widowControl/>
        <w:numPr>
          <w:ilvl w:val="0"/>
          <w:numId w:val="0"/>
        </w:numPr>
        <w:kinsoku/>
        <w:wordWrap/>
        <w:topLinePunct w:val="0"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楷体_GBK" w:cs="Times New Roman"/>
          <w:b w:val="0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方正楷体_GBK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eastAsia="方正楷体_GBK" w:cs="Times New Roman"/>
          <w:b w:val="0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kern w:val="0"/>
          <w:sz w:val="32"/>
          <w:szCs w:val="32"/>
        </w:rPr>
        <w:t>加强预算管理，打造阳光财政。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建立健全财政预算管理规章制度和预算管理与绩效管理相结合、预算编制与预算执行相结合的运行机制，规范工作流程，实现财政事前、事中、事后的全过程监督。</w:t>
      </w: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进一步深化预算改革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细化预算项目及内容，保障预算的准确性和完整性；</w:t>
      </w: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严格执行预算追加制度，全面加强预算的执行监管，强化预算约束；</w:t>
      </w: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加大对所有财政性资金就地就近监管，对财政资金的流动情况按项目建立台账，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加强对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项目类资金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监管。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通过加强预算管理，财政运行的科学性、规范性进一步增强，有力推动了镇域经济社会发展。</w:t>
      </w:r>
    </w:p>
    <w:p>
      <w:pPr>
        <w:pageBreakBefore w:val="0"/>
        <w:widowControl/>
        <w:kinsoku/>
        <w:wordWrap/>
        <w:topLinePunct w:val="0"/>
        <w:bidi w:val="0"/>
        <w:spacing w:line="560" w:lineRule="exact"/>
        <w:ind w:firstLine="63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各位代表！一年来，镇财政工作取得了长足发展，但工作中也还存在许多差距和不足，新常态下财政改革与发展，还面临新的挑战：一是镇级财力总量较小，公共服务需求和民生改善任务繁重，财政支出刚性增长加快，收支矛盾更加突出。二是财政管理离新《预算法》的要求还有差距。日常财政财务管理的时间性、完整性、约束性不强，管理基础比较薄弱，没有达到新《预算法》的法律规定和刚性约束要求。三是内控制度不力，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还存在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资金、资产管理不严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的情况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。对此，镇财政高度重视，将采取务实有效措施，逐步加以解决。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outlineLvl w:val="0"/>
        <w:rPr>
          <w:rFonts w:hint="default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</w:pPr>
      <w:bookmarkStart w:id="3" w:name="_Toc24632"/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二、202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年财政</w:t>
      </w:r>
      <w:bookmarkEnd w:id="3"/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工作安排</w:t>
      </w:r>
    </w:p>
    <w:p>
      <w:pPr>
        <w:pageBreakBefore w:val="0"/>
        <w:widowControl/>
        <w:kinsoku/>
        <w:wordWrap/>
        <w:topLinePunct w:val="0"/>
        <w:bidi w:val="0"/>
        <w:spacing w:line="560" w:lineRule="exact"/>
        <w:ind w:firstLine="63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年全镇财政预算安排的总体要求是：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按照上级关于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“深化财税体制改革、建立现代财政制度”的要求，坚持“统筹兼顾、突出重点、有保有压、收支平衡、讲求绩效”的预算编制原则，严格执行“厉行勤俭节约、反对铺张浪费”的政策规定，从严控制“三公”经费等一般性支出，硬化预算约束，加强绩效管理，严肃财经纪律，促进全镇经济社会持续健康发展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eastAsia" w:ascii="Times New Roman" w:hAnsi="Times New Roman" w:eastAsia="方正楷体_GBK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</w:rPr>
        <w:t>(一)一般公共预算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30"/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1.一般公共预算收入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全镇一般公共预算收入预计11</w:t>
      </w:r>
      <w:r>
        <w:rPr>
          <w:rFonts w:hint="eastAsia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万元（其中税收收入100.00万元，城市建设配套费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.00万元，垃圾处置费8.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0万元）。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根据现行财政体制，镇级财政收入全额上缴到县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，县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通过转移支付保障乡镇基本运行，年度一般公共预算收入数不纳入财力计算。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30"/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2、一般公共预算支出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3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按照收支平衡、不打赤字原则，安排202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年一般公共预算支出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1412.6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元（该预算为年初预算），调整预算以财政局适时的资金文件为准。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3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安排的全镇一般公共预算支出功能分类列报如下：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3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一般公共服务支出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994.04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万元；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3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文化旅游体育与传媒支出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42.96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万元；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3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社会保障和就业支出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221.97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万元；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3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卫生健康支出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40.91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万元；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3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农林水支出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61.27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万元；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3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住房保障支出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51.45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年，我镇没有编制政府性基金预算、国有资本经营预算和社会保险基金预算，因此，在大会不报告预算收支情况。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eastAsia" w:ascii="Times New Roman" w:hAnsi="Times New Roman" w:eastAsia="方正楷体_GBK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</w:rPr>
        <w:t>（二）完成202</w:t>
      </w:r>
      <w:r>
        <w:rPr>
          <w:rFonts w:hint="eastAsia" w:eastAsia="方正楷体_GBK" w:cs="Times New Roman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</w:rPr>
        <w:t>年财政预算收支任务的工作措施</w:t>
      </w:r>
    </w:p>
    <w:p>
      <w:pPr>
        <w:pStyle w:val="5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-12" w:firstLine="640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1.</w:t>
      </w:r>
      <w:r>
        <w:rPr>
          <w:rFonts w:hint="default" w:ascii="Times New Roman" w:hAnsi="Times New Roman" w:eastAsia="方正仿宋_GBK" w:cs="Times New Roman"/>
          <w:b/>
          <w:color w:val="000000"/>
          <w:szCs w:val="32"/>
        </w:rPr>
        <w:t>加强财政收入征管，促进财政收入稳定增长</w:t>
      </w:r>
      <w:r>
        <w:rPr>
          <w:rFonts w:hint="eastAsia" w:ascii="Times New Roman" w:hAnsi="Times New Roman" w:eastAsia="方正仿宋_GBK" w:cs="Times New Roman"/>
          <w:b/>
          <w:color w:val="000000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密切财税政策动向，关注重点财源变化趋势，妥善处理结构性减税对财政增收的影响。加强分析和预测工作，增强组织财政收入的主动性和预见性。健全完善协税护税和信息共享机制，坚持依法治税，确保应收尽收，努力提升财政收入质量，确保财政收入的全面完成。</w:t>
      </w:r>
    </w:p>
    <w:p>
      <w:pPr>
        <w:pStyle w:val="5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-12" w:firstLine="64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Cs w:val="32"/>
        </w:rPr>
        <w:t>2. 加强民生投入</w:t>
      </w:r>
      <w:r>
        <w:rPr>
          <w:rFonts w:hint="eastAsia" w:ascii="Times New Roman" w:hAnsi="Times New Roman" w:eastAsia="方正仿宋_GBK" w:cs="Times New Roman"/>
          <w:b/>
          <w:color w:val="000000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按照“保民生，促发展”的原则，坚持民生优先的公共财政导向，坚持积极有为和量力而行相统一，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精心组织实施好农村危房改造、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产业发展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等民生工程，努力改善农村生产生活条件，促进农业增产增收。健全完善惠民直达工程，</w:t>
      </w:r>
      <w:r>
        <w:rPr>
          <w:rFonts w:hint="default" w:ascii="Times New Roman" w:hAnsi="Times New Roman" w:eastAsia="方正仿宋_GBK" w:cs="Times New Roman"/>
          <w:color w:val="000000"/>
          <w:szCs w:val="32"/>
          <w:shd w:val="clear" w:color="auto" w:fill="FFFFFF"/>
        </w:rPr>
        <w:t>扎实做好粮食直补、农村低保人员补助等补贴政策，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确保各项惠民补贴及时足额发放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全力推动民生实事工程，不断提升人民群众的“幸福感”。</w:t>
      </w:r>
    </w:p>
    <w:p>
      <w:pPr>
        <w:pStyle w:val="5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-12" w:firstLine="642" w:firstLineChars="200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/>
          <w:color w:val="000000"/>
          <w:szCs w:val="32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  <w:t>推进预算管理制度改革，提高依法理财水平。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认真贯彻落实新《预算法》，强化年度预算的约束，增强预算的前瞻性和可持续性。开展部门拨款结转结余、财政往来款项、债权债务和国有资产专项清理工作，盘活财政存量资金、资源。进一步加大项目资金使用管理，规范基本建设程序，健全政府投资项目预（决）算评审和批复制度。深化政府采购改革，推动政府采购工作规范化、制度化和法制化 。加大财政监督力度。加强财经纪律监督检查，对财政性资金运行实行全过程监督，确保各项财政政策落到实处，切实提高会计信息质量。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3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各位代表！新一年的财政工作任务艰巨，责任重大。我们将在镇党委的正确领导下，在镇人大的依法监督下，在社会各界的大力支持下，齐心协力，奋发进取，创新工作，圆满完成全年任务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pStyle w:val="4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8400"/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Style w:val="8"/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8400"/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Style w:val="8"/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8400"/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Style w:val="8"/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8400"/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Style w:val="8"/>
          <w:rFonts w:hint="default" w:ascii="Times New Roman" w:hAnsi="Times New Roman" w:cs="Times New Roman"/>
          <w:color w:val="FF0000"/>
          <w:lang w:eastAsia="zh-CN"/>
        </w:rPr>
      </w:pPr>
      <w:r>
        <w:rPr>
          <w:rStyle w:val="8"/>
          <w:rFonts w:hint="default" w:ascii="Times New Roman" w:hAnsi="Times New Roman" w:cs="Times New Roman"/>
          <w:lang w:val="en-US" w:eastAsia="zh-CN"/>
        </w:rPr>
        <w:t>高观镇202</w:t>
      </w:r>
      <w:r>
        <w:rPr>
          <w:rStyle w:val="8"/>
          <w:rFonts w:hint="eastAsia" w:cs="Times New Roman"/>
          <w:lang w:val="en-US" w:eastAsia="zh-CN"/>
        </w:rPr>
        <w:t>4</w:t>
      </w:r>
      <w:r>
        <w:rPr>
          <w:rStyle w:val="8"/>
          <w:rFonts w:hint="default" w:ascii="Times New Roman" w:hAnsi="Times New Roman" w:cs="Times New Roman"/>
          <w:lang w:val="en-US" w:eastAsia="zh-CN"/>
        </w:rPr>
        <w:t>年财政预算执行情况及202</w:t>
      </w:r>
      <w:r>
        <w:rPr>
          <w:rStyle w:val="8"/>
          <w:rFonts w:hint="eastAsia" w:cs="Times New Roman"/>
          <w:lang w:val="en-US" w:eastAsia="zh-CN"/>
        </w:rPr>
        <w:t>5</w:t>
      </w:r>
      <w:r>
        <w:rPr>
          <w:rStyle w:val="8"/>
          <w:rFonts w:hint="default" w:ascii="Times New Roman" w:hAnsi="Times New Roman" w:cs="Times New Roman"/>
          <w:lang w:val="en-US" w:eastAsia="zh-CN"/>
        </w:rPr>
        <w:t>年财政预算</w:t>
      </w:r>
      <w:r>
        <w:rPr>
          <w:rStyle w:val="8"/>
          <w:rFonts w:hint="eastAsia" w:cs="Times New Roman"/>
          <w:lang w:val="en-US" w:eastAsia="zh-CN"/>
        </w:rPr>
        <w:t>草案</w:t>
      </w:r>
      <w:r>
        <w:rPr>
          <w:rStyle w:val="8"/>
          <w:rFonts w:hint="default" w:ascii="Times New Roman" w:hAnsi="Times New Roman" w:cs="Times New Roman"/>
          <w:lang w:val="en-US" w:eastAsia="zh-CN"/>
        </w:rPr>
        <w:t>的报告决议</w:t>
      </w:r>
      <w:r>
        <w:rPr>
          <w:rStyle w:val="8"/>
          <w:rFonts w:hint="default" w:ascii="Times New Roman" w:hAnsi="Times New Roman" w:cs="Times New Roman"/>
          <w:color w:val="auto"/>
          <w:lang w:val="en-US" w:eastAsia="zh-CN"/>
        </w:rPr>
        <w:t>（草案）</w:t>
      </w:r>
    </w:p>
    <w:p>
      <w:pPr>
        <w:keepNext w:val="0"/>
        <w:keepLines w:val="0"/>
        <w:pageBreakBefore w:val="0"/>
        <w:widowControl w:val="0"/>
        <w:tabs>
          <w:tab w:val="right" w:leader="dot" w:pos="8400"/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Style w:val="8"/>
          <w:rFonts w:hint="default" w:ascii="Times New Roman" w:hAnsi="Times New Roman" w:cs="Times New Roman"/>
        </w:rPr>
      </w:pP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高观镇第十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届人民代表大会第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次会议审议了高观镇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《高观镇202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年财政预算执行情况及202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年财政预算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草案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的报告》。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会议认为，过去的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年，我镇财政在国民经济保持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平稳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增长的同时，千方百计挖掘潜力，加强税收征管，财政支出基本上保证了经济建设的需要，促进了各项事业的发展，这是镇党委正确领导的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果，是全镇干群共同努力、通力协作的结果。20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年财政预算的执行情况良好，财政收入增长较快。镇政府提出20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年财政预算符合我镇实际情况，所提出的各项措施切实可行。会议决定批准这个报告。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会议强调，今后财政工作要进一步加强预算管理，努力提高资金的使用效率；要进一步优化支出结构，确保建设、发展、社会稳定等重点需求，促进财政实现收支平衡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要以新的工作目标为动力，进一步壮大财政实力。全镇上下要齐心协力、自我加压、强化监管，为促进全镇经济社会事业协调、健康、可持续发展奠定坚实的基础！</w:t>
      </w:r>
    </w:p>
    <w:bookmarkEnd w:id="4"/>
    <w:p>
      <w:pPr>
        <w:pStyle w:val="4"/>
        <w:jc w:val="both"/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62DED"/>
    <w:multiLevelType w:val="singleLevel"/>
    <w:tmpl w:val="7D462D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OWUzZWRlN2ZlOWEyNGU3NDUxYWE5ODA1ZmNmNjEifQ=="/>
  </w:docVars>
  <w:rsids>
    <w:rsidRoot w:val="23DF59C6"/>
    <w:rsid w:val="0FFA00C0"/>
    <w:rsid w:val="14072DAB"/>
    <w:rsid w:val="142A0FE9"/>
    <w:rsid w:val="14587163"/>
    <w:rsid w:val="1B4D653E"/>
    <w:rsid w:val="1F4D741E"/>
    <w:rsid w:val="1FE12702"/>
    <w:rsid w:val="23DF59C6"/>
    <w:rsid w:val="258204E4"/>
    <w:rsid w:val="325E5F08"/>
    <w:rsid w:val="3A5B15D7"/>
    <w:rsid w:val="3A771ADE"/>
    <w:rsid w:val="3AB24F6F"/>
    <w:rsid w:val="3C776471"/>
    <w:rsid w:val="3E0B65E6"/>
    <w:rsid w:val="3FEE5389"/>
    <w:rsid w:val="41AE6491"/>
    <w:rsid w:val="44421112"/>
    <w:rsid w:val="451F76A5"/>
    <w:rsid w:val="45513D03"/>
    <w:rsid w:val="468E6891"/>
    <w:rsid w:val="474319B9"/>
    <w:rsid w:val="499E503D"/>
    <w:rsid w:val="4D5A6673"/>
    <w:rsid w:val="52345C72"/>
    <w:rsid w:val="52D715BF"/>
    <w:rsid w:val="535D7D17"/>
    <w:rsid w:val="56292132"/>
    <w:rsid w:val="591F781C"/>
    <w:rsid w:val="59851D75"/>
    <w:rsid w:val="5B665367"/>
    <w:rsid w:val="5B7025B1"/>
    <w:rsid w:val="5EB033F0"/>
    <w:rsid w:val="5FAB4C3F"/>
    <w:rsid w:val="61D373F6"/>
    <w:rsid w:val="627806C9"/>
    <w:rsid w:val="62D022B3"/>
    <w:rsid w:val="689A54AC"/>
    <w:rsid w:val="6D192AA9"/>
    <w:rsid w:val="70BF74C3"/>
    <w:rsid w:val="719A3A8C"/>
    <w:rsid w:val="74381A66"/>
    <w:rsid w:val="75A03D67"/>
    <w:rsid w:val="75D73501"/>
    <w:rsid w:val="768E0063"/>
    <w:rsid w:val="773152F6"/>
    <w:rsid w:val="78104AA8"/>
    <w:rsid w:val="79312F28"/>
    <w:rsid w:val="7D3134F6"/>
    <w:rsid w:val="7DB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_GBK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Autospacing="0" w:afterAutospacing="0" w:line="24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szCs w:val="22"/>
    </w:rPr>
  </w:style>
  <w:style w:type="paragraph" w:styleId="4">
    <w:name w:val="Body Text"/>
    <w:basedOn w:val="1"/>
    <w:next w:val="1"/>
    <w:qFormat/>
    <w:uiPriority w:val="0"/>
    <w:pPr>
      <w:jc w:val="center"/>
    </w:pPr>
    <w:rPr>
      <w:rFonts w:eastAsia="黑体"/>
      <w:sz w:val="30"/>
      <w:szCs w:val="20"/>
    </w:rPr>
  </w:style>
  <w:style w:type="paragraph" w:styleId="5">
    <w:name w:val="List 2"/>
    <w:basedOn w:val="1"/>
    <w:qFormat/>
    <w:uiPriority w:val="0"/>
    <w:pPr>
      <w:ind w:left="840" w:hanging="420"/>
    </w:pPr>
    <w:rPr>
      <w:rFonts w:eastAsia="楷体_GB2312"/>
      <w:sz w:val="32"/>
      <w:szCs w:val="20"/>
    </w:rPr>
  </w:style>
  <w:style w:type="character" w:customStyle="1" w:styleId="8">
    <w:name w:val="标题 1 Char"/>
    <w:link w:val="3"/>
    <w:qFormat/>
    <w:uiPriority w:val="0"/>
    <w:rPr>
      <w:rFonts w:ascii="Times New Roman" w:hAnsi="Times New Roman" w:eastAsia="方正小标宋_GBK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4848</Words>
  <Characters>5374</Characters>
  <Lines>0</Lines>
  <Paragraphs>0</Paragraphs>
  <TotalTime>1371</TotalTime>
  <ScaleCrop>false</ScaleCrop>
  <LinksUpToDate>false</LinksUpToDate>
  <CharactersWithSpaces>5379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2024-12-27T17:06:00Z</dcterms:created>
  <dc:creator>浮华若梦お</dc:creator>
  <cp:lastModifiedBy>ckuos</cp:lastModifiedBy>
  <cp:lastPrinted>2025-02-17T16:38:00Z</cp:lastPrinted>
  <dcterms:modified xsi:type="dcterms:W3CDTF">2025-05-06T16:04:54Z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DDA57F1BE268407181E640E90CEB97B5_13</vt:lpwstr>
  </property>
  <property fmtid="{D5CDD505-2E9C-101B-9397-08002B2CF9AE}" pid="4" name="KSOTemplateDocerSaveRecord">
    <vt:lpwstr>eyJoZGlkIjoiMjNkMDkzNDIwM2I0ZjdiZDhlN2JhMDBmNTcyYzc4NjkifQ==</vt:lpwstr>
  </property>
</Properties>
</file>