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城口县葛城街道办事处关于禁渔护渔工作实施方案的通知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葛城街办发〔2022〕15号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，各科室、站所：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为有效管护好我街道辖区内水生生物资源及特有鱼类水产种质资源，促进生态文明建设与渔业可持续发展，根据《城口县人民政府办公室关于印发〈城口县禁渔区、禁渔期管理实施方案〉的通知》（城府办发〔2020〕105 号）文件要求，特制定本实施方案。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一、组织机构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1、指挥部组建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指挥长：  冯  勇  葛城街道党工委书记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副指挥长：李  健  葛城街道办事处主任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          陈  平  葛城街道办事处副主任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成  员：  付光友  葛城街道综合执法大队工作人员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          尹武军  葛城街道综合执法大队工作人员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          李  珂  葛城街道农业服务中心工作人员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          杜友桢  葛城街道农业服务中心工作人员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          温开银  庙垭村支部书记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          陈学江  棉沙村支部书记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          袁朝勇  桂花井社区支部书记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          付  玉  滨河社区支部书记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          温永奎  东方红社区支部书记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          桂尧均  柳杨社区支部书记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          俞世建  凤凰社区支部书记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指挥部下设办公室在农业服务中心，付光友任办公室主任，负责组织、协调等相关工作。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2.组建街道、村（社区）两级禁渔管理责任体系及三级禁渔网格管护体系，街道主要领导为二级禁渔责任人，仁河经过村（社区）支部书记为三级禁渔责任人。（附件1）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二、区域划分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葛城街道辖区内主要河流为仁河：从庙垭村新桥河沟——柳杨社区小河口，由葛城街道总河长负责三级禁渔管护体系，以河流所经过的村、社区建立管护网格管护区域6个共8个护渔人员。（附件2）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三、“十年禁渔”管理规定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禁渔期：每年3月1日0时起至6月30日24时止， 全县范围内所有天然水域。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禁渔区：辖区内除庙垭水文站至小河口之外的区域。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禁渔内容：在禁渔区、禁渔期内，禁止所有捕捞作业（包括垂钓）以及其他任何形式的破坏渔业资源和渔业生态环境的作业活动，禁止销售非法捕捞的渔获物。禁渔期结束后，在可垂钓区（复兴水文站至巴山水库），严格落实《重庆市禁捕水域休闲垂钓管理办法 (试 行）》之规定：每名垂钓者使用一根鱼竿（鱼线），鱼钩钩尖总数不超过两个的钓具进行垂钓、禁止钓获国家和市级重点保护水生野生动物。钓获国家和市级重点保 护水生野生动物的，应立即放回原水体，有明显外伤的，应及时报告属地渔业主管部门，开展应急救护工作。每名垂钓者每天垂钓期间，留取的钓获物总量不得超过2.5千克，超出部分应当立即放回水体。钓获单尾（只）重量超过2.5千克的，可以留取，其他钓获物应当立即放回原水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四、护渔人员工作职责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、落实巡查责任制。对辖区内河道及市场、餐馆售卖野生鱼、禁用渔具等情况要加强日常巡查，负责禁渔管理条例宣传及非法垂钓劝阻、制止、上报等，建立巡查台账。协助对辖区内非法捕捞人员进行信息采集录入、流转交办、跟踪反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、建立值班制度。实行24小时值班制度，在接到群众举报、行业主管部门及街道领导或者工作人员通知后及时出动赶赴现场，制止非法捕捞行为，并将发现的违法行为及时报告主管部门，积极会同主管部门共同处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3、广泛宣传。一是组织人员在人员集散地、重点河段（路段）、 村社宣传栏等场所，充分利用宣传版画、标语、微信、电子显示屏、院坝会等方式广泛宣传我县禁渔区、禁渔期管理相关规定。 二是与辖区农户群众和居民签订责任书及承诺书，实现全覆盖。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4、 协助开展市场清查监管工作。聚焦水产品交易市场、餐饮场所等市场主体非法收购、加工、销售，利用非法渔获物等行为，协助开展辖区市场销售天然水域非法捕捞 渔获物专项执法检查行动。对农贸市场、餐饮店、农家乐进行排查。禁止以“野生鱼”等为噱头开展宣传营销，依法查处非法制造、销售禁用渔具或发布相关非法信 息等行为，加大广告监测力度，依法查处发布非法水生野生动物交易的虚假违法广告等行为。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5、加强暑期学生防溺水教育巡护工作。暑假期间对辖区内未成年开展防溺水宣传教育工作，在日常巡河过程中对未成年单独下河洗澡的要采取宣传、教育、劝阻、报警等措施。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五、经费保障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按照3000元/人/年给以劳务补贴，资金来源为城口县禁渔管理工作指挥部办公室关于印发《城口县2021年长江禁捕退捕工作整改方案》的通知（城禁渔办〔2022〕6号）文件和2022年6月30日葛城街道党工委会精神办理。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 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 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附件：1.葛城街道禁渔管理工作二级、三级责任名单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2.葛城街道“十年禁渔”二级、三级管护名单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3.葛城街道护渔巡查台账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84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葛城街道办事处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56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2022年8月3日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（此件公开发布）</w:t>
      </w:r>
    </w:p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2C259B1"/>
    <w:rsid w:val="32C259B1"/>
    <w:rsid w:val="9FFB6EB1"/>
    <w:rsid w:val="DAFA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2023-03-03T18:04:00Z</dcterms:created>
  <dc:creator>HUAWEI</dc:creator>
  <cp:lastModifiedBy>葛城街道管理员</cp:lastModifiedBy>
  <dcterms:modified xsi:type="dcterms:W3CDTF">2025-09-25T16:08:57Z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B39978A33CAF4B24AC43126004EFEEEA</vt:lpwstr>
  </property>
</Properties>
</file>