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重庆市城口县巴山镇文化服务中心</w:t>
      </w:r>
    </w:p>
    <w:p>
      <w:pPr>
        <w:pStyle w:val="9"/>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kinsoku/>
        <w:wordWrap/>
        <w:overflowPunct/>
        <w:topLinePunct w:val="0"/>
        <w:autoSpaceDN/>
        <w:bidi w:val="0"/>
        <w:adjustRightInd/>
        <w:spacing w:before="0" w:beforeAutospacing="0" w:after="0" w:afterAutospacing="0" w:line="579"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3"/>
          <w:rFonts w:hint="eastAsia" w:ascii="Times New Roman" w:hAnsi="Times New Roman" w:eastAsia="方正楷体_GBK" w:cs="Times New Roman"/>
          <w:b w:val="0"/>
          <w:bCs w:val="0"/>
          <w:sz w:val="32"/>
          <w:szCs w:val="32"/>
          <w:shd w:val="clear" w:color="auto" w:fill="FFFFFF"/>
        </w:rPr>
        <w:t>（一）职能职责</w:t>
      </w:r>
      <w:r>
        <w:rPr>
          <w:rStyle w:val="13"/>
          <w:rFonts w:hint="eastAsia" w:ascii="Times New Roman" w:hAnsi="Times New Roman" w:eastAsia="方正楷体_GBK" w:cs="Times New Roman"/>
          <w:b w:val="0"/>
          <w:bCs w:val="0"/>
          <w:sz w:val="32"/>
          <w:szCs w:val="32"/>
          <w:shd w:val="clear" w:color="auto" w:fill="FFFFFF"/>
          <w:lang w:eastAsia="zh-CN"/>
        </w:rPr>
        <w:t>。</w:t>
      </w:r>
      <w:r>
        <w:rPr>
          <w:rStyle w:val="13"/>
          <w:rFonts w:hint="eastAsia" w:ascii="Times New Roman" w:hAnsi="Times New Roman" w:eastAsia="方正仿宋_GBK" w:cs="Times New Roman"/>
          <w:b w:val="0"/>
          <w:bCs w:val="0"/>
          <w:sz w:val="32"/>
          <w:szCs w:val="32"/>
          <w:shd w:val="clear" w:color="auto" w:fill="FFFFFF"/>
        </w:rPr>
        <w:t>巴山镇</w:t>
      </w:r>
      <w:r>
        <w:rPr>
          <w:rStyle w:val="13"/>
          <w:rFonts w:hint="eastAsia" w:ascii="Times New Roman" w:hAnsi="Times New Roman" w:eastAsia="方正仿宋_GBK" w:cs="Times New Roman"/>
          <w:b w:val="0"/>
          <w:bCs w:val="0"/>
          <w:sz w:val="32"/>
          <w:szCs w:val="32"/>
          <w:shd w:val="clear" w:color="auto" w:fill="FFFFFF"/>
          <w:lang w:val="en-US" w:eastAsia="zh-CN"/>
        </w:rPr>
        <w:t>文化</w:t>
      </w:r>
      <w:r>
        <w:rPr>
          <w:rStyle w:val="13"/>
          <w:rFonts w:hint="eastAsia" w:ascii="Times New Roman" w:hAnsi="Times New Roman" w:eastAsia="方正仿宋_GBK" w:cs="Times New Roman"/>
          <w:b w:val="0"/>
          <w:bCs w:val="0"/>
          <w:sz w:val="32"/>
          <w:szCs w:val="32"/>
          <w:shd w:val="clear" w:color="auto" w:fill="FFFFFF"/>
        </w:rPr>
        <w:t>服务中心是巴山镇人民政府所属公益一类事业单位。其主要职能职责有：文化服务中心主要承担文化、旅游、宣传、广播电视、体育等工作。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14"/>
        <w:keepNext w:val="0"/>
        <w:keepLines w:val="0"/>
        <w:pageBreakBefore w:val="0"/>
        <w:widowControl/>
        <w:kinsoku/>
        <w:wordWrap/>
        <w:overflowPunct/>
        <w:topLinePunct w:val="0"/>
        <w:autoSpaceDE w:val="0"/>
        <w:autoSpaceDN/>
        <w:bidi w:val="0"/>
        <w:adjustRightInd/>
        <w:spacing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b/>
          <w:bCs w:val="0"/>
          <w:sz w:val="32"/>
          <w:szCs w:val="32"/>
          <w:shd w:val="clear" w:color="auto" w:fill="FFFFFF"/>
        </w:rPr>
        <w:t>1.总体情况。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万元，支出总计</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万元。收支较上年决算数增加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cs="Times New Roman"/>
          <w:sz w:val="32"/>
          <w:szCs w:val="32"/>
          <w:shd w:val="clear" w:color="auto" w:fill="FFFFFF"/>
          <w:lang w:val="en-US" w:eastAsia="zh-CN" w:bidi="ar-SA"/>
        </w:rPr>
        <w:t>18.50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bidi="ar-SA"/>
        </w:rPr>
        <w:t>18.50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服务中心未单独进行财务核算及决算处理，纳入政府核算及决算。其中：财政拨款收入</w:t>
      </w:r>
      <w:r>
        <w:rPr>
          <w:rFonts w:hint="eastAsia" w:ascii="Times New Roman" w:hAnsi="Times New Roman" w:eastAsia="方正仿宋_GBK" w:cs="Times New Roman"/>
          <w:sz w:val="32"/>
          <w:szCs w:val="32"/>
          <w:shd w:val="clear" w:color="auto" w:fill="FFFFFF"/>
          <w:lang w:val="en-US" w:eastAsia="zh-CN" w:bidi="ar-SA"/>
        </w:rPr>
        <w:t>18.50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万元，年初结转和结余</w:t>
      </w:r>
      <w:r>
        <w:rPr>
          <w:rFonts w:hint="eastAsia"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sz w:val="32"/>
          <w:szCs w:val="32"/>
          <w:shd w:val="clear" w:color="auto" w:fill="FFFFFF"/>
          <w:lang w:val="en-US" w:eastAsia="zh-CN" w:bidi="ar-SA"/>
        </w:rPr>
        <w:t>18.50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bidi="ar-SA"/>
        </w:rPr>
        <w:t>18.50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服务中心未单独进行财务核算及决算处理，纳入政府核算及决算。其中：基本支出</w:t>
      </w:r>
      <w:r>
        <w:rPr>
          <w:rFonts w:hint="eastAsia" w:ascii="Times New Roman" w:hAnsi="Times New Roman" w:eastAsia="方正仿宋_GBK" w:cs="Times New Roman"/>
          <w:sz w:val="32"/>
          <w:szCs w:val="32"/>
          <w:shd w:val="clear" w:color="auto" w:fill="FFFFFF"/>
          <w:lang w:val="en-US" w:eastAsia="zh-CN" w:bidi="ar-SA"/>
        </w:rPr>
        <w:t>18.50</w:t>
      </w:r>
      <w:r>
        <w:rPr>
          <w:rFonts w:hint="default" w:ascii="Times New Roman" w:hAnsi="Times New Roman" w:eastAsia="方正仿宋_GBK" w:cs="Times New Roman"/>
          <w:sz w:val="32"/>
          <w:szCs w:val="32"/>
          <w:shd w:val="clear" w:color="auto" w:fill="FFFFFF"/>
          <w:lang w:val="en-US" w:eastAsia="zh-CN" w:bidi="ar-SA"/>
        </w:rPr>
        <w:t>万</w:t>
      </w:r>
      <w:r>
        <w:rPr>
          <w:rFonts w:ascii="方正仿宋_GBK" w:hAnsi="方正仿宋_GBK" w:eastAsia="方正仿宋_GBK" w:cs="方正仿宋_GBK"/>
          <w:sz w:val="32"/>
          <w:szCs w:val="32"/>
          <w:shd w:val="clear" w:color="auto" w:fill="FFFFFF"/>
        </w:rPr>
        <w:t>元，占</w:t>
      </w:r>
      <w:r>
        <w:rPr>
          <w:rFonts w:hint="eastAsia" w:ascii="Times New Roman" w:hAnsi="Times New Roman" w:eastAsia="方正仿宋_GBK" w:cs="Times New Roman"/>
          <w:sz w:val="32"/>
          <w:szCs w:val="32"/>
          <w:shd w:val="clear" w:color="auto" w:fill="FFFFFF"/>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；项目支出</w:t>
      </w:r>
      <w:r>
        <w:rPr>
          <w:rFonts w:hint="eastAsia"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b w:val="0"/>
          <w:bCs w:val="0"/>
          <w:sz w:val="32"/>
          <w:szCs w:val="32"/>
          <w:shd w:val="clear" w:color="auto" w:fill="FFFFFF"/>
          <w:lang w:val="en-US" w:eastAsia="zh-CN" w:bidi="ar-SA"/>
        </w:rPr>
        <w:t>0.00</w:t>
      </w:r>
      <w:r>
        <w:rPr>
          <w:rFonts w:ascii="方正仿宋_GBK" w:hAnsi="方正仿宋_GBK" w:eastAsia="方正仿宋_GBK" w:cs="方正仿宋_GBK"/>
          <w:sz w:val="32"/>
          <w:szCs w:val="32"/>
          <w:shd w:val="clear" w:color="auto" w:fill="FFFFFF"/>
        </w:rPr>
        <w:t>万元，较上年决算数无增减。</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bidi="ar-SA"/>
        </w:rPr>
        <w:t>8.50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1.收入情况。</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hint="default"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服务中心未单独进行财务核算及决算处理，纳入政府核算及决算。较年初预算数</w:t>
      </w:r>
      <w:r>
        <w:rPr>
          <w:rFonts w:hint="default" w:ascii="Times New Roman" w:hAnsi="Times New Roman" w:eastAsia="方正仿宋_GBK" w:cs="Times New Roman"/>
          <w:sz w:val="32"/>
          <w:szCs w:val="32"/>
          <w:shd w:val="clear" w:color="auto" w:fill="FFFFFF"/>
          <w:lang w:val="en-US" w:eastAsia="zh-CN"/>
        </w:rPr>
        <w:t>增</w:t>
      </w:r>
      <w:r>
        <w:rPr>
          <w:rFonts w:hint="eastAsia" w:ascii="方正仿宋_GBK" w:hAnsi="方正仿宋_GBK" w:eastAsia="方正仿宋_GBK" w:cs="方正仿宋_GBK"/>
          <w:sz w:val="32"/>
          <w:szCs w:val="32"/>
          <w:shd w:val="clear" w:color="auto" w:fill="FFFFFF"/>
          <w:lang w:val="en-US" w:eastAsia="zh-CN"/>
        </w:rPr>
        <w:t>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w:t>
      </w:r>
      <w:r>
        <w:rPr>
          <w:rFonts w:ascii="方正仿宋_GBK" w:hAnsi="方正仿宋_GBK" w:eastAsia="方正仿宋_GBK" w:cs="方正仿宋_GBK"/>
          <w:sz w:val="32"/>
          <w:szCs w:val="32"/>
          <w:shd w:val="clear" w:color="auto" w:fill="FFFFFF"/>
        </w:rPr>
        <w:t>农业服务中心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年度一般公共预算财政拨款支</w:t>
      </w:r>
      <w:r>
        <w:rPr>
          <w:rFonts w:hint="eastAsia" w:ascii="Times New Roman" w:hAnsi="Times New Roman" w:eastAsia="方正仿宋_GBK" w:cs="Times New Roman"/>
          <w:sz w:val="32"/>
          <w:szCs w:val="32"/>
          <w:shd w:val="clear" w:color="auto" w:fill="FFFFFF"/>
          <w:lang w:val="en-US" w:eastAsia="zh-CN"/>
        </w:rPr>
        <w:t>出18.50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服务中心未单独进行财务核算及决算处理，纳入政府核算及决算。较年初预算数增加</w:t>
      </w:r>
      <w:r>
        <w:rPr>
          <w:rFonts w:hint="eastAsia" w:ascii="Times New Roman" w:hAnsi="Times New Roman" w:eastAsia="方正仿宋_GBK" w:cs="Times New Roman"/>
          <w:sz w:val="32"/>
          <w:szCs w:val="32"/>
          <w:shd w:val="clear" w:color="auto" w:fill="FFFFFF"/>
          <w:lang w:val="en-US" w:eastAsia="zh-CN"/>
        </w:rPr>
        <w:t>18.50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sz w:val="32"/>
          <w:szCs w:val="32"/>
          <w:shd w:val="clear" w:color="auto" w:fill="FFFFFF"/>
        </w:rPr>
        <w:t>文化旅游体育与传媒支出</w:t>
      </w:r>
      <w:r>
        <w:rPr>
          <w:rFonts w:hint="eastAsia" w:ascii="Times New Roman" w:hAnsi="Times New Roman" w:eastAsia="方正仿宋_GBK" w:cs="Times New Roman"/>
          <w:sz w:val="32"/>
          <w:szCs w:val="32"/>
          <w:shd w:val="clear" w:color="auto" w:fill="FFFFFF"/>
          <w:lang w:val="en-US" w:eastAsia="zh-CN"/>
        </w:rPr>
        <w:t>11.87万</w:t>
      </w:r>
      <w:r>
        <w:rPr>
          <w:rFonts w:ascii="方正仿宋_GBK" w:hAnsi="方正仿宋_GBK" w:eastAsia="方正仿宋_GBK" w:cs="方正仿宋_GBK"/>
          <w:sz w:val="32"/>
          <w:szCs w:val="32"/>
          <w:shd w:val="clear" w:color="auto" w:fill="FFFFFF"/>
        </w:rPr>
        <w:t>元，占</w:t>
      </w:r>
      <w:r>
        <w:rPr>
          <w:rFonts w:hint="eastAsia" w:ascii="Times New Roman" w:hAnsi="Times New Roman" w:eastAsia="方正仿宋_GBK" w:cs="Times New Roman"/>
          <w:sz w:val="32"/>
          <w:szCs w:val="32"/>
          <w:shd w:val="clear" w:color="auto" w:fill="FFFFFF"/>
          <w:lang w:val="en-US" w:eastAsia="zh-CN"/>
        </w:rPr>
        <w:t>64.15%</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11.87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lang w:val="en-US" w:eastAsia="zh-CN"/>
        </w:rPr>
        <w:t>3.44</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18.58%，</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3.44</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shd w:val="clear" w:color="auto" w:fill="FFFFFF"/>
          <w:lang w:val="en-US" w:eastAsia="zh-CN"/>
        </w:rPr>
        <w:t>1.48</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7.98%</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1.48</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kinsoku/>
        <w:wordWrap/>
        <w:overflowPunct/>
        <w:topLinePunct w:val="0"/>
        <w:autoSpaceDN/>
        <w:bidi w:val="0"/>
        <w:adjustRightInd/>
        <w:spacing w:line="579"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shd w:val="clear" w:color="auto" w:fill="FFFFFF"/>
          <w:lang w:val="en-US" w:eastAsia="zh-CN" w:bidi="ar-SA"/>
        </w:rPr>
        <w:t>1.72</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bidi="ar-SA"/>
        </w:rPr>
        <w:t>9.29%</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bidi="ar-SA"/>
        </w:rPr>
        <w:t>1.72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lang w:val="en-US" w:eastAsia="zh-CN"/>
        </w:rPr>
        <w:t>18.50万</w:t>
      </w:r>
      <w:r>
        <w:rPr>
          <w:rFonts w:ascii="方正仿宋_GBK" w:hAnsi="方正仿宋_GBK" w:eastAsia="方正仿宋_GBK" w:cs="方正仿宋_GBK"/>
          <w:sz w:val="32"/>
          <w:szCs w:val="32"/>
          <w:shd w:val="clear" w:color="auto" w:fill="FFFFFF"/>
        </w:rPr>
        <w:t>元。其中：人</w:t>
      </w:r>
      <w:r>
        <w:rPr>
          <w:rFonts w:hint="eastAsia" w:ascii="方正仿宋_GBK" w:hAnsi="方正仿宋_GBK" w:eastAsia="方正仿宋_GBK" w:cs="方正仿宋_GBK"/>
          <w:sz w:val="32"/>
          <w:szCs w:val="32"/>
          <w:shd w:val="clear" w:color="auto" w:fill="FFFFFF"/>
          <w:lang w:val="en-US" w:eastAsia="zh-CN"/>
        </w:rPr>
        <w:t>员经费</w:t>
      </w:r>
      <w:r>
        <w:rPr>
          <w:rFonts w:hint="eastAsia" w:ascii="Times New Roman" w:hAnsi="Times New Roman" w:eastAsia="方正仿宋_GBK" w:cs="Times New Roman"/>
          <w:sz w:val="32"/>
          <w:szCs w:val="32"/>
          <w:shd w:val="clear" w:color="auto" w:fill="FFFFFF"/>
          <w:lang w:val="en-US" w:eastAsia="zh-CN"/>
        </w:rPr>
        <w:t>16.44</w:t>
      </w:r>
      <w:r>
        <w:rPr>
          <w:rFonts w:hint="eastAsia" w:ascii="方正仿宋_GBK" w:hAnsi="方正仿宋_GBK" w:eastAsia="方正仿宋_GBK" w:cs="方正仿宋_GBK"/>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，较上年决算数增加</w:t>
      </w:r>
      <w:r>
        <w:rPr>
          <w:rFonts w:hint="default" w:ascii="Times New Roman" w:hAnsi="Times New Roman" w:eastAsia="方正仿宋_GBK" w:cs="Times New Roman"/>
          <w:sz w:val="32"/>
          <w:szCs w:val="32"/>
          <w:shd w:val="clear" w:color="auto" w:fill="FFFFFF"/>
          <w:lang w:val="en-US" w:eastAsia="zh-CN"/>
        </w:rPr>
        <w:t>16.44</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服务中心未单独进行财务核算及决算处理，纳入政府核算及决算。人员经费用途主要包括</w:t>
      </w:r>
      <w:r>
        <w:rPr>
          <w:rFonts w:hint="default" w:ascii="方正仿宋_GBK" w:hAnsi="方正仿宋_GBK" w:eastAsia="方正仿宋_GBK" w:cs="方正仿宋_GBK"/>
          <w:sz w:val="32"/>
          <w:szCs w:val="32"/>
          <w:shd w:val="clear" w:color="auto" w:fill="FFFFFF"/>
        </w:rPr>
        <w:t>基本工资、津贴补贴、奖金、伙食补助费、绩效工资、社会保障缴费及住房公积金等。</w:t>
      </w:r>
      <w:r>
        <w:rPr>
          <w:rFonts w:ascii="方正仿宋_GBK" w:hAnsi="方正仿宋_GBK" w:eastAsia="方正仿宋_GBK" w:cs="方正仿宋_GBK"/>
          <w:sz w:val="32"/>
          <w:szCs w:val="32"/>
          <w:shd w:val="clear" w:color="auto" w:fill="FFFFFF"/>
        </w:rPr>
        <w:t>公用经费</w:t>
      </w:r>
      <w:r>
        <w:rPr>
          <w:rFonts w:hint="eastAsia" w:ascii="Times New Roman" w:hAnsi="Times New Roman" w:eastAsia="方正仿宋_GBK" w:cs="Times New Roman"/>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服务中心未单独进行财务核算及决算处理，纳入政府核算及决算。公用经费用途主要包括</w:t>
      </w:r>
      <w:r>
        <w:rPr>
          <w:rFonts w:hint="default" w:ascii="方正仿宋_GBK" w:hAnsi="方正仿宋_GBK" w:eastAsia="方正仿宋_GBK" w:cs="方正仿宋_GBK"/>
          <w:sz w:val="32"/>
          <w:szCs w:val="32"/>
          <w:shd w:val="clear" w:color="auto" w:fill="FFFFFF"/>
        </w:rPr>
        <w:t>办公费、差旅费、劳务费、公务接待费及公务用车运行维护费等。</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年中从政府（本级）调整预算到文化</w:t>
      </w:r>
      <w:r>
        <w:rPr>
          <w:rFonts w:ascii="方正仿宋_GBK" w:hAnsi="方正仿宋_GBK" w:eastAsia="方正仿宋_GBK" w:cs="方正仿宋_GBK"/>
          <w:sz w:val="32"/>
          <w:szCs w:val="32"/>
          <w:shd w:val="clear" w:color="auto" w:fill="FFFFFF"/>
        </w:rPr>
        <w:t>服务中心</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年度本单位因公出国（境）费用</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主要是用于没有因公出国（境）职工</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度未发生因公出国（境）支出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主要用于车辆采购</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eastAsia="zh-CN"/>
        </w:rPr>
        <w:t>年</w:t>
      </w:r>
      <w:r>
        <w:rPr>
          <w:rFonts w:hint="default" w:ascii="方正仿宋_GBK" w:hAnsi="方正仿宋_GBK" w:eastAsia="方正仿宋_GBK" w:cs="方正仿宋_GBK"/>
          <w:sz w:val="32"/>
          <w:szCs w:val="32"/>
          <w:shd w:val="clear" w:color="auto" w:fill="FFFFFF"/>
        </w:rPr>
        <w:t>度未发生公务车购置支出</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rPr>
        <w:t>县内因公出行、</w:t>
      </w:r>
      <w:r>
        <w:rPr>
          <w:rFonts w:hint="eastAsia" w:ascii="方正仿宋_GBK" w:hAnsi="方正仿宋_GBK" w:eastAsia="方正仿宋_GBK" w:cs="方正仿宋_GBK"/>
          <w:sz w:val="32"/>
          <w:szCs w:val="32"/>
          <w:shd w:val="clear" w:color="auto" w:fill="FFFFFF"/>
          <w:lang w:eastAsia="zh-CN"/>
        </w:rPr>
        <w:t>安全生产监管、乡村振兴、巩固脱贫攻坚成果</w:t>
      </w:r>
      <w:r>
        <w:rPr>
          <w:rFonts w:hint="default" w:ascii="方正仿宋_GBK" w:hAnsi="方正仿宋_GBK" w:eastAsia="方正仿宋_GBK" w:cs="方正仿宋_GBK"/>
          <w:sz w:val="32"/>
          <w:szCs w:val="32"/>
          <w:shd w:val="clear" w:color="auto" w:fill="FFFFFF"/>
        </w:rPr>
        <w:t>等工作所需车辆的燃料费、维修费、保险费等。</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无增减</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无增减</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统一在政府（本级）列支，下属事业单位未单独列支</w:t>
      </w:r>
      <w:r>
        <w:rPr>
          <w:rFonts w:hint="default"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万元，主要用于接待</w:t>
      </w:r>
      <w:r>
        <w:rPr>
          <w:rFonts w:hint="default" w:ascii="方正仿宋_GBK" w:hAnsi="方正仿宋_GBK" w:eastAsia="方正仿宋_GBK" w:cs="方正仿宋_GBK"/>
          <w:sz w:val="32"/>
          <w:szCs w:val="32"/>
          <w:shd w:val="clear" w:color="auto" w:fill="FFFFFF"/>
        </w:rPr>
        <w:t>相关部门检查指导工作发生的支出</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w:t>
      </w:r>
      <w:r>
        <w:rPr>
          <w:rFonts w:hint="eastAsia" w:ascii="Times New Roman" w:hAnsi="Times New Roman" w:eastAsia="方正仿宋_GBK" w:cs="Times New Roman"/>
          <w:sz w:val="32"/>
          <w:szCs w:val="32"/>
          <w:shd w:val="clear" w:color="auto" w:fill="FFFFFF"/>
          <w:lang w:val="en-US" w:eastAsia="zh-CN"/>
        </w:rPr>
        <w:t>0.31万</w:t>
      </w:r>
      <w:r>
        <w:rPr>
          <w:rFonts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rPr>
        <w:t>100.00%，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文化</w:t>
      </w:r>
      <w:r>
        <w:rPr>
          <w:rFonts w:ascii="方正仿宋_GBK" w:hAnsi="方正仿宋_GBK" w:eastAsia="方正仿宋_GBK" w:cs="方正仿宋_GBK"/>
          <w:sz w:val="32"/>
          <w:szCs w:val="32"/>
          <w:shd w:val="clear" w:color="auto" w:fill="FFFFFF"/>
        </w:rPr>
        <w:t>服务中心未单独进行财务核算及决算处理，纳入政府核算及决算</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年度本单位因公出国（境）共计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个团组，</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人；公务用车购置</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辆，公务车保有量为</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辆；国内公务接待</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人，其中：国内外事接待</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人；国（境）外公务接待</w:t>
      </w:r>
      <w:r>
        <w:rPr>
          <w:rFonts w:hint="eastAsia" w:ascii="Times New Roman" w:hAnsi="Times New Roman" w:eastAsia="方正仿宋_GBK" w:cs="Times New Roman"/>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lang w:val="en-US" w:eastAsia="zh-CN"/>
        </w:rPr>
        <w:t>批次，</w:t>
      </w:r>
      <w:r>
        <w:rPr>
          <w:rFonts w:hint="eastAsia" w:ascii="Times New Roman" w:hAnsi="Times New Roman" w:eastAsia="方正仿宋_GBK" w:cs="Times New Roman"/>
          <w:sz w:val="32"/>
          <w:szCs w:val="32"/>
          <w:shd w:val="clear" w:color="auto" w:fill="FFFFFF"/>
          <w:lang w:val="en-US" w:eastAsia="zh-CN"/>
        </w:rPr>
        <w:t>150</w:t>
      </w:r>
      <w:r>
        <w:rPr>
          <w:rFonts w:hint="eastAsia" w:ascii="方正仿宋_GBK" w:hAnsi="方正仿宋_GBK" w:eastAsia="方正仿宋_GBK" w:cs="方正仿宋_GBK"/>
          <w:sz w:val="32"/>
          <w:szCs w:val="32"/>
          <w:shd w:val="clear" w:color="auto" w:fill="FFFFFF"/>
          <w:lang w:val="en-US" w:eastAsia="zh-CN"/>
        </w:rPr>
        <w:t>人。</w:t>
      </w: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年本单位人均接待费</w:t>
      </w:r>
      <w:r>
        <w:rPr>
          <w:rFonts w:hint="eastAsia" w:ascii="Times New Roman" w:hAnsi="Times New Roman" w:eastAsia="方正仿宋_GBK" w:cs="Times New Roman"/>
          <w:sz w:val="32"/>
          <w:szCs w:val="32"/>
          <w:shd w:val="clear" w:color="auto" w:fill="FFFFFF"/>
          <w:lang w:val="en-US" w:eastAsia="zh-CN"/>
        </w:rPr>
        <w:t>20.74</w:t>
      </w:r>
      <w:r>
        <w:rPr>
          <w:rFonts w:hint="eastAsia" w:ascii="方正仿宋_GBK" w:hAnsi="方正仿宋_GBK" w:eastAsia="方正仿宋_GBK" w:cs="方正仿宋_GBK"/>
          <w:sz w:val="32"/>
          <w:szCs w:val="32"/>
          <w:shd w:val="clear" w:color="auto" w:fill="FFFFFF"/>
          <w:lang w:val="en-US" w:eastAsia="zh-CN"/>
        </w:rPr>
        <w:t>元，车均购置费</w:t>
      </w:r>
      <w:r>
        <w:rPr>
          <w:rFonts w:hint="eastAsia" w:ascii="Times New Roman" w:hAnsi="Times New Roman" w:eastAsia="方正仿宋_GBK" w:cs="Times New Roman"/>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万元，车均维护费</w:t>
      </w:r>
      <w:r>
        <w:rPr>
          <w:rFonts w:hint="eastAsia" w:ascii="Times New Roman" w:hAnsi="Times New Roman" w:eastAsia="方正仿宋_GBK" w:cs="Times New Roman"/>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lang w:val="en-US" w:eastAsia="zh-CN"/>
        </w:rPr>
        <w:t>0.00</w:t>
      </w:r>
      <w:r>
        <w:rPr>
          <w:rFonts w:hint="eastAsia" w:ascii="方正仿宋_GBK" w:hAnsi="方正仿宋_GBK" w:eastAsia="方正仿宋_GBK" w:cs="方正仿宋_GBK"/>
          <w:color w:val="auto"/>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rPr>
        <w:t>年度未单独安排会议费。本年度培训费支出</w:t>
      </w:r>
      <w:r>
        <w:rPr>
          <w:rFonts w:hint="eastAsia" w:ascii="Times New Roman" w:hAnsi="Times New Roman" w:eastAsia="方正仿宋_GBK" w:cs="Times New Roman"/>
          <w:sz w:val="32"/>
          <w:szCs w:val="32"/>
          <w:shd w:val="clear" w:color="auto" w:fill="FFFFFF"/>
          <w:lang w:val="en-US" w:eastAsia="zh-CN"/>
        </w:rPr>
        <w:t>0.00</w:t>
      </w:r>
      <w:r>
        <w:rPr>
          <w:rFonts w:hint="eastAsia" w:ascii="方正仿宋_GBK" w:hAnsi="方正仿宋_GBK" w:eastAsia="方正仿宋_GBK" w:cs="方正仿宋_GBK"/>
          <w:color w:val="auto"/>
          <w:sz w:val="32"/>
          <w:szCs w:val="32"/>
          <w:shd w:val="clear" w:color="auto" w:fill="FFFFFF"/>
        </w:rPr>
        <w:t>万元，较上年决算数无变化，主要原因是</w:t>
      </w:r>
      <w:r>
        <w:rPr>
          <w:rFonts w:hint="eastAsia"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rPr>
        <w:t>年度未单独安排会议费。</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Fonts w:hint="default"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eastAsia" w:ascii="Times New Roman" w:hAnsi="Times New Roman" w:eastAsia="方正仿宋_GBK" w:cs="Times New Roman"/>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w:t>
      </w:r>
      <w:r>
        <w:rPr>
          <w:rFonts w:hint="eastAsia" w:ascii="Times New Roman" w:hAnsi="Times New Roman" w:eastAsia="方正仿宋_GBK" w:cs="Times New Roman"/>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月</w:t>
      </w:r>
      <w:r>
        <w:rPr>
          <w:rFonts w:hint="eastAsia" w:ascii="Times New Roman" w:hAnsi="Times New Roman" w:eastAsia="方正仿宋_GBK" w:cs="Times New Roman"/>
          <w:sz w:val="32"/>
          <w:szCs w:val="32"/>
          <w:shd w:val="clear" w:color="auto" w:fill="FFFFFF"/>
          <w:lang w:val="en-US" w:eastAsia="zh-CN"/>
        </w:rPr>
        <w:t>31</w:t>
      </w:r>
      <w:r>
        <w:rPr>
          <w:rFonts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pacing w:line="579" w:lineRule="exact"/>
        <w:ind w:firstLine="640" w:firstLineChars="200"/>
        <w:jc w:val="both"/>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202</w:t>
      </w:r>
      <w:r>
        <w:rPr>
          <w:rFonts w:hint="eastAsia" w:ascii="Times New Roman" w:hAnsi="Times New Roman" w:eastAsia="方正仿宋_GBK" w:cs="Times New Roman"/>
          <w:sz w:val="32"/>
          <w:szCs w:val="32"/>
          <w:shd w:val="clear" w:color="auto" w:fill="FFFFFF"/>
          <w:lang w:val="en-US" w:eastAsia="zh-CN"/>
        </w:rPr>
        <w:t>4</w:t>
      </w:r>
      <w:r>
        <w:rPr>
          <w:rFonts w:hint="default" w:ascii="方正仿宋_GBK" w:hAnsi="方正仿宋_GBK" w:eastAsia="方正仿宋_GBK" w:cs="方正仿宋_GBK"/>
          <w:color w:val="auto"/>
          <w:sz w:val="32"/>
          <w:szCs w:val="32"/>
          <w:shd w:val="clear" w:color="auto" w:fill="FFFFFF"/>
        </w:rPr>
        <w:t>年度我单位未发生政府采购事项，无相关经费支出。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w:t>
      </w:r>
      <w:r>
        <w:rPr>
          <w:rFonts w:hint="eastAsia" w:ascii="Times New Roman" w:hAnsi="Times New Roman" w:eastAsia="方正仿宋_GBK" w:cs="Times New Roman"/>
          <w:sz w:val="32"/>
          <w:szCs w:val="32"/>
          <w:shd w:val="clear" w:color="auto" w:fill="FFFFFF"/>
          <w:lang w:val="en-US" w:eastAsia="zh-CN"/>
        </w:rPr>
        <w:t>2024</w:t>
      </w:r>
      <w:r>
        <w:rPr>
          <w:rStyle w:val="13"/>
          <w:rFonts w:hint="eastAsia" w:ascii="方正黑体_GBK" w:hAnsi="方正黑体_GBK" w:eastAsia="方正黑体_GBK" w:cs="方正黑体_GBK"/>
          <w:b w:val="0"/>
          <w:bCs/>
          <w:sz w:val="32"/>
          <w:szCs w:val="32"/>
          <w:shd w:val="clear" w:color="auto" w:fill="FFFFFF"/>
          <w:lang w:val="en-US" w:eastAsia="zh-CN"/>
        </w:rPr>
        <w:t>年度预算绩效管理情况说明</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val="en-US" w:eastAsia="zh-CN" w:bidi="ar-SA"/>
        </w:rPr>
        <w:t>根据预算绩效管理要求，政府（本级）对部门整体和</w:t>
      </w:r>
      <w:r>
        <w:rPr>
          <w:rFonts w:hint="eastAsia" w:ascii="Times New Roman" w:hAnsi="Times New Roman" w:eastAsia="方正仿宋_GBK" w:cs="Times New Roman"/>
          <w:sz w:val="32"/>
          <w:szCs w:val="32"/>
          <w:shd w:val="clear" w:color="auto" w:fill="FFFFFF"/>
          <w:lang w:val="en-US" w:eastAsia="zh-CN" w:bidi="ar-SA"/>
        </w:rPr>
        <w:t>58</w:t>
      </w:r>
      <w:r>
        <w:rPr>
          <w:rFonts w:hint="eastAsia" w:ascii="方正仿宋_GBK" w:hAnsi="方正仿宋_GBK" w:eastAsia="方正仿宋_GBK" w:cs="方正仿宋_GBK"/>
          <w:sz w:val="32"/>
          <w:szCs w:val="32"/>
          <w:shd w:val="clear" w:color="auto" w:fill="FFFFFF"/>
          <w:lang w:val="en-US" w:eastAsia="zh-CN" w:bidi="ar-SA"/>
        </w:rPr>
        <w:t>个项目开展了绩效自评，故本站所</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lang w:val="en-US" w:eastAsia="zh-CN" w:bidi="ar-SA"/>
        </w:rPr>
        <w:t>年度无需再次开展绩效评价。</w:t>
      </w:r>
    </w:p>
    <w:p>
      <w:pPr>
        <w:pStyle w:val="15"/>
        <w:keepNext w:val="0"/>
        <w:keepLines w:val="0"/>
        <w:pageBreakBefore w:val="0"/>
        <w:widowControl w:val="0"/>
        <w:kinsoku/>
        <w:wordWrap/>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b w:val="0"/>
          <w:bCs w:val="0"/>
          <w:sz w:val="32"/>
          <w:szCs w:val="32"/>
          <w:shd w:val="clear" w:color="auto" w:fill="FFFFFF"/>
        </w:rPr>
        <w:t>巴山镇人民政府</w:t>
      </w:r>
      <w:r>
        <w:rPr>
          <w:rFonts w:hint="eastAsia" w:ascii="方正仿宋_GBK" w:hAnsi="方正仿宋_GBK" w:eastAsia="方正仿宋_GBK" w:cs="方正仿宋_GBK"/>
          <w:color w:val="FF0000"/>
          <w:kern w:val="0"/>
          <w:sz w:val="32"/>
          <w:szCs w:val="32"/>
          <w:shd w:val="clear" w:fill="FFFFFF"/>
        </w:rPr>
        <w:t xml:space="preserve">   </w:t>
      </w:r>
      <w:r>
        <w:rPr>
          <w:rFonts w:hint="default" w:ascii="Times New Roman" w:hAnsi="Times New Roman" w:eastAsia="方正仿宋_GBK" w:cs="Times New Roman"/>
          <w:b w:val="0"/>
          <w:bCs w:val="0"/>
          <w:sz w:val="32"/>
          <w:szCs w:val="32"/>
          <w:shd w:val="clear" w:color="auto" w:fill="FFFFFF"/>
        </w:rPr>
        <w:t>023-59280550</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9" w:lineRule="exact"/>
        <w:jc w:val="both"/>
        <w:textAlignment w:val="auto"/>
        <w:rPr>
          <w:rStyle w:val="13"/>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2098" w:right="1474" w:bottom="1984" w:left="1587" w:header="851" w:footer="1361" w:gutter="0"/>
          <w:pgNumType w:fmt="decimal"/>
          <w:cols w:space="720" w:num="1"/>
          <w:titlePg/>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巴山镇文化服务中心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巴山镇文化服务中心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巴山镇文化服务中心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巴山镇文化服务中心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巴山镇文化服务中心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巴山镇文化服务中心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9" w:type="default"/>
      <w:footerReference r:id="rId10"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4" o:spid="_x0000_s103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35" o:spid="_x0000_s103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sz w:val="18"/>
      </w:rPr>
      <w:pict>
        <v:shape id="_x0000_s1036" o:spid="_x0000_s103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2YTEzMmZiZjY0ZTA1MTVhZDBhOTA4ODhmNzE5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C60B85"/>
    <w:rsid w:val="02D2752A"/>
    <w:rsid w:val="02DF39F5"/>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BF1E54"/>
    <w:rsid w:val="0DDA54E4"/>
    <w:rsid w:val="0E3A5F83"/>
    <w:rsid w:val="0F5C47D0"/>
    <w:rsid w:val="0F836721"/>
    <w:rsid w:val="0FA25D96"/>
    <w:rsid w:val="107B59E5"/>
    <w:rsid w:val="10EC0126"/>
    <w:rsid w:val="10F70B9A"/>
    <w:rsid w:val="111445C7"/>
    <w:rsid w:val="114278C6"/>
    <w:rsid w:val="1158083A"/>
    <w:rsid w:val="11643A4B"/>
    <w:rsid w:val="11ED0F98"/>
    <w:rsid w:val="11F03528"/>
    <w:rsid w:val="12C921C4"/>
    <w:rsid w:val="132868C7"/>
    <w:rsid w:val="13653B07"/>
    <w:rsid w:val="13871C70"/>
    <w:rsid w:val="13A71CB4"/>
    <w:rsid w:val="13AF1D43"/>
    <w:rsid w:val="13CE1647"/>
    <w:rsid w:val="13FD55AB"/>
    <w:rsid w:val="14200702"/>
    <w:rsid w:val="14370EA1"/>
    <w:rsid w:val="14482ACA"/>
    <w:rsid w:val="163A6CEE"/>
    <w:rsid w:val="173708E3"/>
    <w:rsid w:val="17C374FC"/>
    <w:rsid w:val="182E4AB6"/>
    <w:rsid w:val="189079DC"/>
    <w:rsid w:val="189B0D0B"/>
    <w:rsid w:val="18B43F7C"/>
    <w:rsid w:val="191C433B"/>
    <w:rsid w:val="194A1770"/>
    <w:rsid w:val="19B906A4"/>
    <w:rsid w:val="1A857966"/>
    <w:rsid w:val="1B6F15B6"/>
    <w:rsid w:val="1BAA2EDC"/>
    <w:rsid w:val="1CA55E64"/>
    <w:rsid w:val="1D014A01"/>
    <w:rsid w:val="1D022362"/>
    <w:rsid w:val="1D1B04B0"/>
    <w:rsid w:val="1D526BEB"/>
    <w:rsid w:val="1DA52501"/>
    <w:rsid w:val="1DBD6767"/>
    <w:rsid w:val="1DC52125"/>
    <w:rsid w:val="1DD26311"/>
    <w:rsid w:val="1E374ACB"/>
    <w:rsid w:val="1ECF0A66"/>
    <w:rsid w:val="1EF67CA4"/>
    <w:rsid w:val="1F020D3A"/>
    <w:rsid w:val="1F2C5189"/>
    <w:rsid w:val="1F4B0B02"/>
    <w:rsid w:val="1FBB35CD"/>
    <w:rsid w:val="1FCD26AF"/>
    <w:rsid w:val="1FE51C17"/>
    <w:rsid w:val="20642787"/>
    <w:rsid w:val="21416940"/>
    <w:rsid w:val="21556F04"/>
    <w:rsid w:val="22403BD3"/>
    <w:rsid w:val="22AD3177"/>
    <w:rsid w:val="235417B6"/>
    <w:rsid w:val="24B92327"/>
    <w:rsid w:val="24C14514"/>
    <w:rsid w:val="2533755C"/>
    <w:rsid w:val="25791755"/>
    <w:rsid w:val="25915452"/>
    <w:rsid w:val="26396DF4"/>
    <w:rsid w:val="27167136"/>
    <w:rsid w:val="271B442C"/>
    <w:rsid w:val="27B23302"/>
    <w:rsid w:val="29310A5F"/>
    <w:rsid w:val="29C37A35"/>
    <w:rsid w:val="2A076083"/>
    <w:rsid w:val="2A73162E"/>
    <w:rsid w:val="2B167953"/>
    <w:rsid w:val="2B200583"/>
    <w:rsid w:val="2B2729C0"/>
    <w:rsid w:val="2B8209DE"/>
    <w:rsid w:val="2B821C91"/>
    <w:rsid w:val="2B832868"/>
    <w:rsid w:val="2BF81A22"/>
    <w:rsid w:val="2C0954BB"/>
    <w:rsid w:val="2C636760"/>
    <w:rsid w:val="2C6762A3"/>
    <w:rsid w:val="2E917E5D"/>
    <w:rsid w:val="2FCA4B37"/>
    <w:rsid w:val="2FE029D7"/>
    <w:rsid w:val="2FF06E00"/>
    <w:rsid w:val="30586FEC"/>
    <w:rsid w:val="306C426A"/>
    <w:rsid w:val="31013F5E"/>
    <w:rsid w:val="315F0B22"/>
    <w:rsid w:val="31991B31"/>
    <w:rsid w:val="31A15828"/>
    <w:rsid w:val="31D84415"/>
    <w:rsid w:val="32285F6F"/>
    <w:rsid w:val="32770556"/>
    <w:rsid w:val="329C0913"/>
    <w:rsid w:val="32AA0460"/>
    <w:rsid w:val="3337290D"/>
    <w:rsid w:val="33E31118"/>
    <w:rsid w:val="33EF7674"/>
    <w:rsid w:val="342D7BC6"/>
    <w:rsid w:val="352930DB"/>
    <w:rsid w:val="35573069"/>
    <w:rsid w:val="355F6038"/>
    <w:rsid w:val="358C217E"/>
    <w:rsid w:val="35E93C67"/>
    <w:rsid w:val="36AF250E"/>
    <w:rsid w:val="36C9128A"/>
    <w:rsid w:val="37841E99"/>
    <w:rsid w:val="37BF1123"/>
    <w:rsid w:val="383C3F15"/>
    <w:rsid w:val="38BE4696"/>
    <w:rsid w:val="391D38C8"/>
    <w:rsid w:val="3939115E"/>
    <w:rsid w:val="39B82A39"/>
    <w:rsid w:val="39C42CA8"/>
    <w:rsid w:val="39DC4FD6"/>
    <w:rsid w:val="39F03D7A"/>
    <w:rsid w:val="39F33306"/>
    <w:rsid w:val="3A2C1C67"/>
    <w:rsid w:val="3A6A77C9"/>
    <w:rsid w:val="3ADD7F09"/>
    <w:rsid w:val="3B1705E5"/>
    <w:rsid w:val="3B18334B"/>
    <w:rsid w:val="3B36794F"/>
    <w:rsid w:val="3B6F6EE0"/>
    <w:rsid w:val="3C271048"/>
    <w:rsid w:val="3C566AD6"/>
    <w:rsid w:val="3C594871"/>
    <w:rsid w:val="3C6A5B02"/>
    <w:rsid w:val="3D083B3A"/>
    <w:rsid w:val="3D2757A1"/>
    <w:rsid w:val="3D3D4FC4"/>
    <w:rsid w:val="3DDF3AB1"/>
    <w:rsid w:val="3E1D0952"/>
    <w:rsid w:val="3E42660A"/>
    <w:rsid w:val="3E7555B1"/>
    <w:rsid w:val="3E787ED9"/>
    <w:rsid w:val="3F032E93"/>
    <w:rsid w:val="3F0527E5"/>
    <w:rsid w:val="3F4A1C1A"/>
    <w:rsid w:val="3F4C52C6"/>
    <w:rsid w:val="3F694D83"/>
    <w:rsid w:val="3F865A06"/>
    <w:rsid w:val="3F885DCC"/>
    <w:rsid w:val="3FCD675E"/>
    <w:rsid w:val="4004000C"/>
    <w:rsid w:val="40760DD1"/>
    <w:rsid w:val="40BD5482"/>
    <w:rsid w:val="411B6CE5"/>
    <w:rsid w:val="412070D7"/>
    <w:rsid w:val="41314E40"/>
    <w:rsid w:val="41E0734B"/>
    <w:rsid w:val="41F37D1F"/>
    <w:rsid w:val="426C1EA8"/>
    <w:rsid w:val="42736402"/>
    <w:rsid w:val="4274278A"/>
    <w:rsid w:val="42E86A87"/>
    <w:rsid w:val="43307B09"/>
    <w:rsid w:val="439A3EB9"/>
    <w:rsid w:val="439A4CEA"/>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75726F"/>
    <w:rsid w:val="4EB42C0C"/>
    <w:rsid w:val="4EFD467F"/>
    <w:rsid w:val="4F0C6BA3"/>
    <w:rsid w:val="4F186D58"/>
    <w:rsid w:val="4FE52909"/>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4DB76A5"/>
    <w:rsid w:val="55084A4C"/>
    <w:rsid w:val="552256E1"/>
    <w:rsid w:val="554E5773"/>
    <w:rsid w:val="555829E0"/>
    <w:rsid w:val="555A3CBC"/>
    <w:rsid w:val="5582012B"/>
    <w:rsid w:val="558E4E05"/>
    <w:rsid w:val="559E3318"/>
    <w:rsid w:val="55BE2E85"/>
    <w:rsid w:val="56530F5D"/>
    <w:rsid w:val="567700D3"/>
    <w:rsid w:val="56FF7E9E"/>
    <w:rsid w:val="575455F7"/>
    <w:rsid w:val="578867FC"/>
    <w:rsid w:val="5842572D"/>
    <w:rsid w:val="58D9016D"/>
    <w:rsid w:val="59421D67"/>
    <w:rsid w:val="5A3B59D6"/>
    <w:rsid w:val="5AD134D8"/>
    <w:rsid w:val="5BF41F67"/>
    <w:rsid w:val="5C263CE4"/>
    <w:rsid w:val="5C2F72F9"/>
    <w:rsid w:val="5C5D2777"/>
    <w:rsid w:val="5CF66BF3"/>
    <w:rsid w:val="5D290C69"/>
    <w:rsid w:val="5D8F5802"/>
    <w:rsid w:val="5DA80C2C"/>
    <w:rsid w:val="5DB949BF"/>
    <w:rsid w:val="5E2F776A"/>
    <w:rsid w:val="5E7D301B"/>
    <w:rsid w:val="5F2D4A41"/>
    <w:rsid w:val="60C74F6C"/>
    <w:rsid w:val="61015958"/>
    <w:rsid w:val="61025A59"/>
    <w:rsid w:val="611D2893"/>
    <w:rsid w:val="613D5BBC"/>
    <w:rsid w:val="61536C39"/>
    <w:rsid w:val="62944DD7"/>
    <w:rsid w:val="6319381F"/>
    <w:rsid w:val="63C25DC5"/>
    <w:rsid w:val="63C62057"/>
    <w:rsid w:val="64571EF5"/>
    <w:rsid w:val="64FB113D"/>
    <w:rsid w:val="656152C6"/>
    <w:rsid w:val="65756527"/>
    <w:rsid w:val="6587477F"/>
    <w:rsid w:val="658C3A08"/>
    <w:rsid w:val="65C031CA"/>
    <w:rsid w:val="65CE6852"/>
    <w:rsid w:val="66267C04"/>
    <w:rsid w:val="663F505A"/>
    <w:rsid w:val="666C2D2F"/>
    <w:rsid w:val="66AF5D7C"/>
    <w:rsid w:val="66EE5541"/>
    <w:rsid w:val="67924660"/>
    <w:rsid w:val="67A35E82"/>
    <w:rsid w:val="68407834"/>
    <w:rsid w:val="6883293E"/>
    <w:rsid w:val="688412AD"/>
    <w:rsid w:val="68EB1B71"/>
    <w:rsid w:val="690600B1"/>
    <w:rsid w:val="695142CC"/>
    <w:rsid w:val="696C0310"/>
    <w:rsid w:val="6A160172"/>
    <w:rsid w:val="6A6C7940"/>
    <w:rsid w:val="6A9F1565"/>
    <w:rsid w:val="6AAD2300"/>
    <w:rsid w:val="6B474EF5"/>
    <w:rsid w:val="6BC938E5"/>
    <w:rsid w:val="6C0A5AC5"/>
    <w:rsid w:val="6C560CAE"/>
    <w:rsid w:val="6C576495"/>
    <w:rsid w:val="6D903FF5"/>
    <w:rsid w:val="6DA955B8"/>
    <w:rsid w:val="6DE346AB"/>
    <w:rsid w:val="6DE5391A"/>
    <w:rsid w:val="6E4678CD"/>
    <w:rsid w:val="6E6E2980"/>
    <w:rsid w:val="6EFD1324"/>
    <w:rsid w:val="6F5A53AC"/>
    <w:rsid w:val="6F7D7EAF"/>
    <w:rsid w:val="6FAC003D"/>
    <w:rsid w:val="6FD926BF"/>
    <w:rsid w:val="6FE55E12"/>
    <w:rsid w:val="6FFB2E76"/>
    <w:rsid w:val="70275C90"/>
    <w:rsid w:val="708F6F7F"/>
    <w:rsid w:val="70C20D61"/>
    <w:rsid w:val="70D94BD3"/>
    <w:rsid w:val="71361251"/>
    <w:rsid w:val="71574775"/>
    <w:rsid w:val="715A0D4F"/>
    <w:rsid w:val="71C34D91"/>
    <w:rsid w:val="725F53B2"/>
    <w:rsid w:val="72DB435C"/>
    <w:rsid w:val="72E2613A"/>
    <w:rsid w:val="72F771F4"/>
    <w:rsid w:val="73441F01"/>
    <w:rsid w:val="73934AD2"/>
    <w:rsid w:val="73B52DFF"/>
    <w:rsid w:val="73CC5A72"/>
    <w:rsid w:val="750837F0"/>
    <w:rsid w:val="754758CF"/>
    <w:rsid w:val="75595ECD"/>
    <w:rsid w:val="75CC7A5B"/>
    <w:rsid w:val="75CE1F56"/>
    <w:rsid w:val="764F62AB"/>
    <w:rsid w:val="765C45EC"/>
    <w:rsid w:val="768A7619"/>
    <w:rsid w:val="76BD23AB"/>
    <w:rsid w:val="772E1EBA"/>
    <w:rsid w:val="781926BC"/>
    <w:rsid w:val="796D60A4"/>
    <w:rsid w:val="79A031D5"/>
    <w:rsid w:val="79B47FDF"/>
    <w:rsid w:val="79E569A9"/>
    <w:rsid w:val="7A1525F7"/>
    <w:rsid w:val="7ADA13E5"/>
    <w:rsid w:val="7B420052"/>
    <w:rsid w:val="7BD06A28"/>
    <w:rsid w:val="7C3A7C0B"/>
    <w:rsid w:val="7C5248E4"/>
    <w:rsid w:val="7C566698"/>
    <w:rsid w:val="7C5866A3"/>
    <w:rsid w:val="7D7406BB"/>
    <w:rsid w:val="7DE94331"/>
    <w:rsid w:val="7E254984"/>
    <w:rsid w:val="7F446A19"/>
    <w:rsid w:val="7F58120E"/>
    <w:rsid w:val="7F7452B9"/>
    <w:rsid w:val="7F9822CF"/>
    <w:rsid w:val="FEB69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34" textRotate="1"/>
    <customShpInfo spid="_x0000_s1035" textRotate="1"/>
    <customShpInfo spid="_x0000_s103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23</TotalTime>
  <ScaleCrop>false</ScaleCrop>
  <LinksUpToDate>false</LinksUpToDate>
  <CharactersWithSpaces>26313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2025-09-16T03:44:00Z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