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N/>
        <w:bidi w:val="0"/>
        <w:adjustRightInd/>
        <w:spacing w:before="0" w:beforeAutospacing="0" w:after="0" w:afterAutospacing="0"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重庆市城口县巴山镇农业服务中心</w:t>
      </w:r>
    </w:p>
    <w:p>
      <w:pPr>
        <w:pStyle w:val="10"/>
        <w:keepNext w:val="0"/>
        <w:keepLines w:val="0"/>
        <w:pageBreakBefore w:val="0"/>
        <w:widowControl/>
        <w:kinsoku/>
        <w:wordWrap/>
        <w:overflowPunct/>
        <w:topLinePunct w:val="0"/>
        <w:autoSpaceDN/>
        <w:bidi w:val="0"/>
        <w:adjustRightInd/>
        <w:spacing w:before="0" w:beforeAutospacing="0" w:after="0" w:afterAutospacing="0" w:line="579"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pPr>
        <w:pStyle w:val="10"/>
        <w:keepNext w:val="0"/>
        <w:keepLines w:val="0"/>
        <w:pageBreakBefore w:val="0"/>
        <w:widowControl/>
        <w:kinsoku/>
        <w:wordWrap/>
        <w:overflowPunct/>
        <w:topLinePunct w:val="0"/>
        <w:autoSpaceDN/>
        <w:bidi w:val="0"/>
        <w:adjustRightInd/>
        <w:spacing w:before="0" w:beforeAutospacing="0" w:after="0" w:afterAutospacing="0" w:line="579" w:lineRule="exact"/>
        <w:jc w:val="center"/>
        <w:textAlignment w:val="auto"/>
        <w:rPr>
          <w:rFonts w:hint="eastAsia" w:ascii="方正小标宋_GBK" w:hAnsi="方正小标宋_GBK" w:eastAsia="方正小标宋_GBK" w:cs="方正小标宋_GBK"/>
          <w:sz w:val="44"/>
          <w:szCs w:val="44"/>
          <w:shd w:val="clear" w:color="auto" w:fill="FFFFFF"/>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4"/>
          <w:rFonts w:hint="eastAsia"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一、</w:t>
      </w:r>
      <w:r>
        <w:rPr>
          <w:rStyle w:val="14"/>
          <w:rFonts w:hint="eastAsia" w:ascii="方正黑体_GBK" w:hAnsi="方正黑体_GBK" w:eastAsia="方正黑体_GBK" w:cs="方正黑体_GBK"/>
          <w:b w:val="0"/>
          <w:bCs/>
          <w:sz w:val="32"/>
          <w:szCs w:val="32"/>
          <w:shd w:val="clear" w:color="auto" w:fill="FFFFFF"/>
          <w:lang w:eastAsia="zh-CN"/>
        </w:rPr>
        <w:t>单位</w:t>
      </w:r>
      <w:r>
        <w:rPr>
          <w:rStyle w:val="14"/>
          <w:rFonts w:hint="eastAsia" w:ascii="方正黑体_GBK" w:hAnsi="方正黑体_GBK" w:eastAsia="方正黑体_GBK" w:cs="方正黑体_GBK"/>
          <w:b w:val="0"/>
          <w:bCs/>
          <w:sz w:val="32"/>
          <w:szCs w:val="32"/>
          <w:shd w:val="clear" w:color="auto" w:fill="FFFFFF"/>
        </w:rPr>
        <w:t>基本情况</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4"/>
          <w:rFonts w:hint="eastAsia" w:ascii="Times New Roman" w:hAnsi="Times New Roman" w:eastAsia="方正楷体_GBK" w:cs="Times New Roman"/>
          <w:b w:val="0"/>
          <w:bCs w:val="0"/>
          <w:sz w:val="32"/>
          <w:szCs w:val="32"/>
          <w:shd w:val="clear" w:color="auto" w:fill="FFFFFF"/>
        </w:rPr>
        <w:t>（一）职能职责</w:t>
      </w:r>
      <w:r>
        <w:rPr>
          <w:rStyle w:val="14"/>
          <w:rFonts w:hint="eastAsia" w:ascii="Times New Roman" w:hAnsi="Times New Roman" w:eastAsia="方正楷体_GBK" w:cs="Times New Roman"/>
          <w:b w:val="0"/>
          <w:bCs w:val="0"/>
          <w:sz w:val="32"/>
          <w:szCs w:val="32"/>
          <w:shd w:val="clear" w:color="auto" w:fill="FFFFFF"/>
          <w:lang w:eastAsia="zh-CN"/>
        </w:rPr>
        <w:t>。</w:t>
      </w:r>
      <w:r>
        <w:rPr>
          <w:rStyle w:val="14"/>
          <w:rFonts w:hint="eastAsia" w:ascii="Times New Roman" w:hAnsi="Times New Roman" w:eastAsia="方正仿宋_GBK" w:cs="Times New Roman"/>
          <w:b w:val="0"/>
          <w:bCs w:val="0"/>
          <w:sz w:val="32"/>
          <w:szCs w:val="32"/>
          <w:shd w:val="clear" w:color="auto" w:fill="FFFFFF"/>
        </w:rPr>
        <w:t>巴山镇</w:t>
      </w:r>
      <w:r>
        <w:rPr>
          <w:rStyle w:val="14"/>
          <w:rFonts w:hint="eastAsia" w:ascii="Times New Roman" w:hAnsi="Times New Roman" w:eastAsia="方正仿宋_GBK" w:cs="Times New Roman"/>
          <w:b w:val="0"/>
          <w:bCs w:val="0"/>
          <w:sz w:val="32"/>
          <w:szCs w:val="32"/>
          <w:shd w:val="clear" w:color="auto" w:fill="FFFFFF"/>
          <w:lang w:val="en-US" w:eastAsia="zh-CN"/>
        </w:rPr>
        <w:t>农业</w:t>
      </w:r>
      <w:r>
        <w:rPr>
          <w:rStyle w:val="14"/>
          <w:rFonts w:hint="eastAsia" w:ascii="Times New Roman" w:hAnsi="Times New Roman" w:eastAsia="方正仿宋_GBK" w:cs="Times New Roman"/>
          <w:b w:val="0"/>
          <w:bCs w:val="0"/>
          <w:sz w:val="32"/>
          <w:szCs w:val="32"/>
          <w:shd w:val="clear" w:color="auto" w:fill="FFFFFF"/>
        </w:rPr>
        <w:t>服务中心是巴山镇人民政府所属公益一类事业单位。其主要职能职责有：农业服务中心主要负责农业、畜牧、林业、水利、资源环境保护、渔政等工作。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4"/>
          <w:rFonts w:hint="default"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二、</w:t>
      </w:r>
      <w:r>
        <w:rPr>
          <w:rStyle w:val="14"/>
          <w:rFonts w:hint="eastAsia" w:ascii="方正黑体_GBK" w:hAnsi="方正黑体_GBK" w:eastAsia="方正黑体_GBK" w:cs="方正黑体_GBK"/>
          <w:b w:val="0"/>
          <w:bCs/>
          <w:sz w:val="32"/>
          <w:szCs w:val="32"/>
          <w:shd w:val="clear" w:color="auto" w:fill="FFFFFF"/>
          <w:lang w:eastAsia="zh-CN"/>
        </w:rPr>
        <w:t>单位</w:t>
      </w:r>
      <w:r>
        <w:rPr>
          <w:rStyle w:val="14"/>
          <w:rFonts w:hint="eastAsia" w:ascii="方正黑体_GBK" w:hAnsi="方正黑体_GBK" w:eastAsia="方正黑体_GBK" w:cs="方正黑体_GBK"/>
          <w:b w:val="0"/>
          <w:bCs/>
          <w:sz w:val="32"/>
          <w:szCs w:val="32"/>
          <w:shd w:val="clear" w:color="auto" w:fill="FFFFFF"/>
        </w:rPr>
        <w:t>决算</w:t>
      </w:r>
      <w:r>
        <w:rPr>
          <w:rStyle w:val="14"/>
          <w:rFonts w:hint="eastAsia" w:ascii="方正黑体_GBK" w:hAnsi="方正黑体_GBK" w:eastAsia="方正黑体_GBK" w:cs="方正黑体_GBK"/>
          <w:b w:val="0"/>
          <w:bCs/>
          <w:sz w:val="32"/>
          <w:szCs w:val="32"/>
          <w:shd w:val="clear" w:color="auto" w:fill="FFFFFF"/>
          <w:lang w:eastAsia="zh-CN"/>
        </w:rPr>
        <w:t>收支</w:t>
      </w:r>
      <w:r>
        <w:rPr>
          <w:rStyle w:val="14"/>
          <w:rFonts w:hint="eastAsia" w:ascii="方正黑体_GBK" w:hAnsi="方正黑体_GBK" w:eastAsia="方正黑体_GBK" w:cs="方正黑体_GBK"/>
          <w:b w:val="0"/>
          <w:bCs/>
          <w:sz w:val="32"/>
          <w:szCs w:val="32"/>
          <w:shd w:val="clear" w:color="auto" w:fill="FFFFFF"/>
        </w:rPr>
        <w:t>情况说明</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r>
        <w:rPr>
          <w:rFonts w:hint="eastAsia" w:ascii="方正楷体_GBK" w:hAnsi="方正楷体_GBK" w:eastAsia="方正楷体_GBK" w:cs="方正楷体_GBK"/>
          <w:b/>
          <w:bCs/>
          <w:sz w:val="32"/>
          <w:szCs w:val="32"/>
          <w:shd w:val="clear" w:color="auto" w:fill="FFFFFF"/>
        </w:rPr>
        <w:t>。</w:t>
      </w:r>
    </w:p>
    <w:p>
      <w:pPr>
        <w:pStyle w:val="15"/>
        <w:keepNext w:val="0"/>
        <w:keepLines w:val="0"/>
        <w:pageBreakBefore w:val="0"/>
        <w:widowControl/>
        <w:kinsoku/>
        <w:wordWrap/>
        <w:overflowPunct/>
        <w:topLinePunct w:val="0"/>
        <w:autoSpaceDE w:val="0"/>
        <w:autoSpaceDN/>
        <w:bidi w:val="0"/>
        <w:adjustRightInd/>
        <w:spacing w:line="579" w:lineRule="exact"/>
        <w:ind w:firstLine="643" w:firstLineChars="200"/>
        <w:jc w:val="both"/>
        <w:textAlignment w:val="auto"/>
        <w:rPr>
          <w:rFonts w:hint="default" w:ascii="方正仿宋_GBK" w:hAnsi="方正仿宋_GBK" w:eastAsia="方正仿宋_GBK" w:cs="方正仿宋_GBK"/>
          <w:sz w:val="32"/>
          <w:szCs w:val="32"/>
        </w:rPr>
      </w:pPr>
      <w:r>
        <w:rPr>
          <w:rStyle w:val="14"/>
          <w:rFonts w:ascii="方正仿宋_GBK" w:hAnsi="方正仿宋_GBK" w:eastAsia="方正仿宋_GBK" w:cs="方正仿宋_GBK"/>
          <w:b/>
          <w:bCs w:val="0"/>
          <w:sz w:val="32"/>
          <w:szCs w:val="32"/>
          <w:shd w:val="clear" w:color="auto" w:fill="FFFFFF"/>
        </w:rPr>
        <w:t>1.总体情况。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万元。收支较上年决算数增加</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年农业服务中心未单独进行财务核算及决算处理，纳入政府核算及决算。</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4"/>
          <w:rFonts w:ascii="方正仿宋_GBK" w:hAnsi="方正仿宋_GBK" w:eastAsia="方正仿宋_GBK" w:cs="方正仿宋_GBK"/>
          <w:sz w:val="32"/>
          <w:szCs w:val="32"/>
          <w:shd w:val="clear" w:color="auto" w:fill="FFFFFF"/>
        </w:rPr>
        <w:t>2.收入情况。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年农业服务中心未单独进行财务核算及决算处理，纳入政府核算及决算。其中：财政拨款收入</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cs="Times New Roman"/>
          <w:sz w:val="32"/>
          <w:szCs w:val="32"/>
          <w:lang w:val="en-US" w:eastAsia="zh-CN"/>
        </w:rPr>
        <w:t>0.00</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4"/>
          <w:rFonts w:ascii="方正仿宋_GBK" w:hAnsi="方正仿宋_GBK" w:eastAsia="方正仿宋_GBK" w:cs="方正仿宋_GBK"/>
          <w:sz w:val="32"/>
          <w:szCs w:val="32"/>
          <w:shd w:val="clear" w:color="auto" w:fill="FFFFFF"/>
        </w:rPr>
        <w:t>3.支出情况。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年农业服务中心未单独进行财务核算及决算处理，纳入政府核算及决算。其中：基本支出</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cs="Times New Roman"/>
          <w:sz w:val="32"/>
          <w:szCs w:val="32"/>
          <w:lang w:val="en-US" w:eastAsia="zh-CN"/>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万元，较上年决算数无增减。</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年度财政拨款收、支总计</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w:t>
      </w:r>
      <w:r>
        <w:rPr>
          <w:rFonts w:hint="eastAsia" w:ascii="方正仿宋_GBK" w:hAnsi="方正仿宋_GBK" w:eastAsia="方正仿宋_GBK" w:cs="方正仿宋_GBK"/>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年农业服务中心未单独进行财务核算及决算处理，纳入政府核算及决算。</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4"/>
          <w:rFonts w:ascii="方正仿宋_GBK" w:hAnsi="方正仿宋_GBK" w:eastAsia="方正仿宋_GBK" w:cs="方正仿宋_GBK"/>
          <w:sz w:val="32"/>
          <w:szCs w:val="32"/>
          <w:shd w:val="clear" w:color="auto" w:fill="FFFFFF"/>
        </w:rPr>
        <w:t>1.收入情况。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年农业服务中心未单独进行财务核算及决算处理，纳入政府核算及决算。较年初预算数增</w:t>
      </w:r>
      <w:r>
        <w:rPr>
          <w:rFonts w:hint="default" w:ascii="Times New Roman" w:hAnsi="Times New Roman" w:eastAsia="方正仿宋_GBK" w:cs="Times New Roman"/>
          <w:sz w:val="32"/>
          <w:szCs w:val="32"/>
          <w:shd w:val="clear" w:color="auto" w:fill="FFFFFF"/>
        </w:rPr>
        <w:t>加171.05</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ascii="方正仿宋_GBK" w:hAnsi="方正仿宋_GBK" w:eastAsia="方正仿宋_GBK" w:cs="方正仿宋_GBK"/>
          <w:sz w:val="32"/>
          <w:szCs w:val="32"/>
          <w:shd w:val="clear" w:color="auto" w:fill="FFFFFF"/>
        </w:rPr>
        <w:t>农业服务中心</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2.支出情况。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年农业服务中心未单独进行财务核算及决算处理，纳入政府核算及决算。较年初预算数增加</w:t>
      </w:r>
      <w:r>
        <w:rPr>
          <w:rFonts w:hint="eastAsia"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ascii="方正仿宋_GBK" w:hAnsi="方正仿宋_GBK" w:eastAsia="方正仿宋_GBK" w:cs="方正仿宋_GBK"/>
          <w:sz w:val="32"/>
          <w:szCs w:val="32"/>
          <w:shd w:val="clear" w:color="auto" w:fill="FFFFFF"/>
        </w:rPr>
        <w:t>农业服务中心</w:t>
      </w:r>
      <w:r>
        <w:rPr>
          <w:rFonts w:hint="eastAsia" w:ascii="方正仿宋_GBK" w:hAnsi="方正仿宋_GBK" w:eastAsia="方正仿宋_GBK" w:cs="方正仿宋_GBK"/>
          <w:sz w:val="32"/>
          <w:szCs w:val="32"/>
          <w:shd w:val="clear" w:color="auto" w:fill="FFFFFF"/>
          <w:lang w:val="en-US" w:eastAsia="zh-CN"/>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Style w:val="14"/>
          <w:rFonts w:ascii="方正仿宋_GBK" w:hAnsi="方正仿宋_GBK" w:eastAsia="方正仿宋_GBK" w:cs="方正仿宋_GBK"/>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4"/>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社会保障与就业支出</w:t>
      </w:r>
      <w:r>
        <w:rPr>
          <w:rFonts w:hint="eastAsia" w:ascii="Times New Roman" w:hAnsi="Times New Roman" w:eastAsia="方正仿宋_GBK" w:cs="Times New Roman"/>
          <w:sz w:val="32"/>
          <w:szCs w:val="32"/>
          <w:shd w:val="clear" w:color="auto" w:fill="FFFFFF"/>
        </w:rPr>
        <w:t>15.50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9.</w:t>
      </w:r>
      <w:r>
        <w:rPr>
          <w:rFonts w:hint="eastAsia" w:ascii="Times New Roman" w:hAnsi="Times New Roman" w:eastAsia="方正仿宋_GBK" w:cs="Times New Roman"/>
          <w:sz w:val="32"/>
          <w:szCs w:val="32"/>
          <w:shd w:val="clear" w:color="auto" w:fill="FFFFFF"/>
          <w:lang w:val="en-US" w:eastAsia="zh-CN"/>
        </w:rPr>
        <w:t>06</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15.50</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ascii="方正仿宋_GBK" w:hAnsi="方正仿宋_GBK" w:eastAsia="方正仿宋_GBK" w:cs="方正仿宋_GBK"/>
          <w:sz w:val="32"/>
          <w:szCs w:val="32"/>
          <w:shd w:val="clear" w:color="auto" w:fill="FFFFFF"/>
        </w:rPr>
        <w:t>农业服务中心</w:t>
      </w:r>
      <w:r>
        <w:rPr>
          <w:rFonts w:hint="eastAsia" w:ascii="方正仿宋_GBK" w:hAnsi="方正仿宋_GBK" w:eastAsia="方正仿宋_GBK" w:cs="方正仿宋_GBK"/>
          <w:sz w:val="32"/>
          <w:szCs w:val="32"/>
          <w:shd w:val="clear" w:color="auto" w:fill="FFFFFF"/>
          <w:lang w:val="en-US" w:eastAsia="zh-CN"/>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卫生健康支出</w:t>
      </w:r>
      <w:r>
        <w:rPr>
          <w:rFonts w:hint="eastAsia" w:ascii="Times New Roman" w:hAnsi="Times New Roman" w:eastAsia="方正仿宋_GBK" w:cs="Times New Roman"/>
          <w:sz w:val="32"/>
          <w:szCs w:val="32"/>
          <w:shd w:val="clear" w:color="auto" w:fill="FFFFFF"/>
        </w:rPr>
        <w:t>6.65</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3.89</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6.65</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ascii="方正仿宋_GBK" w:hAnsi="方正仿宋_GBK" w:eastAsia="方正仿宋_GBK" w:cs="方正仿宋_GBK"/>
          <w:sz w:val="32"/>
          <w:szCs w:val="32"/>
          <w:shd w:val="clear" w:color="auto" w:fill="FFFFFF"/>
        </w:rPr>
        <w:t>农业服务中心</w:t>
      </w:r>
      <w:r>
        <w:rPr>
          <w:rFonts w:hint="eastAsia" w:ascii="方正仿宋_GBK" w:hAnsi="方正仿宋_GBK" w:eastAsia="方正仿宋_GBK" w:cs="方正仿宋_GBK"/>
          <w:sz w:val="32"/>
          <w:szCs w:val="32"/>
          <w:shd w:val="clear" w:color="auto" w:fill="FFFFFF"/>
          <w:lang w:val="en-US" w:eastAsia="zh-CN"/>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农林水支出</w:t>
      </w:r>
      <w:r>
        <w:rPr>
          <w:rFonts w:hint="eastAsia" w:ascii="Times New Roman" w:hAnsi="Times New Roman" w:eastAsia="方正仿宋_GBK" w:cs="Times New Roman"/>
          <w:sz w:val="32"/>
          <w:szCs w:val="32"/>
          <w:shd w:val="clear" w:color="auto" w:fill="FFFFFF"/>
        </w:rPr>
        <w:t>141.15</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82.52%</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141.15</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ascii="方正仿宋_GBK" w:hAnsi="方正仿宋_GBK" w:eastAsia="方正仿宋_GBK" w:cs="方正仿宋_GBK"/>
          <w:sz w:val="32"/>
          <w:szCs w:val="32"/>
          <w:shd w:val="clear" w:color="auto" w:fill="FFFFFF"/>
        </w:rPr>
        <w:t>农业服务中心</w:t>
      </w:r>
      <w:r>
        <w:rPr>
          <w:rFonts w:hint="eastAsia" w:ascii="方正仿宋_GBK" w:hAnsi="方正仿宋_GBK" w:eastAsia="方正仿宋_GBK" w:cs="方正仿宋_GBK"/>
          <w:sz w:val="32"/>
          <w:szCs w:val="32"/>
          <w:shd w:val="clear" w:color="auto" w:fill="FFFFFF"/>
          <w:lang w:val="en-US" w:eastAsia="zh-CN"/>
        </w:rPr>
        <w:t>。</w:t>
      </w:r>
    </w:p>
    <w:p>
      <w:pPr>
        <w:keepNext w:val="0"/>
        <w:keepLines w:val="0"/>
        <w:pageBreakBefore w:val="0"/>
        <w:widowControl/>
        <w:kinsoku/>
        <w:wordWrap/>
        <w:overflowPunct/>
        <w:topLinePunct w:val="0"/>
        <w:autoSpaceDN/>
        <w:bidi w:val="0"/>
        <w:adjustRightInd/>
        <w:spacing w:line="579"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4</w:t>
      </w:r>
      <w:r>
        <w:rPr>
          <w:rFonts w:hint="default" w:ascii="Times New Roman" w:hAnsi="Times New Roman" w:eastAsia="方正仿宋_GBK" w:cs="Times New Roman"/>
          <w:sz w:val="32"/>
          <w:szCs w:val="32"/>
          <w:shd w:val="clear" w:color="auto" w:fill="FFFFFF"/>
          <w:lang w:val="en-US" w:eastAsia="zh-CN" w:bidi="ar-SA"/>
        </w:rPr>
        <w:t>）</w:t>
      </w:r>
      <w:r>
        <w:rPr>
          <w:rFonts w:ascii="方正仿宋_GBK" w:hAnsi="方正仿宋_GBK" w:eastAsia="方正仿宋_GBK" w:cs="方正仿宋_GBK"/>
          <w:sz w:val="32"/>
          <w:szCs w:val="32"/>
        </w:rPr>
        <w:t>住房保障支出</w:t>
      </w:r>
      <w:r>
        <w:rPr>
          <w:rFonts w:hint="eastAsia" w:ascii="Times New Roman" w:hAnsi="Times New Roman" w:eastAsia="方正仿宋_GBK" w:cs="Times New Roman"/>
          <w:sz w:val="32"/>
          <w:szCs w:val="32"/>
          <w:shd w:val="clear" w:color="auto" w:fill="FFFFFF"/>
          <w:lang w:val="en-US" w:eastAsia="zh-CN" w:bidi="ar-SA"/>
        </w:rPr>
        <w:t>7.75</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bidi="ar-SA"/>
        </w:rPr>
        <w:t>4.53%</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bidi="ar-SA"/>
        </w:rPr>
        <w:t>7.75</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bidi="ar-SA"/>
        </w:rPr>
        <w:t>100.00</w:t>
      </w:r>
      <w:r>
        <w:rPr>
          <w:rFonts w:hint="default" w:ascii="Times New Roman" w:hAnsi="Times New Roman" w:eastAsia="方正仿宋_GBK" w:cs="Times New Roman"/>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ascii="方正仿宋_GBK" w:hAnsi="方正仿宋_GBK" w:eastAsia="方正仿宋_GBK" w:cs="方正仿宋_GBK"/>
          <w:sz w:val="32"/>
          <w:szCs w:val="32"/>
          <w:shd w:val="clear" w:color="auto" w:fill="FFFFFF"/>
        </w:rPr>
        <w:t>农业服务中心</w:t>
      </w:r>
      <w:r>
        <w:rPr>
          <w:rFonts w:hint="eastAsia" w:ascii="方正仿宋_GBK" w:hAnsi="方正仿宋_GBK" w:eastAsia="方正仿宋_GBK" w:cs="方正仿宋_GBK"/>
          <w:sz w:val="32"/>
          <w:szCs w:val="32"/>
          <w:shd w:val="clear" w:color="auto" w:fill="FFFFFF"/>
          <w:lang w:val="en-US" w:eastAsia="zh-CN"/>
        </w:rPr>
        <w:t>。</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02</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年度一般公共财政拨款基本支出</w:t>
      </w:r>
      <w:r>
        <w:rPr>
          <w:rFonts w:hint="eastAsia" w:ascii="Times New Roman" w:hAnsi="Times New Roman" w:eastAsia="方正仿宋_GBK" w:cs="Times New Roman"/>
          <w:sz w:val="32"/>
          <w:szCs w:val="32"/>
          <w:shd w:val="clear" w:color="auto" w:fill="FFFFFF"/>
        </w:rPr>
        <w:t>171.05</w:t>
      </w:r>
      <w:r>
        <w:rPr>
          <w:rFonts w:ascii="方正仿宋_GBK" w:hAnsi="方正仿宋_GBK" w:eastAsia="方正仿宋_GBK" w:cs="方正仿宋_GBK"/>
          <w:sz w:val="32"/>
          <w:szCs w:val="32"/>
          <w:shd w:val="clear" w:color="auto" w:fill="FFFFFF"/>
        </w:rPr>
        <w:t>万元。其中：人员经费</w:t>
      </w:r>
      <w:r>
        <w:rPr>
          <w:rFonts w:hint="eastAsia" w:ascii="Times New Roman" w:hAnsi="Times New Roman" w:eastAsia="方正仿宋_GBK" w:cs="Times New Roman"/>
          <w:sz w:val="32"/>
          <w:szCs w:val="32"/>
          <w:shd w:val="clear" w:color="auto" w:fill="FFFFFF"/>
        </w:rPr>
        <w:t>164.85</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rPr>
        <w:t>164.85</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年农业服务中心未单独进行财务核算及决算处理，纳入政府核算及决算。人员经费用途主要包括</w:t>
      </w:r>
      <w:r>
        <w:rPr>
          <w:rFonts w:hint="default" w:ascii="方正仿宋_GBK" w:hAnsi="方正仿宋_GBK" w:eastAsia="方正仿宋_GBK" w:cs="方正仿宋_GBK"/>
          <w:sz w:val="32"/>
          <w:szCs w:val="32"/>
          <w:shd w:val="clear" w:color="auto" w:fill="FFFFFF"/>
        </w:rPr>
        <w:t>基本工资、津贴补贴、奖金、伙食补助费、绩效工资、社会保障缴费及住房公积金等。</w:t>
      </w:r>
      <w:r>
        <w:rPr>
          <w:rFonts w:ascii="方正仿宋_GBK" w:hAnsi="方正仿宋_GBK" w:eastAsia="方正仿宋_GBK" w:cs="方正仿宋_GBK"/>
          <w:sz w:val="32"/>
          <w:szCs w:val="32"/>
          <w:shd w:val="clear" w:color="auto" w:fill="FFFFFF"/>
        </w:rPr>
        <w:t>公用经费</w:t>
      </w:r>
      <w:r>
        <w:rPr>
          <w:rFonts w:hint="eastAsia" w:ascii="Times New Roman" w:hAnsi="Times New Roman" w:eastAsia="方正仿宋_GBK" w:cs="Times New Roman"/>
          <w:sz w:val="32"/>
          <w:szCs w:val="32"/>
          <w:shd w:val="clear" w:color="auto" w:fill="FFFFFF"/>
        </w:rPr>
        <w:t>6.20</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rPr>
        <w:t>6.20</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年农业服务中心未单独进行财务核算及决算处理，纳入政府核算及决算。公用经费用途主要包括</w:t>
      </w:r>
      <w:r>
        <w:rPr>
          <w:rFonts w:hint="default" w:ascii="方正仿宋_GBK" w:hAnsi="方正仿宋_GBK" w:eastAsia="方正仿宋_GBK" w:cs="方正仿宋_GBK"/>
          <w:sz w:val="32"/>
          <w:szCs w:val="32"/>
          <w:shd w:val="clear" w:color="auto" w:fill="FFFFFF"/>
        </w:rPr>
        <w:t>办公费、差旅费、劳务费、公务接待费及公务用车运行维护费等。</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年度无政府性基金预算财政拨款收支。</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年度无国有资本经营预算财政拨款支出。</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4"/>
          <w:rFonts w:hint="default"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三、</w:t>
      </w:r>
      <w:r>
        <w:rPr>
          <w:rStyle w:val="14"/>
          <w:rFonts w:hint="eastAsia" w:ascii="方正黑体_GBK" w:hAnsi="方正黑体_GBK" w:eastAsia="方正黑体_GBK" w:cs="方正黑体_GBK"/>
          <w:b w:val="0"/>
          <w:bCs/>
          <w:sz w:val="32"/>
          <w:szCs w:val="32"/>
          <w:shd w:val="clear" w:color="auto" w:fill="FFFFFF"/>
          <w:lang w:eastAsia="zh-CN"/>
        </w:rPr>
        <w:t>财政拨款</w:t>
      </w:r>
      <w:r>
        <w:rPr>
          <w:rStyle w:val="14"/>
          <w:rFonts w:hint="eastAsia" w:ascii="方正黑体_GBK" w:hAnsi="方正黑体_GBK" w:eastAsia="方正黑体_GBK" w:cs="方正黑体_GBK"/>
          <w:b w:val="0"/>
          <w:bCs/>
          <w:sz w:val="32"/>
          <w:szCs w:val="32"/>
          <w:shd w:val="clear" w:color="auto" w:fill="FFFFFF"/>
        </w:rPr>
        <w:t>“三公”经费情况说明</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年度“三公”经费支出共计</w:t>
      </w:r>
      <w:r>
        <w:rPr>
          <w:rFonts w:hint="eastAsia" w:ascii="Times New Roman" w:hAnsi="Times New Roman" w:eastAsia="方正仿宋_GBK" w:cs="Times New Roman"/>
          <w:sz w:val="32"/>
          <w:szCs w:val="32"/>
          <w:shd w:val="clear" w:color="auto" w:fill="FFFFFF"/>
          <w:lang w:val="en-US" w:eastAsia="zh-CN"/>
        </w:rPr>
        <w:t>0.93</w:t>
      </w:r>
      <w:r>
        <w:rPr>
          <w:rFonts w:ascii="方正仿宋_GBK" w:hAnsi="方正仿宋_GBK" w:eastAsia="方正仿宋_GBK" w:cs="方正仿宋_GBK"/>
          <w:sz w:val="32"/>
          <w:szCs w:val="32"/>
          <w:shd w:val="clear" w:color="auto" w:fill="FFFFFF"/>
        </w:rPr>
        <w:t>万元，较年初预算数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0.93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ascii="方正仿宋_GBK" w:hAnsi="方正仿宋_GBK" w:eastAsia="方正仿宋_GBK" w:cs="方正仿宋_GBK"/>
          <w:sz w:val="32"/>
          <w:szCs w:val="32"/>
          <w:shd w:val="clear" w:color="auto" w:fill="FFFFFF"/>
        </w:rPr>
        <w:t>农业服务中心</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0.93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年农业服务中心未单独进行财务核算及决算处理，纳入政府核算及决算</w:t>
      </w:r>
      <w:r>
        <w:rPr>
          <w:rFonts w:hint="eastAsia" w:ascii="方正仿宋_GBK" w:hAnsi="方正仿宋_GBK" w:eastAsia="方正仿宋_GBK" w:cs="方正仿宋_GBK"/>
          <w:sz w:val="32"/>
          <w:szCs w:val="32"/>
          <w:shd w:val="clear" w:color="auto" w:fill="FFFFFF"/>
          <w:lang w:eastAsia="zh-CN"/>
        </w:rPr>
        <w:t>。</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主要是用于没有因公出国（境）职工。</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eastAsia="zh-CN"/>
        </w:rPr>
        <w:t>年</w:t>
      </w:r>
      <w:r>
        <w:rPr>
          <w:rFonts w:hint="default" w:ascii="方正仿宋_GBK" w:hAnsi="方正仿宋_GBK" w:eastAsia="方正仿宋_GBK" w:cs="方正仿宋_GBK"/>
          <w:sz w:val="32"/>
          <w:szCs w:val="32"/>
          <w:shd w:val="clear" w:color="auto" w:fill="FFFFFF"/>
        </w:rPr>
        <w:t>度未发生因公出国（境）支出</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eastAsia="zh-CN"/>
        </w:rPr>
        <w:t>年</w:t>
      </w:r>
      <w:r>
        <w:rPr>
          <w:rFonts w:hint="default" w:ascii="方正仿宋_GBK" w:hAnsi="方正仿宋_GBK" w:eastAsia="方正仿宋_GBK" w:cs="方正仿宋_GBK"/>
          <w:sz w:val="32"/>
          <w:szCs w:val="32"/>
          <w:shd w:val="clear" w:color="auto" w:fill="FFFFFF"/>
        </w:rPr>
        <w:t>度未发生因公出国（境）支出</w:t>
      </w:r>
      <w:r>
        <w:rPr>
          <w:rFonts w:ascii="方正仿宋_GBK" w:hAnsi="方正仿宋_GBK" w:eastAsia="方正仿宋_GBK" w:cs="方正仿宋_GBK"/>
          <w:sz w:val="32"/>
          <w:szCs w:val="32"/>
          <w:shd w:val="clear" w:color="auto" w:fill="FFFFFF"/>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公务车</w:t>
      </w:r>
      <w:r>
        <w:rPr>
          <w:rFonts w:ascii="方正仿宋_GBK" w:hAnsi="方正仿宋_GBK" w:eastAsia="方正仿宋_GBK" w:cs="方正仿宋_GBK"/>
          <w:sz w:val="32"/>
          <w:szCs w:val="32"/>
          <w:shd w:val="clear" w:color="auto" w:fill="FFFFFF"/>
        </w:rPr>
        <w:t>购置费</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车辆采购</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eastAsia="zh-CN"/>
        </w:rPr>
        <w:t>年</w:t>
      </w:r>
      <w:r>
        <w:rPr>
          <w:rFonts w:hint="default" w:ascii="方正仿宋_GBK" w:hAnsi="方正仿宋_GBK" w:eastAsia="方正仿宋_GBK" w:cs="方正仿宋_GBK"/>
          <w:sz w:val="32"/>
          <w:szCs w:val="32"/>
          <w:shd w:val="clear" w:color="auto" w:fill="FFFFFF"/>
        </w:rPr>
        <w:t>度未发生公务车购置支出</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eastAsia="zh-CN"/>
        </w:rPr>
        <w:t>年</w:t>
      </w:r>
      <w:r>
        <w:rPr>
          <w:rFonts w:hint="default" w:ascii="方正仿宋_GBK" w:hAnsi="方正仿宋_GBK" w:eastAsia="方正仿宋_GBK" w:cs="方正仿宋_GBK"/>
          <w:sz w:val="32"/>
          <w:szCs w:val="32"/>
          <w:shd w:val="clear" w:color="auto" w:fill="FFFFFF"/>
        </w:rPr>
        <w:t>度未发生公务车购置支出</w:t>
      </w:r>
      <w:r>
        <w:rPr>
          <w:rFonts w:ascii="方正仿宋_GBK" w:hAnsi="方正仿宋_GBK" w:eastAsia="方正仿宋_GBK" w:cs="方正仿宋_GBK"/>
          <w:sz w:val="32"/>
          <w:szCs w:val="32"/>
          <w:shd w:val="clear" w:color="auto" w:fill="FFFFFF"/>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hint="eastAsia" w:ascii="Times New Roman" w:hAnsi="Times New Roman" w:eastAsia="方正仿宋_GBK" w:cs="Times New Roman"/>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万元，主要用于</w:t>
      </w:r>
      <w:r>
        <w:rPr>
          <w:rFonts w:hint="default" w:ascii="方正仿宋_GBK" w:hAnsi="方正仿宋_GBK" w:eastAsia="方正仿宋_GBK" w:cs="方正仿宋_GBK"/>
          <w:sz w:val="32"/>
          <w:szCs w:val="32"/>
          <w:shd w:val="clear" w:color="auto" w:fill="FFFFFF"/>
        </w:rPr>
        <w:t>县内因公出行、</w:t>
      </w:r>
      <w:r>
        <w:rPr>
          <w:rFonts w:hint="eastAsia" w:ascii="方正仿宋_GBK" w:hAnsi="方正仿宋_GBK" w:eastAsia="方正仿宋_GBK" w:cs="方正仿宋_GBK"/>
          <w:sz w:val="32"/>
          <w:szCs w:val="32"/>
          <w:shd w:val="clear" w:color="auto" w:fill="FFFFFF"/>
          <w:lang w:eastAsia="zh-CN"/>
        </w:rPr>
        <w:t>安全生产监管、乡村</w:t>
      </w:r>
      <w:bookmarkStart w:id="0" w:name="_GoBack"/>
      <w:bookmarkEnd w:id="0"/>
      <w:r>
        <w:rPr>
          <w:rFonts w:hint="eastAsia" w:ascii="方正仿宋_GBK" w:hAnsi="方正仿宋_GBK" w:eastAsia="方正仿宋_GBK" w:cs="方正仿宋_GBK"/>
          <w:sz w:val="32"/>
          <w:szCs w:val="32"/>
          <w:shd w:val="clear" w:color="auto" w:fill="FFFFFF"/>
          <w:lang w:eastAsia="zh-CN"/>
        </w:rPr>
        <w:t>振兴、巩固脱贫攻坚成果</w:t>
      </w:r>
      <w:r>
        <w:rPr>
          <w:rFonts w:hint="default" w:ascii="方正仿宋_GBK" w:hAnsi="方正仿宋_GBK" w:eastAsia="方正仿宋_GBK" w:cs="方正仿宋_GBK"/>
          <w:sz w:val="32"/>
          <w:szCs w:val="32"/>
          <w:shd w:val="clear" w:color="auto" w:fill="FFFFFF"/>
        </w:rPr>
        <w:t>等工作所需车辆的燃料费、维修费、保险费等。</w:t>
      </w:r>
      <w:r>
        <w:rPr>
          <w:rFonts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val="en-US" w:eastAsia="zh-CN"/>
        </w:rPr>
        <w:t>无增减</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无增减</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val="en-US" w:eastAsia="zh-CN"/>
        </w:rPr>
        <w:t>统一在政府（本级）列支，下属事业单位未单独列支</w:t>
      </w:r>
      <w:r>
        <w:rPr>
          <w:rFonts w:hint="default" w:ascii="方正仿宋_GBK" w:hAnsi="方正仿宋_GBK" w:eastAsia="方正仿宋_GBK" w:cs="方正仿宋_GBK"/>
          <w:sz w:val="32"/>
          <w:szCs w:val="32"/>
          <w:shd w:val="clear" w:color="auto" w:fill="FFFFFF"/>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eastAsia" w:ascii="Times New Roman" w:hAnsi="Times New Roman" w:eastAsia="方正仿宋_GBK" w:cs="Times New Roman"/>
          <w:sz w:val="32"/>
          <w:szCs w:val="32"/>
          <w:shd w:val="clear" w:color="auto" w:fill="FFFFFF"/>
          <w:lang w:val="en-US" w:eastAsia="zh-CN"/>
        </w:rPr>
        <w:t>0.93</w:t>
      </w:r>
      <w:r>
        <w:rPr>
          <w:rFonts w:ascii="方正仿宋_GBK" w:hAnsi="方正仿宋_GBK" w:eastAsia="方正仿宋_GBK" w:cs="方正仿宋_GBK"/>
          <w:sz w:val="32"/>
          <w:szCs w:val="32"/>
          <w:shd w:val="clear" w:color="auto" w:fill="FFFFFF"/>
        </w:rPr>
        <w:t>万元，主要用于接待</w:t>
      </w:r>
      <w:r>
        <w:rPr>
          <w:rFonts w:hint="default" w:ascii="方正仿宋_GBK" w:hAnsi="方正仿宋_GBK" w:eastAsia="方正仿宋_GBK" w:cs="方正仿宋_GBK"/>
          <w:sz w:val="32"/>
          <w:szCs w:val="32"/>
          <w:shd w:val="clear" w:color="auto" w:fill="FFFFFF"/>
        </w:rPr>
        <w:t>相关部门检查指导工作发生的支出</w:t>
      </w:r>
      <w:r>
        <w:rPr>
          <w:rFonts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0.93</w:t>
      </w:r>
      <w:r>
        <w:rPr>
          <w:rFonts w:hint="default" w:ascii="Times New Roman" w:hAnsi="Times New Roman" w:eastAsia="方正仿宋_GBK" w:cs="Times New Roman"/>
          <w:sz w:val="32"/>
          <w:szCs w:val="32"/>
          <w:shd w:val="clear" w:color="auto" w:fill="FFFFFF"/>
        </w:rPr>
        <w:t>万元</w:t>
      </w:r>
      <w:r>
        <w:rPr>
          <w:rFonts w:ascii="方正仿宋_GBK" w:hAnsi="方正仿宋_GBK" w:eastAsia="方正仿宋_GBK" w:cs="方正仿宋_GBK"/>
          <w:sz w:val="32"/>
          <w:szCs w:val="32"/>
          <w:shd w:val="clear" w:color="auto" w:fill="FFFFFF"/>
        </w:rPr>
        <w:t>，增长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年农业服务中心未单独进行财务核算及决算处理，纳入政府核算及决算</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0.93</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年农业服务中心未单独进行财务核算及决算处理，纳入政府核算及决算</w:t>
      </w:r>
      <w:r>
        <w:rPr>
          <w:rFonts w:hint="eastAsia" w:ascii="方正仿宋_GBK" w:hAnsi="方正仿宋_GBK" w:eastAsia="方正仿宋_GBK" w:cs="方正仿宋_GBK"/>
          <w:sz w:val="32"/>
          <w:szCs w:val="32"/>
          <w:shd w:val="clear" w:color="auto" w:fill="FFFFFF"/>
          <w:lang w:eastAsia="zh-CN"/>
        </w:rPr>
        <w:t>。</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年度本单位因公出国（境）共计</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个团组，</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人；公务用车购置</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辆，公务车保有量为</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辆；国内公务接待</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批次</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人，其中：国内外事接待</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批次，</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人；国（境）外公务接待</w:t>
      </w:r>
      <w:r>
        <w:rPr>
          <w:rFonts w:hint="eastAsia" w:ascii="Times New Roman" w:hAnsi="Times New Roman" w:eastAsia="方正仿宋_GBK" w:cs="Times New Roman"/>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lang w:val="en-US" w:eastAsia="zh-CN"/>
        </w:rPr>
        <w:t>批次，</w:t>
      </w:r>
      <w:r>
        <w:rPr>
          <w:rFonts w:hint="eastAsia" w:ascii="Times New Roman" w:hAnsi="Times New Roman" w:eastAsia="方正仿宋_GBK" w:cs="Times New Roman"/>
          <w:sz w:val="32"/>
          <w:szCs w:val="32"/>
          <w:shd w:val="clear" w:color="auto" w:fill="FFFFFF"/>
          <w:lang w:val="en-US" w:eastAsia="zh-CN"/>
        </w:rPr>
        <w:t>210</w:t>
      </w:r>
      <w:r>
        <w:rPr>
          <w:rFonts w:hint="eastAsia" w:ascii="方正仿宋_GBK" w:hAnsi="方正仿宋_GBK" w:eastAsia="方正仿宋_GBK" w:cs="方正仿宋_GBK"/>
          <w:sz w:val="32"/>
          <w:szCs w:val="32"/>
          <w:shd w:val="clear" w:color="auto" w:fill="FFFFFF"/>
          <w:lang w:val="en-US" w:eastAsia="zh-CN"/>
        </w:rPr>
        <w:t>人。</w:t>
      </w:r>
      <w:r>
        <w:rPr>
          <w:rFonts w:hint="eastAsia"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年本单位人均接待费</w:t>
      </w:r>
      <w:r>
        <w:rPr>
          <w:rFonts w:hint="eastAsia" w:ascii="Times New Roman" w:hAnsi="Times New Roman" w:eastAsia="方正仿宋_GBK" w:cs="Times New Roman"/>
          <w:sz w:val="32"/>
          <w:szCs w:val="32"/>
          <w:shd w:val="clear" w:color="auto" w:fill="FFFFFF"/>
          <w:lang w:val="en-US" w:eastAsia="zh-CN"/>
        </w:rPr>
        <w:t>44.28</w:t>
      </w:r>
      <w:r>
        <w:rPr>
          <w:rFonts w:hint="eastAsia" w:ascii="方正仿宋_GBK" w:hAnsi="方正仿宋_GBK" w:eastAsia="方正仿宋_GBK" w:cs="方正仿宋_GBK"/>
          <w:sz w:val="32"/>
          <w:szCs w:val="32"/>
          <w:shd w:val="clear" w:color="auto" w:fill="FFFFFF"/>
          <w:lang w:val="en-US" w:eastAsia="zh-CN"/>
        </w:rPr>
        <w:t>元，车均购置费</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万元，车均维护费</w:t>
      </w:r>
      <w:r>
        <w:rPr>
          <w:rFonts w:hint="eastAsia" w:ascii="Times New Roman" w:hAnsi="Times New Roman" w:eastAsia="方正仿宋_GBK" w:cs="Times New Roman"/>
          <w:sz w:val="32"/>
          <w:szCs w:val="32"/>
          <w:shd w:val="clear" w:color="auto" w:fill="FFFFFF"/>
          <w:lang w:val="en-US" w:eastAsia="zh-CN"/>
        </w:rPr>
        <w:t>0.00</w:t>
      </w:r>
      <w:r>
        <w:rPr>
          <w:rFonts w:hint="eastAsia" w:ascii="方正仿宋_GBK" w:hAnsi="方正仿宋_GBK" w:eastAsia="方正仿宋_GBK" w:cs="方正仿宋_GBK"/>
          <w:sz w:val="32"/>
          <w:szCs w:val="32"/>
          <w:shd w:val="clear" w:color="auto" w:fill="FFFFFF"/>
          <w:lang w:val="en-US" w:eastAsia="zh-CN"/>
        </w:rPr>
        <w:t>万元。</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4"/>
          <w:rFonts w:hint="default"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四、其他需要说明的事项</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本年度会议费支出</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color w:val="auto"/>
          <w:sz w:val="32"/>
          <w:szCs w:val="32"/>
          <w:shd w:val="clear" w:color="auto" w:fill="FFFFFF"/>
        </w:rPr>
        <w:t>万元，较上年决算数无增减，主要原因</w:t>
      </w:r>
      <w:r>
        <w:rPr>
          <w:rFonts w:hint="eastAsia" w:ascii="Times New Roman" w:hAnsi="Times New Roman" w:eastAsia="方正仿宋_GBK" w:cs="Times New Roman"/>
          <w:sz w:val="32"/>
          <w:szCs w:val="32"/>
          <w:shd w:val="clear" w:color="auto" w:fill="FFFFFF"/>
        </w:rPr>
        <w:t>是2024</w:t>
      </w:r>
      <w:r>
        <w:rPr>
          <w:rFonts w:hint="eastAsia" w:ascii="方正仿宋_GBK" w:hAnsi="方正仿宋_GBK" w:eastAsia="方正仿宋_GBK" w:cs="方正仿宋_GBK"/>
          <w:color w:val="auto"/>
          <w:sz w:val="32"/>
          <w:szCs w:val="32"/>
          <w:shd w:val="clear" w:color="auto" w:fill="FFFFFF"/>
        </w:rPr>
        <w:t>年度未单独安排会议费。本年度培训费支出</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color w:val="auto"/>
          <w:sz w:val="32"/>
          <w:szCs w:val="32"/>
          <w:shd w:val="clear" w:color="auto" w:fill="FFFFFF"/>
        </w:rPr>
        <w:t>万元，较上年决算数无变化，主要原因是</w:t>
      </w:r>
      <w:r>
        <w:rPr>
          <w:rFonts w:hint="eastAsia" w:ascii="Times New Roman" w:hAnsi="Times New Roman" w:eastAsia="方正仿宋_GBK" w:cs="Times New Roman"/>
          <w:sz w:val="32"/>
          <w:szCs w:val="32"/>
          <w:shd w:val="clear" w:color="auto" w:fill="FFFFFF"/>
        </w:rPr>
        <w:t>2024</w:t>
      </w:r>
      <w:r>
        <w:rPr>
          <w:rFonts w:hint="eastAsia" w:ascii="方正仿宋_GBK" w:hAnsi="方正仿宋_GBK" w:eastAsia="方正仿宋_GBK" w:cs="方正仿宋_GBK"/>
          <w:color w:val="auto"/>
          <w:sz w:val="32"/>
          <w:szCs w:val="32"/>
          <w:shd w:val="clear" w:color="auto" w:fill="FFFFFF"/>
        </w:rPr>
        <w:t>年度未单独安排会议费。</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default"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cs="Times New Roman"/>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cs="Times New Roman"/>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eastAsia" w:ascii="Times New Roman" w:hAnsi="Times New Roman" w:eastAsia="方正仿宋_GBK" w:cs="Times New Roman"/>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cs="Times New Roman"/>
          <w:sz w:val="32"/>
          <w:szCs w:val="32"/>
          <w:shd w:val="clear" w:color="auto" w:fill="FFFFFF"/>
        </w:rPr>
        <w:t>0辆</w:t>
      </w:r>
      <w:r>
        <w:rPr>
          <w:rFonts w:ascii="方正仿宋_GBK" w:hAnsi="方正仿宋_GBK" w:eastAsia="方正仿宋_GBK" w:cs="方正仿宋_GBK"/>
          <w:sz w:val="32"/>
          <w:szCs w:val="32"/>
          <w:shd w:val="clear" w:color="auto" w:fill="FFFFFF"/>
        </w:rPr>
        <w:t>、机要通信用车</w:t>
      </w:r>
      <w:r>
        <w:rPr>
          <w:rFonts w:hint="eastAsia" w:ascii="Times New Roman" w:hAnsi="Times New Roman" w:eastAsia="方正仿宋_GBK" w:cs="Times New Roman"/>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辆、应急保障用车</w:t>
      </w:r>
      <w:r>
        <w:rPr>
          <w:rFonts w:hint="eastAsia" w:ascii="Times New Roman" w:hAnsi="Times New Roman" w:eastAsia="方正仿宋_GBK" w:cs="Times New Roman"/>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cs="Times New Roman"/>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cs="Times New Roman"/>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15"/>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202</w:t>
      </w:r>
      <w:r>
        <w:rPr>
          <w:rFonts w:hint="eastAsia" w:ascii="Times New Roman" w:hAnsi="Times New Roman" w:eastAsia="方正仿宋_GBK" w:cs="Times New Roman"/>
          <w:sz w:val="32"/>
          <w:szCs w:val="32"/>
          <w:shd w:val="clear" w:color="auto" w:fill="FFFFFF"/>
          <w:lang w:val="en-US" w:eastAsia="zh-CN" w:bidi="ar-SA"/>
        </w:rPr>
        <w:t>4</w:t>
      </w:r>
      <w:r>
        <w:rPr>
          <w:rFonts w:hint="default" w:ascii="方正仿宋_GBK" w:hAnsi="方正仿宋_GBK" w:eastAsia="方正仿宋_GBK" w:cs="方正仿宋_GBK"/>
          <w:color w:val="auto"/>
          <w:sz w:val="32"/>
          <w:szCs w:val="32"/>
          <w:shd w:val="clear" w:color="auto" w:fill="FFFFFF"/>
        </w:rPr>
        <w:t>年度我单位未发生政府采购事项，无相关经费支出。</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4"/>
          <w:rFonts w:hint="eastAsia" w:ascii="方正黑体_GBK" w:hAnsi="方正黑体_GBK" w:eastAsia="方正黑体_GBK" w:cs="方正黑体_GBK"/>
          <w:b w:val="0"/>
          <w:bCs/>
          <w:sz w:val="32"/>
          <w:szCs w:val="32"/>
          <w:shd w:val="clear" w:color="auto" w:fill="FFFFFF"/>
          <w:lang w:val="en-US" w:eastAsia="zh-CN"/>
        </w:rPr>
      </w:pPr>
      <w:r>
        <w:rPr>
          <w:rStyle w:val="14"/>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1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lang w:val="en-US" w:eastAsia="zh-CN" w:bidi="ar-SA"/>
        </w:rPr>
        <w:t>根据预算绩效管理要求，政府（本级）对部门整体和</w:t>
      </w:r>
      <w:r>
        <w:rPr>
          <w:rFonts w:hint="eastAsia" w:ascii="Times New Roman" w:hAnsi="Times New Roman" w:eastAsia="方正仿宋_GBK" w:cs="Times New Roman"/>
          <w:sz w:val="32"/>
          <w:szCs w:val="32"/>
          <w:shd w:val="clear" w:color="auto" w:fill="FFFFFF"/>
          <w:lang w:val="en-US" w:eastAsia="zh-CN" w:bidi="ar-SA"/>
        </w:rPr>
        <w:t>58</w:t>
      </w:r>
      <w:r>
        <w:rPr>
          <w:rFonts w:hint="eastAsia" w:ascii="方正仿宋_GBK" w:hAnsi="方正仿宋_GBK" w:eastAsia="方正仿宋_GBK" w:cs="方正仿宋_GBK"/>
          <w:sz w:val="32"/>
          <w:szCs w:val="32"/>
          <w:shd w:val="clear" w:color="auto" w:fill="FFFFFF"/>
          <w:lang w:val="en-US" w:eastAsia="zh-CN" w:bidi="ar-SA"/>
        </w:rPr>
        <w:t>个项目开展了绩效自评，故本站所</w:t>
      </w:r>
      <w:r>
        <w:rPr>
          <w:rFonts w:hint="eastAsia" w:ascii="Times New Roman" w:hAnsi="Times New Roman" w:eastAsia="方正仿宋_GBK" w:cs="Times New Roman"/>
          <w:sz w:val="32"/>
          <w:szCs w:val="32"/>
          <w:shd w:val="clear" w:color="auto" w:fill="FFFFFF"/>
          <w:lang w:val="en-US" w:eastAsia="zh-CN" w:bidi="ar-SA"/>
        </w:rPr>
        <w:t>2024</w:t>
      </w:r>
      <w:r>
        <w:rPr>
          <w:rFonts w:hint="eastAsia" w:ascii="方正仿宋_GBK" w:hAnsi="方正仿宋_GBK" w:eastAsia="方正仿宋_GBK" w:cs="方正仿宋_GBK"/>
          <w:sz w:val="32"/>
          <w:szCs w:val="32"/>
          <w:shd w:val="clear" w:color="auto" w:fill="FFFFFF"/>
          <w:lang w:val="en-US" w:eastAsia="zh-CN" w:bidi="ar-SA"/>
        </w:rPr>
        <w:t>年度无需再次开展绩效评价。</w:t>
      </w:r>
    </w:p>
    <w:p>
      <w:pPr>
        <w:pStyle w:val="15"/>
        <w:keepNext w:val="0"/>
        <w:keepLines w:val="0"/>
        <w:pageBreakBefore w:val="0"/>
        <w:widowControl w:val="0"/>
        <w:kinsoku/>
        <w:wordWrap/>
        <w:overflowPunct/>
        <w:topLinePunct w:val="0"/>
        <w:autoSpaceDE w:val="0"/>
        <w:autoSpaceDN/>
        <w:bidi w:val="0"/>
        <w:adjustRightInd/>
        <w:snapToGrid/>
        <w:spacing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4"/>
          <w:rFonts w:hint="eastAsia" w:ascii="方正黑体_GBK" w:hAnsi="方正黑体_GBK" w:eastAsia="方正黑体_GBK" w:cs="方正黑体_GBK"/>
          <w:b w:val="0"/>
          <w:bCs/>
          <w:sz w:val="32"/>
          <w:szCs w:val="32"/>
          <w:shd w:val="clear" w:color="auto" w:fill="FFFFFF"/>
          <w:lang w:val="en-US" w:eastAsia="zh-CN" w:bidi="ar-SA"/>
        </w:rPr>
        <w:t>六、专业名词解释</w:t>
      </w:r>
    </w:p>
    <w:p>
      <w:pPr>
        <w:pStyle w:val="16"/>
        <w:keepNext w:val="0"/>
        <w:keepLines w:val="0"/>
        <w:pageBreakBefore w:val="0"/>
        <w:widowControl w:val="0"/>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Style w:val="14"/>
          <w:rFonts w:hint="eastAsia" w:ascii="楷体" w:hAnsi="楷体" w:eastAsia="楷体" w:cs="楷体"/>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fill="FFFFFF"/>
        </w:rPr>
        <w:t>反映用于对个人和家庭的补助支出。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4"/>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4"/>
          <w:rFonts w:hint="eastAsia" w:ascii="方正楷体_GBK" w:hAnsi="方正楷体_GBK" w:eastAsia="方正楷体_GBK" w:cs="方正楷体_GBK"/>
          <w:b w:val="0"/>
          <w:bCs/>
          <w:sz w:val="32"/>
          <w:szCs w:val="32"/>
          <w:shd w:val="clear" w:color="auto" w:fill="FFFFFF"/>
          <w:lang w:val="en-US" w:eastAsia="zh-CN" w:bidi="ar-SA"/>
        </w:rPr>
      </w:pPr>
      <w:r>
        <w:rPr>
          <w:rStyle w:val="14"/>
          <w:rFonts w:hint="eastAsia" w:ascii="方正楷体_GBK" w:hAnsi="方正楷体_GBK" w:eastAsia="方正楷体_GBK" w:cs="方正楷体_GBK"/>
          <w:b w:val="0"/>
          <w:bCs/>
          <w:sz w:val="32"/>
          <w:szCs w:val="32"/>
          <w:shd w:val="clear" w:color="auto" w:fill="FFFFFF"/>
          <w:lang w:val="en-US" w:eastAsia="zh-CN" w:bidi="ar-SA"/>
        </w:rPr>
        <w:t>七、决算公开联系方式及信息反馈渠道</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b w:val="0"/>
          <w:bCs w:val="0"/>
          <w:sz w:val="32"/>
          <w:szCs w:val="32"/>
          <w:shd w:val="clear" w:color="auto" w:fill="FFFFFF"/>
        </w:rPr>
        <w:t>巴山镇人民政府</w:t>
      </w:r>
      <w:r>
        <w:rPr>
          <w:rFonts w:hint="eastAsia" w:ascii="方正仿宋_GBK" w:hAnsi="方正仿宋_GBK" w:eastAsia="方正仿宋_GBK" w:cs="方正仿宋_GBK"/>
          <w:color w:val="FF0000"/>
          <w:kern w:val="0"/>
          <w:sz w:val="32"/>
          <w:szCs w:val="32"/>
          <w:shd w:val="clear" w:fill="FFFFFF"/>
        </w:rPr>
        <w:t xml:space="preserve">   </w:t>
      </w:r>
      <w:r>
        <w:rPr>
          <w:rFonts w:hint="default" w:ascii="Times New Roman" w:hAnsi="Times New Roman" w:eastAsia="方正仿宋_GBK" w:cs="Times New Roman"/>
          <w:b w:val="0"/>
          <w:bCs w:val="0"/>
          <w:sz w:val="32"/>
          <w:szCs w:val="32"/>
          <w:shd w:val="clear" w:color="auto" w:fill="FFFFFF"/>
        </w:rPr>
        <w:t>023-59280550</w:t>
      </w:r>
    </w:p>
    <w:p>
      <w:pPr>
        <w:pStyle w:val="15"/>
        <w:keepNext w:val="0"/>
        <w:keepLines w:val="0"/>
        <w:pageBreakBefore w:val="0"/>
        <w:widowControl/>
        <w:kinsoku/>
        <w:wordWrap/>
        <w:overflowPunct/>
        <w:topLinePunct w:val="0"/>
        <w:autoSpaceDE w:val="0"/>
        <w:autoSpaceDN/>
        <w:bidi w:val="0"/>
        <w:adjustRightInd/>
        <w:snapToGrid/>
        <w:spacing w:beforeAutospacing="0" w:afterAutospacing="0" w:line="579" w:lineRule="exact"/>
        <w:ind w:firstLine="643" w:firstLineChars="200"/>
        <w:jc w:val="both"/>
        <w:textAlignment w:val="auto"/>
        <w:rPr>
          <w:rStyle w:val="14"/>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1361" w:gutter="0"/>
          <w:pgNumType w:fmt="decimal"/>
          <w:cols w:space="720" w:num="1"/>
          <w:docGrid w:type="lines" w:linePitch="312" w:charSpace="0"/>
        </w:sectPr>
      </w:pPr>
    </w:p>
    <w:tbl>
      <w:tblPr>
        <w:tblStyle w:val="11"/>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巴山镇农业服务中心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巴山镇农业服务中心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171.05</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171.05</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巴山镇农业服务中心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171.05</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171.05</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巴山镇农业服务中心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171.05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171.05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171.05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巴山镇农业服务中心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171.05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171.05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141.15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巴山镇农业服务中心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164.85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巴山镇农业服务中心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33" o:spid="_x0000_s103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sz w:val="18"/>
      </w:rPr>
      <w:pict>
        <v:shape id="_x0000_s1034" o:spid="_x0000_s103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E2YTEzMmZiZjY0ZTA1MTVhZDBhOTA4ODhmNzE5Nzc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75D66"/>
    <w:rsid w:val="00984C6A"/>
    <w:rsid w:val="00994AF7"/>
    <w:rsid w:val="009B67B8"/>
    <w:rsid w:val="009C14C9"/>
    <w:rsid w:val="009D2B67"/>
    <w:rsid w:val="009E1452"/>
    <w:rsid w:val="00A566F9"/>
    <w:rsid w:val="00AF2751"/>
    <w:rsid w:val="00B03CCD"/>
    <w:rsid w:val="00BE2B89"/>
    <w:rsid w:val="00BF0D89"/>
    <w:rsid w:val="00C03B62"/>
    <w:rsid w:val="00C10E9E"/>
    <w:rsid w:val="00C20C3E"/>
    <w:rsid w:val="00C5163E"/>
    <w:rsid w:val="00CF2ACF"/>
    <w:rsid w:val="00D03AAF"/>
    <w:rsid w:val="00DD0539"/>
    <w:rsid w:val="00E07662"/>
    <w:rsid w:val="00E368E9"/>
    <w:rsid w:val="00EE1E33"/>
    <w:rsid w:val="00F73F90"/>
    <w:rsid w:val="00FB4B3B"/>
    <w:rsid w:val="01321D28"/>
    <w:rsid w:val="01474EBF"/>
    <w:rsid w:val="01F3521E"/>
    <w:rsid w:val="024A74DB"/>
    <w:rsid w:val="02C44E0D"/>
    <w:rsid w:val="03B87EA0"/>
    <w:rsid w:val="03D1158F"/>
    <w:rsid w:val="03E3214F"/>
    <w:rsid w:val="044C50BA"/>
    <w:rsid w:val="05BC6D49"/>
    <w:rsid w:val="06194FF1"/>
    <w:rsid w:val="062956B3"/>
    <w:rsid w:val="06A2550B"/>
    <w:rsid w:val="06F80EE2"/>
    <w:rsid w:val="07001CCA"/>
    <w:rsid w:val="074B5150"/>
    <w:rsid w:val="075678DB"/>
    <w:rsid w:val="075A7699"/>
    <w:rsid w:val="077B465F"/>
    <w:rsid w:val="079D7CC7"/>
    <w:rsid w:val="07DA01C9"/>
    <w:rsid w:val="07FE0BAD"/>
    <w:rsid w:val="08051BCA"/>
    <w:rsid w:val="086C12F4"/>
    <w:rsid w:val="08705944"/>
    <w:rsid w:val="08BA052C"/>
    <w:rsid w:val="08DB07BA"/>
    <w:rsid w:val="0969353F"/>
    <w:rsid w:val="098305D0"/>
    <w:rsid w:val="09B1218B"/>
    <w:rsid w:val="0A3317EA"/>
    <w:rsid w:val="0A5C4B69"/>
    <w:rsid w:val="0A86124A"/>
    <w:rsid w:val="0AB54CC0"/>
    <w:rsid w:val="0B4E5E9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63489E"/>
    <w:rsid w:val="12B26A30"/>
    <w:rsid w:val="12C921C4"/>
    <w:rsid w:val="13871C70"/>
    <w:rsid w:val="13A71CB4"/>
    <w:rsid w:val="13AF1D43"/>
    <w:rsid w:val="13CE1647"/>
    <w:rsid w:val="13FD55AB"/>
    <w:rsid w:val="14200702"/>
    <w:rsid w:val="14370EA1"/>
    <w:rsid w:val="159C1350"/>
    <w:rsid w:val="163A6CEE"/>
    <w:rsid w:val="16B0768E"/>
    <w:rsid w:val="173708E3"/>
    <w:rsid w:val="17C374FC"/>
    <w:rsid w:val="182E4AB6"/>
    <w:rsid w:val="189079DC"/>
    <w:rsid w:val="189B0D0B"/>
    <w:rsid w:val="18B43F7C"/>
    <w:rsid w:val="19187206"/>
    <w:rsid w:val="191C433B"/>
    <w:rsid w:val="194A1770"/>
    <w:rsid w:val="197E58BE"/>
    <w:rsid w:val="19B906A4"/>
    <w:rsid w:val="19B94B48"/>
    <w:rsid w:val="1B6F15B6"/>
    <w:rsid w:val="1B722C0B"/>
    <w:rsid w:val="1BAA2EDC"/>
    <w:rsid w:val="1CA55E64"/>
    <w:rsid w:val="1D014A01"/>
    <w:rsid w:val="1D022362"/>
    <w:rsid w:val="1D1B04B0"/>
    <w:rsid w:val="1D772D50"/>
    <w:rsid w:val="1DA52501"/>
    <w:rsid w:val="1DBD6767"/>
    <w:rsid w:val="1DC52125"/>
    <w:rsid w:val="1DD26311"/>
    <w:rsid w:val="1E176D06"/>
    <w:rsid w:val="1E1F1EBF"/>
    <w:rsid w:val="1E374ACB"/>
    <w:rsid w:val="1E74728F"/>
    <w:rsid w:val="1ECF0A66"/>
    <w:rsid w:val="1EF67CA4"/>
    <w:rsid w:val="1F020D3A"/>
    <w:rsid w:val="1F1C2848"/>
    <w:rsid w:val="1F2C5189"/>
    <w:rsid w:val="1F4B0B02"/>
    <w:rsid w:val="1F7F269C"/>
    <w:rsid w:val="1FB65CE4"/>
    <w:rsid w:val="1FBB35CD"/>
    <w:rsid w:val="1FCD26AF"/>
    <w:rsid w:val="20642787"/>
    <w:rsid w:val="20A8044E"/>
    <w:rsid w:val="20CF4C51"/>
    <w:rsid w:val="21556F04"/>
    <w:rsid w:val="22403BD3"/>
    <w:rsid w:val="22AD3177"/>
    <w:rsid w:val="235417B6"/>
    <w:rsid w:val="2448085F"/>
    <w:rsid w:val="24B92327"/>
    <w:rsid w:val="24C14514"/>
    <w:rsid w:val="24F95A17"/>
    <w:rsid w:val="252A114A"/>
    <w:rsid w:val="2533755C"/>
    <w:rsid w:val="25371C8E"/>
    <w:rsid w:val="25791755"/>
    <w:rsid w:val="25BC2DBE"/>
    <w:rsid w:val="26396DF4"/>
    <w:rsid w:val="26775B6F"/>
    <w:rsid w:val="27167136"/>
    <w:rsid w:val="271B442C"/>
    <w:rsid w:val="27A94479"/>
    <w:rsid w:val="27B23302"/>
    <w:rsid w:val="27E47531"/>
    <w:rsid w:val="27EE47AF"/>
    <w:rsid w:val="288527C5"/>
    <w:rsid w:val="29310A5F"/>
    <w:rsid w:val="29C37A35"/>
    <w:rsid w:val="2A076083"/>
    <w:rsid w:val="2A73162E"/>
    <w:rsid w:val="2AAE4E56"/>
    <w:rsid w:val="2AB70C30"/>
    <w:rsid w:val="2AC554AE"/>
    <w:rsid w:val="2B167953"/>
    <w:rsid w:val="2B200583"/>
    <w:rsid w:val="2B2729C0"/>
    <w:rsid w:val="2B8209DE"/>
    <w:rsid w:val="2B821C91"/>
    <w:rsid w:val="2BF81A22"/>
    <w:rsid w:val="2C636760"/>
    <w:rsid w:val="2C6762A3"/>
    <w:rsid w:val="2D1B54A6"/>
    <w:rsid w:val="2D314CC9"/>
    <w:rsid w:val="2E24038A"/>
    <w:rsid w:val="2F8E38A0"/>
    <w:rsid w:val="2FCA4B37"/>
    <w:rsid w:val="2FE029D7"/>
    <w:rsid w:val="2FF06E00"/>
    <w:rsid w:val="30586FEC"/>
    <w:rsid w:val="30907F59"/>
    <w:rsid w:val="315F0B22"/>
    <w:rsid w:val="31A15828"/>
    <w:rsid w:val="31C679AA"/>
    <w:rsid w:val="31D84415"/>
    <w:rsid w:val="32285F6F"/>
    <w:rsid w:val="32770556"/>
    <w:rsid w:val="329C0913"/>
    <w:rsid w:val="32AA0460"/>
    <w:rsid w:val="3337290D"/>
    <w:rsid w:val="33D61747"/>
    <w:rsid w:val="33E31118"/>
    <w:rsid w:val="33EF7674"/>
    <w:rsid w:val="342D7BC6"/>
    <w:rsid w:val="34F67558"/>
    <w:rsid w:val="352930DB"/>
    <w:rsid w:val="35573069"/>
    <w:rsid w:val="355F6038"/>
    <w:rsid w:val="358C217E"/>
    <w:rsid w:val="36C9128A"/>
    <w:rsid w:val="37694150"/>
    <w:rsid w:val="37841E99"/>
    <w:rsid w:val="37BF1123"/>
    <w:rsid w:val="37E11AD0"/>
    <w:rsid w:val="383C3F15"/>
    <w:rsid w:val="38BE4696"/>
    <w:rsid w:val="38FA681A"/>
    <w:rsid w:val="3939115E"/>
    <w:rsid w:val="397367C5"/>
    <w:rsid w:val="39B82A39"/>
    <w:rsid w:val="39B8407C"/>
    <w:rsid w:val="39C42CA8"/>
    <w:rsid w:val="39DC4FD6"/>
    <w:rsid w:val="39F03D7A"/>
    <w:rsid w:val="39F33306"/>
    <w:rsid w:val="3A250E0D"/>
    <w:rsid w:val="3A2C1C67"/>
    <w:rsid w:val="3A6A77C9"/>
    <w:rsid w:val="3ADD7F09"/>
    <w:rsid w:val="3AFF55B1"/>
    <w:rsid w:val="3B1705E5"/>
    <w:rsid w:val="3B18334B"/>
    <w:rsid w:val="3B36794F"/>
    <w:rsid w:val="3B602C1D"/>
    <w:rsid w:val="3B6F6EE0"/>
    <w:rsid w:val="3BCF13D0"/>
    <w:rsid w:val="3C566AD6"/>
    <w:rsid w:val="3C594871"/>
    <w:rsid w:val="3C6A5B02"/>
    <w:rsid w:val="3D083B3A"/>
    <w:rsid w:val="3D1F02AB"/>
    <w:rsid w:val="3D2757A1"/>
    <w:rsid w:val="3D3D4FC4"/>
    <w:rsid w:val="3DDF3AB1"/>
    <w:rsid w:val="3E1D0952"/>
    <w:rsid w:val="3E42660A"/>
    <w:rsid w:val="3E7555B1"/>
    <w:rsid w:val="3E787ED9"/>
    <w:rsid w:val="3EFE76AC"/>
    <w:rsid w:val="3F032E93"/>
    <w:rsid w:val="3F0527E5"/>
    <w:rsid w:val="3F4A7DCA"/>
    <w:rsid w:val="3F4C52C6"/>
    <w:rsid w:val="3F694D83"/>
    <w:rsid w:val="3F885DCC"/>
    <w:rsid w:val="3FCD675E"/>
    <w:rsid w:val="4004000C"/>
    <w:rsid w:val="40760DD1"/>
    <w:rsid w:val="40BD5482"/>
    <w:rsid w:val="411B6CE5"/>
    <w:rsid w:val="412070D7"/>
    <w:rsid w:val="41314E40"/>
    <w:rsid w:val="41882D80"/>
    <w:rsid w:val="41CB4ACB"/>
    <w:rsid w:val="41E0734B"/>
    <w:rsid w:val="426C1EA8"/>
    <w:rsid w:val="42736402"/>
    <w:rsid w:val="428E7F40"/>
    <w:rsid w:val="42E86A87"/>
    <w:rsid w:val="43307B09"/>
    <w:rsid w:val="439A3EB9"/>
    <w:rsid w:val="43A92A16"/>
    <w:rsid w:val="43B35F1D"/>
    <w:rsid w:val="43BB152F"/>
    <w:rsid w:val="443E03F2"/>
    <w:rsid w:val="447A6AFE"/>
    <w:rsid w:val="44817E8C"/>
    <w:rsid w:val="44C37687"/>
    <w:rsid w:val="45CB699A"/>
    <w:rsid w:val="46423C66"/>
    <w:rsid w:val="465B470D"/>
    <w:rsid w:val="46604186"/>
    <w:rsid w:val="469D6AD4"/>
    <w:rsid w:val="46CF7214"/>
    <w:rsid w:val="471E6C84"/>
    <w:rsid w:val="4748792B"/>
    <w:rsid w:val="475D719D"/>
    <w:rsid w:val="47674801"/>
    <w:rsid w:val="48225EF7"/>
    <w:rsid w:val="488F422B"/>
    <w:rsid w:val="48E36915"/>
    <w:rsid w:val="48EB6572"/>
    <w:rsid w:val="48F733FD"/>
    <w:rsid w:val="495C4A24"/>
    <w:rsid w:val="497135DF"/>
    <w:rsid w:val="4A263DF2"/>
    <w:rsid w:val="4A2F278B"/>
    <w:rsid w:val="4A2F3F51"/>
    <w:rsid w:val="4A6F6675"/>
    <w:rsid w:val="4A993A56"/>
    <w:rsid w:val="4B135857"/>
    <w:rsid w:val="4B7951CB"/>
    <w:rsid w:val="4B7C315C"/>
    <w:rsid w:val="4BAD619F"/>
    <w:rsid w:val="4D1F53CA"/>
    <w:rsid w:val="4DAC4ACA"/>
    <w:rsid w:val="4DBE01D2"/>
    <w:rsid w:val="4EFD467F"/>
    <w:rsid w:val="4F0C6BA3"/>
    <w:rsid w:val="4F186D58"/>
    <w:rsid w:val="4FFE7F08"/>
    <w:rsid w:val="500844DE"/>
    <w:rsid w:val="501A73E7"/>
    <w:rsid w:val="504B6EAA"/>
    <w:rsid w:val="50D4243B"/>
    <w:rsid w:val="50F06B6E"/>
    <w:rsid w:val="51064DCD"/>
    <w:rsid w:val="516E3547"/>
    <w:rsid w:val="51C9203F"/>
    <w:rsid w:val="51D21804"/>
    <w:rsid w:val="52234D33"/>
    <w:rsid w:val="522F6E0C"/>
    <w:rsid w:val="52463BA1"/>
    <w:rsid w:val="52F163D4"/>
    <w:rsid w:val="531A2DB4"/>
    <w:rsid w:val="5371638E"/>
    <w:rsid w:val="53A6026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5CF09C3"/>
    <w:rsid w:val="56530F5D"/>
    <w:rsid w:val="567700D3"/>
    <w:rsid w:val="56FF7E9E"/>
    <w:rsid w:val="578867FC"/>
    <w:rsid w:val="579A25F1"/>
    <w:rsid w:val="5842572D"/>
    <w:rsid w:val="59C852F9"/>
    <w:rsid w:val="5A3B59D6"/>
    <w:rsid w:val="5AD134D8"/>
    <w:rsid w:val="5B4E2BC5"/>
    <w:rsid w:val="5BBB382C"/>
    <w:rsid w:val="5BF41F67"/>
    <w:rsid w:val="5C263CE4"/>
    <w:rsid w:val="5C2A159C"/>
    <w:rsid w:val="5C5D2777"/>
    <w:rsid w:val="5CCF2A0A"/>
    <w:rsid w:val="5CE40234"/>
    <w:rsid w:val="5CF66BF3"/>
    <w:rsid w:val="5D221689"/>
    <w:rsid w:val="5D290C69"/>
    <w:rsid w:val="5DA80C2C"/>
    <w:rsid w:val="5DCA6DA7"/>
    <w:rsid w:val="5E7A289D"/>
    <w:rsid w:val="5EC15626"/>
    <w:rsid w:val="5F2D4A41"/>
    <w:rsid w:val="5F4B18DA"/>
    <w:rsid w:val="608A7C71"/>
    <w:rsid w:val="60C74F6C"/>
    <w:rsid w:val="61015958"/>
    <w:rsid w:val="61025A59"/>
    <w:rsid w:val="6138591F"/>
    <w:rsid w:val="613D5BBC"/>
    <w:rsid w:val="61536C39"/>
    <w:rsid w:val="619A2136"/>
    <w:rsid w:val="62944DD7"/>
    <w:rsid w:val="6319381F"/>
    <w:rsid w:val="63A4195A"/>
    <w:rsid w:val="63C25DC5"/>
    <w:rsid w:val="63C62057"/>
    <w:rsid w:val="64571EF5"/>
    <w:rsid w:val="64EF3BE9"/>
    <w:rsid w:val="64FB113D"/>
    <w:rsid w:val="6535464F"/>
    <w:rsid w:val="654E5711"/>
    <w:rsid w:val="656152C6"/>
    <w:rsid w:val="6587477F"/>
    <w:rsid w:val="658C3A08"/>
    <w:rsid w:val="65C031CA"/>
    <w:rsid w:val="65CE6852"/>
    <w:rsid w:val="66267C04"/>
    <w:rsid w:val="663F505A"/>
    <w:rsid w:val="666C2D2F"/>
    <w:rsid w:val="66AF5D7C"/>
    <w:rsid w:val="66ED2D08"/>
    <w:rsid w:val="66EE5541"/>
    <w:rsid w:val="67924660"/>
    <w:rsid w:val="68407834"/>
    <w:rsid w:val="6883293E"/>
    <w:rsid w:val="688412AD"/>
    <w:rsid w:val="68EB1B71"/>
    <w:rsid w:val="693904C1"/>
    <w:rsid w:val="696C0310"/>
    <w:rsid w:val="69D1624A"/>
    <w:rsid w:val="6A243F51"/>
    <w:rsid w:val="6A6C7940"/>
    <w:rsid w:val="6A6E5F0E"/>
    <w:rsid w:val="6A9F1565"/>
    <w:rsid w:val="6AAD2300"/>
    <w:rsid w:val="6B474EF5"/>
    <w:rsid w:val="6B517D09"/>
    <w:rsid w:val="6BC938E5"/>
    <w:rsid w:val="6C0A5AC5"/>
    <w:rsid w:val="6C560CAE"/>
    <w:rsid w:val="6C576495"/>
    <w:rsid w:val="6CF21078"/>
    <w:rsid w:val="6D903FF5"/>
    <w:rsid w:val="6DA955B8"/>
    <w:rsid w:val="6DE346AB"/>
    <w:rsid w:val="6DE5391A"/>
    <w:rsid w:val="6E13574A"/>
    <w:rsid w:val="6E967AD3"/>
    <w:rsid w:val="6EFD1324"/>
    <w:rsid w:val="6F0F2D0A"/>
    <w:rsid w:val="6F5A53AC"/>
    <w:rsid w:val="6FAC003D"/>
    <w:rsid w:val="6FD926BF"/>
    <w:rsid w:val="6FE55E12"/>
    <w:rsid w:val="6FF003F1"/>
    <w:rsid w:val="6FFB2E76"/>
    <w:rsid w:val="708F6F7F"/>
    <w:rsid w:val="70D94BD3"/>
    <w:rsid w:val="71574775"/>
    <w:rsid w:val="716B2A6D"/>
    <w:rsid w:val="71C34D91"/>
    <w:rsid w:val="7265409A"/>
    <w:rsid w:val="72DB435C"/>
    <w:rsid w:val="72E2613A"/>
    <w:rsid w:val="72F771F4"/>
    <w:rsid w:val="73934AD2"/>
    <w:rsid w:val="750837F0"/>
    <w:rsid w:val="754758CF"/>
    <w:rsid w:val="75595ECD"/>
    <w:rsid w:val="764F62AB"/>
    <w:rsid w:val="765C45EC"/>
    <w:rsid w:val="768A7619"/>
    <w:rsid w:val="76BD23AB"/>
    <w:rsid w:val="76C477C1"/>
    <w:rsid w:val="772E1EBA"/>
    <w:rsid w:val="776917E7"/>
    <w:rsid w:val="78093744"/>
    <w:rsid w:val="781926BC"/>
    <w:rsid w:val="796D60A4"/>
    <w:rsid w:val="79A031D5"/>
    <w:rsid w:val="79B47FDF"/>
    <w:rsid w:val="79B51569"/>
    <w:rsid w:val="79E569A9"/>
    <w:rsid w:val="7A1525F7"/>
    <w:rsid w:val="7B420052"/>
    <w:rsid w:val="7B955588"/>
    <w:rsid w:val="7BD06A28"/>
    <w:rsid w:val="7C3A7C0B"/>
    <w:rsid w:val="7C5248E4"/>
    <w:rsid w:val="7C566698"/>
    <w:rsid w:val="7C5866A3"/>
    <w:rsid w:val="7CCF4F32"/>
    <w:rsid w:val="7CD77BF3"/>
    <w:rsid w:val="7D357247"/>
    <w:rsid w:val="7D7406BB"/>
    <w:rsid w:val="7DE94331"/>
    <w:rsid w:val="7EDA196C"/>
    <w:rsid w:val="7F446A19"/>
    <w:rsid w:val="7F7452B9"/>
    <w:rsid w:val="BFFF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2"/>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basedOn w:val="13"/>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5"/>
    <w:qFormat/>
    <w:uiPriority w:val="0"/>
    <w:rPr>
      <w:rFonts w:ascii="宋体" w:hAnsi="宋体"/>
      <w:sz w:val="18"/>
      <w:szCs w:val="18"/>
    </w:rPr>
  </w:style>
  <w:style w:type="paragraph" w:customStyle="1" w:styleId="20">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34"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0</TotalTime>
  <ScaleCrop>false</ScaleCrop>
  <LinksUpToDate>false</LinksUpToDate>
  <CharactersWithSpaces>26313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2025-09-16T03:21:10Z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BB46EABDBB2749749395447164B066B3_12</vt:lpwstr>
  </property>
</Properties>
</file>