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Style w:val="7"/>
          <w:rFonts w:eastAsia="方正小标宋_GBK"/>
          <w:color w:val="000000"/>
          <w:kern w:val="0"/>
          <w:sz w:val="44"/>
          <w:szCs w:val="44"/>
        </w:rPr>
      </w:pPr>
      <w:r>
        <w:rPr>
          <w:rStyle w:val="7"/>
          <w:rFonts w:eastAsia="方正小标宋_GBK"/>
          <w:color w:val="000000"/>
          <w:kern w:val="0"/>
          <w:sz w:val="44"/>
          <w:szCs w:val="44"/>
        </w:rPr>
        <w:t>北屏乡2022年财政预算执行情况和2023年财政预算草案的报告</w:t>
      </w:r>
    </w:p>
    <w:p>
      <w:pPr>
        <w:spacing w:line="579" w:lineRule="exact"/>
        <w:jc w:val="center"/>
        <w:rPr>
          <w:rStyle w:val="7"/>
          <w:rFonts w:eastAsia="方正楷体_GBK"/>
          <w:color w:val="000000"/>
          <w:kern w:val="0"/>
        </w:rPr>
      </w:pPr>
      <w:r>
        <w:rPr>
          <w:rStyle w:val="7"/>
          <w:rFonts w:eastAsia="方正楷体_GBK"/>
          <w:color w:val="000000"/>
          <w:kern w:val="0"/>
        </w:rPr>
        <w:t>（在北屏乡第十九届人民代表大会第三次会议上）</w:t>
      </w:r>
    </w:p>
    <w:p>
      <w:pPr>
        <w:spacing w:line="579" w:lineRule="exact"/>
        <w:jc w:val="center"/>
        <w:rPr>
          <w:rStyle w:val="7"/>
          <w:rFonts w:eastAsia="方正楷体_GBK"/>
          <w:color w:val="000000"/>
          <w:kern w:val="0"/>
        </w:rPr>
      </w:pPr>
      <w:r>
        <w:rPr>
          <w:rStyle w:val="7"/>
          <w:rFonts w:eastAsia="方正楷体_GBK"/>
          <w:color w:val="000000"/>
          <w:kern w:val="0"/>
        </w:rPr>
        <w:t>（2023年2月11日）</w:t>
      </w:r>
    </w:p>
    <w:p>
      <w:pPr>
        <w:spacing w:line="579" w:lineRule="exact"/>
        <w:jc w:val="center"/>
        <w:rPr>
          <w:rStyle w:val="7"/>
          <w:rFonts w:eastAsia="方正楷体_GBK"/>
          <w:color w:val="000000"/>
          <w:kern w:val="0"/>
        </w:rPr>
      </w:pPr>
    </w:p>
    <w:p>
      <w:pPr>
        <w:spacing w:line="579" w:lineRule="exact"/>
        <w:rPr>
          <w:rStyle w:val="7"/>
        </w:rPr>
      </w:pPr>
      <w:r>
        <w:rPr>
          <w:rStyle w:val="7"/>
        </w:rPr>
        <w:t>各位代表：</w:t>
      </w:r>
    </w:p>
    <w:p>
      <w:pPr>
        <w:spacing w:line="579" w:lineRule="exact"/>
        <w:ind w:firstLine="640" w:firstLineChars="200"/>
        <w:rPr>
          <w:rStyle w:val="7"/>
        </w:rPr>
      </w:pPr>
      <w:r>
        <w:rPr>
          <w:rStyle w:val="7"/>
        </w:rPr>
        <w:t>我受北屏乡人民政府委托，现向大会作《北屏乡2022年财政预算执行情况和2023年财政预算草案的报告》，请予以审议，</w:t>
      </w:r>
      <w:r>
        <w:rPr>
          <w:rStyle w:val="7"/>
          <w:color w:val="333333"/>
        </w:rPr>
        <w:t>并请各位代表及列席人员提出意见或建议</w:t>
      </w:r>
      <w:r>
        <w:rPr>
          <w:rStyle w:val="7"/>
        </w:rPr>
        <w:t>。</w:t>
      </w:r>
    </w:p>
    <w:p>
      <w:pPr>
        <w:spacing w:line="579" w:lineRule="exact"/>
        <w:ind w:firstLine="640" w:firstLineChars="200"/>
        <w:rPr>
          <w:rStyle w:val="7"/>
          <w:rFonts w:eastAsia="方正黑体_GBK"/>
        </w:rPr>
      </w:pPr>
      <w:r>
        <w:rPr>
          <w:rStyle w:val="7"/>
          <w:rFonts w:eastAsia="方正黑体_GBK"/>
        </w:rPr>
        <w:t>一、2022年财政预算执行情况</w:t>
      </w:r>
    </w:p>
    <w:p>
      <w:pPr>
        <w:spacing w:line="579" w:lineRule="exact"/>
        <w:ind w:firstLine="640" w:firstLineChars="200"/>
        <w:rPr>
          <w:rStyle w:val="7"/>
        </w:rPr>
      </w:pPr>
      <w:r>
        <w:rPr>
          <w:rStyle w:val="7"/>
        </w:rPr>
        <w:t>2022年，我们以习近平新时代中国特色社会主义思想为指导，深入学习贯彻党的二十大精神，认真贯彻落实全市、全县财政工作会议精神，在乡党委政府的正确领导和乡人大的监督下，在上级财税部门的大力支持下，积极应对复杂严峻的经济形势，主动适应发展新常态，充分发挥财政职能，优化财政支出结构，切实保障和改善民生，落实财政政策，各项财政工作有序有力推进，保障了全乡经济社会各项事业健康有序发展。</w:t>
      </w:r>
    </w:p>
    <w:p>
      <w:pPr>
        <w:spacing w:line="579" w:lineRule="exact"/>
        <w:ind w:firstLine="640" w:firstLineChars="200"/>
        <w:rPr>
          <w:rStyle w:val="7"/>
          <w:rFonts w:eastAsia="方正楷体_GBK"/>
        </w:rPr>
      </w:pPr>
      <w:r>
        <w:rPr>
          <w:rStyle w:val="7"/>
          <w:rFonts w:eastAsia="方正楷体_GBK"/>
        </w:rPr>
        <w:t>（一）2022年财政收入情况</w:t>
      </w:r>
    </w:p>
    <w:p>
      <w:pPr>
        <w:spacing w:line="579" w:lineRule="exact"/>
        <w:ind w:firstLine="640" w:firstLineChars="200"/>
        <w:rPr>
          <w:rStyle w:val="7"/>
        </w:rPr>
      </w:pPr>
      <w:r>
        <w:rPr>
          <w:rStyle w:val="7"/>
        </w:rPr>
        <w:t>2022年县上下达我乡税收任务20万元，已如期完成，完成年度任务的100%。非税收入任务7.3万元（其中城市建设配套费0.5万元，垃圾处置费6.8万元），实际完成7.3万元，完成年度任务数的100%。</w:t>
      </w:r>
    </w:p>
    <w:p>
      <w:pPr>
        <w:spacing w:line="579" w:lineRule="exact"/>
        <w:ind w:firstLine="640" w:firstLineChars="200"/>
        <w:rPr>
          <w:rStyle w:val="7"/>
        </w:rPr>
      </w:pPr>
      <w:r>
        <w:rPr>
          <w:rStyle w:val="7"/>
        </w:rPr>
        <w:t>2022年本级财政总收入1866万元，其中一般公共预算财政拨款收入1847.29万元，政府性基金预算财政拨款收入18.71万元，调整及专项追加1222.89万元。</w:t>
      </w:r>
    </w:p>
    <w:p>
      <w:pPr>
        <w:spacing w:line="579" w:lineRule="exact"/>
        <w:ind w:firstLine="640" w:firstLineChars="200"/>
        <w:rPr>
          <w:rStyle w:val="7"/>
          <w:rFonts w:eastAsia="方正楷体_GBK"/>
        </w:rPr>
      </w:pPr>
      <w:r>
        <w:rPr>
          <w:rStyle w:val="7"/>
          <w:rFonts w:eastAsia="方正楷体_GBK"/>
        </w:rPr>
        <w:t>（二）2022年财政支出情况</w:t>
      </w:r>
    </w:p>
    <w:p>
      <w:pPr>
        <w:spacing w:line="579" w:lineRule="exact"/>
        <w:ind w:firstLine="640" w:firstLineChars="200"/>
        <w:rPr>
          <w:rStyle w:val="7"/>
        </w:rPr>
      </w:pPr>
      <w:r>
        <w:rPr>
          <w:rStyle w:val="7"/>
        </w:rPr>
        <w:t>2022年本级财政可支配财力1866万元，同比增长34.61%，比年初预算643.11万元增加1222.89万元，增长190.15%，截</w:t>
      </w:r>
      <w:r>
        <w:rPr>
          <w:rStyle w:val="7"/>
          <w:rFonts w:hint="eastAsia"/>
          <w:lang w:eastAsia="zh-CN"/>
        </w:rPr>
        <w:t>至</w:t>
      </w:r>
      <w:r>
        <w:rPr>
          <w:rStyle w:val="7"/>
        </w:rPr>
        <w:t>目前实际支出1866万元。</w:t>
      </w:r>
    </w:p>
    <w:p>
      <w:pPr>
        <w:spacing w:line="579" w:lineRule="exact"/>
        <w:ind w:firstLine="640" w:firstLineChars="200"/>
        <w:rPr>
          <w:rStyle w:val="7"/>
        </w:rPr>
      </w:pPr>
      <w:r>
        <w:rPr>
          <w:rStyle w:val="7"/>
        </w:rPr>
        <w:t>具体支出分类如下：</w:t>
      </w:r>
    </w:p>
    <w:p>
      <w:pPr>
        <w:spacing w:line="579" w:lineRule="exact"/>
        <w:ind w:firstLine="643" w:firstLineChars="200"/>
        <w:rPr>
          <w:rStyle w:val="7"/>
        </w:rPr>
      </w:pPr>
      <w:r>
        <w:rPr>
          <w:b/>
          <w:highlight w:val="white"/>
        </w:rPr>
        <w:t>一是</w:t>
      </w:r>
      <w:r>
        <w:rPr>
          <w:rStyle w:val="7"/>
        </w:rPr>
        <w:t>一般公共服务支出320.59万元，比年初预算增加74.74万元，增长30.4%。主要用于保障机关财政供养人员的工资福利待遇、日常基本运转、离退休人员的健康修养费和遗属生活补助、40年农村老党员生活补助等。</w:t>
      </w:r>
    </w:p>
    <w:p>
      <w:pPr>
        <w:spacing w:line="579" w:lineRule="exact"/>
        <w:ind w:firstLine="643" w:firstLineChars="200"/>
        <w:rPr>
          <w:rStyle w:val="7"/>
        </w:rPr>
      </w:pPr>
      <w:r>
        <w:rPr>
          <w:rStyle w:val="7"/>
          <w:b/>
          <w:bCs/>
        </w:rPr>
        <w:t>二是</w:t>
      </w:r>
      <w:r>
        <w:rPr>
          <w:rStyle w:val="7"/>
        </w:rPr>
        <w:t>文化旅游体育与传媒支出4.8万元，比年初预算增加4.8万元。主要为文化服务中心免费开放资金。</w:t>
      </w:r>
    </w:p>
    <w:p>
      <w:pPr>
        <w:spacing w:line="579" w:lineRule="exact"/>
        <w:ind w:firstLine="643" w:firstLineChars="200"/>
        <w:rPr>
          <w:rStyle w:val="7"/>
        </w:rPr>
      </w:pPr>
      <w:r>
        <w:rPr>
          <w:rStyle w:val="7"/>
          <w:b/>
          <w:bCs/>
        </w:rPr>
        <w:t>三是</w:t>
      </w:r>
      <w:r>
        <w:rPr>
          <w:rStyle w:val="7"/>
        </w:rPr>
        <w:t>社会保障和就业支出234.43万元，比年初预算增加73.59万元，增长45.76%。主要用于社保、就业、民政、残联等事业单位人员工资待遇和正常运转支出，用于基层政权和社区建设即社区干部及本土人才的待遇、运转办公经费以及服务群众专项经费等支出。</w:t>
      </w:r>
    </w:p>
    <w:p>
      <w:pPr>
        <w:spacing w:line="579" w:lineRule="exact"/>
        <w:ind w:firstLine="643" w:firstLineChars="200"/>
        <w:rPr>
          <w:rStyle w:val="7"/>
        </w:rPr>
      </w:pPr>
      <w:r>
        <w:rPr>
          <w:b/>
          <w:highlight w:val="white"/>
        </w:rPr>
        <w:t>四是</w:t>
      </w:r>
      <w:r>
        <w:rPr>
          <w:highlight w:val="white"/>
        </w:rPr>
        <w:t>卫生健康支出23.98万元，</w:t>
      </w:r>
      <w:r>
        <w:rPr>
          <w:rStyle w:val="7"/>
        </w:rPr>
        <w:t>比年初预算增加</w:t>
      </w:r>
      <w:r>
        <w:rPr>
          <w:highlight w:val="white"/>
        </w:rPr>
        <w:t>23.98</w:t>
      </w:r>
      <w:r>
        <w:rPr>
          <w:rStyle w:val="7"/>
        </w:rPr>
        <w:t>万元。主要用于保障全乡财政供养人员的医疗保险、工伤保险等社会保障缴费支出。</w:t>
      </w:r>
    </w:p>
    <w:p>
      <w:pPr>
        <w:spacing w:line="579" w:lineRule="exact"/>
        <w:ind w:firstLine="643" w:firstLineChars="200"/>
        <w:rPr>
          <w:rStyle w:val="7"/>
        </w:rPr>
      </w:pPr>
      <w:r>
        <w:rPr>
          <w:rStyle w:val="7"/>
          <w:b/>
        </w:rPr>
        <w:t>五</w:t>
      </w:r>
      <w:r>
        <w:rPr>
          <w:rStyle w:val="7"/>
          <w:b/>
          <w:bCs/>
        </w:rPr>
        <w:t>是</w:t>
      </w:r>
      <w:r>
        <w:rPr>
          <w:rStyle w:val="7"/>
        </w:rPr>
        <w:t>城乡社区支出23.39万元，比年初预算增加5.71万元，增长32.31%。主要用于城乡社区道路清扫、垃圾清运与处理以及场镇路灯维护、园林绿化等市政支出。</w:t>
      </w:r>
    </w:p>
    <w:p>
      <w:pPr>
        <w:spacing w:line="579" w:lineRule="exact"/>
        <w:ind w:firstLine="643" w:firstLineChars="200"/>
        <w:rPr>
          <w:rStyle w:val="7"/>
        </w:rPr>
      </w:pPr>
      <w:r>
        <w:rPr>
          <w:rStyle w:val="7"/>
          <w:b/>
          <w:bCs/>
        </w:rPr>
        <w:t>六是</w:t>
      </w:r>
      <w:r>
        <w:rPr>
          <w:rStyle w:val="7"/>
        </w:rPr>
        <w:t>农林水支出1191.83万元，比年初预算增加973.08万元，增长444.84%。主要用于保障农业、林业等事业单位人员、三支一扶人员工资待遇；保障村民委员会村干部及本土人才的待遇、办公运转、驻村工作队工作经费，春松材线虫病疫木集中除治费；农村户厕改造项目，中药材产业提升示范基地项目，农村环境综合整治项目，食用菌产业提升示范基地补助，乡村振兴示范村项目，农村饮水项目，积分兑现制度改补为奖项目，干果产业板栗低效林改造项目，松柏村文旅综合体配套道路等项目18个。</w:t>
      </w:r>
    </w:p>
    <w:p>
      <w:pPr>
        <w:spacing w:line="579" w:lineRule="exact"/>
        <w:ind w:firstLine="643" w:firstLineChars="200"/>
        <w:rPr>
          <w:rStyle w:val="7"/>
        </w:rPr>
      </w:pPr>
      <w:r>
        <w:rPr>
          <w:rStyle w:val="7"/>
          <w:b/>
          <w:bCs/>
        </w:rPr>
        <w:t>七是</w:t>
      </w:r>
      <w:r>
        <w:rPr>
          <w:rStyle w:val="7"/>
        </w:rPr>
        <w:t>交通运输支出12.93万元，比年初预算增加</w:t>
      </w:r>
      <w:r>
        <w:rPr>
          <w:highlight w:val="white"/>
        </w:rPr>
        <w:t>12.93</w:t>
      </w:r>
      <w:r>
        <w:rPr>
          <w:rStyle w:val="7"/>
        </w:rPr>
        <w:t>万元。主要用于农村公路道路维护养护。</w:t>
      </w:r>
    </w:p>
    <w:p>
      <w:pPr>
        <w:spacing w:line="579" w:lineRule="exact"/>
        <w:ind w:firstLine="643" w:firstLineChars="200"/>
        <w:rPr>
          <w:rStyle w:val="7"/>
          <w:b/>
          <w:bCs/>
        </w:rPr>
      </w:pPr>
      <w:r>
        <w:rPr>
          <w:rStyle w:val="7"/>
          <w:b/>
        </w:rPr>
        <w:t>八</w:t>
      </w:r>
      <w:r>
        <w:rPr>
          <w:rStyle w:val="7"/>
          <w:b/>
          <w:bCs/>
        </w:rPr>
        <w:t>是</w:t>
      </w:r>
      <w:r>
        <w:rPr>
          <w:rStyle w:val="7"/>
        </w:rPr>
        <w:t>住房保障支出31.05万元。主要用于缴纳机关行政事业人员单位部分住房公积金。</w:t>
      </w:r>
    </w:p>
    <w:p>
      <w:pPr>
        <w:spacing w:line="579" w:lineRule="exact"/>
        <w:ind w:firstLine="643" w:firstLineChars="200"/>
        <w:rPr>
          <w:rStyle w:val="7"/>
        </w:rPr>
      </w:pPr>
      <w:r>
        <w:rPr>
          <w:rStyle w:val="7"/>
          <w:b/>
          <w:bCs/>
        </w:rPr>
        <w:t>九是</w:t>
      </w:r>
      <w:r>
        <w:rPr>
          <w:highlight w:val="white"/>
        </w:rPr>
        <w:t>灾害防治及应急管理</w:t>
      </w:r>
      <w:r>
        <w:rPr>
          <w:rStyle w:val="7"/>
        </w:rPr>
        <w:t>支出10万元，比年初预算增加</w:t>
      </w:r>
      <w:r>
        <w:rPr>
          <w:highlight w:val="white"/>
        </w:rPr>
        <w:t>10</w:t>
      </w:r>
      <w:r>
        <w:rPr>
          <w:rStyle w:val="7"/>
        </w:rPr>
        <w:t>万元。主要用于防汛抗旱和应急救灾产生的费用。</w:t>
      </w:r>
    </w:p>
    <w:p>
      <w:pPr>
        <w:spacing w:line="579" w:lineRule="exact"/>
        <w:ind w:firstLine="643" w:firstLineChars="200"/>
        <w:rPr>
          <w:rStyle w:val="7"/>
        </w:rPr>
      </w:pPr>
      <w:r>
        <w:rPr>
          <w:rStyle w:val="7"/>
          <w:b/>
          <w:bCs/>
        </w:rPr>
        <w:t>十是</w:t>
      </w:r>
      <w:r>
        <w:rPr>
          <w:rStyle w:val="7"/>
        </w:rPr>
        <w:t>其他支出13万元，比年初预算增加</w:t>
      </w:r>
      <w:r>
        <w:rPr>
          <w:highlight w:val="white"/>
        </w:rPr>
        <w:t>13</w:t>
      </w:r>
      <w:r>
        <w:rPr>
          <w:rStyle w:val="7"/>
        </w:rPr>
        <w:t>万元。主要用于开展体育赛事活动，新民社区篮球场建设。</w:t>
      </w:r>
    </w:p>
    <w:p>
      <w:pPr>
        <w:pStyle w:val="12"/>
        <w:shd w:val="clear" w:color="auto" w:fill="FFFFFF"/>
        <w:spacing w:before="0" w:beforeAutospacing="0" w:after="0" w:afterAutospacing="0" w:line="579" w:lineRule="exact"/>
        <w:ind w:firstLine="634"/>
        <w:jc w:val="both"/>
        <w:rPr>
          <w:rStyle w:val="7"/>
          <w:rFonts w:ascii="Times New Roman" w:hAnsi="Times New Roman" w:eastAsia="方正楷体_GBK"/>
          <w:color w:val="333333"/>
          <w:sz w:val="22"/>
          <w:szCs w:val="22"/>
        </w:rPr>
      </w:pPr>
      <w:r>
        <w:rPr>
          <w:rStyle w:val="7"/>
          <w:rFonts w:ascii="Times New Roman" w:hAnsi="Times New Roman" w:eastAsia="方正楷体_GBK"/>
          <w:color w:val="333333"/>
          <w:sz w:val="32"/>
          <w:szCs w:val="32"/>
        </w:rPr>
        <w:t>（三）2022年预算执行平衡情况</w:t>
      </w:r>
    </w:p>
    <w:p>
      <w:pPr>
        <w:shd w:val="clear" w:color="auto" w:fill="FFFFFF"/>
        <w:spacing w:line="579" w:lineRule="exact"/>
        <w:ind w:firstLine="633" w:firstLineChars="198"/>
        <w:rPr>
          <w:rStyle w:val="7"/>
        </w:rPr>
      </w:pPr>
      <w:r>
        <w:rPr>
          <w:rStyle w:val="7"/>
        </w:rPr>
        <w:t>2022年，适应经济社会发展的新要求，在经济下行，疫情防控压力的严峻形势下，全乡上下攻坚克难，保持了稳定的发展势头。坚持强化预算管理，财政支出在保运转、保稳定、促发展、惠民生等方面的作用明显增强，为促进全乡经济社会发展提供了有力保障。</w:t>
      </w:r>
    </w:p>
    <w:p>
      <w:pPr>
        <w:pStyle w:val="12"/>
        <w:shd w:val="clear" w:color="auto" w:fill="FFFFFF"/>
        <w:spacing w:before="0" w:beforeAutospacing="0" w:after="0" w:afterAutospacing="0" w:line="579" w:lineRule="exact"/>
        <w:ind w:firstLine="634"/>
        <w:jc w:val="both"/>
        <w:rPr>
          <w:rStyle w:val="7"/>
          <w:rFonts w:ascii="Times New Roman" w:hAnsi="Times New Roman" w:eastAsia="方正仿宋_GBK"/>
          <w:kern w:val="2"/>
          <w:sz w:val="32"/>
          <w:szCs w:val="32"/>
        </w:rPr>
      </w:pPr>
      <w:r>
        <w:rPr>
          <w:rStyle w:val="7"/>
          <w:rFonts w:ascii="Times New Roman" w:hAnsi="Times New Roman" w:eastAsia="方正仿宋_GBK"/>
          <w:b/>
          <w:kern w:val="2"/>
          <w:sz w:val="32"/>
          <w:szCs w:val="32"/>
        </w:rPr>
        <w:t>一是财政收入稳步增长。</w:t>
      </w:r>
      <w:r>
        <w:rPr>
          <w:rStyle w:val="7"/>
          <w:rFonts w:ascii="Times New Roman" w:hAnsi="Times New Roman" w:eastAsia="方正仿宋_GBK"/>
          <w:kern w:val="2"/>
          <w:sz w:val="32"/>
          <w:szCs w:val="32"/>
        </w:rPr>
        <w:t>把财政服务经济作为第一要务，认真落实壮大经济、培植财源的各项措施，充分挖掘非税来源，完成全乡非税和税收收入任务，做到应收尽收。加强对行政事业性收费、专项收入、罚没收入等非税收入的管理，提高财政收入质量。</w:t>
      </w:r>
      <w:r>
        <w:rPr>
          <w:rStyle w:val="7"/>
          <w:rFonts w:ascii="Times New Roman" w:hAnsi="Times New Roman" w:eastAsia="方正仿宋_GBK"/>
          <w:b/>
          <w:kern w:val="2"/>
          <w:sz w:val="32"/>
          <w:szCs w:val="32"/>
        </w:rPr>
        <w:t>二是民生投入持续增加。</w:t>
      </w:r>
      <w:r>
        <w:rPr>
          <w:rStyle w:val="7"/>
          <w:rFonts w:ascii="Times New Roman" w:hAnsi="Times New Roman" w:eastAsia="方正仿宋_GBK"/>
          <w:kern w:val="2"/>
          <w:sz w:val="32"/>
          <w:szCs w:val="32"/>
        </w:rPr>
        <w:t>坚持以人为本、民生优先，积极对接县级主管部门，筹措资金重点保障民生支出。如：低保人员支出166.67万元，特困人员供养经费106.29万元，儿童福利8.51万元，老年福利8.96万元，残疾人生活和护理补贴支出14.55万元，临时救助21.32万元，优抚补助40.9万元。北屏乡中心小学改造维修投入183.06万元，“渝馨家园”建设和运行投入25.5万元，涉农资金投入720.21万元。</w:t>
      </w:r>
      <w:r>
        <w:rPr>
          <w:rStyle w:val="7"/>
          <w:rFonts w:ascii="Times New Roman" w:hAnsi="Times New Roman" w:eastAsia="方正仿宋_GBK"/>
          <w:b/>
          <w:kern w:val="2"/>
          <w:sz w:val="32"/>
          <w:szCs w:val="32"/>
        </w:rPr>
        <w:t>三是财政改革有序推进。</w:t>
      </w:r>
      <w:r>
        <w:rPr>
          <w:rStyle w:val="7"/>
          <w:rFonts w:ascii="Times New Roman" w:hAnsi="Times New Roman" w:eastAsia="方正仿宋_GBK"/>
          <w:kern w:val="2"/>
          <w:sz w:val="32"/>
          <w:szCs w:val="32"/>
        </w:rPr>
        <w:t>全面深化各项财政改革，加快建立现代财政制度，完善财政重大事项决策机制。强化预算管理，做好年度预决算公开，严格执行国库集中支付，推进内控制度建设，严格执行《北屏乡财政财务管理制度》《工程建设项目管理制度》等系列制度，严格支出审核，规范项目资金管理。严格执行政府采购目录限额标准与网上商城采购行为。开展国有资产清查，规范资产配置、使用、处置等环节管理。严格执行积极稳建的财政政策，强化债务动态监管，全面清理政府隐性债务，新债发生可控。</w:t>
      </w:r>
      <w:r>
        <w:rPr>
          <w:rStyle w:val="7"/>
          <w:rFonts w:ascii="Times New Roman" w:hAnsi="Times New Roman" w:eastAsia="方正仿宋_GBK"/>
          <w:b/>
          <w:kern w:val="2"/>
          <w:sz w:val="32"/>
          <w:szCs w:val="32"/>
        </w:rPr>
        <w:t>四是保障重点项目实施。</w:t>
      </w:r>
      <w:r>
        <w:rPr>
          <w:rStyle w:val="7"/>
          <w:rFonts w:ascii="Times New Roman" w:hAnsi="Times New Roman" w:eastAsia="方正仿宋_GBK"/>
          <w:kern w:val="2"/>
          <w:sz w:val="32"/>
          <w:szCs w:val="32"/>
        </w:rPr>
        <w:t>通过“调结构、压支出、重调度、强管控”等措施努力增收节支，落实乡党委政府重大决策，加大产业发展、水质提升、环境整治、乡村振兴等方面资金投入，重点保障项目18个，投入资金1025.16万元。落实项目责任人、责任科室、责任领导，严格项目资料审核，严格资金拨付审批，确保项目资金专款专用，充分发挥财政资金效益。</w:t>
      </w:r>
      <w:r>
        <w:rPr>
          <w:rStyle w:val="7"/>
          <w:rFonts w:ascii="Times New Roman" w:hAnsi="Times New Roman" w:eastAsia="方正仿宋_GBK"/>
          <w:b/>
          <w:kern w:val="2"/>
          <w:sz w:val="32"/>
          <w:szCs w:val="32"/>
        </w:rPr>
        <w:t>五是提升财政服务能力。</w:t>
      </w:r>
      <w:r>
        <w:rPr>
          <w:rStyle w:val="7"/>
          <w:rFonts w:ascii="Times New Roman" w:hAnsi="Times New Roman" w:eastAsia="方正仿宋_GBK"/>
          <w:kern w:val="2"/>
          <w:sz w:val="32"/>
          <w:szCs w:val="32"/>
        </w:rPr>
        <w:t>加强乡村两级财政干部队伍建设，开展财务知识专题培训，规范会计、出纳岗位职能职责，转变工作作风，坚持以身作则，守好廉政底线，做好财政领域廉政风险防控，着力提升乡财政公共服务能力和服务质量。</w:t>
      </w:r>
    </w:p>
    <w:p>
      <w:pPr>
        <w:spacing w:line="579" w:lineRule="exact"/>
        <w:ind w:firstLine="640" w:firstLineChars="200"/>
        <w:rPr>
          <w:rStyle w:val="7"/>
        </w:rPr>
      </w:pPr>
      <w:r>
        <w:rPr>
          <w:rStyle w:val="7"/>
        </w:rPr>
        <w:t>各位代表，2022年财政运行总体平稳，全年目标的实现，是乡党委政府科学决策、正确领导，是乡人大监督及县级各部门支持，也是全乡上下共同努力和社会各界共同支持的结果。在肯定成绩的同时，我们也要正视当前存在的困难问题：</w:t>
      </w:r>
      <w:r>
        <w:rPr>
          <w:rStyle w:val="7"/>
          <w:b/>
        </w:rPr>
        <w:t>一是乡级可支配财力不足。</w:t>
      </w:r>
      <w:r>
        <w:rPr>
          <w:rStyle w:val="7"/>
        </w:rPr>
        <w:t>经济结构和财源结构单一，市场主体培育不足，缺乏支柱产业和骨干企业，难以提高收入总量和进行税收结构调整，财政自给能力低，本级收支矛盾突出。</w:t>
      </w:r>
      <w:r>
        <w:rPr>
          <w:rStyle w:val="7"/>
          <w:b/>
        </w:rPr>
        <w:t>二是项目资金绩效评价存在差距。</w:t>
      </w:r>
      <w:r>
        <w:rPr>
          <w:rStyle w:val="7"/>
        </w:rPr>
        <w:t>资金使用效益评价制度不够健全，一般性资金缺乏使用效益评估，产业发展、基础设施建设类项目绩效评价不够全面、精准，时效性和针对性不强。</w:t>
      </w:r>
      <w:r>
        <w:rPr>
          <w:rStyle w:val="7"/>
          <w:b/>
        </w:rPr>
        <w:t>三是专项资金序时进度存在差距。</w:t>
      </w:r>
      <w:r>
        <w:rPr>
          <w:rStyle w:val="7"/>
        </w:rPr>
        <w:t>县级专项资金下达后，部分项目实施不够及时，过程督促监管力度不够，乡村两级专项经费使用计划精准性不够，一定程度影响专项资金的支出进度。对于这些困难和问题，我们将广泛听取各位代表和列席人员的意见建议，认真研究、采取有效措施努力解决改进。</w:t>
      </w:r>
    </w:p>
    <w:p>
      <w:pPr>
        <w:spacing w:line="579" w:lineRule="exact"/>
        <w:ind w:firstLine="640" w:firstLineChars="200"/>
        <w:rPr>
          <w:rStyle w:val="7"/>
        </w:rPr>
      </w:pPr>
    </w:p>
    <w:p>
      <w:pPr>
        <w:spacing w:line="579" w:lineRule="exact"/>
        <w:ind w:firstLine="640" w:firstLineChars="200"/>
        <w:rPr>
          <w:rStyle w:val="7"/>
        </w:rPr>
      </w:pPr>
    </w:p>
    <w:p>
      <w:pPr>
        <w:spacing w:line="579" w:lineRule="exact"/>
        <w:ind w:firstLine="640" w:firstLineChars="200"/>
        <w:jc w:val="left"/>
        <w:rPr>
          <w:rStyle w:val="7"/>
        </w:rPr>
      </w:pPr>
    </w:p>
    <w:p>
      <w:pPr>
        <w:spacing w:line="579" w:lineRule="exact"/>
        <w:jc w:val="center"/>
        <w:rPr>
          <w:rStyle w:val="7"/>
          <w:rFonts w:eastAsia="黑体"/>
          <w:bCs/>
          <w:color w:val="000000"/>
        </w:rPr>
      </w:pPr>
      <w:r>
        <w:rPr>
          <w:rStyle w:val="7"/>
          <w:rFonts w:eastAsia="黑体"/>
          <w:bCs/>
          <w:color w:val="000000"/>
        </w:rPr>
        <w:t>北屏乡2022年预算收支平衡表</w:t>
      </w:r>
    </w:p>
    <w:p>
      <w:pPr>
        <w:spacing w:line="579" w:lineRule="exact"/>
        <w:ind w:firstLine="480" w:firstLineChars="200"/>
        <w:jc w:val="center"/>
        <w:rPr>
          <w:rStyle w:val="7"/>
          <w:sz w:val="24"/>
          <w:szCs w:val="24"/>
        </w:rPr>
      </w:pPr>
      <w:r>
        <w:rPr>
          <w:rStyle w:val="7"/>
          <w:sz w:val="24"/>
          <w:szCs w:val="24"/>
        </w:rPr>
        <w:t xml:space="preserve">                                                   单位：万元</w:t>
      </w:r>
    </w:p>
    <w:tbl>
      <w:tblPr>
        <w:tblStyle w:val="5"/>
        <w:tblpPr w:leftFromText="180" w:rightFromText="180" w:vertAnchor="text" w:horzAnchor="page" w:tblpX="1603" w:tblpY="550"/>
        <w:tblOverlap w:val="never"/>
        <w:tblW w:w="8866" w:type="dxa"/>
        <w:tblInd w:w="0" w:type="dxa"/>
        <w:tblLayout w:type="fixed"/>
        <w:tblCellMar>
          <w:top w:w="0" w:type="dxa"/>
          <w:left w:w="0" w:type="dxa"/>
          <w:bottom w:w="0" w:type="dxa"/>
          <w:right w:w="0" w:type="dxa"/>
        </w:tblCellMar>
      </w:tblPr>
      <w:tblGrid>
        <w:gridCol w:w="2466"/>
        <w:gridCol w:w="1600"/>
        <w:gridCol w:w="3310"/>
        <w:gridCol w:w="1490"/>
      </w:tblGrid>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黑体"/>
                <w:bCs/>
                <w:color w:val="000000"/>
                <w:sz w:val="24"/>
                <w:szCs w:val="24"/>
              </w:rPr>
              <w:t>收    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黑体"/>
                <w:bCs/>
                <w:color w:val="000000"/>
                <w:sz w:val="24"/>
                <w:szCs w:val="24"/>
              </w:rPr>
              <w:t>执行数</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黑体"/>
                <w:bCs/>
                <w:color w:val="000000"/>
                <w:sz w:val="24"/>
                <w:szCs w:val="24"/>
              </w:rPr>
              <w:t>支    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黑体"/>
                <w:bCs/>
                <w:color w:val="000000"/>
                <w:sz w:val="24"/>
                <w:szCs w:val="24"/>
              </w:rPr>
              <w:t>执行数</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黑体"/>
                <w:b/>
                <w:color w:val="000000"/>
                <w:sz w:val="24"/>
                <w:szCs w:val="24"/>
              </w:rPr>
            </w:pPr>
            <w:r>
              <w:rPr>
                <w:rStyle w:val="7"/>
                <w:rFonts w:eastAsia="黑体"/>
                <w:b/>
                <w:color w:val="000000"/>
                <w:sz w:val="24"/>
                <w:szCs w:val="24"/>
              </w:rPr>
              <w:t>总  计</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黑体"/>
                <w:b/>
                <w:color w:val="000000"/>
                <w:sz w:val="24"/>
                <w:szCs w:val="24"/>
              </w:rPr>
            </w:pPr>
            <w:r>
              <w:rPr>
                <w:rStyle w:val="7"/>
                <w:rFonts w:eastAsia="黑体"/>
                <w:b/>
                <w:color w:val="000000"/>
                <w:sz w:val="24"/>
                <w:szCs w:val="24"/>
              </w:rPr>
              <w:t>1866</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黑体"/>
                <w:b/>
                <w:color w:val="000000"/>
                <w:sz w:val="24"/>
                <w:szCs w:val="24"/>
              </w:rPr>
            </w:pPr>
            <w:r>
              <w:rPr>
                <w:rStyle w:val="7"/>
                <w:rFonts w:eastAsia="黑体"/>
                <w:b/>
                <w:color w:val="000000"/>
                <w:sz w:val="24"/>
                <w:szCs w:val="24"/>
              </w:rPr>
              <w:t>总  计</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黑体"/>
                <w:bCs/>
                <w:color w:val="000000"/>
                <w:sz w:val="24"/>
                <w:szCs w:val="24"/>
              </w:rPr>
            </w:pPr>
            <w:r>
              <w:rPr>
                <w:rStyle w:val="7"/>
                <w:rFonts w:eastAsia="黑体"/>
                <w:b/>
                <w:color w:val="000000"/>
                <w:sz w:val="24"/>
                <w:szCs w:val="24"/>
              </w:rPr>
              <w:t>1866</w:t>
            </w:r>
          </w:p>
        </w:tc>
      </w:tr>
      <w:tr>
        <w:tblPrEx>
          <w:tblLayout w:type="fixed"/>
          <w:tblCellMar>
            <w:top w:w="0" w:type="dxa"/>
            <w:left w:w="0" w:type="dxa"/>
            <w:bottom w:w="0" w:type="dxa"/>
            <w:right w:w="0" w:type="dxa"/>
          </w:tblCellMar>
        </w:tblPrEx>
        <w:trPr>
          <w:trHeight w:val="50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黑体"/>
                <w:color w:val="000000"/>
                <w:kern w:val="0"/>
                <w:sz w:val="24"/>
                <w:szCs w:val="24"/>
              </w:rPr>
              <w:t>一、上级转移支付收入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1866</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left"/>
              <w:textAlignment w:val="center"/>
              <w:rPr>
                <w:rStyle w:val="7"/>
                <w:rFonts w:eastAsia="宋体"/>
                <w:color w:val="000000"/>
                <w:sz w:val="24"/>
                <w:szCs w:val="24"/>
              </w:rPr>
            </w:pPr>
            <w:r>
              <w:rPr>
                <w:rStyle w:val="7"/>
                <w:rFonts w:eastAsia="黑体"/>
                <w:color w:val="000000"/>
                <w:kern w:val="0"/>
                <w:sz w:val="24"/>
                <w:szCs w:val="24"/>
              </w:rPr>
              <w:t>一、预算支出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1866</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textAlignment w:val="center"/>
              <w:rPr>
                <w:rStyle w:val="7"/>
                <w:color w:val="000000"/>
                <w:kern w:val="0"/>
                <w:sz w:val="24"/>
                <w:szCs w:val="24"/>
              </w:rPr>
            </w:pPr>
            <w:r>
              <w:rPr>
                <w:rStyle w:val="7"/>
                <w:color w:val="000000"/>
                <w:kern w:val="0"/>
                <w:sz w:val="24"/>
                <w:szCs w:val="24"/>
              </w:rPr>
              <w:t>一般性转移支付收入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1866</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一般公共服务支出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320.59</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textAlignment w:val="center"/>
              <w:rPr>
                <w:rStyle w:val="7"/>
                <w:color w:val="000000"/>
                <w:kern w:val="0"/>
                <w:sz w:val="24"/>
                <w:szCs w:val="24"/>
              </w:rPr>
            </w:pPr>
            <w:r>
              <w:rPr>
                <w:rStyle w:val="7"/>
                <w:color w:val="000000"/>
                <w:kern w:val="0"/>
                <w:sz w:val="24"/>
                <w:szCs w:val="24"/>
              </w:rPr>
              <w:t>专项转移支付收入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文化体育与传媒支出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4.8</w:t>
            </w:r>
          </w:p>
        </w:tc>
      </w:tr>
      <w:tr>
        <w:tblPrEx>
          <w:tblLayout w:type="fixed"/>
          <w:tblCellMar>
            <w:top w:w="0" w:type="dxa"/>
            <w:left w:w="0" w:type="dxa"/>
            <w:bottom w:w="0" w:type="dxa"/>
            <w:right w:w="0" w:type="dxa"/>
          </w:tblCellMar>
        </w:tblPrEx>
        <w:trPr>
          <w:trHeight w:val="536"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r>
              <w:rPr>
                <w:rStyle w:val="7"/>
                <w:rFonts w:eastAsia="黑体"/>
                <w:color w:val="000000"/>
                <w:kern w:val="0"/>
                <w:sz w:val="24"/>
                <w:szCs w:val="24"/>
              </w:rPr>
              <w:t>二、上年结转收入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0</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社会保障和就业支出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234.43</w:t>
            </w:r>
          </w:p>
        </w:tc>
      </w:tr>
      <w:tr>
        <w:tblPrEx>
          <w:tblLayout w:type="fixed"/>
          <w:tblCellMar>
            <w:top w:w="0" w:type="dxa"/>
            <w:left w:w="0" w:type="dxa"/>
            <w:bottom w:w="0" w:type="dxa"/>
            <w:right w:w="0" w:type="dxa"/>
          </w:tblCellMar>
        </w:tblPrEx>
        <w:trPr>
          <w:trHeight w:val="9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卫生健康支出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23.98</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720" w:firstLineChars="300"/>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城乡社区支出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23.39</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720" w:firstLineChars="300"/>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农林水支出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1191.83</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交通运输支出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12.93</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灾害防治及应急管理支出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10</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住房保障支出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31.05</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ind w:firstLine="480" w:firstLineChars="200"/>
              <w:textAlignment w:val="center"/>
              <w:rPr>
                <w:rStyle w:val="7"/>
                <w:color w:val="000000"/>
                <w:kern w:val="0"/>
                <w:sz w:val="24"/>
                <w:szCs w:val="24"/>
              </w:rPr>
            </w:pPr>
            <w:r>
              <w:rPr>
                <w:rStyle w:val="7"/>
                <w:color w:val="000000"/>
                <w:kern w:val="0"/>
                <w:sz w:val="24"/>
                <w:szCs w:val="24"/>
              </w:rPr>
              <w:t>其他支出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sz w:val="24"/>
                <w:szCs w:val="24"/>
              </w:rPr>
            </w:pPr>
            <w:r>
              <w:rPr>
                <w:rStyle w:val="7"/>
                <w:rFonts w:eastAsia="宋体"/>
                <w:color w:val="000000"/>
                <w:sz w:val="24"/>
                <w:szCs w:val="24"/>
              </w:rPr>
              <w:t>13</w:t>
            </w:r>
          </w:p>
        </w:tc>
      </w:tr>
      <w:tr>
        <w:tblPrEx>
          <w:tblLayout w:type="fixed"/>
          <w:tblCellMar>
            <w:top w:w="0" w:type="dxa"/>
            <w:left w:w="0" w:type="dxa"/>
            <w:bottom w:w="0" w:type="dxa"/>
            <w:right w:w="0" w:type="dxa"/>
          </w:tblCellMar>
        </w:tblPrEx>
        <w:trPr>
          <w:trHeight w:val="557"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Style w:val="7"/>
                <w:rFonts w:eastAsia="宋体"/>
                <w:color w:val="000000"/>
                <w:sz w:val="24"/>
                <w:szCs w:val="24"/>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left"/>
              <w:textAlignment w:val="center"/>
              <w:rPr>
                <w:rStyle w:val="7"/>
                <w:rFonts w:eastAsia="宋体"/>
                <w:color w:val="000000"/>
                <w:kern w:val="0"/>
                <w:sz w:val="24"/>
                <w:szCs w:val="24"/>
              </w:rPr>
            </w:pPr>
            <w:r>
              <w:rPr>
                <w:rStyle w:val="7"/>
                <w:rFonts w:eastAsia="宋体"/>
                <w:color w:val="000000"/>
                <w:kern w:val="0"/>
                <w:sz w:val="24"/>
                <w:szCs w:val="24"/>
              </w:rPr>
              <w:t>二、</w:t>
            </w:r>
            <w:r>
              <w:rPr>
                <w:rStyle w:val="7"/>
                <w:rFonts w:eastAsia="黑体"/>
                <w:bCs/>
                <w:color w:val="000000"/>
                <w:sz w:val="24"/>
                <w:szCs w:val="24"/>
              </w:rPr>
              <w:t>结转下年支出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textAlignment w:val="center"/>
              <w:rPr>
                <w:rStyle w:val="7"/>
                <w:rFonts w:eastAsia="宋体"/>
                <w:color w:val="000000"/>
                <w:kern w:val="0"/>
                <w:sz w:val="24"/>
                <w:szCs w:val="24"/>
              </w:rPr>
            </w:pPr>
          </w:p>
        </w:tc>
      </w:tr>
    </w:tbl>
    <w:p>
      <w:pPr>
        <w:spacing w:line="579" w:lineRule="exact"/>
        <w:rPr>
          <w:rStyle w:val="7"/>
          <w:sz w:val="24"/>
          <w:szCs w:val="24"/>
        </w:rPr>
      </w:pPr>
    </w:p>
    <w:p>
      <w:pPr>
        <w:spacing w:line="579" w:lineRule="exact"/>
        <w:ind w:firstLine="482" w:firstLineChars="200"/>
        <w:rPr>
          <w:rStyle w:val="7"/>
          <w:color w:val="333333"/>
          <w:sz w:val="24"/>
          <w:szCs w:val="24"/>
          <w:shd w:val="clear" w:color="auto" w:fill="FFFFFF"/>
        </w:rPr>
      </w:pPr>
      <w:r>
        <w:rPr>
          <w:rStyle w:val="7"/>
          <w:b/>
          <w:sz w:val="24"/>
          <w:szCs w:val="24"/>
        </w:rPr>
        <w:t>注：</w:t>
      </w:r>
      <w:r>
        <w:rPr>
          <w:color w:val="333333"/>
          <w:sz w:val="24"/>
          <w:szCs w:val="24"/>
          <w:shd w:val="clear" w:color="auto" w:fill="FFFFFF"/>
        </w:rPr>
        <w:t>由于决算尚未批复，上述数据可能会有变化，我们将根据决算办理情况及时向乡人大报告。</w:t>
      </w:r>
    </w:p>
    <w:p>
      <w:pPr>
        <w:spacing w:line="579" w:lineRule="exact"/>
        <w:ind w:firstLine="640" w:firstLineChars="200"/>
        <w:jc w:val="left"/>
        <w:rPr>
          <w:rStyle w:val="7"/>
          <w:rFonts w:eastAsia="方正黑体_GBK"/>
        </w:rPr>
      </w:pPr>
      <w:r>
        <w:rPr>
          <w:rStyle w:val="7"/>
          <w:rFonts w:eastAsia="方正黑体_GBK"/>
        </w:rPr>
        <w:t>二、2023年度财政预算草案</w:t>
      </w:r>
    </w:p>
    <w:p>
      <w:pPr>
        <w:spacing w:line="579" w:lineRule="exact"/>
        <w:ind w:firstLine="640" w:firstLineChars="200"/>
        <w:rPr>
          <w:rStyle w:val="7"/>
        </w:rPr>
      </w:pPr>
      <w:r>
        <w:rPr>
          <w:rStyle w:val="7"/>
        </w:rPr>
        <w:t>2023年我乡财政收支预算安排的指导思想和总体要求是：坚持以习近平新时代中国特色社会主义思想为指引，全面贯彻落实党的二十大精神，深刻领会中央经济工作会议精神，全面落实市委市政府、县委县政府决策部署，坚持稳中求进工作总基调，执行 “规范透明、标准科学、约束有力、讲求绩效”的现代财政预算管理制度，坚持重点突出、增收节支、精打细算、有保有压，持续深化财政预算管理改革。积极服务和融入新发展格局，</w:t>
      </w:r>
      <w:r>
        <w:rPr>
          <w:rStyle w:val="7"/>
          <w:color w:val="000000"/>
        </w:rPr>
        <w:t>用活用好帮扶资源，抢抓发展机遇，</w:t>
      </w:r>
      <w:r>
        <w:rPr>
          <w:rStyle w:val="7"/>
        </w:rPr>
        <w:t>加快经济结构调整，促进发展方式转变，全力保障改善民生，更好统筹疫情防控和经济社会发展，提高财政资金运行质量和效益，推动全乡经济社会全面协调可持续发展。</w:t>
      </w:r>
    </w:p>
    <w:p>
      <w:pPr>
        <w:spacing w:line="579" w:lineRule="exact"/>
        <w:ind w:firstLine="640" w:firstLineChars="200"/>
        <w:rPr>
          <w:rStyle w:val="7"/>
        </w:rPr>
      </w:pPr>
      <w:r>
        <w:rPr>
          <w:rStyle w:val="7"/>
        </w:rPr>
        <w:t>根据上述思路，结合我乡实际情况，编制了2023年财政预算草案，具体安排如下：</w:t>
      </w:r>
    </w:p>
    <w:p>
      <w:pPr>
        <w:spacing w:line="579" w:lineRule="exact"/>
        <w:ind w:firstLine="640" w:firstLineChars="200"/>
        <w:rPr>
          <w:rStyle w:val="7"/>
          <w:rFonts w:eastAsia="方正楷体_GBK"/>
        </w:rPr>
      </w:pPr>
      <w:r>
        <w:rPr>
          <w:rStyle w:val="7"/>
          <w:rFonts w:eastAsia="方正楷体_GBK"/>
        </w:rPr>
        <w:t>（一）2023年一般公共预算收入草案</w:t>
      </w:r>
    </w:p>
    <w:p>
      <w:pPr>
        <w:spacing w:line="579" w:lineRule="exact"/>
        <w:ind w:firstLine="640" w:firstLineChars="200"/>
        <w:rPr>
          <w:rStyle w:val="7"/>
        </w:rPr>
      </w:pPr>
      <w:r>
        <w:rPr>
          <w:rStyle w:val="7"/>
        </w:rPr>
        <w:t>2023年财政一般公共预算财政收入807.20万元，比上年增加164.09万元，增长25.52%，预算安排2023年财政体制补助收入可用资金为807.20万元。</w:t>
      </w:r>
    </w:p>
    <w:p>
      <w:pPr>
        <w:spacing w:line="579" w:lineRule="exact"/>
        <w:ind w:firstLine="640" w:firstLineChars="200"/>
        <w:rPr>
          <w:rStyle w:val="7"/>
          <w:rFonts w:eastAsia="方正楷体_GBK"/>
        </w:rPr>
      </w:pPr>
      <w:r>
        <w:rPr>
          <w:rStyle w:val="7"/>
          <w:rFonts w:eastAsia="方正楷体_GBK"/>
        </w:rPr>
        <w:t>（二）2023年一般公共预算支出草案</w:t>
      </w:r>
    </w:p>
    <w:p>
      <w:pPr>
        <w:spacing w:line="579" w:lineRule="exact"/>
        <w:ind w:firstLine="640" w:firstLineChars="200"/>
        <w:rPr>
          <w:rStyle w:val="7"/>
        </w:rPr>
      </w:pPr>
      <w:r>
        <w:rPr>
          <w:rStyle w:val="7"/>
        </w:rPr>
        <w:t>根据一般公共预算安排情况，现已下达年初预算807.20万元，共计安排支出807.20万元。</w:t>
      </w:r>
    </w:p>
    <w:p>
      <w:pPr>
        <w:spacing w:line="579" w:lineRule="exact"/>
        <w:ind w:firstLine="643" w:firstLineChars="200"/>
        <w:rPr>
          <w:rStyle w:val="7"/>
        </w:rPr>
      </w:pPr>
      <w:r>
        <w:rPr>
          <w:rStyle w:val="7"/>
          <w:b/>
          <w:bCs/>
        </w:rPr>
        <w:t>一是</w:t>
      </w:r>
      <w:r>
        <w:rPr>
          <w:rStyle w:val="7"/>
        </w:rPr>
        <w:t>一般公共服务支出330.95万元，主要用于保障机关财政供养人员的工资福利待遇、日常公用经费、遗属生活补助、40年农村老党员生活补助、武装工作经费等。</w:t>
      </w:r>
    </w:p>
    <w:p>
      <w:pPr>
        <w:spacing w:line="579" w:lineRule="exact"/>
        <w:ind w:firstLine="643" w:firstLineChars="200"/>
        <w:rPr>
          <w:rStyle w:val="7"/>
        </w:rPr>
      </w:pPr>
      <w:r>
        <w:rPr>
          <w:rStyle w:val="7"/>
          <w:b/>
          <w:bCs/>
        </w:rPr>
        <w:t>二是</w:t>
      </w:r>
      <w:r>
        <w:rPr>
          <w:rStyle w:val="7"/>
        </w:rPr>
        <w:t>文化旅游体育与传媒支出7.91万元，主要用于文化服务中心人员工资待遇。</w:t>
      </w:r>
    </w:p>
    <w:p>
      <w:pPr>
        <w:spacing w:line="579" w:lineRule="exact"/>
        <w:ind w:firstLine="643" w:firstLineChars="200"/>
        <w:rPr>
          <w:rStyle w:val="7"/>
        </w:rPr>
      </w:pPr>
      <w:r>
        <w:rPr>
          <w:rStyle w:val="7"/>
          <w:b/>
          <w:bCs/>
        </w:rPr>
        <w:t>三是</w:t>
      </w:r>
      <w:r>
        <w:rPr>
          <w:rStyle w:val="7"/>
        </w:rPr>
        <w:t>社会保障和就业支出170.67万元，主要用于社保所事业单位人员工资待遇和正常运转支出，退休人员健康休养费，用于基层政权和社区建设运转办公经费以及服务群众专项经费等支出。</w:t>
      </w:r>
    </w:p>
    <w:p>
      <w:pPr>
        <w:spacing w:line="579" w:lineRule="exact"/>
        <w:ind w:firstLine="643" w:firstLineChars="200"/>
        <w:rPr>
          <w:rStyle w:val="7"/>
        </w:rPr>
      </w:pPr>
      <w:r>
        <w:rPr>
          <w:rStyle w:val="7"/>
          <w:b/>
          <w:bCs/>
        </w:rPr>
        <w:t>四是</w:t>
      </w:r>
      <w:r>
        <w:rPr>
          <w:rStyle w:val="7"/>
        </w:rPr>
        <w:t>卫生健康支出21.53万元，主要用于保障全乡财政供养人员的医疗保险、工伤保险等社会保障缴费支出。</w:t>
      </w:r>
    </w:p>
    <w:p>
      <w:pPr>
        <w:spacing w:line="579" w:lineRule="exact"/>
        <w:ind w:firstLine="643" w:firstLineChars="200"/>
        <w:rPr>
          <w:rStyle w:val="7"/>
        </w:rPr>
      </w:pPr>
      <w:r>
        <w:rPr>
          <w:rStyle w:val="7"/>
          <w:b/>
          <w:bCs/>
        </w:rPr>
        <w:t>五是</w:t>
      </w:r>
      <w:r>
        <w:rPr>
          <w:rStyle w:val="7"/>
        </w:rPr>
        <w:t>城乡社区支出30万元，主要用于城乡社区道路清扫、垃圾清运、电费缴纳等市政支出。</w:t>
      </w:r>
    </w:p>
    <w:p>
      <w:pPr>
        <w:spacing w:line="579" w:lineRule="exact"/>
        <w:ind w:firstLine="643" w:firstLineChars="200"/>
        <w:rPr>
          <w:rStyle w:val="7"/>
        </w:rPr>
      </w:pPr>
      <w:r>
        <w:rPr>
          <w:rStyle w:val="7"/>
          <w:b/>
          <w:bCs/>
        </w:rPr>
        <w:t>六是</w:t>
      </w:r>
      <w:r>
        <w:rPr>
          <w:rStyle w:val="7"/>
        </w:rPr>
        <w:t>农林水支出210.19万元，主要用于保障农业、林业等事业单位人员、三支一扶人员工资待遇；保障村民委员会村干部及本土人才的待遇、办公运转、驻村工作队工作经费。</w:t>
      </w:r>
    </w:p>
    <w:p>
      <w:pPr>
        <w:spacing w:line="579" w:lineRule="exact"/>
        <w:ind w:firstLine="643" w:firstLineChars="200"/>
        <w:rPr>
          <w:rStyle w:val="7"/>
        </w:rPr>
      </w:pPr>
      <w:r>
        <w:rPr>
          <w:rStyle w:val="7"/>
          <w:b/>
          <w:bCs/>
        </w:rPr>
        <w:t>七是</w:t>
      </w:r>
      <w:r>
        <w:rPr>
          <w:rStyle w:val="7"/>
        </w:rPr>
        <w:t>住房保障支出35.95万元，主要用于缴纳机关行政事业人员单位部分住房公积金。</w:t>
      </w:r>
    </w:p>
    <w:p>
      <w:pPr>
        <w:spacing w:line="579" w:lineRule="exact"/>
        <w:ind w:firstLine="640" w:firstLineChars="200"/>
        <w:rPr>
          <w:rStyle w:val="7"/>
        </w:rPr>
      </w:pPr>
      <w:r>
        <w:rPr>
          <w:rStyle w:val="7"/>
        </w:rPr>
        <w:t>以上财政预算是根据现行财政体制，按照“量入为出，收支平衡”的预算原则和上级有关政策要求作出的安排。各位代表，做好今年的财政工作，对促进我乡经济持续、稳定、健康发展，开创我乡财政工作新局面具有重要意义。</w:t>
      </w:r>
    </w:p>
    <w:p>
      <w:pPr>
        <w:spacing w:line="579" w:lineRule="exact"/>
        <w:ind w:firstLine="640" w:firstLineChars="200"/>
        <w:rPr>
          <w:rStyle w:val="7"/>
          <w:rFonts w:eastAsia="方正黑体_GBK"/>
        </w:rPr>
      </w:pPr>
      <w:r>
        <w:rPr>
          <w:rStyle w:val="7"/>
          <w:rFonts w:eastAsia="方正黑体_GBK"/>
        </w:rPr>
        <w:t>三、2023年财政工作重点和主要措施</w:t>
      </w:r>
    </w:p>
    <w:p>
      <w:pPr>
        <w:spacing w:line="579" w:lineRule="exact"/>
        <w:ind w:firstLine="640" w:firstLineChars="200"/>
        <w:rPr>
          <w:rStyle w:val="7"/>
          <w:rFonts w:eastAsia="方正楷体_GBK"/>
        </w:rPr>
      </w:pPr>
      <w:r>
        <w:rPr>
          <w:rStyle w:val="7"/>
          <w:rFonts w:eastAsia="方正楷体_GBK"/>
        </w:rPr>
        <w:t>（一）加强财源培植，持续增强经济发展后劲。</w:t>
      </w:r>
      <w:r>
        <w:rPr>
          <w:rStyle w:val="7"/>
        </w:rPr>
        <w:t>充分发挥财政政策、资金导向作用，激励实体经济和农村经济的发展，促进产业转型升级，提高经济增长质量，加快发展生态旅游产业。加强税收征管，拓宽非税收入渠道，增强财源建设的可持续性。加强基础设施建设，优化营商环境，争取上级财政部门支持，努力增强经济发展后劲。</w:t>
      </w:r>
    </w:p>
    <w:p>
      <w:pPr>
        <w:spacing w:line="579" w:lineRule="exact"/>
        <w:ind w:firstLine="640" w:firstLineChars="200"/>
        <w:rPr>
          <w:rStyle w:val="7"/>
        </w:rPr>
      </w:pPr>
      <w:r>
        <w:rPr>
          <w:rStyle w:val="7"/>
          <w:rFonts w:eastAsia="方正楷体_GBK"/>
        </w:rPr>
        <w:t>（二）优化支出结构，持续推进民生民计改善。</w:t>
      </w:r>
      <w:r>
        <w:rPr>
          <w:rStyle w:val="7"/>
        </w:rPr>
        <w:t>围绕公共财政建设目标，不断调整优化支出结构，落实好教育、医疗卫生、社会保障和就业等事业经费，加快发展公益性事业，逐步实现公共服务均等化。加快乡村振兴建设，加大支农力度，落实好财政惠农政策，优先解决广大群众最迫切、最需要解决的民生问题。注重民生福祉，确保农村低保、特困、优抚、社会救助等各项惠民资金的到位和发放，保障社会事业协调发展。</w:t>
      </w:r>
    </w:p>
    <w:p>
      <w:pPr>
        <w:spacing w:line="579" w:lineRule="exact"/>
        <w:ind w:firstLine="627" w:firstLineChars="196"/>
        <w:rPr>
          <w:rStyle w:val="7"/>
        </w:rPr>
      </w:pPr>
      <w:r>
        <w:rPr>
          <w:rStyle w:val="7"/>
          <w:rFonts w:eastAsia="方正楷体_GBK"/>
        </w:rPr>
        <w:t>（三）加强制度建设，提高财政资金使用效益。</w:t>
      </w:r>
      <w:r>
        <w:rPr>
          <w:rStyle w:val="7"/>
        </w:rPr>
        <w:t>强化预算管理，认真做好预算执行情况分析，严格控制“</w:t>
      </w:r>
      <w:bookmarkStart w:id="0" w:name="_GoBack"/>
      <w:bookmarkEnd w:id="0"/>
      <w:r>
        <w:rPr>
          <w:rStyle w:val="7"/>
        </w:rPr>
        <w:t>三公”经费支出。严格执行财政财务管理制度，严格财务审批流程，做好预算信息公开，持续推进内部控制体系建设。完善工程建设项目管理领导小组运行机制，加强对项目预算、过程实施、竣工结算、项目验收等环节资料的审核把关，有效防范和化解债务风险，提高财政资金使用绩效。完善事前预警、事中监督和事后评价相协调的监督机制，主动接受乡人大和纪委监督，严肃财经纪律，确保财政资金安全高效运行。</w:t>
      </w:r>
    </w:p>
    <w:p>
      <w:pPr>
        <w:spacing w:line="579" w:lineRule="exact"/>
        <w:ind w:firstLine="627" w:firstLineChars="196"/>
      </w:pPr>
      <w:r>
        <w:rPr>
          <w:rStyle w:val="7"/>
          <w:rFonts w:eastAsia="方正楷体_GBK"/>
        </w:rPr>
        <w:t>（四）强化自身建设，促进财政事业健康发展。</w:t>
      </w:r>
      <w:r>
        <w:rPr>
          <w:rStyle w:val="7"/>
        </w:rPr>
        <w:t>认真贯彻各项财经法规，不断提高财政依法行政、依法理财的能力。全面履行党风廉政建设主体责任和“一岗双责”，规范财政秩序，强化预算约束，加强资金监督，确保财政收支平衡。深入贯彻落实中央八项规定及其实施细则精神和市委、县委实施意见，牢固树立过“紧日子”的思想，大力发扬艰苦奋斗、勤俭节约的精神。持续加强财务人员业务提升和能力建设，构建规范高效、运转有序的财政服务体系，全面提升财政工作效能。</w:t>
      </w:r>
    </w:p>
    <w:p>
      <w:pPr>
        <w:spacing w:line="579" w:lineRule="exact"/>
        <w:ind w:firstLine="640" w:firstLineChars="200"/>
        <w:rPr>
          <w:rStyle w:val="7"/>
          <w:color w:val="000000"/>
        </w:rPr>
      </w:pPr>
      <w:r>
        <w:rPr>
          <w:rStyle w:val="7"/>
        </w:rPr>
        <w:t>各位代表！2023年是全面贯彻落实党的二十大精神的开局之年，是实施“十四五”规划承前启后的关键之年，我们将认真贯彻执行乡党委政府提出的总体目标和乡人代会作出的各项决议，进一步开拓进取、抢抓机遇、担当作为，为奋力开创财政事业新局面，谱写北屏高质量发展新篇章做出新的更大贡献！</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95207"/>
    </w:sdtPr>
    <w:sdtEndPr>
      <w:rPr>
        <w:rFonts w:asciiTheme="minorEastAsia" w:hAnsiTheme="minorEastAsia" w:eastAsiaTheme="minorEastAsia"/>
        <w:sz w:val="28"/>
        <w:szCs w:val="28"/>
      </w:rPr>
    </w:sdtEndPr>
    <w:sdtContent>
      <w:p>
        <w:pPr>
          <w:pStyle w:val="3"/>
          <w:jc w:val="cente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rPr>
          <w:t>—</w:t>
        </w:r>
      </w:p>
    </w:sdtContent>
  </w:sdt>
  <w:p>
    <w:pPr>
      <w:pStyle w:val="9"/>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NzIyYjA0MzIxMjBmY2ViM2UzZmQ2MzJlNTdhNzI2NjkifQ=="/>
  </w:docVars>
  <w:rsids>
    <w:rsidRoot w:val="00440E8F"/>
    <w:rsid w:val="000006A6"/>
    <w:rsid w:val="0000366B"/>
    <w:rsid w:val="00006D87"/>
    <w:rsid w:val="000101B0"/>
    <w:rsid w:val="000103C0"/>
    <w:rsid w:val="00013E9C"/>
    <w:rsid w:val="00016F06"/>
    <w:rsid w:val="000172AE"/>
    <w:rsid w:val="0002284D"/>
    <w:rsid w:val="0002679E"/>
    <w:rsid w:val="00027D7A"/>
    <w:rsid w:val="00030D55"/>
    <w:rsid w:val="00033DB7"/>
    <w:rsid w:val="00033EF8"/>
    <w:rsid w:val="00036726"/>
    <w:rsid w:val="0005466F"/>
    <w:rsid w:val="00057AEB"/>
    <w:rsid w:val="00057C5B"/>
    <w:rsid w:val="00057D9A"/>
    <w:rsid w:val="00060B7B"/>
    <w:rsid w:val="000619B4"/>
    <w:rsid w:val="000620A0"/>
    <w:rsid w:val="000658B3"/>
    <w:rsid w:val="00066194"/>
    <w:rsid w:val="000666BD"/>
    <w:rsid w:val="00066A9B"/>
    <w:rsid w:val="000737DB"/>
    <w:rsid w:val="00081324"/>
    <w:rsid w:val="00081E32"/>
    <w:rsid w:val="00083F6B"/>
    <w:rsid w:val="00086FC7"/>
    <w:rsid w:val="00087C63"/>
    <w:rsid w:val="000961B0"/>
    <w:rsid w:val="000A5220"/>
    <w:rsid w:val="000B5E3F"/>
    <w:rsid w:val="000C53A0"/>
    <w:rsid w:val="000D6868"/>
    <w:rsid w:val="000E060F"/>
    <w:rsid w:val="000E092D"/>
    <w:rsid w:val="000E0CFE"/>
    <w:rsid w:val="000E698D"/>
    <w:rsid w:val="000F13F1"/>
    <w:rsid w:val="000F258D"/>
    <w:rsid w:val="000F2D82"/>
    <w:rsid w:val="000F6D70"/>
    <w:rsid w:val="00102607"/>
    <w:rsid w:val="00103255"/>
    <w:rsid w:val="00104012"/>
    <w:rsid w:val="0010656A"/>
    <w:rsid w:val="00110252"/>
    <w:rsid w:val="00113435"/>
    <w:rsid w:val="00114649"/>
    <w:rsid w:val="00116FD9"/>
    <w:rsid w:val="00117180"/>
    <w:rsid w:val="00124B8F"/>
    <w:rsid w:val="00126A9B"/>
    <w:rsid w:val="001304FA"/>
    <w:rsid w:val="00131542"/>
    <w:rsid w:val="00134022"/>
    <w:rsid w:val="001343B7"/>
    <w:rsid w:val="00135E92"/>
    <w:rsid w:val="00143B62"/>
    <w:rsid w:val="00144A5B"/>
    <w:rsid w:val="00147879"/>
    <w:rsid w:val="001504AA"/>
    <w:rsid w:val="00151EF6"/>
    <w:rsid w:val="0015547F"/>
    <w:rsid w:val="00156CD7"/>
    <w:rsid w:val="00157620"/>
    <w:rsid w:val="00167675"/>
    <w:rsid w:val="00167ABF"/>
    <w:rsid w:val="001803B7"/>
    <w:rsid w:val="0018042E"/>
    <w:rsid w:val="0018191D"/>
    <w:rsid w:val="001835F3"/>
    <w:rsid w:val="00185050"/>
    <w:rsid w:val="001907FE"/>
    <w:rsid w:val="001945CE"/>
    <w:rsid w:val="001A0A14"/>
    <w:rsid w:val="001A4AB3"/>
    <w:rsid w:val="001A6AE6"/>
    <w:rsid w:val="001B1AFE"/>
    <w:rsid w:val="001B380C"/>
    <w:rsid w:val="001B4C6A"/>
    <w:rsid w:val="001C15DB"/>
    <w:rsid w:val="001C464A"/>
    <w:rsid w:val="001C4D70"/>
    <w:rsid w:val="001C4E6B"/>
    <w:rsid w:val="001D270A"/>
    <w:rsid w:val="001D5BAC"/>
    <w:rsid w:val="001D72CE"/>
    <w:rsid w:val="001E1111"/>
    <w:rsid w:val="001E20B7"/>
    <w:rsid w:val="001E2329"/>
    <w:rsid w:val="001E4A6F"/>
    <w:rsid w:val="001E55F9"/>
    <w:rsid w:val="001F0BD9"/>
    <w:rsid w:val="001F34CE"/>
    <w:rsid w:val="001F5855"/>
    <w:rsid w:val="001F7C22"/>
    <w:rsid w:val="00200E8F"/>
    <w:rsid w:val="002024E5"/>
    <w:rsid w:val="00205143"/>
    <w:rsid w:val="00205D37"/>
    <w:rsid w:val="00211970"/>
    <w:rsid w:val="00215D26"/>
    <w:rsid w:val="00220971"/>
    <w:rsid w:val="0022208C"/>
    <w:rsid w:val="00222C13"/>
    <w:rsid w:val="0022375C"/>
    <w:rsid w:val="002239D4"/>
    <w:rsid w:val="002255B1"/>
    <w:rsid w:val="00225C11"/>
    <w:rsid w:val="002262C2"/>
    <w:rsid w:val="00233BA0"/>
    <w:rsid w:val="002341A5"/>
    <w:rsid w:val="002352EB"/>
    <w:rsid w:val="00235BE6"/>
    <w:rsid w:val="00236913"/>
    <w:rsid w:val="0023718B"/>
    <w:rsid w:val="002375E5"/>
    <w:rsid w:val="0024086E"/>
    <w:rsid w:val="00241004"/>
    <w:rsid w:val="00242304"/>
    <w:rsid w:val="002443EE"/>
    <w:rsid w:val="0024528C"/>
    <w:rsid w:val="00245811"/>
    <w:rsid w:val="00246270"/>
    <w:rsid w:val="00250364"/>
    <w:rsid w:val="00253FC1"/>
    <w:rsid w:val="0026614D"/>
    <w:rsid w:val="002667EB"/>
    <w:rsid w:val="00270508"/>
    <w:rsid w:val="00271811"/>
    <w:rsid w:val="002719C5"/>
    <w:rsid w:val="00272155"/>
    <w:rsid w:val="002724B8"/>
    <w:rsid w:val="002776FF"/>
    <w:rsid w:val="00283CE2"/>
    <w:rsid w:val="00284910"/>
    <w:rsid w:val="002877AC"/>
    <w:rsid w:val="0029198F"/>
    <w:rsid w:val="00294C93"/>
    <w:rsid w:val="002A2E05"/>
    <w:rsid w:val="002A41B4"/>
    <w:rsid w:val="002A5A87"/>
    <w:rsid w:val="002B0016"/>
    <w:rsid w:val="002B0035"/>
    <w:rsid w:val="002B10EE"/>
    <w:rsid w:val="002B2688"/>
    <w:rsid w:val="002B34D4"/>
    <w:rsid w:val="002C2B50"/>
    <w:rsid w:val="002C3328"/>
    <w:rsid w:val="002C386A"/>
    <w:rsid w:val="002C4200"/>
    <w:rsid w:val="002C460B"/>
    <w:rsid w:val="002C776D"/>
    <w:rsid w:val="002C7BBD"/>
    <w:rsid w:val="002C7BEC"/>
    <w:rsid w:val="002D1841"/>
    <w:rsid w:val="002D35D1"/>
    <w:rsid w:val="002E21FE"/>
    <w:rsid w:val="002E281F"/>
    <w:rsid w:val="002E2AA7"/>
    <w:rsid w:val="002F28D6"/>
    <w:rsid w:val="002F38F1"/>
    <w:rsid w:val="002F55BD"/>
    <w:rsid w:val="003001BD"/>
    <w:rsid w:val="00303ACA"/>
    <w:rsid w:val="0030643F"/>
    <w:rsid w:val="00307A95"/>
    <w:rsid w:val="00311A71"/>
    <w:rsid w:val="00313292"/>
    <w:rsid w:val="00315362"/>
    <w:rsid w:val="003226EA"/>
    <w:rsid w:val="00324BF8"/>
    <w:rsid w:val="0032690B"/>
    <w:rsid w:val="00331275"/>
    <w:rsid w:val="00331E45"/>
    <w:rsid w:val="00333D08"/>
    <w:rsid w:val="003343E4"/>
    <w:rsid w:val="00334E03"/>
    <w:rsid w:val="00335B29"/>
    <w:rsid w:val="0034088A"/>
    <w:rsid w:val="003540C5"/>
    <w:rsid w:val="00360FBE"/>
    <w:rsid w:val="0036348B"/>
    <w:rsid w:val="0036611E"/>
    <w:rsid w:val="003700FD"/>
    <w:rsid w:val="003776DC"/>
    <w:rsid w:val="00377B61"/>
    <w:rsid w:val="00381469"/>
    <w:rsid w:val="00382A4B"/>
    <w:rsid w:val="003838A8"/>
    <w:rsid w:val="00383BC7"/>
    <w:rsid w:val="0039097C"/>
    <w:rsid w:val="00392ADA"/>
    <w:rsid w:val="00395E60"/>
    <w:rsid w:val="00396E38"/>
    <w:rsid w:val="003974C4"/>
    <w:rsid w:val="003A218E"/>
    <w:rsid w:val="003B0420"/>
    <w:rsid w:val="003B0637"/>
    <w:rsid w:val="003B0BDA"/>
    <w:rsid w:val="003B29B0"/>
    <w:rsid w:val="003B309E"/>
    <w:rsid w:val="003B313D"/>
    <w:rsid w:val="003B48E7"/>
    <w:rsid w:val="003B7777"/>
    <w:rsid w:val="003C71D3"/>
    <w:rsid w:val="003C797C"/>
    <w:rsid w:val="003D0731"/>
    <w:rsid w:val="003D0860"/>
    <w:rsid w:val="003D215D"/>
    <w:rsid w:val="003D551F"/>
    <w:rsid w:val="003E46AB"/>
    <w:rsid w:val="003E502F"/>
    <w:rsid w:val="003E5273"/>
    <w:rsid w:val="003E54A0"/>
    <w:rsid w:val="003E76F1"/>
    <w:rsid w:val="003F0280"/>
    <w:rsid w:val="003F485D"/>
    <w:rsid w:val="00405F71"/>
    <w:rsid w:val="0040711D"/>
    <w:rsid w:val="00413A2D"/>
    <w:rsid w:val="00414120"/>
    <w:rsid w:val="00422B67"/>
    <w:rsid w:val="0042428C"/>
    <w:rsid w:val="00431AAA"/>
    <w:rsid w:val="00432AB1"/>
    <w:rsid w:val="00432EEE"/>
    <w:rsid w:val="004344B1"/>
    <w:rsid w:val="00434AF7"/>
    <w:rsid w:val="00436A3A"/>
    <w:rsid w:val="00436AE1"/>
    <w:rsid w:val="00436D73"/>
    <w:rsid w:val="00440E8F"/>
    <w:rsid w:val="00443AEC"/>
    <w:rsid w:val="00457BCA"/>
    <w:rsid w:val="00463675"/>
    <w:rsid w:val="004646CB"/>
    <w:rsid w:val="004759E3"/>
    <w:rsid w:val="00481479"/>
    <w:rsid w:val="00481B22"/>
    <w:rsid w:val="00485422"/>
    <w:rsid w:val="004879CC"/>
    <w:rsid w:val="00487F8E"/>
    <w:rsid w:val="00491B1E"/>
    <w:rsid w:val="00492117"/>
    <w:rsid w:val="00492B78"/>
    <w:rsid w:val="00497AC4"/>
    <w:rsid w:val="004A38DC"/>
    <w:rsid w:val="004A3E4F"/>
    <w:rsid w:val="004A3E96"/>
    <w:rsid w:val="004A5375"/>
    <w:rsid w:val="004A6A3A"/>
    <w:rsid w:val="004B09B0"/>
    <w:rsid w:val="004B70E1"/>
    <w:rsid w:val="004C1786"/>
    <w:rsid w:val="004D11A8"/>
    <w:rsid w:val="004D5922"/>
    <w:rsid w:val="004E2FC6"/>
    <w:rsid w:val="004E716F"/>
    <w:rsid w:val="004F3746"/>
    <w:rsid w:val="004F7E0C"/>
    <w:rsid w:val="00501C06"/>
    <w:rsid w:val="00503936"/>
    <w:rsid w:val="005052FC"/>
    <w:rsid w:val="00505F56"/>
    <w:rsid w:val="0051161C"/>
    <w:rsid w:val="005157A4"/>
    <w:rsid w:val="00522903"/>
    <w:rsid w:val="00522E4A"/>
    <w:rsid w:val="00525F8A"/>
    <w:rsid w:val="00526B3A"/>
    <w:rsid w:val="00533CB2"/>
    <w:rsid w:val="00534740"/>
    <w:rsid w:val="00541AE1"/>
    <w:rsid w:val="005449A7"/>
    <w:rsid w:val="005512B5"/>
    <w:rsid w:val="00552F31"/>
    <w:rsid w:val="00556129"/>
    <w:rsid w:val="00556F40"/>
    <w:rsid w:val="005619C2"/>
    <w:rsid w:val="00564619"/>
    <w:rsid w:val="00570442"/>
    <w:rsid w:val="00573869"/>
    <w:rsid w:val="00575550"/>
    <w:rsid w:val="00577A85"/>
    <w:rsid w:val="00582B7C"/>
    <w:rsid w:val="005856D1"/>
    <w:rsid w:val="0059156C"/>
    <w:rsid w:val="005928F3"/>
    <w:rsid w:val="005967D5"/>
    <w:rsid w:val="005978A3"/>
    <w:rsid w:val="005A4391"/>
    <w:rsid w:val="005A70CE"/>
    <w:rsid w:val="005C2F30"/>
    <w:rsid w:val="005C3506"/>
    <w:rsid w:val="005C46DE"/>
    <w:rsid w:val="005C57A9"/>
    <w:rsid w:val="005C6DAA"/>
    <w:rsid w:val="005C75BE"/>
    <w:rsid w:val="005D268E"/>
    <w:rsid w:val="005D5205"/>
    <w:rsid w:val="005E200D"/>
    <w:rsid w:val="005E2CAD"/>
    <w:rsid w:val="005E42EC"/>
    <w:rsid w:val="005E4499"/>
    <w:rsid w:val="005E5C5F"/>
    <w:rsid w:val="005E7060"/>
    <w:rsid w:val="005E79F8"/>
    <w:rsid w:val="005F09ED"/>
    <w:rsid w:val="005F0C03"/>
    <w:rsid w:val="005F602B"/>
    <w:rsid w:val="00600429"/>
    <w:rsid w:val="00600DBC"/>
    <w:rsid w:val="0060206F"/>
    <w:rsid w:val="0060351A"/>
    <w:rsid w:val="006043FD"/>
    <w:rsid w:val="00607DD3"/>
    <w:rsid w:val="00617EBF"/>
    <w:rsid w:val="006202D4"/>
    <w:rsid w:val="006204C7"/>
    <w:rsid w:val="00621611"/>
    <w:rsid w:val="0062215D"/>
    <w:rsid w:val="0062487F"/>
    <w:rsid w:val="006270FC"/>
    <w:rsid w:val="00630E65"/>
    <w:rsid w:val="006329A7"/>
    <w:rsid w:val="00644D03"/>
    <w:rsid w:val="0065495A"/>
    <w:rsid w:val="00655943"/>
    <w:rsid w:val="0066343A"/>
    <w:rsid w:val="006663A3"/>
    <w:rsid w:val="00666EC0"/>
    <w:rsid w:val="00667271"/>
    <w:rsid w:val="0067137C"/>
    <w:rsid w:val="00671AA5"/>
    <w:rsid w:val="00672B74"/>
    <w:rsid w:val="00674C30"/>
    <w:rsid w:val="00675481"/>
    <w:rsid w:val="00676958"/>
    <w:rsid w:val="00677502"/>
    <w:rsid w:val="00686B99"/>
    <w:rsid w:val="00692586"/>
    <w:rsid w:val="006931EE"/>
    <w:rsid w:val="00693981"/>
    <w:rsid w:val="00693A1B"/>
    <w:rsid w:val="00694630"/>
    <w:rsid w:val="00697824"/>
    <w:rsid w:val="006A0660"/>
    <w:rsid w:val="006A5CA9"/>
    <w:rsid w:val="006A7D2D"/>
    <w:rsid w:val="006B121A"/>
    <w:rsid w:val="006B272E"/>
    <w:rsid w:val="006B3574"/>
    <w:rsid w:val="006B5256"/>
    <w:rsid w:val="006C3F30"/>
    <w:rsid w:val="006C4FBE"/>
    <w:rsid w:val="006C7880"/>
    <w:rsid w:val="006D0CE9"/>
    <w:rsid w:val="006D2116"/>
    <w:rsid w:val="006D67D9"/>
    <w:rsid w:val="006E384A"/>
    <w:rsid w:val="006E753E"/>
    <w:rsid w:val="006F060D"/>
    <w:rsid w:val="006F2150"/>
    <w:rsid w:val="006F5A20"/>
    <w:rsid w:val="006F5FA5"/>
    <w:rsid w:val="006F7F21"/>
    <w:rsid w:val="00704441"/>
    <w:rsid w:val="0070659A"/>
    <w:rsid w:val="00711CF3"/>
    <w:rsid w:val="00712046"/>
    <w:rsid w:val="0071715C"/>
    <w:rsid w:val="00717F82"/>
    <w:rsid w:val="00730C1A"/>
    <w:rsid w:val="007312ED"/>
    <w:rsid w:val="0073389F"/>
    <w:rsid w:val="007339F9"/>
    <w:rsid w:val="007350CE"/>
    <w:rsid w:val="00736ADF"/>
    <w:rsid w:val="007418FB"/>
    <w:rsid w:val="00753B3B"/>
    <w:rsid w:val="007621A0"/>
    <w:rsid w:val="00763052"/>
    <w:rsid w:val="00763BD0"/>
    <w:rsid w:val="0076707A"/>
    <w:rsid w:val="0077035C"/>
    <w:rsid w:val="007726AA"/>
    <w:rsid w:val="007736A3"/>
    <w:rsid w:val="00774F4B"/>
    <w:rsid w:val="0077671F"/>
    <w:rsid w:val="007811E1"/>
    <w:rsid w:val="007863E9"/>
    <w:rsid w:val="0078650F"/>
    <w:rsid w:val="00786DC8"/>
    <w:rsid w:val="0078705D"/>
    <w:rsid w:val="00792DA8"/>
    <w:rsid w:val="00793EBA"/>
    <w:rsid w:val="00795932"/>
    <w:rsid w:val="00796C87"/>
    <w:rsid w:val="007A0C13"/>
    <w:rsid w:val="007A7AB2"/>
    <w:rsid w:val="007B1568"/>
    <w:rsid w:val="007B3529"/>
    <w:rsid w:val="007B3834"/>
    <w:rsid w:val="007B473D"/>
    <w:rsid w:val="007B76A9"/>
    <w:rsid w:val="007C581A"/>
    <w:rsid w:val="007C58B0"/>
    <w:rsid w:val="007C5E3A"/>
    <w:rsid w:val="007C67C2"/>
    <w:rsid w:val="007D102C"/>
    <w:rsid w:val="007D3986"/>
    <w:rsid w:val="007D60FF"/>
    <w:rsid w:val="007D6AB8"/>
    <w:rsid w:val="007D6DBF"/>
    <w:rsid w:val="007E0AAB"/>
    <w:rsid w:val="007E1204"/>
    <w:rsid w:val="007E2872"/>
    <w:rsid w:val="007E2AE7"/>
    <w:rsid w:val="007E6369"/>
    <w:rsid w:val="007F2269"/>
    <w:rsid w:val="007F33FC"/>
    <w:rsid w:val="007F460B"/>
    <w:rsid w:val="008019B9"/>
    <w:rsid w:val="00802AA3"/>
    <w:rsid w:val="00804AC0"/>
    <w:rsid w:val="00804D91"/>
    <w:rsid w:val="00804E1A"/>
    <w:rsid w:val="00805178"/>
    <w:rsid w:val="0080674F"/>
    <w:rsid w:val="00810B76"/>
    <w:rsid w:val="0081406A"/>
    <w:rsid w:val="00820007"/>
    <w:rsid w:val="0082289A"/>
    <w:rsid w:val="00823C22"/>
    <w:rsid w:val="008252BD"/>
    <w:rsid w:val="00825479"/>
    <w:rsid w:val="008269F6"/>
    <w:rsid w:val="00826D45"/>
    <w:rsid w:val="00827AD9"/>
    <w:rsid w:val="0083002E"/>
    <w:rsid w:val="008342A3"/>
    <w:rsid w:val="00835B46"/>
    <w:rsid w:val="00842813"/>
    <w:rsid w:val="00844B1D"/>
    <w:rsid w:val="00847FD8"/>
    <w:rsid w:val="00850340"/>
    <w:rsid w:val="0086157C"/>
    <w:rsid w:val="0086744D"/>
    <w:rsid w:val="00871C8D"/>
    <w:rsid w:val="008764DD"/>
    <w:rsid w:val="008856CF"/>
    <w:rsid w:val="00885D0F"/>
    <w:rsid w:val="008919CE"/>
    <w:rsid w:val="00893E4B"/>
    <w:rsid w:val="00894003"/>
    <w:rsid w:val="008952A7"/>
    <w:rsid w:val="008A1886"/>
    <w:rsid w:val="008A35A5"/>
    <w:rsid w:val="008A49A2"/>
    <w:rsid w:val="008A6515"/>
    <w:rsid w:val="008B1988"/>
    <w:rsid w:val="008B1C01"/>
    <w:rsid w:val="008B7376"/>
    <w:rsid w:val="008C1825"/>
    <w:rsid w:val="008C55E6"/>
    <w:rsid w:val="008D1BE0"/>
    <w:rsid w:val="008D1F51"/>
    <w:rsid w:val="008D4365"/>
    <w:rsid w:val="008D4392"/>
    <w:rsid w:val="008D4706"/>
    <w:rsid w:val="008D4EF9"/>
    <w:rsid w:val="008E0BDF"/>
    <w:rsid w:val="008E556A"/>
    <w:rsid w:val="008E655E"/>
    <w:rsid w:val="008F01F7"/>
    <w:rsid w:val="008F091C"/>
    <w:rsid w:val="008F0AA5"/>
    <w:rsid w:val="008F0C3E"/>
    <w:rsid w:val="0090338A"/>
    <w:rsid w:val="00904ADA"/>
    <w:rsid w:val="009128EE"/>
    <w:rsid w:val="009136C7"/>
    <w:rsid w:val="009153F9"/>
    <w:rsid w:val="00920730"/>
    <w:rsid w:val="009226F1"/>
    <w:rsid w:val="009315CB"/>
    <w:rsid w:val="00934783"/>
    <w:rsid w:val="009361F0"/>
    <w:rsid w:val="00937D29"/>
    <w:rsid w:val="00942EC3"/>
    <w:rsid w:val="00945072"/>
    <w:rsid w:val="00951103"/>
    <w:rsid w:val="00951286"/>
    <w:rsid w:val="00953699"/>
    <w:rsid w:val="00954707"/>
    <w:rsid w:val="00955665"/>
    <w:rsid w:val="009632E6"/>
    <w:rsid w:val="00966630"/>
    <w:rsid w:val="00966AA7"/>
    <w:rsid w:val="00970CC9"/>
    <w:rsid w:val="009747F7"/>
    <w:rsid w:val="00974DAB"/>
    <w:rsid w:val="00983FEC"/>
    <w:rsid w:val="009926C0"/>
    <w:rsid w:val="00992C3E"/>
    <w:rsid w:val="00993529"/>
    <w:rsid w:val="009A13CF"/>
    <w:rsid w:val="009A33F9"/>
    <w:rsid w:val="009A4F97"/>
    <w:rsid w:val="009A6258"/>
    <w:rsid w:val="009B5D2C"/>
    <w:rsid w:val="009B6574"/>
    <w:rsid w:val="009B7C4E"/>
    <w:rsid w:val="009C501A"/>
    <w:rsid w:val="009C599F"/>
    <w:rsid w:val="009C6A6A"/>
    <w:rsid w:val="009C6C2F"/>
    <w:rsid w:val="009C7D39"/>
    <w:rsid w:val="009D0EAC"/>
    <w:rsid w:val="009D39CE"/>
    <w:rsid w:val="009D42CA"/>
    <w:rsid w:val="009D7609"/>
    <w:rsid w:val="009E0CCE"/>
    <w:rsid w:val="009E217D"/>
    <w:rsid w:val="009E344E"/>
    <w:rsid w:val="009E4094"/>
    <w:rsid w:val="009E4A0E"/>
    <w:rsid w:val="009F0951"/>
    <w:rsid w:val="009F1EED"/>
    <w:rsid w:val="009F48E2"/>
    <w:rsid w:val="009F5F29"/>
    <w:rsid w:val="009F600E"/>
    <w:rsid w:val="009F6B2E"/>
    <w:rsid w:val="009F6E8B"/>
    <w:rsid w:val="00A00044"/>
    <w:rsid w:val="00A03B12"/>
    <w:rsid w:val="00A04C9D"/>
    <w:rsid w:val="00A11E09"/>
    <w:rsid w:val="00A140D4"/>
    <w:rsid w:val="00A16088"/>
    <w:rsid w:val="00A16476"/>
    <w:rsid w:val="00A171F2"/>
    <w:rsid w:val="00A20AAF"/>
    <w:rsid w:val="00A23F90"/>
    <w:rsid w:val="00A246C5"/>
    <w:rsid w:val="00A273D3"/>
    <w:rsid w:val="00A30986"/>
    <w:rsid w:val="00A30E05"/>
    <w:rsid w:val="00A41FF5"/>
    <w:rsid w:val="00A43166"/>
    <w:rsid w:val="00A4554C"/>
    <w:rsid w:val="00A54FB2"/>
    <w:rsid w:val="00A600B5"/>
    <w:rsid w:val="00A61559"/>
    <w:rsid w:val="00A62992"/>
    <w:rsid w:val="00A6602F"/>
    <w:rsid w:val="00A70725"/>
    <w:rsid w:val="00A73BFB"/>
    <w:rsid w:val="00A751A4"/>
    <w:rsid w:val="00A81C26"/>
    <w:rsid w:val="00A82C87"/>
    <w:rsid w:val="00A83B47"/>
    <w:rsid w:val="00A85A8C"/>
    <w:rsid w:val="00A92283"/>
    <w:rsid w:val="00AA0D06"/>
    <w:rsid w:val="00AB084B"/>
    <w:rsid w:val="00AB0F6B"/>
    <w:rsid w:val="00AB278A"/>
    <w:rsid w:val="00AB4C17"/>
    <w:rsid w:val="00AB4D4B"/>
    <w:rsid w:val="00AB630C"/>
    <w:rsid w:val="00AB75FE"/>
    <w:rsid w:val="00AC07AB"/>
    <w:rsid w:val="00AC27D9"/>
    <w:rsid w:val="00AC3097"/>
    <w:rsid w:val="00AC4E73"/>
    <w:rsid w:val="00AC6427"/>
    <w:rsid w:val="00AC6DF3"/>
    <w:rsid w:val="00AD28BC"/>
    <w:rsid w:val="00AD5638"/>
    <w:rsid w:val="00AD577F"/>
    <w:rsid w:val="00AD7F26"/>
    <w:rsid w:val="00AE0D89"/>
    <w:rsid w:val="00AE21E9"/>
    <w:rsid w:val="00AE3DF8"/>
    <w:rsid w:val="00AE4358"/>
    <w:rsid w:val="00AE58FA"/>
    <w:rsid w:val="00AE66F1"/>
    <w:rsid w:val="00AE6F15"/>
    <w:rsid w:val="00AF0782"/>
    <w:rsid w:val="00AF0D6F"/>
    <w:rsid w:val="00AF43AA"/>
    <w:rsid w:val="00B02A87"/>
    <w:rsid w:val="00B05946"/>
    <w:rsid w:val="00B12099"/>
    <w:rsid w:val="00B12F68"/>
    <w:rsid w:val="00B17595"/>
    <w:rsid w:val="00B227F6"/>
    <w:rsid w:val="00B23E36"/>
    <w:rsid w:val="00B24BE3"/>
    <w:rsid w:val="00B254E6"/>
    <w:rsid w:val="00B25A40"/>
    <w:rsid w:val="00B26A87"/>
    <w:rsid w:val="00B26C44"/>
    <w:rsid w:val="00B31770"/>
    <w:rsid w:val="00B31997"/>
    <w:rsid w:val="00B36DF7"/>
    <w:rsid w:val="00B43685"/>
    <w:rsid w:val="00B43C7A"/>
    <w:rsid w:val="00B444AC"/>
    <w:rsid w:val="00B4539E"/>
    <w:rsid w:val="00B53922"/>
    <w:rsid w:val="00B53C37"/>
    <w:rsid w:val="00B55E9B"/>
    <w:rsid w:val="00B62008"/>
    <w:rsid w:val="00B62540"/>
    <w:rsid w:val="00B653B3"/>
    <w:rsid w:val="00B65BA1"/>
    <w:rsid w:val="00B667D8"/>
    <w:rsid w:val="00B7104D"/>
    <w:rsid w:val="00B7555D"/>
    <w:rsid w:val="00B83DFC"/>
    <w:rsid w:val="00B844F6"/>
    <w:rsid w:val="00B859ED"/>
    <w:rsid w:val="00B92B7B"/>
    <w:rsid w:val="00B97A17"/>
    <w:rsid w:val="00BA122F"/>
    <w:rsid w:val="00BA146B"/>
    <w:rsid w:val="00BA1A16"/>
    <w:rsid w:val="00BA275A"/>
    <w:rsid w:val="00BA31C5"/>
    <w:rsid w:val="00BA588C"/>
    <w:rsid w:val="00BA7CA7"/>
    <w:rsid w:val="00BB04D4"/>
    <w:rsid w:val="00BB4987"/>
    <w:rsid w:val="00BC09BA"/>
    <w:rsid w:val="00BC1023"/>
    <w:rsid w:val="00BC1A94"/>
    <w:rsid w:val="00BC22B2"/>
    <w:rsid w:val="00BC64AD"/>
    <w:rsid w:val="00BC71A1"/>
    <w:rsid w:val="00BD0477"/>
    <w:rsid w:val="00BD3F1D"/>
    <w:rsid w:val="00BE05A0"/>
    <w:rsid w:val="00BE684D"/>
    <w:rsid w:val="00BF1656"/>
    <w:rsid w:val="00BF3D20"/>
    <w:rsid w:val="00BF73D1"/>
    <w:rsid w:val="00C03EDF"/>
    <w:rsid w:val="00C0416C"/>
    <w:rsid w:val="00C056AA"/>
    <w:rsid w:val="00C05C76"/>
    <w:rsid w:val="00C07D29"/>
    <w:rsid w:val="00C1228C"/>
    <w:rsid w:val="00C12744"/>
    <w:rsid w:val="00C134AA"/>
    <w:rsid w:val="00C13FE6"/>
    <w:rsid w:val="00C14D98"/>
    <w:rsid w:val="00C22F4C"/>
    <w:rsid w:val="00C2431D"/>
    <w:rsid w:val="00C261E3"/>
    <w:rsid w:val="00C266F2"/>
    <w:rsid w:val="00C26C9C"/>
    <w:rsid w:val="00C26DBD"/>
    <w:rsid w:val="00C3775F"/>
    <w:rsid w:val="00C41F5D"/>
    <w:rsid w:val="00C45330"/>
    <w:rsid w:val="00C45359"/>
    <w:rsid w:val="00C45EAC"/>
    <w:rsid w:val="00C50C7E"/>
    <w:rsid w:val="00C52723"/>
    <w:rsid w:val="00C64ADA"/>
    <w:rsid w:val="00C650BC"/>
    <w:rsid w:val="00C65125"/>
    <w:rsid w:val="00C65B85"/>
    <w:rsid w:val="00C666EE"/>
    <w:rsid w:val="00C67352"/>
    <w:rsid w:val="00C67D42"/>
    <w:rsid w:val="00C67F0F"/>
    <w:rsid w:val="00C70912"/>
    <w:rsid w:val="00C71CBD"/>
    <w:rsid w:val="00C80326"/>
    <w:rsid w:val="00C83BAB"/>
    <w:rsid w:val="00C84936"/>
    <w:rsid w:val="00C901E9"/>
    <w:rsid w:val="00C90F83"/>
    <w:rsid w:val="00C91BEA"/>
    <w:rsid w:val="00C94034"/>
    <w:rsid w:val="00C94A90"/>
    <w:rsid w:val="00C96194"/>
    <w:rsid w:val="00CA0787"/>
    <w:rsid w:val="00CA1275"/>
    <w:rsid w:val="00CA7551"/>
    <w:rsid w:val="00CA77CC"/>
    <w:rsid w:val="00CB1943"/>
    <w:rsid w:val="00CB267B"/>
    <w:rsid w:val="00CB5BC4"/>
    <w:rsid w:val="00CC0A1A"/>
    <w:rsid w:val="00CC0ABE"/>
    <w:rsid w:val="00CC11C5"/>
    <w:rsid w:val="00CC181D"/>
    <w:rsid w:val="00CC2AC6"/>
    <w:rsid w:val="00CC3DF4"/>
    <w:rsid w:val="00CC45AE"/>
    <w:rsid w:val="00CC5897"/>
    <w:rsid w:val="00CC658F"/>
    <w:rsid w:val="00CC7976"/>
    <w:rsid w:val="00CD2458"/>
    <w:rsid w:val="00CD2DD1"/>
    <w:rsid w:val="00CD4497"/>
    <w:rsid w:val="00CD5545"/>
    <w:rsid w:val="00CD5D57"/>
    <w:rsid w:val="00CD6ABC"/>
    <w:rsid w:val="00CE03EB"/>
    <w:rsid w:val="00CE2AC6"/>
    <w:rsid w:val="00CF4669"/>
    <w:rsid w:val="00CF581B"/>
    <w:rsid w:val="00CF6740"/>
    <w:rsid w:val="00CF6D8C"/>
    <w:rsid w:val="00D01322"/>
    <w:rsid w:val="00D05F74"/>
    <w:rsid w:val="00D07B11"/>
    <w:rsid w:val="00D07E5B"/>
    <w:rsid w:val="00D10ABC"/>
    <w:rsid w:val="00D13454"/>
    <w:rsid w:val="00D15811"/>
    <w:rsid w:val="00D1694A"/>
    <w:rsid w:val="00D20816"/>
    <w:rsid w:val="00D21A21"/>
    <w:rsid w:val="00D23A24"/>
    <w:rsid w:val="00D242EE"/>
    <w:rsid w:val="00D25743"/>
    <w:rsid w:val="00D2594B"/>
    <w:rsid w:val="00D3327C"/>
    <w:rsid w:val="00D365B7"/>
    <w:rsid w:val="00D37865"/>
    <w:rsid w:val="00D43C2F"/>
    <w:rsid w:val="00D44337"/>
    <w:rsid w:val="00D62DB0"/>
    <w:rsid w:val="00D63261"/>
    <w:rsid w:val="00D6357E"/>
    <w:rsid w:val="00D709EC"/>
    <w:rsid w:val="00D722D2"/>
    <w:rsid w:val="00D7277C"/>
    <w:rsid w:val="00D748D6"/>
    <w:rsid w:val="00D812F7"/>
    <w:rsid w:val="00D901AF"/>
    <w:rsid w:val="00D90814"/>
    <w:rsid w:val="00D910DC"/>
    <w:rsid w:val="00D92A68"/>
    <w:rsid w:val="00D94269"/>
    <w:rsid w:val="00DA3B27"/>
    <w:rsid w:val="00DA7D8D"/>
    <w:rsid w:val="00DB2040"/>
    <w:rsid w:val="00DB260F"/>
    <w:rsid w:val="00DB674B"/>
    <w:rsid w:val="00DC2264"/>
    <w:rsid w:val="00DC41F7"/>
    <w:rsid w:val="00DD17FE"/>
    <w:rsid w:val="00DD25F3"/>
    <w:rsid w:val="00DD4900"/>
    <w:rsid w:val="00DD5EEA"/>
    <w:rsid w:val="00DD6ED3"/>
    <w:rsid w:val="00DD7F8B"/>
    <w:rsid w:val="00DE1D69"/>
    <w:rsid w:val="00DE2812"/>
    <w:rsid w:val="00DE2B17"/>
    <w:rsid w:val="00DF19EC"/>
    <w:rsid w:val="00DF502C"/>
    <w:rsid w:val="00DF7B70"/>
    <w:rsid w:val="00E02173"/>
    <w:rsid w:val="00E02217"/>
    <w:rsid w:val="00E04294"/>
    <w:rsid w:val="00E23562"/>
    <w:rsid w:val="00E240F9"/>
    <w:rsid w:val="00E24562"/>
    <w:rsid w:val="00E2509C"/>
    <w:rsid w:val="00E2566F"/>
    <w:rsid w:val="00E25D7D"/>
    <w:rsid w:val="00E27435"/>
    <w:rsid w:val="00E422C9"/>
    <w:rsid w:val="00E429A5"/>
    <w:rsid w:val="00E43433"/>
    <w:rsid w:val="00E43B41"/>
    <w:rsid w:val="00E52691"/>
    <w:rsid w:val="00E526B1"/>
    <w:rsid w:val="00E55963"/>
    <w:rsid w:val="00E57990"/>
    <w:rsid w:val="00E60BA0"/>
    <w:rsid w:val="00E626DE"/>
    <w:rsid w:val="00E66260"/>
    <w:rsid w:val="00E66511"/>
    <w:rsid w:val="00E66888"/>
    <w:rsid w:val="00E6745F"/>
    <w:rsid w:val="00E70BEC"/>
    <w:rsid w:val="00E75475"/>
    <w:rsid w:val="00E7764A"/>
    <w:rsid w:val="00E779F8"/>
    <w:rsid w:val="00E86A49"/>
    <w:rsid w:val="00E90377"/>
    <w:rsid w:val="00E93CE0"/>
    <w:rsid w:val="00E965B4"/>
    <w:rsid w:val="00E96AFF"/>
    <w:rsid w:val="00E971F7"/>
    <w:rsid w:val="00E97A70"/>
    <w:rsid w:val="00EA25E8"/>
    <w:rsid w:val="00EA53C2"/>
    <w:rsid w:val="00EA6EEF"/>
    <w:rsid w:val="00EB2E98"/>
    <w:rsid w:val="00EB35F6"/>
    <w:rsid w:val="00EB64A0"/>
    <w:rsid w:val="00EB7A70"/>
    <w:rsid w:val="00EC1F06"/>
    <w:rsid w:val="00ED1B22"/>
    <w:rsid w:val="00ED203B"/>
    <w:rsid w:val="00ED2106"/>
    <w:rsid w:val="00ED27A0"/>
    <w:rsid w:val="00ED443F"/>
    <w:rsid w:val="00ED49C1"/>
    <w:rsid w:val="00ED6F19"/>
    <w:rsid w:val="00ED7F68"/>
    <w:rsid w:val="00EE6673"/>
    <w:rsid w:val="00EF0D0F"/>
    <w:rsid w:val="00EF2F25"/>
    <w:rsid w:val="00EF5D92"/>
    <w:rsid w:val="00EF7950"/>
    <w:rsid w:val="00F0093C"/>
    <w:rsid w:val="00F02C07"/>
    <w:rsid w:val="00F03D93"/>
    <w:rsid w:val="00F04208"/>
    <w:rsid w:val="00F12060"/>
    <w:rsid w:val="00F12320"/>
    <w:rsid w:val="00F14C16"/>
    <w:rsid w:val="00F1695C"/>
    <w:rsid w:val="00F16AA8"/>
    <w:rsid w:val="00F17753"/>
    <w:rsid w:val="00F17A14"/>
    <w:rsid w:val="00F26DB2"/>
    <w:rsid w:val="00F30848"/>
    <w:rsid w:val="00F30B86"/>
    <w:rsid w:val="00F30FFD"/>
    <w:rsid w:val="00F33771"/>
    <w:rsid w:val="00F34B87"/>
    <w:rsid w:val="00F34BBA"/>
    <w:rsid w:val="00F355B9"/>
    <w:rsid w:val="00F377AC"/>
    <w:rsid w:val="00F44F8F"/>
    <w:rsid w:val="00F50B54"/>
    <w:rsid w:val="00F534B4"/>
    <w:rsid w:val="00F54538"/>
    <w:rsid w:val="00F56E1D"/>
    <w:rsid w:val="00F60760"/>
    <w:rsid w:val="00F60901"/>
    <w:rsid w:val="00F61A08"/>
    <w:rsid w:val="00F61C69"/>
    <w:rsid w:val="00F641FA"/>
    <w:rsid w:val="00F67C90"/>
    <w:rsid w:val="00F71A51"/>
    <w:rsid w:val="00F73F61"/>
    <w:rsid w:val="00F74CB2"/>
    <w:rsid w:val="00F77336"/>
    <w:rsid w:val="00F81A92"/>
    <w:rsid w:val="00F82CA9"/>
    <w:rsid w:val="00F8524D"/>
    <w:rsid w:val="00F87911"/>
    <w:rsid w:val="00F87F74"/>
    <w:rsid w:val="00F920DA"/>
    <w:rsid w:val="00F9538F"/>
    <w:rsid w:val="00F95989"/>
    <w:rsid w:val="00FA044B"/>
    <w:rsid w:val="00FA64D4"/>
    <w:rsid w:val="00FB3605"/>
    <w:rsid w:val="00FB3C91"/>
    <w:rsid w:val="00FB55E9"/>
    <w:rsid w:val="00FB5D26"/>
    <w:rsid w:val="00FC1977"/>
    <w:rsid w:val="00FC344B"/>
    <w:rsid w:val="00FC51CF"/>
    <w:rsid w:val="00FC6267"/>
    <w:rsid w:val="00FD5D2B"/>
    <w:rsid w:val="00FD7144"/>
    <w:rsid w:val="00FD7F78"/>
    <w:rsid w:val="00FE0267"/>
    <w:rsid w:val="00FE0974"/>
    <w:rsid w:val="00FE3BAB"/>
    <w:rsid w:val="00FE724D"/>
    <w:rsid w:val="00FF0F1B"/>
    <w:rsid w:val="00FF4B70"/>
    <w:rsid w:val="00FF501F"/>
    <w:rsid w:val="00FF59A5"/>
    <w:rsid w:val="00FF6281"/>
    <w:rsid w:val="00FF6D61"/>
    <w:rsid w:val="01113D6B"/>
    <w:rsid w:val="016C71F3"/>
    <w:rsid w:val="01722330"/>
    <w:rsid w:val="01787946"/>
    <w:rsid w:val="019F1377"/>
    <w:rsid w:val="01C56903"/>
    <w:rsid w:val="01F42D45"/>
    <w:rsid w:val="020B07BA"/>
    <w:rsid w:val="02385327"/>
    <w:rsid w:val="024E68F9"/>
    <w:rsid w:val="02F54FC6"/>
    <w:rsid w:val="033F6241"/>
    <w:rsid w:val="03A26EFC"/>
    <w:rsid w:val="03E70DB3"/>
    <w:rsid w:val="04E011FB"/>
    <w:rsid w:val="04EE6171"/>
    <w:rsid w:val="051C2CDE"/>
    <w:rsid w:val="052132CD"/>
    <w:rsid w:val="055204AE"/>
    <w:rsid w:val="057E5747"/>
    <w:rsid w:val="05900FD6"/>
    <w:rsid w:val="059E2F85"/>
    <w:rsid w:val="05AC22B4"/>
    <w:rsid w:val="05E27A84"/>
    <w:rsid w:val="061B2F96"/>
    <w:rsid w:val="062A4F87"/>
    <w:rsid w:val="06316315"/>
    <w:rsid w:val="06587D46"/>
    <w:rsid w:val="069B7C96"/>
    <w:rsid w:val="06D53145"/>
    <w:rsid w:val="06DA4BFF"/>
    <w:rsid w:val="072145DC"/>
    <w:rsid w:val="077E558A"/>
    <w:rsid w:val="07D72EEC"/>
    <w:rsid w:val="07E8334B"/>
    <w:rsid w:val="0808754A"/>
    <w:rsid w:val="080D690E"/>
    <w:rsid w:val="082425D6"/>
    <w:rsid w:val="08640C24"/>
    <w:rsid w:val="093323A4"/>
    <w:rsid w:val="099C43EE"/>
    <w:rsid w:val="09B305E8"/>
    <w:rsid w:val="0A2368BD"/>
    <w:rsid w:val="0A454A85"/>
    <w:rsid w:val="0A4800D1"/>
    <w:rsid w:val="0A8455AD"/>
    <w:rsid w:val="0A911A78"/>
    <w:rsid w:val="0AF50259"/>
    <w:rsid w:val="0BEB6F66"/>
    <w:rsid w:val="0C197F77"/>
    <w:rsid w:val="0C564D28"/>
    <w:rsid w:val="0C580AA0"/>
    <w:rsid w:val="0CC021A1"/>
    <w:rsid w:val="0CC638F0"/>
    <w:rsid w:val="0D10137A"/>
    <w:rsid w:val="0D2546FA"/>
    <w:rsid w:val="0D2B2DB0"/>
    <w:rsid w:val="0D593367"/>
    <w:rsid w:val="0DAE649D"/>
    <w:rsid w:val="0DB25F8E"/>
    <w:rsid w:val="0E342E47"/>
    <w:rsid w:val="0E4702C9"/>
    <w:rsid w:val="0E6F3E7F"/>
    <w:rsid w:val="0EAC6E81"/>
    <w:rsid w:val="0F31382A"/>
    <w:rsid w:val="0FC401FA"/>
    <w:rsid w:val="0FD146C5"/>
    <w:rsid w:val="0FFA00C0"/>
    <w:rsid w:val="101E67A1"/>
    <w:rsid w:val="10404244"/>
    <w:rsid w:val="10947BCD"/>
    <w:rsid w:val="10B97633"/>
    <w:rsid w:val="10EE19D3"/>
    <w:rsid w:val="110A4333"/>
    <w:rsid w:val="11140D0D"/>
    <w:rsid w:val="113A4C18"/>
    <w:rsid w:val="114535BD"/>
    <w:rsid w:val="11AB78C4"/>
    <w:rsid w:val="120E39AF"/>
    <w:rsid w:val="122E4051"/>
    <w:rsid w:val="12837EF9"/>
    <w:rsid w:val="12891287"/>
    <w:rsid w:val="129739A4"/>
    <w:rsid w:val="12A762DD"/>
    <w:rsid w:val="12AC38F3"/>
    <w:rsid w:val="12B75DF4"/>
    <w:rsid w:val="12D1335A"/>
    <w:rsid w:val="12D20E80"/>
    <w:rsid w:val="132711CC"/>
    <w:rsid w:val="13655850"/>
    <w:rsid w:val="13737F6D"/>
    <w:rsid w:val="138A3509"/>
    <w:rsid w:val="138E2FF9"/>
    <w:rsid w:val="13A66595"/>
    <w:rsid w:val="13D34EB0"/>
    <w:rsid w:val="13E96481"/>
    <w:rsid w:val="143F60A1"/>
    <w:rsid w:val="145F4995"/>
    <w:rsid w:val="14C52A4A"/>
    <w:rsid w:val="15015A4D"/>
    <w:rsid w:val="151632A6"/>
    <w:rsid w:val="15437E13"/>
    <w:rsid w:val="157D3325"/>
    <w:rsid w:val="158C2D9C"/>
    <w:rsid w:val="15A85EC8"/>
    <w:rsid w:val="15CE3B81"/>
    <w:rsid w:val="15F44823"/>
    <w:rsid w:val="161A5018"/>
    <w:rsid w:val="163A2FC4"/>
    <w:rsid w:val="165A5414"/>
    <w:rsid w:val="168626AD"/>
    <w:rsid w:val="169528F0"/>
    <w:rsid w:val="16D90A2F"/>
    <w:rsid w:val="177469AA"/>
    <w:rsid w:val="17A871CC"/>
    <w:rsid w:val="17AD77C6"/>
    <w:rsid w:val="180A4C18"/>
    <w:rsid w:val="18441ED8"/>
    <w:rsid w:val="18561C0B"/>
    <w:rsid w:val="188350F6"/>
    <w:rsid w:val="188B7B07"/>
    <w:rsid w:val="189746FE"/>
    <w:rsid w:val="18C56547"/>
    <w:rsid w:val="19481E9C"/>
    <w:rsid w:val="199155F1"/>
    <w:rsid w:val="19AA220F"/>
    <w:rsid w:val="19C332D1"/>
    <w:rsid w:val="1A310B82"/>
    <w:rsid w:val="1B097409"/>
    <w:rsid w:val="1B5E1503"/>
    <w:rsid w:val="1B610FF3"/>
    <w:rsid w:val="1BC577D4"/>
    <w:rsid w:val="1BDE0896"/>
    <w:rsid w:val="1C406E5A"/>
    <w:rsid w:val="1C534DE0"/>
    <w:rsid w:val="1C84143D"/>
    <w:rsid w:val="1D2E13A9"/>
    <w:rsid w:val="1D3764AF"/>
    <w:rsid w:val="1D5D316B"/>
    <w:rsid w:val="1D7C0366"/>
    <w:rsid w:val="1DE0470B"/>
    <w:rsid w:val="1DF148B0"/>
    <w:rsid w:val="1DF63C75"/>
    <w:rsid w:val="1EA57449"/>
    <w:rsid w:val="1F234F3D"/>
    <w:rsid w:val="1F382D02"/>
    <w:rsid w:val="1F4153C3"/>
    <w:rsid w:val="1F63358C"/>
    <w:rsid w:val="1F745799"/>
    <w:rsid w:val="1FED554B"/>
    <w:rsid w:val="201A79C2"/>
    <w:rsid w:val="20E74481"/>
    <w:rsid w:val="2130749E"/>
    <w:rsid w:val="220B1CB9"/>
    <w:rsid w:val="222C235B"/>
    <w:rsid w:val="22802012"/>
    <w:rsid w:val="22947F00"/>
    <w:rsid w:val="22DD430D"/>
    <w:rsid w:val="237A0EA4"/>
    <w:rsid w:val="23947E72"/>
    <w:rsid w:val="23ED1676"/>
    <w:rsid w:val="23FE1AD5"/>
    <w:rsid w:val="23FF75FB"/>
    <w:rsid w:val="243C084F"/>
    <w:rsid w:val="24A51F50"/>
    <w:rsid w:val="24D82326"/>
    <w:rsid w:val="25096983"/>
    <w:rsid w:val="25190E06"/>
    <w:rsid w:val="257007B0"/>
    <w:rsid w:val="258B55EA"/>
    <w:rsid w:val="259F4BF2"/>
    <w:rsid w:val="25EB42DB"/>
    <w:rsid w:val="25F34F3E"/>
    <w:rsid w:val="26061115"/>
    <w:rsid w:val="265942BD"/>
    <w:rsid w:val="266F6CBA"/>
    <w:rsid w:val="26F31699"/>
    <w:rsid w:val="26F61189"/>
    <w:rsid w:val="274912B9"/>
    <w:rsid w:val="27554102"/>
    <w:rsid w:val="2769195B"/>
    <w:rsid w:val="27912C60"/>
    <w:rsid w:val="27C60B5C"/>
    <w:rsid w:val="27E47234"/>
    <w:rsid w:val="280E42B1"/>
    <w:rsid w:val="28180C8B"/>
    <w:rsid w:val="285223EF"/>
    <w:rsid w:val="28681C13"/>
    <w:rsid w:val="287A1946"/>
    <w:rsid w:val="28884063"/>
    <w:rsid w:val="28D15A0A"/>
    <w:rsid w:val="28DA4193"/>
    <w:rsid w:val="28F65471"/>
    <w:rsid w:val="290443B8"/>
    <w:rsid w:val="295126A7"/>
    <w:rsid w:val="295959FF"/>
    <w:rsid w:val="29802F8C"/>
    <w:rsid w:val="29DA6B40"/>
    <w:rsid w:val="29E81A1F"/>
    <w:rsid w:val="29F3375E"/>
    <w:rsid w:val="29FF0355"/>
    <w:rsid w:val="2A7F3244"/>
    <w:rsid w:val="2A8D770F"/>
    <w:rsid w:val="2AAF5B95"/>
    <w:rsid w:val="2AB7478C"/>
    <w:rsid w:val="2ABB0720"/>
    <w:rsid w:val="2AC375D4"/>
    <w:rsid w:val="2B0100FD"/>
    <w:rsid w:val="2B6E5792"/>
    <w:rsid w:val="2C186231"/>
    <w:rsid w:val="2C31056E"/>
    <w:rsid w:val="2C412EA7"/>
    <w:rsid w:val="2C576226"/>
    <w:rsid w:val="2C8903AA"/>
    <w:rsid w:val="2C9E20A7"/>
    <w:rsid w:val="2CDC2BCF"/>
    <w:rsid w:val="2CDC672B"/>
    <w:rsid w:val="2CE55F57"/>
    <w:rsid w:val="2CE675AA"/>
    <w:rsid w:val="2D157E8F"/>
    <w:rsid w:val="2D6F57F1"/>
    <w:rsid w:val="2DF06932"/>
    <w:rsid w:val="2DF47AA5"/>
    <w:rsid w:val="2E1168A9"/>
    <w:rsid w:val="2E402CEA"/>
    <w:rsid w:val="2E6B5FB9"/>
    <w:rsid w:val="2E7B1F74"/>
    <w:rsid w:val="2FAD43AF"/>
    <w:rsid w:val="2FD44032"/>
    <w:rsid w:val="2FEA5603"/>
    <w:rsid w:val="2FFD70E5"/>
    <w:rsid w:val="30110DE2"/>
    <w:rsid w:val="30182170"/>
    <w:rsid w:val="3058256D"/>
    <w:rsid w:val="305D7B83"/>
    <w:rsid w:val="30F73B34"/>
    <w:rsid w:val="311B0E2A"/>
    <w:rsid w:val="313F372D"/>
    <w:rsid w:val="31CF2D03"/>
    <w:rsid w:val="32566F80"/>
    <w:rsid w:val="32B06690"/>
    <w:rsid w:val="32E20814"/>
    <w:rsid w:val="336E3E55"/>
    <w:rsid w:val="33753436"/>
    <w:rsid w:val="339E298D"/>
    <w:rsid w:val="33F64577"/>
    <w:rsid w:val="34143BD3"/>
    <w:rsid w:val="34D0301A"/>
    <w:rsid w:val="34EA39B0"/>
    <w:rsid w:val="34F30AB6"/>
    <w:rsid w:val="35134CB4"/>
    <w:rsid w:val="35777939"/>
    <w:rsid w:val="3583177B"/>
    <w:rsid w:val="35AD5109"/>
    <w:rsid w:val="35C10BB4"/>
    <w:rsid w:val="35C6441D"/>
    <w:rsid w:val="35E1465A"/>
    <w:rsid w:val="35EF74CF"/>
    <w:rsid w:val="3619279E"/>
    <w:rsid w:val="362058DB"/>
    <w:rsid w:val="36914A2B"/>
    <w:rsid w:val="37023232"/>
    <w:rsid w:val="37024FE0"/>
    <w:rsid w:val="373A7660"/>
    <w:rsid w:val="376B75FE"/>
    <w:rsid w:val="37734130"/>
    <w:rsid w:val="37836223"/>
    <w:rsid w:val="37B07132"/>
    <w:rsid w:val="3819684E"/>
    <w:rsid w:val="3848736B"/>
    <w:rsid w:val="386C12AB"/>
    <w:rsid w:val="38710670"/>
    <w:rsid w:val="3911775D"/>
    <w:rsid w:val="3914724D"/>
    <w:rsid w:val="39981C2C"/>
    <w:rsid w:val="39BC591B"/>
    <w:rsid w:val="39BE1423"/>
    <w:rsid w:val="3A1B6623"/>
    <w:rsid w:val="3A6A7A6C"/>
    <w:rsid w:val="3A8521B0"/>
    <w:rsid w:val="3A960861"/>
    <w:rsid w:val="3AA06FEA"/>
    <w:rsid w:val="3AB95243"/>
    <w:rsid w:val="3AC86541"/>
    <w:rsid w:val="3ACC7DDF"/>
    <w:rsid w:val="3B0A0908"/>
    <w:rsid w:val="3B7346FF"/>
    <w:rsid w:val="3B8E32E7"/>
    <w:rsid w:val="3BBA40DC"/>
    <w:rsid w:val="3C5E0F0B"/>
    <w:rsid w:val="3CC05722"/>
    <w:rsid w:val="3D053A7C"/>
    <w:rsid w:val="3D714C6E"/>
    <w:rsid w:val="3DAC5CA6"/>
    <w:rsid w:val="3DBD4357"/>
    <w:rsid w:val="3E1675C3"/>
    <w:rsid w:val="3EB43064"/>
    <w:rsid w:val="3F2D1069"/>
    <w:rsid w:val="3F422D66"/>
    <w:rsid w:val="3F450160"/>
    <w:rsid w:val="3F52089A"/>
    <w:rsid w:val="3F656A54"/>
    <w:rsid w:val="3F6F342F"/>
    <w:rsid w:val="3F852C53"/>
    <w:rsid w:val="3F854A01"/>
    <w:rsid w:val="3FCF2120"/>
    <w:rsid w:val="3FDF2363"/>
    <w:rsid w:val="405A40DF"/>
    <w:rsid w:val="40EF45C3"/>
    <w:rsid w:val="40F9018D"/>
    <w:rsid w:val="41B55CDB"/>
    <w:rsid w:val="422C1AAB"/>
    <w:rsid w:val="42383FAC"/>
    <w:rsid w:val="4242307D"/>
    <w:rsid w:val="433230F1"/>
    <w:rsid w:val="435C3CCA"/>
    <w:rsid w:val="43A15B81"/>
    <w:rsid w:val="4440539A"/>
    <w:rsid w:val="445D5F4C"/>
    <w:rsid w:val="44F543D6"/>
    <w:rsid w:val="45A57BAB"/>
    <w:rsid w:val="45D1274E"/>
    <w:rsid w:val="46625A9C"/>
    <w:rsid w:val="4678706D"/>
    <w:rsid w:val="4698770F"/>
    <w:rsid w:val="46CB3641"/>
    <w:rsid w:val="46CC73B9"/>
    <w:rsid w:val="46DD5122"/>
    <w:rsid w:val="46FC7C9E"/>
    <w:rsid w:val="476B6BD2"/>
    <w:rsid w:val="47C14A44"/>
    <w:rsid w:val="47D26C51"/>
    <w:rsid w:val="47E56984"/>
    <w:rsid w:val="486F44A0"/>
    <w:rsid w:val="48822425"/>
    <w:rsid w:val="48965ED0"/>
    <w:rsid w:val="48CE11C6"/>
    <w:rsid w:val="48F52BF7"/>
    <w:rsid w:val="49816239"/>
    <w:rsid w:val="499248EA"/>
    <w:rsid w:val="49CB1BAA"/>
    <w:rsid w:val="49F16172"/>
    <w:rsid w:val="49F64E79"/>
    <w:rsid w:val="49FA168E"/>
    <w:rsid w:val="4AD056CA"/>
    <w:rsid w:val="4B045373"/>
    <w:rsid w:val="4B5005B9"/>
    <w:rsid w:val="4B8B15F1"/>
    <w:rsid w:val="4C4A3198"/>
    <w:rsid w:val="4C891FD4"/>
    <w:rsid w:val="4C9B5863"/>
    <w:rsid w:val="4CCF375F"/>
    <w:rsid w:val="4CD86AB8"/>
    <w:rsid w:val="4CE94821"/>
    <w:rsid w:val="4D044D9B"/>
    <w:rsid w:val="4DD03C33"/>
    <w:rsid w:val="4DDA060D"/>
    <w:rsid w:val="4DDD3C5A"/>
    <w:rsid w:val="4DE66FB2"/>
    <w:rsid w:val="4E2D698F"/>
    <w:rsid w:val="4E546612"/>
    <w:rsid w:val="4E9D3F9D"/>
    <w:rsid w:val="4E9E163B"/>
    <w:rsid w:val="4EAF55F6"/>
    <w:rsid w:val="4EB3158A"/>
    <w:rsid w:val="4EC310A1"/>
    <w:rsid w:val="4F391364"/>
    <w:rsid w:val="4F5904BD"/>
    <w:rsid w:val="4F6B3C13"/>
    <w:rsid w:val="4FE90FDC"/>
    <w:rsid w:val="4FEA3DDF"/>
    <w:rsid w:val="4FF824C4"/>
    <w:rsid w:val="502B33A2"/>
    <w:rsid w:val="50706D7F"/>
    <w:rsid w:val="507B7E86"/>
    <w:rsid w:val="50D2381E"/>
    <w:rsid w:val="50FE0AB7"/>
    <w:rsid w:val="516A1CA8"/>
    <w:rsid w:val="51990092"/>
    <w:rsid w:val="51EB2DE9"/>
    <w:rsid w:val="52374280"/>
    <w:rsid w:val="526112FD"/>
    <w:rsid w:val="52754DA9"/>
    <w:rsid w:val="52A64F62"/>
    <w:rsid w:val="52AF02BB"/>
    <w:rsid w:val="532A5B93"/>
    <w:rsid w:val="534A7FE3"/>
    <w:rsid w:val="54422A68"/>
    <w:rsid w:val="5455279C"/>
    <w:rsid w:val="54AE468E"/>
    <w:rsid w:val="54D1276A"/>
    <w:rsid w:val="551E7032"/>
    <w:rsid w:val="552F56E3"/>
    <w:rsid w:val="552F5FAC"/>
    <w:rsid w:val="558C043F"/>
    <w:rsid w:val="562B40FC"/>
    <w:rsid w:val="564E7DEA"/>
    <w:rsid w:val="56A91E5A"/>
    <w:rsid w:val="57833AC4"/>
    <w:rsid w:val="578735B4"/>
    <w:rsid w:val="5797131D"/>
    <w:rsid w:val="57F95B34"/>
    <w:rsid w:val="5809221B"/>
    <w:rsid w:val="589F0489"/>
    <w:rsid w:val="58D345D7"/>
    <w:rsid w:val="58DE7204"/>
    <w:rsid w:val="58E6255C"/>
    <w:rsid w:val="58F45AF8"/>
    <w:rsid w:val="58FC1D80"/>
    <w:rsid w:val="591F15CA"/>
    <w:rsid w:val="59594ADC"/>
    <w:rsid w:val="59AC7302"/>
    <w:rsid w:val="59E20F76"/>
    <w:rsid w:val="5A8D7133"/>
    <w:rsid w:val="5AD22D98"/>
    <w:rsid w:val="5B33135D"/>
    <w:rsid w:val="5B6836FC"/>
    <w:rsid w:val="5B751975"/>
    <w:rsid w:val="5BCA1CC1"/>
    <w:rsid w:val="5BE2700B"/>
    <w:rsid w:val="5C1318BA"/>
    <w:rsid w:val="5C1A0D10"/>
    <w:rsid w:val="5C1B251D"/>
    <w:rsid w:val="5C5E240A"/>
    <w:rsid w:val="5C9D2F32"/>
    <w:rsid w:val="5D5F28DD"/>
    <w:rsid w:val="5D752101"/>
    <w:rsid w:val="5D7C6FEB"/>
    <w:rsid w:val="5DB9023F"/>
    <w:rsid w:val="5DD5494D"/>
    <w:rsid w:val="5E113E29"/>
    <w:rsid w:val="5E791D45"/>
    <w:rsid w:val="5F08322C"/>
    <w:rsid w:val="5F2D2C93"/>
    <w:rsid w:val="5F5875E4"/>
    <w:rsid w:val="5F8F3B0D"/>
    <w:rsid w:val="5FA840C8"/>
    <w:rsid w:val="604858AA"/>
    <w:rsid w:val="60A056E7"/>
    <w:rsid w:val="60A9384E"/>
    <w:rsid w:val="60D3786A"/>
    <w:rsid w:val="60E03D35"/>
    <w:rsid w:val="60FD6695"/>
    <w:rsid w:val="610712C2"/>
    <w:rsid w:val="612400C6"/>
    <w:rsid w:val="61357BDD"/>
    <w:rsid w:val="614D13CA"/>
    <w:rsid w:val="61CF0031"/>
    <w:rsid w:val="61D94FD1"/>
    <w:rsid w:val="62682234"/>
    <w:rsid w:val="62BF00A6"/>
    <w:rsid w:val="62FD0BCE"/>
    <w:rsid w:val="634405AB"/>
    <w:rsid w:val="63495BC1"/>
    <w:rsid w:val="635A1B7D"/>
    <w:rsid w:val="637075F2"/>
    <w:rsid w:val="63C17E4E"/>
    <w:rsid w:val="64061D04"/>
    <w:rsid w:val="648124F1"/>
    <w:rsid w:val="6498782D"/>
    <w:rsid w:val="64AD3F2E"/>
    <w:rsid w:val="64DD0CB7"/>
    <w:rsid w:val="657B5DDA"/>
    <w:rsid w:val="65C6799D"/>
    <w:rsid w:val="65C92FEA"/>
    <w:rsid w:val="65FC1204"/>
    <w:rsid w:val="65FC6F1B"/>
    <w:rsid w:val="66BD78CB"/>
    <w:rsid w:val="671E1113"/>
    <w:rsid w:val="67236729"/>
    <w:rsid w:val="679338AF"/>
    <w:rsid w:val="67D22629"/>
    <w:rsid w:val="67D31EFE"/>
    <w:rsid w:val="6853303E"/>
    <w:rsid w:val="68BE670A"/>
    <w:rsid w:val="68D75A1D"/>
    <w:rsid w:val="699658D9"/>
    <w:rsid w:val="69AF0748"/>
    <w:rsid w:val="69F745C9"/>
    <w:rsid w:val="6A415844"/>
    <w:rsid w:val="6A445335"/>
    <w:rsid w:val="6A8F4802"/>
    <w:rsid w:val="6AF91C7B"/>
    <w:rsid w:val="6B317667"/>
    <w:rsid w:val="6C225202"/>
    <w:rsid w:val="6C327B3B"/>
    <w:rsid w:val="6C4B29AA"/>
    <w:rsid w:val="6CA600AB"/>
    <w:rsid w:val="6CBA368C"/>
    <w:rsid w:val="6CF9436E"/>
    <w:rsid w:val="6D392803"/>
    <w:rsid w:val="6D6D4BA2"/>
    <w:rsid w:val="6D9263B7"/>
    <w:rsid w:val="6DA71E62"/>
    <w:rsid w:val="6DF17581"/>
    <w:rsid w:val="6E0E0133"/>
    <w:rsid w:val="6E5A5127"/>
    <w:rsid w:val="6E8977BA"/>
    <w:rsid w:val="6E9817AB"/>
    <w:rsid w:val="6F1C23DC"/>
    <w:rsid w:val="6F20011E"/>
    <w:rsid w:val="6F4B0F13"/>
    <w:rsid w:val="6F8A1A3C"/>
    <w:rsid w:val="6FA10EE2"/>
    <w:rsid w:val="6FDE3B35"/>
    <w:rsid w:val="6FF2313D"/>
    <w:rsid w:val="70205EFC"/>
    <w:rsid w:val="706202C3"/>
    <w:rsid w:val="707F2C23"/>
    <w:rsid w:val="70FF5B11"/>
    <w:rsid w:val="716A5681"/>
    <w:rsid w:val="71A87F57"/>
    <w:rsid w:val="71C31235"/>
    <w:rsid w:val="720F6228"/>
    <w:rsid w:val="721D6B97"/>
    <w:rsid w:val="72565C05"/>
    <w:rsid w:val="729B5D0E"/>
    <w:rsid w:val="72D059B7"/>
    <w:rsid w:val="730B2E93"/>
    <w:rsid w:val="73685BF0"/>
    <w:rsid w:val="73DB2866"/>
    <w:rsid w:val="74051691"/>
    <w:rsid w:val="74085625"/>
    <w:rsid w:val="740C72C2"/>
    <w:rsid w:val="7463285B"/>
    <w:rsid w:val="74A964C0"/>
    <w:rsid w:val="74E4399C"/>
    <w:rsid w:val="74EB6AD9"/>
    <w:rsid w:val="752B5127"/>
    <w:rsid w:val="75D05CCE"/>
    <w:rsid w:val="75D457BF"/>
    <w:rsid w:val="764165DE"/>
    <w:rsid w:val="764566BC"/>
    <w:rsid w:val="76524935"/>
    <w:rsid w:val="76797FEA"/>
    <w:rsid w:val="768E0063"/>
    <w:rsid w:val="76B31878"/>
    <w:rsid w:val="76DE0940"/>
    <w:rsid w:val="76FF2D0F"/>
    <w:rsid w:val="77147E3D"/>
    <w:rsid w:val="772207AC"/>
    <w:rsid w:val="77A64F39"/>
    <w:rsid w:val="77E45A61"/>
    <w:rsid w:val="78591FAB"/>
    <w:rsid w:val="78866B18"/>
    <w:rsid w:val="789D27E0"/>
    <w:rsid w:val="795F5CE7"/>
    <w:rsid w:val="797F5A41"/>
    <w:rsid w:val="79D55FA9"/>
    <w:rsid w:val="79D879DC"/>
    <w:rsid w:val="79F857F4"/>
    <w:rsid w:val="7A1C14E2"/>
    <w:rsid w:val="7A74131E"/>
    <w:rsid w:val="7B0D52CF"/>
    <w:rsid w:val="7B1B3E90"/>
    <w:rsid w:val="7B2014A6"/>
    <w:rsid w:val="7B4927AB"/>
    <w:rsid w:val="7B6770D5"/>
    <w:rsid w:val="7C120DEF"/>
    <w:rsid w:val="7C413482"/>
    <w:rsid w:val="7C4F3DF1"/>
    <w:rsid w:val="7C7E46D6"/>
    <w:rsid w:val="7D364FB1"/>
    <w:rsid w:val="7D7B29C4"/>
    <w:rsid w:val="7DDD367E"/>
    <w:rsid w:val="7DE62533"/>
    <w:rsid w:val="7E7C2E97"/>
    <w:rsid w:val="7EA06B86"/>
    <w:rsid w:val="7EB42631"/>
    <w:rsid w:val="7EC16AFC"/>
    <w:rsid w:val="7EE03426"/>
    <w:rsid w:val="7F08297D"/>
    <w:rsid w:val="7F4B6D8D"/>
    <w:rsid w:val="7FAA7590"/>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Layout w:type="fixed"/>
      <w:tblCellMar>
        <w:top w:w="0" w:type="dxa"/>
        <w:left w:w="0" w:type="dxa"/>
        <w:bottom w:w="0" w:type="dxa"/>
        <w:right w:w="0" w:type="dxa"/>
      </w:tblCellMar>
    </w:tblPr>
  </w:style>
  <w:style w:type="paragraph" w:customStyle="1" w:styleId="9">
    <w:name w:val="Footer"/>
    <w:basedOn w:val="1"/>
    <w:link w:val="14"/>
    <w:qFormat/>
    <w:uiPriority w:val="0"/>
    <w:pPr>
      <w:tabs>
        <w:tab w:val="center" w:pos="4153"/>
        <w:tab w:val="right" w:pos="8306"/>
      </w:tabs>
      <w:snapToGrid w:val="0"/>
      <w:jc w:val="left"/>
    </w:pPr>
    <w:rPr>
      <w:sz w:val="18"/>
    </w:rPr>
  </w:style>
  <w:style w:type="paragraph" w:customStyle="1" w:styleId="10">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UserStyle_0"/>
    <w:basedOn w:val="7"/>
    <w:link w:val="10"/>
    <w:qFormat/>
    <w:uiPriority w:val="0"/>
    <w:rPr>
      <w:kern w:val="2"/>
      <w:sz w:val="18"/>
      <w:szCs w:val="18"/>
    </w:rPr>
  </w:style>
  <w:style w:type="paragraph" w:customStyle="1" w:styleId="12">
    <w:name w:val="UserStyle_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3">
    <w:name w:val="HtmlNormal"/>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14">
    <w:name w:val="UserStyle_2"/>
    <w:basedOn w:val="7"/>
    <w:link w:val="9"/>
    <w:qFormat/>
    <w:uiPriority w:val="0"/>
    <w:rPr>
      <w:kern w:val="2"/>
      <w:sz w:val="18"/>
      <w:szCs w:val="32"/>
    </w:rPr>
  </w:style>
  <w:style w:type="character" w:customStyle="1" w:styleId="15">
    <w:name w:val="页眉 Char"/>
    <w:basedOn w:val="6"/>
    <w:link w:val="4"/>
    <w:semiHidden/>
    <w:qFormat/>
    <w:uiPriority w:val="99"/>
    <w:rPr>
      <w:kern w:val="2"/>
      <w:sz w:val="18"/>
      <w:szCs w:val="18"/>
    </w:rPr>
  </w:style>
  <w:style w:type="character" w:customStyle="1" w:styleId="16">
    <w:name w:val="页脚 Char"/>
    <w:basedOn w:val="6"/>
    <w:link w:val="3"/>
    <w:qFormat/>
    <w:uiPriority w:val="99"/>
    <w:rPr>
      <w:kern w:val="2"/>
      <w:sz w:val="18"/>
      <w:szCs w:val="18"/>
    </w:rPr>
  </w:style>
  <w:style w:type="character" w:customStyle="1" w:styleId="17">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8FD1E-52C4-4D58-BA8B-FAC62AFC64B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4641</Words>
  <Characters>5021</Characters>
  <Lines>36</Lines>
  <Paragraphs>10</Paragraphs>
  <TotalTime>0</TotalTime>
  <ScaleCrop>false</ScaleCrop>
  <LinksUpToDate>false</LinksUpToDate>
  <CharactersWithSpaces>5085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2021-12-20T03:15:00Z</dcterms:created>
  <dc:creator>Administrator</dc:creator>
  <cp:lastModifiedBy>幸福像花儿一样1419000325</cp:lastModifiedBy>
  <cp:lastPrinted>2023-01-31T01:50:00Z</cp:lastPrinted>
  <dcterms:modified xsi:type="dcterms:W3CDTF">2025-01-16T08:42:47Z</dcterms:modified>
  <cp:revision>4837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17727F8915464A7BB28355C7FB181D1A</vt:lpwstr>
  </property>
</Properties>
</file>