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6"/>
          <w:rFonts w:eastAsia="方正小标宋_GBK"/>
          <w:color w:val="000000"/>
          <w:kern w:val="0"/>
          <w:sz w:val="44"/>
          <w:szCs w:val="44"/>
        </w:rPr>
      </w:pPr>
      <w:r>
        <w:rPr>
          <w:rStyle w:val="6"/>
          <w:rFonts w:eastAsia="方正小标宋_GBK"/>
          <w:color w:val="000000"/>
          <w:kern w:val="0"/>
          <w:sz w:val="44"/>
          <w:szCs w:val="44"/>
        </w:rPr>
        <w:t>北屏乡</w:t>
      </w:r>
      <w:r>
        <w:rPr>
          <w:rStyle w:val="6"/>
          <w:rFonts w:hint="eastAsia" w:eastAsia="方正小标宋_GBK"/>
          <w:color w:val="000000"/>
          <w:kern w:val="0"/>
          <w:sz w:val="44"/>
          <w:szCs w:val="44"/>
          <w:lang w:eastAsia="zh-CN"/>
        </w:rPr>
        <w:t>人民政府</w:t>
      </w:r>
      <w:r>
        <w:rPr>
          <w:rStyle w:val="6"/>
          <w:rFonts w:eastAsia="方正小标宋_GBK"/>
          <w:color w:val="000000"/>
          <w:kern w:val="0"/>
          <w:sz w:val="44"/>
          <w:szCs w:val="44"/>
        </w:rPr>
        <w:t>2021年财政预算执行情况</w:t>
      </w:r>
      <w:r>
        <w:rPr>
          <w:rStyle w:val="6"/>
          <w:rFonts w:hint="eastAsia" w:eastAsia="方正小标宋_GBK"/>
          <w:color w:val="000000"/>
          <w:kern w:val="0"/>
          <w:sz w:val="44"/>
          <w:szCs w:val="44"/>
        </w:rPr>
        <w:t>和</w:t>
      </w:r>
      <w:r>
        <w:rPr>
          <w:rStyle w:val="6"/>
          <w:rFonts w:eastAsia="方正小标宋_GBK"/>
          <w:color w:val="000000"/>
          <w:kern w:val="0"/>
          <w:sz w:val="44"/>
          <w:szCs w:val="44"/>
        </w:rPr>
        <w:t>2022年财政预算草案的报告</w:t>
      </w:r>
    </w:p>
    <w:p>
      <w:pPr>
        <w:spacing w:line="560" w:lineRule="exact"/>
        <w:jc w:val="center"/>
        <w:rPr>
          <w:rStyle w:val="6"/>
          <w:rFonts w:ascii="方正楷体_GBK" w:eastAsia="方正楷体_GBK"/>
          <w:color w:val="000000"/>
          <w:kern w:val="0"/>
        </w:rPr>
      </w:pPr>
      <w:r>
        <w:rPr>
          <w:rStyle w:val="6"/>
          <w:rFonts w:hint="eastAsia" w:ascii="方正楷体_GBK" w:eastAsia="方正楷体_GBK"/>
          <w:color w:val="000000"/>
          <w:kern w:val="0"/>
        </w:rPr>
        <w:t>（在北屏乡第十九届人民代表大会第一次会议上）</w:t>
      </w:r>
    </w:p>
    <w:p>
      <w:pPr>
        <w:spacing w:line="560" w:lineRule="exact"/>
        <w:jc w:val="center"/>
        <w:rPr>
          <w:rStyle w:val="6"/>
          <w:rFonts w:ascii="方正楷体_GBK" w:eastAsia="方正楷体_GBK"/>
          <w:color w:val="000000"/>
          <w:kern w:val="0"/>
        </w:rPr>
      </w:pPr>
      <w:r>
        <w:rPr>
          <w:rStyle w:val="6"/>
          <w:rFonts w:hint="eastAsia" w:ascii="方正楷体_GBK" w:eastAsia="方正楷体_GBK"/>
          <w:color w:val="000000"/>
          <w:kern w:val="0"/>
        </w:rPr>
        <w:t>（2021年12月22日）</w:t>
      </w:r>
    </w:p>
    <w:p>
      <w:pPr>
        <w:spacing w:line="560" w:lineRule="exact"/>
        <w:jc w:val="center"/>
        <w:rPr>
          <w:rStyle w:val="6"/>
          <w:rFonts w:ascii="方正楷体_GBK" w:eastAsia="方正楷体_GBK"/>
          <w:color w:val="000000"/>
          <w:kern w:val="0"/>
        </w:rPr>
      </w:pPr>
    </w:p>
    <w:p>
      <w:pPr>
        <w:spacing w:line="540" w:lineRule="exact"/>
        <w:rPr>
          <w:rStyle w:val="6"/>
        </w:rPr>
      </w:pPr>
      <w:r>
        <w:rPr>
          <w:rStyle w:val="6"/>
        </w:rPr>
        <w:t>各位代表：</w:t>
      </w:r>
    </w:p>
    <w:p>
      <w:pPr>
        <w:spacing w:line="540" w:lineRule="exact"/>
        <w:ind w:firstLine="640" w:firstLineChars="200"/>
        <w:rPr>
          <w:rStyle w:val="6"/>
        </w:rPr>
      </w:pPr>
      <w:r>
        <w:rPr>
          <w:rStyle w:val="6"/>
        </w:rPr>
        <w:t>我受北屏乡人民政府委托，现向大会作《</w:t>
      </w:r>
      <w:r>
        <w:rPr>
          <w:rStyle w:val="6"/>
          <w:rFonts w:hint="eastAsia"/>
        </w:rPr>
        <w:t>北屏乡</w:t>
      </w:r>
      <w:r>
        <w:rPr>
          <w:rStyle w:val="6"/>
        </w:rPr>
        <w:t>2021年财政预算执行情况和2022年财政预算草案的报告》，请予审议，</w:t>
      </w:r>
      <w:r>
        <w:rPr>
          <w:rStyle w:val="6"/>
          <w:color w:val="333333"/>
        </w:rPr>
        <w:t>并请各位代表及列席人员提出意见或建议</w:t>
      </w:r>
      <w:r>
        <w:rPr>
          <w:rStyle w:val="6"/>
        </w:rPr>
        <w:t>。</w:t>
      </w:r>
    </w:p>
    <w:p>
      <w:pPr>
        <w:spacing w:line="540" w:lineRule="exact"/>
        <w:ind w:firstLine="640" w:firstLineChars="200"/>
        <w:rPr>
          <w:rStyle w:val="6"/>
          <w:rFonts w:eastAsia="方正黑体_GBK"/>
        </w:rPr>
      </w:pPr>
      <w:r>
        <w:rPr>
          <w:rStyle w:val="6"/>
          <w:rFonts w:eastAsia="方正黑体_GBK"/>
        </w:rPr>
        <w:t>一、2021年财政预算执行情况</w:t>
      </w:r>
    </w:p>
    <w:p>
      <w:pPr>
        <w:spacing w:line="540" w:lineRule="exact"/>
        <w:ind w:firstLine="640" w:firstLineChars="200"/>
        <w:rPr>
          <w:rStyle w:val="6"/>
        </w:rPr>
      </w:pPr>
      <w:r>
        <w:rPr>
          <w:rStyle w:val="6"/>
          <w:rFonts w:hint="eastAsia"/>
        </w:rPr>
        <w:t>2021年</w:t>
      </w:r>
      <w:r>
        <w:rPr>
          <w:rStyle w:val="6"/>
        </w:rPr>
        <w:t>，我们以习近平新时代中国特色社会主义思想为指导，全面贯彻落实党的十九大和十九届二中、三中、四中、五中、六中全会精神，在乡党委、政府的坚强领导下，在县财政局的正确指导下，在乡人大的监督支持下，始终坚持稳中求进的工作总基调，积极应对复杂严峻的经济形势，主动适应发展新常态，持续深化财税体制改革，充分发挥财政职能，优化财政支出结构，切实保障和改善民生，全力抓好“六稳”“六保”工作。各项财政工作有力有序推进，保障了全乡经济和社会各项事业健康快速发展。</w:t>
      </w:r>
    </w:p>
    <w:p>
      <w:pPr>
        <w:spacing w:line="540" w:lineRule="exact"/>
        <w:ind w:firstLine="640" w:firstLineChars="200"/>
        <w:rPr>
          <w:rStyle w:val="6"/>
          <w:rFonts w:ascii="方正楷体_GBK" w:eastAsia="方正楷体_GBK"/>
        </w:rPr>
      </w:pPr>
      <w:r>
        <w:rPr>
          <w:rStyle w:val="6"/>
          <w:rFonts w:ascii="方正楷体_GBK" w:eastAsia="方正楷体_GBK"/>
        </w:rPr>
        <w:t>（一）2021年财政收入情况</w:t>
      </w:r>
    </w:p>
    <w:p>
      <w:pPr>
        <w:spacing w:line="540" w:lineRule="exact"/>
        <w:ind w:firstLine="640" w:firstLineChars="200"/>
        <w:rPr>
          <w:rStyle w:val="6"/>
        </w:rPr>
      </w:pPr>
      <w:r>
        <w:rPr>
          <w:rStyle w:val="6"/>
        </w:rPr>
        <w:t>2021年县上下达我乡税收任务40万元，实际完成税收40万元，完成年度任务的100%。非税收入任务7.3万元（其中城市建设配套费0.5万元，垃圾处置费6.8万元），实际完成7.3万元，完成年度任务数的100%。</w:t>
      </w:r>
    </w:p>
    <w:p>
      <w:pPr>
        <w:spacing w:line="540" w:lineRule="exact"/>
        <w:ind w:firstLine="640" w:firstLineChars="200"/>
        <w:rPr>
          <w:rStyle w:val="6"/>
        </w:rPr>
      </w:pPr>
      <w:r>
        <w:rPr>
          <w:rStyle w:val="6"/>
        </w:rPr>
        <w:t>2021年本级财政可支配财力1431.78万元，其中体制补助收入657.62万元，上年结转结余32.36万元，调整及专项追加741.80万元。</w:t>
      </w:r>
    </w:p>
    <w:p>
      <w:pPr>
        <w:spacing w:line="540" w:lineRule="exact"/>
        <w:ind w:firstLine="640" w:firstLineChars="200"/>
        <w:rPr>
          <w:rStyle w:val="6"/>
          <w:rFonts w:ascii="方正楷体_GBK" w:eastAsia="方正楷体_GBK"/>
        </w:rPr>
      </w:pPr>
      <w:r>
        <w:rPr>
          <w:rStyle w:val="6"/>
          <w:rFonts w:hint="eastAsia" w:ascii="方正楷体_GBK" w:eastAsia="方正楷体_GBK"/>
        </w:rPr>
        <w:t>（二）2021年财政支出情况</w:t>
      </w:r>
    </w:p>
    <w:p>
      <w:pPr>
        <w:spacing w:line="540" w:lineRule="exact"/>
        <w:ind w:firstLine="640" w:firstLineChars="200"/>
        <w:rPr>
          <w:rStyle w:val="6"/>
        </w:rPr>
      </w:pPr>
      <w:r>
        <w:rPr>
          <w:rStyle w:val="6"/>
        </w:rPr>
        <w:t>2021年本级财政可支配财力1431.78万元，比年初预算657.62万元增加774.16万元，增长117.72%，截</w:t>
      </w:r>
      <w:r>
        <w:rPr>
          <w:rStyle w:val="6"/>
          <w:rFonts w:hint="eastAsia"/>
          <w:lang w:eastAsia="zh-CN"/>
        </w:rPr>
        <w:t>至</w:t>
      </w:r>
      <w:r>
        <w:rPr>
          <w:rStyle w:val="6"/>
        </w:rPr>
        <w:t>目前实际支出1431.78万元。</w:t>
      </w:r>
    </w:p>
    <w:p>
      <w:pPr>
        <w:spacing w:line="540" w:lineRule="exact"/>
        <w:ind w:firstLine="640" w:firstLineChars="200"/>
        <w:rPr>
          <w:rStyle w:val="6"/>
        </w:rPr>
      </w:pPr>
      <w:r>
        <w:rPr>
          <w:rStyle w:val="6"/>
        </w:rPr>
        <w:t>具体支出分类如下：</w:t>
      </w:r>
    </w:p>
    <w:p>
      <w:pPr>
        <w:spacing w:line="540" w:lineRule="exact"/>
        <w:ind w:firstLine="643" w:firstLineChars="200"/>
        <w:rPr>
          <w:rStyle w:val="6"/>
          <w:b/>
          <w:bCs/>
        </w:rPr>
      </w:pPr>
      <w:r>
        <w:rPr>
          <w:rStyle w:val="6"/>
          <w:b/>
          <w:bCs/>
        </w:rPr>
        <w:t>1. 基本支出790.34万元</w:t>
      </w:r>
      <w:bookmarkStart w:id="0" w:name="_GoBack"/>
      <w:bookmarkEnd w:id="0"/>
    </w:p>
    <w:p>
      <w:pPr>
        <w:spacing w:line="540" w:lineRule="exact"/>
        <w:ind w:firstLine="643" w:firstLineChars="200"/>
        <w:rPr>
          <w:rStyle w:val="6"/>
        </w:rPr>
      </w:pPr>
      <w:r>
        <w:rPr>
          <w:rStyle w:val="6"/>
          <w:b/>
          <w:bCs/>
        </w:rPr>
        <w:t>一是</w:t>
      </w:r>
      <w:r>
        <w:rPr>
          <w:rStyle w:val="6"/>
        </w:rPr>
        <w:t>一般公共服务支出397.56万元。主要用于保障机关财政供养人员的工资福利待遇、基本运转、离退休人员的健康修养费和遗属生活补助等。</w:t>
      </w:r>
      <w:r>
        <w:rPr>
          <w:rStyle w:val="6"/>
          <w:b/>
          <w:bCs/>
        </w:rPr>
        <w:t>二是</w:t>
      </w:r>
      <w:r>
        <w:rPr>
          <w:rStyle w:val="6"/>
        </w:rPr>
        <w:t>国防支出3万元。主要用于武装工作经费。</w:t>
      </w:r>
      <w:r>
        <w:rPr>
          <w:rStyle w:val="6"/>
          <w:b/>
          <w:bCs/>
        </w:rPr>
        <w:t>三是</w:t>
      </w:r>
      <w:r>
        <w:rPr>
          <w:rStyle w:val="6"/>
        </w:rPr>
        <w:t>文化旅游体育与传媒支出16.09万元。主要用于保障文化体育与传媒事业单位人员工资待遇支出。</w:t>
      </w:r>
      <w:r>
        <w:rPr>
          <w:rStyle w:val="6"/>
          <w:b/>
          <w:bCs/>
        </w:rPr>
        <w:t>四是</w:t>
      </w:r>
      <w:r>
        <w:rPr>
          <w:rStyle w:val="6"/>
        </w:rPr>
        <w:t>社会保障和就业支出124.49万元。主要用于社保、就业、民政、残联等事业单位人员工资待遇和正常运转支出87.11元；离退休人员的福利待遇等支出37.38万元。</w:t>
      </w:r>
      <w:r>
        <w:rPr>
          <w:rStyle w:val="6"/>
          <w:b/>
          <w:bCs/>
        </w:rPr>
        <w:t>五是</w:t>
      </w:r>
      <w:r>
        <w:rPr>
          <w:rStyle w:val="6"/>
        </w:rPr>
        <w:t>卫生健康支出25.92万元。主要用于保障全乡财政供养人员的医疗保险、工伤保险等社会保障缴费支出。</w:t>
      </w:r>
      <w:r>
        <w:rPr>
          <w:rStyle w:val="6"/>
          <w:b/>
        </w:rPr>
        <w:t>六</w:t>
      </w:r>
      <w:r>
        <w:rPr>
          <w:rStyle w:val="6"/>
          <w:b/>
          <w:bCs/>
        </w:rPr>
        <w:t>是</w:t>
      </w:r>
      <w:r>
        <w:rPr>
          <w:rStyle w:val="6"/>
        </w:rPr>
        <w:t>城乡社区支出30万元。主要用于城乡社区道路清扫、垃圾清运与处理以及场镇路灯维护、园林绿化等市政方面的支出。</w:t>
      </w:r>
      <w:r>
        <w:rPr>
          <w:rStyle w:val="6"/>
          <w:b/>
          <w:bCs/>
        </w:rPr>
        <w:t>七是</w:t>
      </w:r>
      <w:r>
        <w:rPr>
          <w:rStyle w:val="6"/>
        </w:rPr>
        <w:t>农林水支出163.09万元。主要用于保障农业、林业等事业单位人员、三支一扶人员工资待遇和驻村驻乡工作经费。</w:t>
      </w:r>
      <w:r>
        <w:rPr>
          <w:rStyle w:val="6"/>
          <w:b/>
        </w:rPr>
        <w:t>八</w:t>
      </w:r>
      <w:r>
        <w:rPr>
          <w:rStyle w:val="6"/>
          <w:b/>
          <w:bCs/>
        </w:rPr>
        <w:t>是</w:t>
      </w:r>
      <w:r>
        <w:rPr>
          <w:rStyle w:val="6"/>
        </w:rPr>
        <w:t>住房保障支出30.19万元。主要用于缴纳机关行政事业人员单位部分住房公积金。</w:t>
      </w:r>
    </w:p>
    <w:p>
      <w:pPr>
        <w:spacing w:line="540" w:lineRule="exact"/>
        <w:rPr>
          <w:rStyle w:val="6"/>
          <w:b/>
          <w:bCs/>
        </w:rPr>
      </w:pPr>
      <w:r>
        <w:rPr>
          <w:rStyle w:val="6"/>
          <w:b/>
          <w:bCs/>
        </w:rPr>
        <w:t xml:space="preserve">    2. 项目支出641.44万元</w:t>
      </w:r>
    </w:p>
    <w:p>
      <w:pPr>
        <w:spacing w:line="540" w:lineRule="exact"/>
        <w:ind w:firstLine="643" w:firstLineChars="200"/>
        <w:rPr>
          <w:rStyle w:val="6"/>
        </w:rPr>
      </w:pPr>
      <w:r>
        <w:rPr>
          <w:rStyle w:val="6"/>
          <w:b/>
          <w:bCs/>
        </w:rPr>
        <w:t>一是</w:t>
      </w:r>
      <w:r>
        <w:rPr>
          <w:rStyle w:val="6"/>
        </w:rPr>
        <w:t>一般公共服务支出26.54万元。其中：用于保障全乡设备采购及网络维护20万元，各类工作经费2.54万元，40年农村老党员生活补助4万元。</w:t>
      </w:r>
      <w:r>
        <w:rPr>
          <w:rStyle w:val="6"/>
          <w:b/>
          <w:bCs/>
        </w:rPr>
        <w:t>二是</w:t>
      </w:r>
      <w:r>
        <w:rPr>
          <w:rStyle w:val="6"/>
        </w:rPr>
        <w:t>社会保障和就业支出56.69万元。其中：用于基层政权和社区建设即社区干部及本土人才的待遇、运转办公经费以及服务群众专项经费等支出55.59万元，民政以奖代补1.09万元。三是卫生健康支出1万元。其中：医疗服务与保障能力提升经费1万元。四是节能环保支出46.53万元。其中：2020年一般户劳务绩效奖补42.53万元，乡镇生活污水处理设施配套管网日常管理维护4万元。五是农林水支出474.21万元。其中：用于保障村民委员会村干部及本土人才的待遇、办公运转、提高贫困村服务群众工作专项经费共支出98.29万元，驻村工作队工作经费支出14.12万元，生态护林员和乡村公益性岗位共支出57.88万元，春松材线虫病疫木集中除治费11.53万元，农村户厕改造项目4.32万元，2020年一般户劳务绩效奖补支出42.53万元，中药材产业提升示范基地项目支出17.42万元，农村环境综合整治项目支出21.04万元，食用菌产业提升示范基地补助支出87.20万元，乡村旅游扶贫项目支出60万元，积分兑现制度改补为奖项目支出12万元，灾后恢复巩固拓展脱贫攻坚项目支出30万元，水利、农业、项目管理等专项经费支出17.88万元。</w:t>
      </w:r>
      <w:r>
        <w:rPr>
          <w:rStyle w:val="6"/>
          <w:b/>
          <w:bCs/>
        </w:rPr>
        <w:t>六是</w:t>
      </w:r>
      <w:r>
        <w:rPr>
          <w:rStyle w:val="6"/>
        </w:rPr>
        <w:t>安排灾害防治及应急管理支出36.47万元。其中：用于采购备灾点救灾物资支出25万元，自然灾害救灾方面支出11.47万元。</w:t>
      </w:r>
    </w:p>
    <w:p>
      <w:pPr>
        <w:spacing w:line="540" w:lineRule="exact"/>
        <w:ind w:firstLine="640" w:firstLineChars="200"/>
        <w:rPr>
          <w:rStyle w:val="6"/>
        </w:rPr>
      </w:pPr>
      <w:r>
        <w:rPr>
          <w:rStyle w:val="6"/>
        </w:rPr>
        <w:t>（三）2021年预算执行平衡情况</w:t>
      </w:r>
    </w:p>
    <w:p>
      <w:pPr>
        <w:spacing w:line="540" w:lineRule="exact"/>
        <w:ind w:firstLine="640" w:firstLineChars="200"/>
        <w:rPr>
          <w:rStyle w:val="6"/>
        </w:rPr>
      </w:pPr>
      <w:r>
        <w:rPr>
          <w:rStyle w:val="6"/>
        </w:rPr>
        <w:t>2021年，由于新冠肺炎疫情常态化防控，随着减税降费等政策的落实，乡财政收入的增长面临较大挑战，全乡上下攻坚克难，保持了稳定的发展势头。乡财政紧紧围绕乡党委政府的安排部署，坚持落实“紧日子”要求，坚持强化预算管理，着力稳增长、调结构、惠民生、促和谐，为促进全乡经济社会发展提供了有力保障。</w:t>
      </w:r>
    </w:p>
    <w:p>
      <w:pPr>
        <w:spacing w:line="540" w:lineRule="exact"/>
        <w:ind w:firstLine="640" w:firstLineChars="200"/>
        <w:rPr>
          <w:rStyle w:val="6"/>
        </w:rPr>
      </w:pPr>
      <w:r>
        <w:rPr>
          <w:rStyle w:val="6"/>
        </w:rPr>
        <w:t>一是财政收入稳步增长。把财政服务经济作为第一要务，认真落实壮大经济、培植财源的各项措施，充分挖掘非税来源，完成全乡非税和税收收入任务，</w:t>
      </w:r>
      <w:r>
        <w:rPr>
          <w:rStyle w:val="6"/>
          <w:rFonts w:hint="eastAsia"/>
        </w:rPr>
        <w:t>做到</w:t>
      </w:r>
      <w:r>
        <w:rPr>
          <w:rStyle w:val="6"/>
        </w:rPr>
        <w:t>应收尽收</w:t>
      </w:r>
      <w:r>
        <w:rPr>
          <w:rStyle w:val="6"/>
          <w:rFonts w:hint="eastAsia"/>
        </w:rPr>
        <w:t>。</w:t>
      </w:r>
      <w:r>
        <w:rPr>
          <w:rStyle w:val="6"/>
        </w:rPr>
        <w:t>加强对行政事业性收费、专项收入、罚没收入等非税收入的管理，提高财政收入质量。二是民生投入不断改善。坚持以人为本、民生优先，乡财政筹措资金重点保障民生支出。如：低保人员支出</w:t>
      </w:r>
      <w:r>
        <w:rPr>
          <w:rStyle w:val="6"/>
          <w:rFonts w:hint="eastAsia"/>
        </w:rPr>
        <w:t>185.8</w:t>
      </w:r>
      <w:r>
        <w:rPr>
          <w:rStyle w:val="6"/>
        </w:rPr>
        <w:t>万元，特困人员供养经费</w:t>
      </w:r>
      <w:r>
        <w:rPr>
          <w:rStyle w:val="6"/>
          <w:rFonts w:hint="eastAsia"/>
        </w:rPr>
        <w:t>105.99</w:t>
      </w:r>
      <w:r>
        <w:rPr>
          <w:rStyle w:val="6"/>
        </w:rPr>
        <w:t>万元，儿童福利</w:t>
      </w:r>
      <w:r>
        <w:rPr>
          <w:rStyle w:val="6"/>
          <w:rFonts w:hint="eastAsia"/>
        </w:rPr>
        <w:t>9.05</w:t>
      </w:r>
      <w:r>
        <w:rPr>
          <w:rStyle w:val="6"/>
        </w:rPr>
        <w:t>万元，老年福利</w:t>
      </w:r>
      <w:r>
        <w:rPr>
          <w:rStyle w:val="6"/>
          <w:rFonts w:hint="eastAsia"/>
        </w:rPr>
        <w:t>9.2</w:t>
      </w:r>
      <w:r>
        <w:rPr>
          <w:rStyle w:val="6"/>
        </w:rPr>
        <w:t>万元，残疾人生活和护理补贴支出</w:t>
      </w:r>
      <w:r>
        <w:rPr>
          <w:rStyle w:val="6"/>
          <w:rFonts w:hint="eastAsia"/>
        </w:rPr>
        <w:t>16.54</w:t>
      </w:r>
      <w:r>
        <w:rPr>
          <w:rStyle w:val="6"/>
        </w:rPr>
        <w:t>万元，临时救助</w:t>
      </w:r>
      <w:r>
        <w:rPr>
          <w:rStyle w:val="6"/>
          <w:rFonts w:hint="eastAsia"/>
        </w:rPr>
        <w:t>12.02</w:t>
      </w:r>
      <w:r>
        <w:rPr>
          <w:rStyle w:val="6"/>
        </w:rPr>
        <w:t>万元，优抚补助</w:t>
      </w:r>
      <w:r>
        <w:rPr>
          <w:rStyle w:val="6"/>
          <w:rFonts w:hint="eastAsia"/>
        </w:rPr>
        <w:t>39.5</w:t>
      </w:r>
      <w:r>
        <w:rPr>
          <w:rStyle w:val="6"/>
        </w:rPr>
        <w:t>万元。投</w:t>
      </w:r>
      <w:r>
        <w:rPr>
          <w:rStyle w:val="6"/>
          <w:rFonts w:hint="eastAsia"/>
        </w:rPr>
        <w:t>入</w:t>
      </w:r>
      <w:r>
        <w:rPr>
          <w:rStyle w:val="6"/>
        </w:rPr>
        <w:t>涉农资金</w:t>
      </w:r>
      <w:r>
        <w:rPr>
          <w:rStyle w:val="6"/>
          <w:rFonts w:hint="eastAsia"/>
        </w:rPr>
        <w:t>821.15</w:t>
      </w:r>
      <w:r>
        <w:rPr>
          <w:rStyle w:val="6"/>
        </w:rPr>
        <w:t>万元。三是财政改革有序推进。全面深化各项财政改革，全面加快建立现代财政制度，完善财政重大事项决策机制。强化预算管理，做好年度预决算公开，严格执行国库集中支付，持续推进内控制度建设，修改完善《北屏乡财政财务管理制度》《工程建设项目管理制度》等系列制度，严格支出审核，规范项目资金管理。严格执行政府采购目录限额标准与网上商城采购行为。开展国有资产清查，盘活资产存量，逐步规范资产配置、使用、处置等环节管理。严格执行积极稳建的财政政策，强化债务动态监管，全面清理政府隐性债务，新债发生可控。四是保障重点领域项目实施。通过“调结构、压支出、重调度、强管控”等措施努力增收节支，落实乡党委政府重大决策，强化重点项目资金保障，加大产业发展、环境整治、乡村振兴</w:t>
      </w:r>
      <w:r>
        <w:rPr>
          <w:rStyle w:val="6"/>
          <w:rFonts w:hint="eastAsia"/>
        </w:rPr>
        <w:t>等方面</w:t>
      </w:r>
      <w:r>
        <w:rPr>
          <w:rStyle w:val="6"/>
        </w:rPr>
        <w:t>资金投入，充分发挥财政资金使用效益。落实项目责任人、责任科室、责任领导，严格项目报销资料审核，</w:t>
      </w:r>
      <w:r>
        <w:rPr>
          <w:rStyle w:val="6"/>
          <w:rFonts w:hint="eastAsia"/>
        </w:rPr>
        <w:t>严格</w:t>
      </w:r>
      <w:r>
        <w:rPr>
          <w:rStyle w:val="6"/>
        </w:rPr>
        <w:t>项目资金拨付</w:t>
      </w:r>
      <w:r>
        <w:rPr>
          <w:rStyle w:val="6"/>
          <w:rFonts w:hint="eastAsia"/>
        </w:rPr>
        <w:t>审批</w:t>
      </w:r>
      <w:r>
        <w:rPr>
          <w:rStyle w:val="6"/>
        </w:rPr>
        <w:t>，确保项目资金安全高效。五是强化财政服务能力提升。加强财政干部队伍建设，强化财政干部专业知识培训，规范财务人员岗位职能职责，增强廉洁意识，积极开展财政领域廉政风险防控，着力提升乡财政的服务能力和服务质量。</w:t>
      </w:r>
    </w:p>
    <w:p>
      <w:pPr>
        <w:spacing w:line="540" w:lineRule="exact"/>
        <w:ind w:firstLine="640" w:firstLineChars="200"/>
        <w:rPr>
          <w:rStyle w:val="6"/>
        </w:rPr>
      </w:pPr>
      <w:r>
        <w:rPr>
          <w:rStyle w:val="6"/>
        </w:rPr>
        <w:t>2021年财政运行总体平稳，全年目标的实现，是乡党委政府科学决策、正确领导，是人大监督及县级各部门支持，也是全乡上下共同努力和社会各界共同支持的结果。在肯定成绩的同时，我们也清醒看到，当前我乡在预算执行和财政管理中还存在一些亟待解决的困难和问题：</w:t>
      </w:r>
      <w:r>
        <w:rPr>
          <w:rStyle w:val="6"/>
          <w:rFonts w:ascii="方正仿宋_GBK" w:hAnsi="楷体"/>
          <w:b/>
        </w:rPr>
        <w:t>一是乡财政可支配总财力不足。</w:t>
      </w:r>
      <w:r>
        <w:rPr>
          <w:rStyle w:val="6"/>
        </w:rPr>
        <w:t>经济结构和财源结构单一，缺乏支柱产业和骨干企业，</w:t>
      </w:r>
      <w:r>
        <w:rPr>
          <w:rStyle w:val="6"/>
          <w:rFonts w:ascii="方正仿宋_GBK" w:hAnsi="楷体"/>
        </w:rPr>
        <w:t>难以提高收入总量和进行税收结构调整</w:t>
      </w:r>
      <w:r>
        <w:rPr>
          <w:rStyle w:val="6"/>
        </w:rPr>
        <w:t>，财政自给能力低，本级收支矛盾突出</w:t>
      </w:r>
      <w:r>
        <w:rPr>
          <w:rStyle w:val="6"/>
          <w:rFonts w:ascii="方正仿宋_GBK" w:hAnsi="楷体"/>
        </w:rPr>
        <w:t>。</w:t>
      </w:r>
      <w:r>
        <w:rPr>
          <w:rStyle w:val="6"/>
          <w:rFonts w:ascii="方正仿宋_GBK" w:hAnsi="楷体"/>
          <w:b/>
        </w:rPr>
        <w:t>二是资金使用绩效评价不够精准。</w:t>
      </w:r>
      <w:r>
        <w:rPr>
          <w:rStyle w:val="6"/>
          <w:rFonts w:ascii="方正仿宋_GBK" w:hAnsi="楷体"/>
        </w:rPr>
        <w:t>资金使用效益评价制度不够健全，一般性资金缺乏使用效益评估，产业发展、基础设施建设类项目绩效评价不够全面、精准，时效性和针对性不强。</w:t>
      </w:r>
      <w:r>
        <w:rPr>
          <w:rStyle w:val="6"/>
          <w:rFonts w:ascii="方正仿宋_GBK" w:hAnsi="楷体"/>
          <w:b/>
        </w:rPr>
        <w:t>三是专项资金序时进度缓慢。</w:t>
      </w:r>
      <w:r>
        <w:rPr>
          <w:rStyle w:val="6"/>
          <w:rFonts w:ascii="方正仿宋_GBK" w:hAnsi="楷体"/>
        </w:rPr>
        <w:t>县级专项资金下达后，安排谋划不够及时，实施进度缓慢，过程督促监管力度不够。乡村两级各类专项经费使用缺乏计划性，序时报账进度不理想，影响专项资金的支出进度。</w:t>
      </w:r>
      <w:r>
        <w:rPr>
          <w:rStyle w:val="6"/>
          <w:rFonts w:ascii="方正仿宋_GBK" w:hAnsi="楷体"/>
          <w:b/>
        </w:rPr>
        <w:t>四是村级财务监管力度不够。</w:t>
      </w:r>
      <w:r>
        <w:rPr>
          <w:rStyle w:val="6"/>
          <w:rFonts w:hint="eastAsia" w:ascii="方正仿宋_GBK" w:hAnsi="楷体"/>
        </w:rPr>
        <w:t>乡财政</w:t>
      </w:r>
      <w:r>
        <w:rPr>
          <w:rStyle w:val="6"/>
          <w:rFonts w:ascii="方正仿宋_GBK" w:hAnsi="楷体"/>
        </w:rPr>
        <w:t>缺乏对村级财务人员的集中统一培训，过程</w:t>
      </w:r>
      <w:r>
        <w:rPr>
          <w:rStyle w:val="6"/>
          <w:rFonts w:hint="eastAsia" w:ascii="方正仿宋_GBK" w:hAnsi="楷体"/>
        </w:rPr>
        <w:t>指导、</w:t>
      </w:r>
      <w:r>
        <w:rPr>
          <w:rStyle w:val="6"/>
          <w:rFonts w:ascii="方正仿宋_GBK" w:hAnsi="楷体"/>
        </w:rPr>
        <w:t>监督管理不够。村级财务制度执行不到位，财务管理不规范，财务人员业务水平亟需提升，财经纪律意识有待提高。</w:t>
      </w:r>
      <w:r>
        <w:rPr>
          <w:rStyle w:val="6"/>
        </w:rPr>
        <w:t>对于这些困难和问题，我们将广泛听取各位代表和列席人员的意见和建议，积极认真研究、采取有效措施努力解决改进。</w:t>
      </w:r>
    </w:p>
    <w:p>
      <w:pPr>
        <w:spacing w:line="320" w:lineRule="exact"/>
        <w:ind w:firstLine="640" w:firstLineChars="200"/>
        <w:jc w:val="left"/>
        <w:rPr>
          <w:rStyle w:val="6"/>
          <w:rFonts w:ascii="方正仿宋_GBK" w:hAnsi="楷体"/>
        </w:rPr>
      </w:pPr>
    </w:p>
    <w:p>
      <w:pPr>
        <w:spacing w:line="460" w:lineRule="exact"/>
        <w:jc w:val="center"/>
        <w:rPr>
          <w:rStyle w:val="6"/>
          <w:rFonts w:eastAsia="黑体"/>
          <w:bCs/>
          <w:color w:val="000000"/>
        </w:rPr>
      </w:pPr>
      <w:r>
        <w:rPr>
          <w:rStyle w:val="6"/>
          <w:rFonts w:eastAsia="黑体"/>
          <w:bCs/>
          <w:color w:val="000000"/>
        </w:rPr>
        <w:t>北屏乡2021年预算收支平衡表</w:t>
      </w:r>
    </w:p>
    <w:p>
      <w:pPr>
        <w:spacing w:line="340" w:lineRule="exact"/>
        <w:ind w:firstLine="480" w:firstLineChars="200"/>
        <w:jc w:val="center"/>
        <w:rPr>
          <w:rStyle w:val="6"/>
          <w:sz w:val="24"/>
          <w:szCs w:val="24"/>
        </w:rPr>
      </w:pPr>
      <w:r>
        <w:rPr>
          <w:rStyle w:val="6"/>
          <w:sz w:val="24"/>
          <w:szCs w:val="24"/>
        </w:rPr>
        <w:t xml:space="preserve">                                                   单位：万元</w:t>
      </w:r>
    </w:p>
    <w:tbl>
      <w:tblPr>
        <w:tblStyle w:val="4"/>
        <w:tblpPr w:leftFromText="180" w:rightFromText="180" w:vertAnchor="text" w:horzAnchor="page" w:tblpX="1603" w:tblpY="550"/>
        <w:tblOverlap w:val="never"/>
        <w:tblW w:w="88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66"/>
        <w:gridCol w:w="1600"/>
        <w:gridCol w:w="3084"/>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黑体"/>
                <w:bCs/>
                <w:color w:val="000000"/>
                <w:sz w:val="24"/>
                <w:szCs w:val="24"/>
              </w:rPr>
              <w:t>收    入</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黑体"/>
                <w:bCs/>
                <w:color w:val="000000"/>
                <w:sz w:val="24"/>
                <w:szCs w:val="24"/>
              </w:rPr>
              <w:t>执行数</w:t>
            </w:r>
          </w:p>
        </w:tc>
        <w:tc>
          <w:tcPr>
            <w:tcW w:w="3084"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黑体"/>
                <w:bCs/>
                <w:color w:val="000000"/>
                <w:sz w:val="24"/>
                <w:szCs w:val="24"/>
              </w:rPr>
              <w:t>支    出</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黑体"/>
                <w:bCs/>
                <w:color w:val="000000"/>
                <w:sz w:val="24"/>
                <w:szCs w:val="24"/>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黑体"/>
                <w:bCs/>
                <w:color w:val="000000"/>
                <w:sz w:val="24"/>
                <w:szCs w:val="24"/>
              </w:rPr>
            </w:pPr>
            <w:r>
              <w:rPr>
                <w:rStyle w:val="6"/>
                <w:rFonts w:eastAsia="黑体"/>
                <w:bCs/>
                <w:color w:val="000000"/>
                <w:sz w:val="24"/>
                <w:szCs w:val="24"/>
              </w:rPr>
              <w:t>总  计</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黑体"/>
                <w:bCs/>
                <w:color w:val="000000"/>
                <w:sz w:val="24"/>
                <w:szCs w:val="24"/>
              </w:rPr>
            </w:pPr>
            <w:r>
              <w:rPr>
                <w:rStyle w:val="6"/>
                <w:rFonts w:eastAsia="宋体"/>
                <w:color w:val="000000"/>
                <w:sz w:val="22"/>
                <w:szCs w:val="22"/>
              </w:rPr>
              <w:t>1431.78</w:t>
            </w:r>
          </w:p>
        </w:tc>
        <w:tc>
          <w:tcPr>
            <w:tcW w:w="3084"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黑体"/>
                <w:bCs/>
                <w:color w:val="000000"/>
                <w:sz w:val="24"/>
                <w:szCs w:val="24"/>
              </w:rPr>
            </w:pPr>
            <w:r>
              <w:rPr>
                <w:rStyle w:val="6"/>
                <w:rFonts w:eastAsia="黑体"/>
                <w:bCs/>
                <w:color w:val="000000"/>
                <w:sz w:val="24"/>
                <w:szCs w:val="24"/>
              </w:rPr>
              <w:t>总  计</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黑体"/>
                <w:bCs/>
                <w:color w:val="000000"/>
                <w:sz w:val="24"/>
                <w:szCs w:val="24"/>
              </w:rPr>
            </w:pPr>
            <w:r>
              <w:rPr>
                <w:rStyle w:val="6"/>
                <w:rFonts w:eastAsia="宋体"/>
                <w:color w:val="000000"/>
                <w:sz w:val="22"/>
                <w:szCs w:val="22"/>
              </w:rPr>
              <w:t>1431.78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黑体"/>
                <w:color w:val="000000"/>
                <w:kern w:val="0"/>
                <w:sz w:val="24"/>
                <w:szCs w:val="24"/>
              </w:rPr>
              <w:t>一、上级转移支付收入</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宋体"/>
                <w:color w:val="000000"/>
                <w:sz w:val="22"/>
                <w:szCs w:val="22"/>
              </w:rPr>
              <w:t>1399.42</w:t>
            </w:r>
          </w:p>
        </w:tc>
        <w:tc>
          <w:tcPr>
            <w:tcW w:w="3084"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left"/>
              <w:textAlignment w:val="center"/>
              <w:rPr>
                <w:rStyle w:val="6"/>
                <w:rFonts w:eastAsia="宋体"/>
                <w:color w:val="000000"/>
                <w:sz w:val="22"/>
                <w:szCs w:val="22"/>
              </w:rPr>
            </w:pPr>
            <w:r>
              <w:rPr>
                <w:rStyle w:val="6"/>
                <w:rFonts w:eastAsia="黑体"/>
                <w:color w:val="000000"/>
                <w:kern w:val="0"/>
                <w:sz w:val="24"/>
                <w:szCs w:val="24"/>
              </w:rPr>
              <w:t>一、预算支出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宋体"/>
                <w:color w:val="000000"/>
                <w:sz w:val="22"/>
                <w:szCs w:val="22"/>
              </w:rPr>
              <w:t>1431.78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00" w:firstLineChars="200"/>
              <w:jc w:val="center"/>
              <w:textAlignment w:val="center"/>
              <w:rPr>
                <w:rStyle w:val="6"/>
                <w:color w:val="000000"/>
                <w:kern w:val="0"/>
                <w:sz w:val="20"/>
                <w:szCs w:val="20"/>
              </w:rPr>
            </w:pPr>
            <w:r>
              <w:rPr>
                <w:rStyle w:val="6"/>
                <w:color w:val="000000"/>
                <w:kern w:val="0"/>
                <w:sz w:val="20"/>
                <w:szCs w:val="20"/>
              </w:rPr>
              <w:t>一般性转移支付收入</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宋体"/>
                <w:color w:val="000000"/>
                <w:sz w:val="22"/>
                <w:szCs w:val="22"/>
              </w:rPr>
              <w:t>790.34</w:t>
            </w:r>
          </w:p>
        </w:tc>
        <w:tc>
          <w:tcPr>
            <w:tcW w:w="3084"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00" w:firstLineChars="200"/>
              <w:jc w:val="left"/>
              <w:textAlignment w:val="center"/>
              <w:rPr>
                <w:rStyle w:val="6"/>
                <w:color w:val="000000"/>
                <w:kern w:val="0"/>
                <w:sz w:val="20"/>
                <w:szCs w:val="20"/>
              </w:rPr>
            </w:pPr>
            <w:r>
              <w:rPr>
                <w:rStyle w:val="6"/>
                <w:color w:val="000000"/>
                <w:kern w:val="0"/>
                <w:sz w:val="20"/>
                <w:szCs w:val="20"/>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宋体"/>
                <w:color w:val="000000"/>
                <w:sz w:val="22"/>
                <w:szCs w:val="22"/>
              </w:rPr>
              <w:t>424.10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00" w:firstLineChars="200"/>
              <w:jc w:val="center"/>
              <w:textAlignment w:val="center"/>
              <w:rPr>
                <w:rStyle w:val="6"/>
                <w:color w:val="000000"/>
                <w:kern w:val="0"/>
                <w:sz w:val="20"/>
                <w:szCs w:val="20"/>
              </w:rPr>
            </w:pPr>
            <w:r>
              <w:rPr>
                <w:rStyle w:val="6"/>
                <w:color w:val="000000"/>
                <w:kern w:val="0"/>
                <w:sz w:val="20"/>
                <w:szCs w:val="20"/>
              </w:rPr>
              <w:t>专项转移支付收入</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宋体"/>
                <w:color w:val="000000"/>
                <w:sz w:val="22"/>
                <w:szCs w:val="22"/>
              </w:rPr>
              <w:t>641.44</w:t>
            </w:r>
          </w:p>
        </w:tc>
        <w:tc>
          <w:tcPr>
            <w:tcW w:w="3084"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00" w:firstLineChars="200"/>
              <w:jc w:val="left"/>
              <w:textAlignment w:val="center"/>
              <w:rPr>
                <w:rStyle w:val="6"/>
                <w:color w:val="000000"/>
                <w:kern w:val="0"/>
                <w:sz w:val="20"/>
                <w:szCs w:val="20"/>
              </w:rPr>
            </w:pPr>
            <w:r>
              <w:rPr>
                <w:rStyle w:val="6"/>
                <w:color w:val="000000"/>
                <w:kern w:val="0"/>
                <w:sz w:val="20"/>
                <w:szCs w:val="20"/>
              </w:rPr>
              <w:t>国防支出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宋体"/>
                <w:color w:val="00000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6"/>
                <w:rFonts w:eastAsia="宋体"/>
                <w:color w:val="000000"/>
                <w:sz w:val="22"/>
                <w:szCs w:val="22"/>
              </w:rPr>
            </w:pPr>
            <w:r>
              <w:rPr>
                <w:rStyle w:val="6"/>
                <w:rFonts w:eastAsia="黑体"/>
                <w:color w:val="000000"/>
                <w:kern w:val="0"/>
                <w:sz w:val="24"/>
                <w:szCs w:val="24"/>
              </w:rPr>
              <w:t>二、上年结转收入</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宋体"/>
                <w:color w:val="000000"/>
                <w:sz w:val="22"/>
                <w:szCs w:val="22"/>
              </w:rPr>
              <w:t>32.36</w:t>
            </w:r>
          </w:p>
        </w:tc>
        <w:tc>
          <w:tcPr>
            <w:tcW w:w="3084"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00" w:firstLineChars="200"/>
              <w:jc w:val="left"/>
              <w:textAlignment w:val="center"/>
              <w:rPr>
                <w:rStyle w:val="6"/>
                <w:color w:val="000000"/>
                <w:kern w:val="0"/>
                <w:sz w:val="20"/>
                <w:szCs w:val="20"/>
              </w:rPr>
            </w:pPr>
            <w:r>
              <w:rPr>
                <w:rStyle w:val="6"/>
                <w:color w:val="000000"/>
                <w:kern w:val="0"/>
                <w:sz w:val="20"/>
                <w:szCs w:val="20"/>
              </w:rPr>
              <w:t>文化体育与传媒支出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宋体"/>
                <w:color w:val="000000"/>
                <w:sz w:val="22"/>
                <w:szCs w:val="22"/>
              </w:rPr>
              <w:t>16.09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6"/>
                <w:rFonts w:eastAsia="宋体"/>
                <w:color w:val="000000"/>
                <w:sz w:val="22"/>
                <w:szCs w:val="22"/>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p>
        </w:tc>
        <w:tc>
          <w:tcPr>
            <w:tcW w:w="3084"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00" w:firstLineChars="200"/>
              <w:jc w:val="left"/>
              <w:textAlignment w:val="center"/>
              <w:rPr>
                <w:rStyle w:val="6"/>
                <w:color w:val="000000"/>
                <w:kern w:val="0"/>
                <w:sz w:val="20"/>
                <w:szCs w:val="20"/>
              </w:rPr>
            </w:pPr>
            <w:r>
              <w:rPr>
                <w:rStyle w:val="6"/>
                <w:color w:val="000000"/>
                <w:kern w:val="0"/>
                <w:sz w:val="20"/>
                <w:szCs w:val="20"/>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宋体"/>
                <w:color w:val="000000"/>
                <w:sz w:val="22"/>
                <w:szCs w:val="22"/>
              </w:rPr>
              <w:t>181.18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660" w:firstLineChars="300"/>
              <w:jc w:val="center"/>
              <w:rPr>
                <w:rStyle w:val="6"/>
                <w:rFonts w:eastAsia="宋体"/>
                <w:color w:val="000000"/>
                <w:sz w:val="22"/>
                <w:szCs w:val="22"/>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6"/>
                <w:rFonts w:eastAsia="宋体"/>
                <w:color w:val="000000"/>
                <w:sz w:val="22"/>
                <w:szCs w:val="22"/>
              </w:rPr>
            </w:pPr>
          </w:p>
        </w:tc>
        <w:tc>
          <w:tcPr>
            <w:tcW w:w="3084"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00" w:firstLineChars="200"/>
              <w:jc w:val="left"/>
              <w:textAlignment w:val="center"/>
              <w:rPr>
                <w:rStyle w:val="6"/>
                <w:color w:val="000000"/>
                <w:kern w:val="0"/>
                <w:sz w:val="20"/>
                <w:szCs w:val="20"/>
              </w:rPr>
            </w:pPr>
            <w:r>
              <w:rPr>
                <w:rStyle w:val="6"/>
                <w:color w:val="000000"/>
                <w:kern w:val="0"/>
                <w:sz w:val="20"/>
                <w:szCs w:val="20"/>
              </w:rPr>
              <w:t>医疗卫生与计划生育支出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宋体"/>
                <w:color w:val="000000"/>
                <w:sz w:val="22"/>
                <w:szCs w:val="22"/>
              </w:rPr>
              <w:t>26.92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660" w:firstLineChars="300"/>
              <w:jc w:val="center"/>
              <w:rPr>
                <w:rStyle w:val="6"/>
                <w:rFonts w:eastAsia="宋体"/>
                <w:color w:val="000000"/>
                <w:sz w:val="22"/>
                <w:szCs w:val="22"/>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6"/>
                <w:rFonts w:eastAsia="宋体"/>
                <w:color w:val="000000"/>
                <w:sz w:val="22"/>
                <w:szCs w:val="22"/>
              </w:rPr>
            </w:pPr>
          </w:p>
        </w:tc>
        <w:tc>
          <w:tcPr>
            <w:tcW w:w="3084"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00" w:firstLineChars="200"/>
              <w:jc w:val="left"/>
              <w:textAlignment w:val="center"/>
              <w:rPr>
                <w:rStyle w:val="6"/>
                <w:color w:val="000000"/>
                <w:kern w:val="0"/>
                <w:sz w:val="20"/>
                <w:szCs w:val="20"/>
              </w:rPr>
            </w:pPr>
            <w:r>
              <w:rPr>
                <w:rStyle w:val="6"/>
                <w:color w:val="000000"/>
                <w:kern w:val="0"/>
                <w:sz w:val="20"/>
                <w:szCs w:val="20"/>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宋体"/>
                <w:color w:val="000000"/>
                <w:sz w:val="22"/>
                <w:szCs w:val="22"/>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6"/>
                <w:rFonts w:eastAsia="宋体"/>
                <w:color w:val="000000"/>
                <w:sz w:val="22"/>
                <w:szCs w:val="22"/>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6"/>
                <w:rFonts w:eastAsia="宋体"/>
                <w:color w:val="000000"/>
                <w:sz w:val="22"/>
                <w:szCs w:val="22"/>
              </w:rPr>
            </w:pPr>
          </w:p>
        </w:tc>
        <w:tc>
          <w:tcPr>
            <w:tcW w:w="3084"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00" w:firstLineChars="200"/>
              <w:jc w:val="left"/>
              <w:textAlignment w:val="center"/>
              <w:rPr>
                <w:rStyle w:val="6"/>
                <w:color w:val="000000"/>
                <w:kern w:val="0"/>
                <w:sz w:val="20"/>
                <w:szCs w:val="20"/>
              </w:rPr>
            </w:pPr>
            <w:r>
              <w:rPr>
                <w:rStyle w:val="6"/>
                <w:color w:val="000000"/>
                <w:kern w:val="0"/>
                <w:sz w:val="20"/>
                <w:szCs w:val="20"/>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宋体"/>
                <w:color w:val="000000"/>
                <w:sz w:val="22"/>
                <w:szCs w:val="22"/>
              </w:rPr>
              <w:t>637.30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6"/>
                <w:rFonts w:eastAsia="宋体"/>
                <w:color w:val="000000"/>
                <w:sz w:val="22"/>
                <w:szCs w:val="22"/>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6"/>
                <w:rFonts w:eastAsia="宋体"/>
                <w:color w:val="000000"/>
                <w:sz w:val="22"/>
                <w:szCs w:val="22"/>
              </w:rPr>
            </w:pPr>
          </w:p>
        </w:tc>
        <w:tc>
          <w:tcPr>
            <w:tcW w:w="3084"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00" w:firstLineChars="200"/>
              <w:jc w:val="left"/>
              <w:textAlignment w:val="center"/>
              <w:rPr>
                <w:rStyle w:val="6"/>
                <w:color w:val="000000"/>
                <w:kern w:val="0"/>
                <w:sz w:val="20"/>
                <w:szCs w:val="20"/>
              </w:rPr>
            </w:pPr>
            <w:r>
              <w:rPr>
                <w:rStyle w:val="6"/>
                <w:color w:val="000000"/>
                <w:kern w:val="0"/>
                <w:sz w:val="20"/>
                <w:szCs w:val="20"/>
              </w:rPr>
              <w:t>灾害防治及应急管理支出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宋体"/>
                <w:color w:val="000000"/>
                <w:sz w:val="22"/>
                <w:szCs w:val="22"/>
              </w:rPr>
              <w:t>36.47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6"/>
                <w:rFonts w:eastAsia="宋体"/>
                <w:color w:val="000000"/>
                <w:sz w:val="22"/>
                <w:szCs w:val="22"/>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6"/>
                <w:rFonts w:eastAsia="宋体"/>
                <w:color w:val="000000"/>
                <w:sz w:val="22"/>
                <w:szCs w:val="22"/>
              </w:rPr>
            </w:pPr>
          </w:p>
        </w:tc>
        <w:tc>
          <w:tcPr>
            <w:tcW w:w="3084"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00" w:firstLineChars="200"/>
              <w:jc w:val="left"/>
              <w:textAlignment w:val="center"/>
              <w:rPr>
                <w:rStyle w:val="6"/>
                <w:color w:val="000000"/>
                <w:kern w:val="0"/>
                <w:sz w:val="20"/>
                <w:szCs w:val="20"/>
              </w:rPr>
            </w:pPr>
            <w:r>
              <w:rPr>
                <w:rStyle w:val="6"/>
                <w:color w:val="000000"/>
                <w:kern w:val="0"/>
                <w:sz w:val="20"/>
                <w:szCs w:val="20"/>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宋体"/>
                <w:color w:val="000000"/>
                <w:sz w:val="22"/>
                <w:szCs w:val="22"/>
              </w:rPr>
              <w:t>30.19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6"/>
                <w:rFonts w:eastAsia="宋体"/>
                <w:color w:val="000000"/>
                <w:sz w:val="22"/>
                <w:szCs w:val="22"/>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6"/>
                <w:rFonts w:eastAsia="宋体"/>
                <w:color w:val="000000"/>
                <w:sz w:val="22"/>
                <w:szCs w:val="22"/>
              </w:rPr>
            </w:pPr>
          </w:p>
        </w:tc>
        <w:tc>
          <w:tcPr>
            <w:tcW w:w="3084"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00" w:firstLineChars="200"/>
              <w:jc w:val="left"/>
              <w:textAlignment w:val="center"/>
              <w:rPr>
                <w:rStyle w:val="6"/>
                <w:color w:val="000000"/>
                <w:kern w:val="0"/>
                <w:sz w:val="20"/>
                <w:szCs w:val="20"/>
              </w:rPr>
            </w:pPr>
            <w:r>
              <w:rPr>
                <w:rStyle w:val="6"/>
                <w:color w:val="000000"/>
                <w:kern w:val="0"/>
                <w:sz w:val="20"/>
                <w:szCs w:val="20"/>
              </w:rPr>
              <w:t>节能环保支出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sz w:val="22"/>
                <w:szCs w:val="22"/>
              </w:rPr>
            </w:pPr>
            <w:r>
              <w:rPr>
                <w:rStyle w:val="6"/>
                <w:rFonts w:eastAsia="宋体"/>
                <w:color w:val="000000"/>
                <w:sz w:val="22"/>
                <w:szCs w:val="22"/>
              </w:rPr>
              <w:t>46.53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6"/>
                <w:rFonts w:eastAsia="宋体"/>
                <w:color w:val="000000"/>
                <w:sz w:val="22"/>
                <w:szCs w:val="22"/>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6"/>
                <w:rFonts w:eastAsia="宋体"/>
                <w:color w:val="000000"/>
                <w:sz w:val="22"/>
                <w:szCs w:val="22"/>
              </w:rPr>
            </w:pPr>
          </w:p>
        </w:tc>
        <w:tc>
          <w:tcPr>
            <w:tcW w:w="3084"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left"/>
              <w:textAlignment w:val="center"/>
              <w:rPr>
                <w:rStyle w:val="6"/>
                <w:rFonts w:eastAsia="宋体"/>
                <w:color w:val="000000"/>
                <w:kern w:val="0"/>
                <w:sz w:val="22"/>
                <w:szCs w:val="22"/>
              </w:rPr>
            </w:pPr>
            <w:r>
              <w:rPr>
                <w:rStyle w:val="6"/>
                <w:rFonts w:eastAsia="宋体"/>
                <w:color w:val="000000"/>
                <w:kern w:val="0"/>
                <w:sz w:val="22"/>
                <w:szCs w:val="22"/>
              </w:rPr>
              <w:t>二、</w:t>
            </w:r>
            <w:r>
              <w:rPr>
                <w:rStyle w:val="6"/>
                <w:rFonts w:eastAsia="黑体"/>
                <w:bCs/>
                <w:color w:val="000000"/>
                <w:sz w:val="24"/>
                <w:szCs w:val="24"/>
              </w:rPr>
              <w:t>结转下年支出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6"/>
                <w:rFonts w:eastAsia="宋体"/>
                <w:color w:val="000000"/>
                <w:kern w:val="0"/>
                <w:sz w:val="22"/>
                <w:szCs w:val="22"/>
              </w:rPr>
            </w:pPr>
          </w:p>
        </w:tc>
      </w:tr>
    </w:tbl>
    <w:p>
      <w:pPr>
        <w:spacing w:line="540" w:lineRule="exact"/>
        <w:rPr>
          <w:rStyle w:val="6"/>
        </w:rPr>
      </w:pPr>
    </w:p>
    <w:p>
      <w:pPr>
        <w:spacing w:line="560" w:lineRule="exact"/>
        <w:ind w:firstLine="640" w:firstLineChars="200"/>
        <w:jc w:val="left"/>
        <w:rPr>
          <w:rStyle w:val="6"/>
          <w:rFonts w:eastAsia="方正黑体_GBK"/>
        </w:rPr>
      </w:pPr>
      <w:r>
        <w:rPr>
          <w:rStyle w:val="6"/>
          <w:rFonts w:eastAsia="方正黑体_GBK"/>
        </w:rPr>
        <w:t>二、2022年度财政预算草案</w:t>
      </w:r>
    </w:p>
    <w:p>
      <w:pPr>
        <w:spacing w:line="560" w:lineRule="exact"/>
        <w:ind w:firstLine="640" w:firstLineChars="200"/>
        <w:rPr>
          <w:rStyle w:val="6"/>
        </w:rPr>
      </w:pPr>
      <w:r>
        <w:rPr>
          <w:rStyle w:val="6"/>
        </w:rPr>
        <w:t>2022年我乡财政收支预算安排的指导思想和总体要求</w:t>
      </w:r>
      <w:r>
        <w:rPr>
          <w:rStyle w:val="6"/>
          <w:rFonts w:ascii="方正仿宋_GBK" w:hAnsi="楷体"/>
        </w:rPr>
        <w:t>是：</w:t>
      </w:r>
      <w:r>
        <w:rPr>
          <w:rStyle w:val="6"/>
        </w:rPr>
        <w:t>坚持以习近平新时代中国特色社会主义思想为指导，全面贯彻落实党的十九大和十九届二中、三中、四中、五中、六中全会精神及中央经济工作会议精神，全面落实市委市政府、县委县政府决策部署，坚持稳中求进工作总基调，坚持推进“规范透明、标准科学、约束有力、讲求绩效”的现代财政预算管理制度建立，坚持落实好政府过“紧日子”系列要求，坚持重点突出、增收节支、精打细算、有保有压，持续深化财政预算管理改革，全力支持县委落实“六稳”“六保”工作任务</w:t>
      </w:r>
      <w:r>
        <w:rPr>
          <w:rStyle w:val="6"/>
          <w:rFonts w:hint="eastAsia"/>
        </w:rPr>
        <w:t>。</w:t>
      </w:r>
      <w:r>
        <w:rPr>
          <w:rStyle w:val="6"/>
        </w:rPr>
        <w:t>围绕“保运转、保民生、促发展、防风险”的财政工作重点，自觉践行新发展理念，确保2022年财政经济平稳运行。围绕“一中心一试点一示范一门户”的</w:t>
      </w:r>
      <w:r>
        <w:rPr>
          <w:rStyle w:val="6"/>
          <w:color w:val="000000"/>
        </w:rPr>
        <w:t>发展思路和奋斗目标，用活用好帮扶资源，抢抓发展机遇，</w:t>
      </w:r>
      <w:r>
        <w:rPr>
          <w:rStyle w:val="6"/>
        </w:rPr>
        <w:t>加快经济结构调整，促进发展方式转变，全力保障和改善民生。推进财政管理科学化、精细化、规范化，扎实做好年度预算编制、执行和监督工作，不断提高财政资金运行质量和效益，努力推动全乡经济社会可持续发展。</w:t>
      </w:r>
    </w:p>
    <w:p>
      <w:pPr>
        <w:spacing w:line="560" w:lineRule="exact"/>
        <w:ind w:firstLine="640" w:firstLineChars="200"/>
        <w:rPr>
          <w:rStyle w:val="6"/>
        </w:rPr>
      </w:pPr>
      <w:r>
        <w:rPr>
          <w:rStyle w:val="6"/>
        </w:rPr>
        <w:t>根据上述指导思想和2022年经济社会发展目标，综合我乡实际情况，经测算，编制了2022年财政预算草案，具体安排如下：</w:t>
      </w:r>
    </w:p>
    <w:p>
      <w:pPr>
        <w:spacing w:line="560" w:lineRule="exact"/>
        <w:ind w:firstLine="480" w:firstLineChars="150"/>
        <w:rPr>
          <w:rStyle w:val="6"/>
          <w:rFonts w:ascii="方正楷体_GBK" w:eastAsia="方正楷体_GBK"/>
        </w:rPr>
      </w:pPr>
      <w:r>
        <w:rPr>
          <w:rStyle w:val="6"/>
          <w:rFonts w:ascii="方正楷体_GBK" w:eastAsia="方正楷体_GBK"/>
        </w:rPr>
        <w:t>（一）2022年一般公共预算收入草案</w:t>
      </w:r>
    </w:p>
    <w:p>
      <w:pPr>
        <w:spacing w:line="560" w:lineRule="exact"/>
        <w:ind w:firstLine="640" w:firstLineChars="200"/>
        <w:rPr>
          <w:rStyle w:val="6"/>
          <w:rFonts w:eastAsia="方正楷体_GBK"/>
        </w:rPr>
      </w:pPr>
      <w:r>
        <w:rPr>
          <w:rStyle w:val="6"/>
        </w:rPr>
        <w:t>根据2022乡经济</w:t>
      </w:r>
      <w:r>
        <w:rPr>
          <w:rStyle w:val="6"/>
          <w:rFonts w:ascii="方正仿宋_GBK" w:hAnsi="楷体"/>
        </w:rPr>
        <w:t>与社会发展目标，</w:t>
      </w:r>
      <w:r>
        <w:rPr>
          <w:rStyle w:val="6"/>
        </w:rPr>
        <w:t>2022年财政一般公共预算财政收入预计</w:t>
      </w:r>
      <w:r>
        <w:rPr>
          <w:rStyle w:val="6"/>
          <w:rFonts w:hint="eastAsia"/>
          <w:lang w:val="en-US" w:eastAsia="zh-CN"/>
        </w:rPr>
        <w:t>1168.11</w:t>
      </w:r>
      <w:r>
        <w:rPr>
          <w:rStyle w:val="6"/>
        </w:rPr>
        <w:t>万元，比上年增加</w:t>
      </w:r>
      <w:r>
        <w:rPr>
          <w:rStyle w:val="6"/>
          <w:rFonts w:hint="eastAsia"/>
          <w:lang w:val="en-US" w:eastAsia="zh-CN"/>
        </w:rPr>
        <w:t>77.62</w:t>
      </w:r>
      <w:r>
        <w:rPr>
          <w:rStyle w:val="6"/>
        </w:rPr>
        <w:t>%，</w:t>
      </w:r>
      <w:r>
        <w:rPr>
          <w:rStyle w:val="6"/>
          <w:rFonts w:ascii="方正仿宋_GBK" w:hAnsi="楷体"/>
        </w:rPr>
        <w:t>预算安</w:t>
      </w:r>
      <w:r>
        <w:rPr>
          <w:rStyle w:val="6"/>
        </w:rPr>
        <w:t>排2022年</w:t>
      </w:r>
      <w:r>
        <w:rPr>
          <w:rStyle w:val="6"/>
          <w:rFonts w:ascii="方正仿宋_GBK" w:hAnsi="楷体"/>
        </w:rPr>
        <w:t>财政</w:t>
      </w:r>
      <w:r>
        <w:rPr>
          <w:rStyle w:val="6"/>
        </w:rPr>
        <w:t>体制补助收入</w:t>
      </w:r>
      <w:r>
        <w:rPr>
          <w:rStyle w:val="6"/>
          <w:rFonts w:ascii="方正仿宋_GBK" w:hAnsi="楷体"/>
        </w:rPr>
        <w:t>可用资金</w:t>
      </w:r>
      <w:r>
        <w:rPr>
          <w:rStyle w:val="6"/>
        </w:rPr>
        <w:t>为</w:t>
      </w:r>
      <w:r>
        <w:rPr>
          <w:rStyle w:val="6"/>
          <w:rFonts w:hint="eastAsia"/>
          <w:lang w:val="en-US" w:eastAsia="zh-CN"/>
        </w:rPr>
        <w:t>1168.11</w:t>
      </w:r>
      <w:r>
        <w:rPr>
          <w:rStyle w:val="6"/>
        </w:rPr>
        <w:t>万元。</w:t>
      </w:r>
    </w:p>
    <w:p>
      <w:pPr>
        <w:spacing w:line="560" w:lineRule="exact"/>
        <w:ind w:firstLine="640" w:firstLineChars="200"/>
        <w:rPr>
          <w:rStyle w:val="6"/>
          <w:rFonts w:ascii="方正楷体_GBK" w:eastAsia="方正楷体_GBK"/>
        </w:rPr>
      </w:pPr>
      <w:r>
        <w:rPr>
          <w:rStyle w:val="6"/>
          <w:rFonts w:ascii="方正楷体_GBK" w:eastAsia="方正楷体_GBK"/>
        </w:rPr>
        <w:t>（二）2022年一般公共预算支出草案</w:t>
      </w:r>
    </w:p>
    <w:p>
      <w:pPr>
        <w:spacing w:line="560" w:lineRule="exact"/>
        <w:ind w:firstLine="640" w:firstLineChars="200"/>
        <w:rPr>
          <w:rStyle w:val="6"/>
        </w:rPr>
      </w:pPr>
      <w:r>
        <w:rPr>
          <w:rStyle w:val="6"/>
        </w:rPr>
        <w:t>根据一般公共预算安排情况，现对已下达年初预算</w:t>
      </w:r>
      <w:r>
        <w:rPr>
          <w:rStyle w:val="6"/>
          <w:rFonts w:hint="eastAsia"/>
          <w:lang w:val="en-US" w:eastAsia="zh-CN"/>
        </w:rPr>
        <w:t>1168.11</w:t>
      </w:r>
      <w:r>
        <w:rPr>
          <w:rStyle w:val="6"/>
        </w:rPr>
        <w:t>万元，共计安排支出</w:t>
      </w:r>
      <w:r>
        <w:rPr>
          <w:rStyle w:val="6"/>
          <w:rFonts w:hint="eastAsia"/>
          <w:lang w:val="en-US" w:eastAsia="zh-CN"/>
        </w:rPr>
        <w:t>1168.11</w:t>
      </w:r>
      <w:r>
        <w:rPr>
          <w:rStyle w:val="6"/>
        </w:rPr>
        <w:t>万元。</w:t>
      </w:r>
    </w:p>
    <w:p>
      <w:pPr>
        <w:spacing w:line="560" w:lineRule="exact"/>
        <w:ind w:firstLine="643" w:firstLineChars="200"/>
        <w:rPr>
          <w:rStyle w:val="6"/>
        </w:rPr>
      </w:pPr>
      <w:r>
        <w:rPr>
          <w:rStyle w:val="6"/>
          <w:b/>
        </w:rPr>
        <w:t>一是基本支出</w:t>
      </w:r>
      <w:r>
        <w:rPr>
          <w:rStyle w:val="6"/>
          <w:rFonts w:hint="eastAsia"/>
          <w:b/>
          <w:lang w:val="en-US" w:eastAsia="zh-CN"/>
        </w:rPr>
        <w:t>372.77</w:t>
      </w:r>
      <w:r>
        <w:rPr>
          <w:rStyle w:val="6"/>
          <w:b/>
        </w:rPr>
        <w:t>万元。</w:t>
      </w:r>
      <w:r>
        <w:rPr>
          <w:rStyle w:val="6"/>
        </w:rPr>
        <w:t>其中财政供养人员</w:t>
      </w:r>
      <w:r>
        <w:rPr>
          <w:rStyle w:val="6"/>
          <w:rFonts w:hint="eastAsia"/>
          <w:lang w:eastAsia="zh-CN"/>
        </w:rPr>
        <w:t>工资福利支出</w:t>
      </w:r>
      <w:r>
        <w:rPr>
          <w:rStyle w:val="6"/>
          <w:rFonts w:hint="eastAsia"/>
          <w:lang w:val="en-US" w:eastAsia="zh-CN"/>
        </w:rPr>
        <w:t>350.34</w:t>
      </w:r>
      <w:r>
        <w:rPr>
          <w:rStyle w:val="6"/>
        </w:rPr>
        <w:t>万元，含人大、党委、政府、社会保障与就业、综合、农服、退役等事务支出；</w:t>
      </w:r>
      <w:r>
        <w:rPr>
          <w:rStyle w:val="6"/>
          <w:rFonts w:hint="eastAsia"/>
          <w:lang w:eastAsia="zh-CN"/>
        </w:rPr>
        <w:t>商品和服务支出</w:t>
      </w:r>
      <w:r>
        <w:rPr>
          <w:rStyle w:val="6"/>
          <w:rFonts w:hint="eastAsia"/>
          <w:lang w:val="en-US" w:eastAsia="zh-CN"/>
        </w:rPr>
        <w:t>13.86万元，</w:t>
      </w:r>
      <w:r>
        <w:rPr>
          <w:rStyle w:val="6"/>
        </w:rPr>
        <w:t>遗属人员生活补助支出8.5</w:t>
      </w:r>
      <w:r>
        <w:rPr>
          <w:rStyle w:val="6"/>
          <w:rFonts w:hint="eastAsia"/>
          <w:lang w:val="en-US" w:eastAsia="zh-CN"/>
        </w:rPr>
        <w:t>7</w:t>
      </w:r>
      <w:r>
        <w:rPr>
          <w:rStyle w:val="6"/>
        </w:rPr>
        <w:t>万元。</w:t>
      </w:r>
    </w:p>
    <w:p>
      <w:pPr>
        <w:spacing w:line="560" w:lineRule="exact"/>
        <w:ind w:firstLine="643" w:firstLineChars="200"/>
        <w:rPr>
          <w:rStyle w:val="6"/>
          <w:rFonts w:hint="default"/>
          <w:lang w:val="en-US" w:eastAsia="zh-CN"/>
        </w:rPr>
      </w:pPr>
      <w:r>
        <w:rPr>
          <w:rStyle w:val="6"/>
          <w:b/>
        </w:rPr>
        <w:t>二是项目支出</w:t>
      </w:r>
      <w:r>
        <w:rPr>
          <w:rStyle w:val="6"/>
          <w:rFonts w:hint="eastAsia"/>
          <w:b/>
          <w:lang w:val="en-US" w:eastAsia="zh-CN"/>
        </w:rPr>
        <w:t>795.34</w:t>
      </w:r>
      <w:r>
        <w:rPr>
          <w:rStyle w:val="6"/>
          <w:b/>
        </w:rPr>
        <w:t>万元。</w:t>
      </w:r>
      <w:r>
        <w:rPr>
          <w:rStyle w:val="6"/>
        </w:rPr>
        <w:t>其中村社区干部报酬86.76万元；村民小组长经费5.18万元；村务监督委员会成员经费2.16万元；村社区干部参加养老保险23.7</w:t>
      </w:r>
      <w:r>
        <w:rPr>
          <w:rStyle w:val="6"/>
          <w:rFonts w:hint="eastAsia"/>
          <w:lang w:val="en-US" w:eastAsia="zh-CN"/>
        </w:rPr>
        <w:t>4</w:t>
      </w:r>
      <w:r>
        <w:rPr>
          <w:rStyle w:val="6"/>
        </w:rPr>
        <w:t>万元；村社区办公经费14万元；村社区服务群众专项经费18万元；40年老党员生活补助3.07万元；乡村振兴驻乡驻村工作队工作经费34.83万元；乡村振兴驻乡驻村工作队乡镇工作补贴7.32万元；基本运转奖补17.68万元；市政建设30万元；激励和返还性转移支付24.6万元；武装经费3万元</w:t>
      </w:r>
      <w:r>
        <w:rPr>
          <w:rStyle w:val="6"/>
          <w:rFonts w:hint="eastAsia"/>
          <w:lang w:eastAsia="zh-CN"/>
        </w:rPr>
        <w:t>；北屏乡松柏村供水保障及水质提升工程</w:t>
      </w:r>
      <w:r>
        <w:rPr>
          <w:rStyle w:val="6"/>
          <w:rFonts w:hint="eastAsia"/>
          <w:lang w:val="en-US" w:eastAsia="zh-CN"/>
        </w:rPr>
        <w:t>120万元；城口县2022年北屏乡乡村非全日制公益性岗位85万元；城口县2022年北屏乡食用菌提升基地50万元；城口县2022年北屏乡中药材产业提升项目36万元；城口县2022年北屏乡大巴山药谷金龙分谷建设项目30万元；城口县2022年北屏乡金龙村饮水巩固提升项目50万元；城口县北屏乡2022年农村环境综合整治项目100万元；城口县2022年项目管理费4万元；2022年北屏乡金龙村集体经济试点项目50万元。</w:t>
      </w:r>
    </w:p>
    <w:p>
      <w:pPr>
        <w:spacing w:line="560" w:lineRule="exact"/>
        <w:ind w:firstLine="640" w:firstLineChars="200"/>
        <w:rPr>
          <w:rStyle w:val="6"/>
          <w:rFonts w:eastAsia="方正黑体_GBK"/>
        </w:rPr>
      </w:pPr>
      <w:r>
        <w:rPr>
          <w:rStyle w:val="6"/>
          <w:rFonts w:eastAsia="方正黑体_GBK"/>
        </w:rPr>
        <w:t>三、</w:t>
      </w:r>
      <w:r>
        <w:rPr>
          <w:rStyle w:val="6"/>
          <w:rFonts w:hint="eastAsia" w:eastAsia="方正黑体_GBK"/>
        </w:rPr>
        <w:t>完成</w:t>
      </w:r>
      <w:r>
        <w:rPr>
          <w:rStyle w:val="6"/>
          <w:rFonts w:eastAsia="方正黑体_GBK"/>
        </w:rPr>
        <w:t>2022年财政</w:t>
      </w:r>
      <w:r>
        <w:rPr>
          <w:rStyle w:val="6"/>
          <w:rFonts w:hint="eastAsia" w:eastAsia="方正黑体_GBK"/>
        </w:rPr>
        <w:t>目标</w:t>
      </w:r>
      <w:r>
        <w:rPr>
          <w:rStyle w:val="6"/>
          <w:rFonts w:eastAsia="方正黑体_GBK"/>
        </w:rPr>
        <w:t>主要</w:t>
      </w:r>
      <w:r>
        <w:rPr>
          <w:rStyle w:val="6"/>
          <w:rFonts w:hint="eastAsia" w:eastAsia="方正黑体_GBK"/>
        </w:rPr>
        <w:t>措施</w:t>
      </w:r>
    </w:p>
    <w:p>
      <w:pPr>
        <w:spacing w:line="560" w:lineRule="exact"/>
        <w:ind w:firstLine="640" w:firstLineChars="200"/>
        <w:rPr>
          <w:rStyle w:val="6"/>
        </w:rPr>
      </w:pPr>
      <w:r>
        <w:rPr>
          <w:rStyle w:val="6"/>
        </w:rPr>
        <w:t>2022年乡财政预算是根据现行财政体制，按照“量入为出，收支平衡”的预算原则和上级有关政策要求安排的。各位代表，做好今年的财政工作，对促进我乡经济持续稳定健康发展，开创我乡新局面具有重要意义，为此我们将努力做好以下工作：</w:t>
      </w:r>
    </w:p>
    <w:p>
      <w:pPr>
        <w:spacing w:line="560" w:lineRule="exact"/>
        <w:ind w:firstLine="640" w:firstLineChars="200"/>
        <w:rPr>
          <w:rStyle w:val="6"/>
          <w:rFonts w:ascii="方正楷体_GBK" w:hAnsi="楷体" w:eastAsia="方正楷体_GBK"/>
        </w:rPr>
      </w:pPr>
      <w:r>
        <w:rPr>
          <w:rStyle w:val="6"/>
          <w:rFonts w:ascii="方正楷体_GBK" w:hAnsi="楷体" w:eastAsia="方正楷体_GBK"/>
        </w:rPr>
        <w:t>（一）加大财源培植，不断增强经济发展后劲。</w:t>
      </w:r>
      <w:r>
        <w:rPr>
          <w:rStyle w:val="6"/>
          <w:rFonts w:ascii="方正仿宋_GBK" w:hAnsi="楷体"/>
        </w:rPr>
        <w:t>充分发挥财政政策、资金导向作用，激励实体经济和农村经济的发展，促进产业转型升级，推进企业由量的扩张向质的提高转变，提高经济增长质量，加快发展生态旅游产业。加强税收征管，拓宽非税收入渠道，确保财政收入稳步增长，增强财源建设的可持续性。进一步加强基础设施建设，优化创业发展环境，积极争取上级财政、部门支持和招商引资的力度，努力增强经济发展后劲。</w:t>
      </w:r>
    </w:p>
    <w:p>
      <w:pPr>
        <w:spacing w:line="560" w:lineRule="exact"/>
        <w:ind w:firstLine="640" w:firstLineChars="200"/>
        <w:rPr>
          <w:rStyle w:val="6"/>
        </w:rPr>
      </w:pPr>
      <w:r>
        <w:rPr>
          <w:rStyle w:val="6"/>
          <w:rFonts w:ascii="方正楷体_GBK" w:hAnsi="楷体" w:eastAsia="方正楷体_GBK"/>
        </w:rPr>
        <w:t>（二）优化支出结构</w:t>
      </w:r>
      <w:r>
        <w:rPr>
          <w:rStyle w:val="6"/>
          <w:rFonts w:eastAsia="方正楷体_GBK"/>
        </w:rPr>
        <w:t>，聚焦民计民生持续改善。</w:t>
      </w:r>
      <w:r>
        <w:rPr>
          <w:rStyle w:val="6"/>
        </w:rPr>
        <w:t>完善公共服务设施，推动巩固脱贫成果与乡村振兴有效衔接各项政策落地，优先保障各项民生支出。</w:t>
      </w:r>
      <w:r>
        <w:rPr>
          <w:rStyle w:val="6"/>
          <w:rFonts w:ascii="方正仿宋_GBK" w:hAnsi="楷体"/>
        </w:rPr>
        <w:t>落实好教育、医疗卫生、社会保障和就业等事业经费，</w:t>
      </w:r>
      <w:r>
        <w:rPr>
          <w:rStyle w:val="6"/>
        </w:rPr>
        <w:t>加快发展公益性事业，逐步实现公共服务均等化。</w:t>
      </w:r>
      <w:r>
        <w:rPr>
          <w:rStyle w:val="6"/>
          <w:rFonts w:ascii="方正仿宋_GBK" w:hAnsi="楷体"/>
        </w:rPr>
        <w:t>确保农村低保、特困供养、农村养老、社会救助</w:t>
      </w:r>
      <w:r>
        <w:rPr>
          <w:rStyle w:val="6"/>
          <w:rFonts w:hint="eastAsia" w:ascii="方正仿宋_GBK" w:hAnsi="楷体"/>
        </w:rPr>
        <w:t>等</w:t>
      </w:r>
      <w:r>
        <w:rPr>
          <w:rStyle w:val="6"/>
          <w:rFonts w:ascii="方正仿宋_GBK" w:hAnsi="楷体"/>
        </w:rPr>
        <w:t>各项民计民生资金的到位和发放。</w:t>
      </w:r>
      <w:r>
        <w:rPr>
          <w:rStyle w:val="6"/>
        </w:rPr>
        <w:t>持续加大支农力度，科学安排资金，不断改善农村的生产生活条件，继续落实好财政惠农政策，切实解决与人民群众生活密切相关的难点热点问题，不断提高群众获得感、幸福感、安全感。</w:t>
      </w:r>
    </w:p>
    <w:p>
      <w:pPr>
        <w:spacing w:line="560" w:lineRule="exact"/>
        <w:ind w:firstLine="627" w:firstLineChars="196"/>
        <w:rPr>
          <w:rStyle w:val="6"/>
        </w:rPr>
      </w:pPr>
      <w:r>
        <w:rPr>
          <w:rStyle w:val="6"/>
          <w:rFonts w:eastAsia="方正楷体_GBK"/>
        </w:rPr>
        <w:t>（三）加强财政管理，切实提高资金使用效益。</w:t>
      </w:r>
      <w:r>
        <w:rPr>
          <w:rStyle w:val="6"/>
          <w:rFonts w:hint="eastAsia"/>
        </w:rPr>
        <w:t>严格执行</w:t>
      </w:r>
      <w:r>
        <w:rPr>
          <w:rStyle w:val="6"/>
        </w:rPr>
        <w:t>财政财务管理制度，有效推进内部控制体系建设，完善内部监督机制，主动接受人大和纪委监督，加强资金使用的审批和监督。</w:t>
      </w:r>
      <w:r>
        <w:rPr>
          <w:rStyle w:val="6"/>
          <w:rFonts w:hint="eastAsia"/>
        </w:rPr>
        <w:t>成立工程建设项目管理领导小组</w:t>
      </w:r>
      <w:r>
        <w:rPr>
          <w:rStyle w:val="6"/>
        </w:rPr>
        <w:t>，强化对基础设施建设和产业发展</w:t>
      </w:r>
      <w:r>
        <w:rPr>
          <w:rStyle w:val="6"/>
          <w:rFonts w:hint="eastAsia"/>
        </w:rPr>
        <w:t>等</w:t>
      </w:r>
      <w:r>
        <w:rPr>
          <w:rStyle w:val="6"/>
        </w:rPr>
        <w:t>农林水项目实施过程的监管，加强项目预算、竣工结算审核，严格组织项目验收，</w:t>
      </w:r>
      <w:r>
        <w:rPr>
          <w:rStyle w:val="6"/>
          <w:rFonts w:hint="eastAsia"/>
        </w:rPr>
        <w:t>确保</w:t>
      </w:r>
      <w:r>
        <w:rPr>
          <w:rStyle w:val="6"/>
        </w:rPr>
        <w:t>财政资金使用的有效性、规范性和安全性</w:t>
      </w:r>
      <w:r>
        <w:rPr>
          <w:rStyle w:val="6"/>
          <w:rFonts w:hint="eastAsia"/>
        </w:rPr>
        <w:t>，</w:t>
      </w:r>
      <w:r>
        <w:rPr>
          <w:rStyle w:val="6"/>
        </w:rPr>
        <w:t>提高</w:t>
      </w:r>
      <w:r>
        <w:rPr>
          <w:rStyle w:val="6"/>
          <w:rFonts w:hint="eastAsia"/>
        </w:rPr>
        <w:t>财政</w:t>
      </w:r>
      <w:r>
        <w:rPr>
          <w:rStyle w:val="6"/>
        </w:rPr>
        <w:t>资金使用绩效。加大对村级财务工作指导力度，</w:t>
      </w:r>
      <w:r>
        <w:rPr>
          <w:rStyle w:val="6"/>
          <w:rFonts w:hint="eastAsia"/>
        </w:rPr>
        <w:t>进一步</w:t>
      </w:r>
      <w:r>
        <w:rPr>
          <w:rStyle w:val="6"/>
        </w:rPr>
        <w:t>规范村级财务管理，严格执行财务审批制度，</w:t>
      </w:r>
      <w:r>
        <w:rPr>
          <w:rStyle w:val="6"/>
          <w:rFonts w:hint="eastAsia"/>
        </w:rPr>
        <w:t>加强债务风险管控，</w:t>
      </w:r>
      <w:r>
        <w:rPr>
          <w:rStyle w:val="6"/>
        </w:rPr>
        <w:t>推进财政财务管理工作上新台阶。</w:t>
      </w:r>
    </w:p>
    <w:p>
      <w:pPr>
        <w:spacing w:line="560" w:lineRule="exact"/>
      </w:pPr>
      <w:r>
        <w:rPr>
          <w:rStyle w:val="6"/>
          <w:rFonts w:eastAsia="方正楷体_GBK"/>
        </w:rPr>
        <w:t xml:space="preserve">   </w:t>
      </w:r>
      <w:r>
        <w:rPr>
          <w:rStyle w:val="6"/>
          <w:rFonts w:hint="eastAsia" w:eastAsia="方正楷体_GBK"/>
        </w:rPr>
        <w:t xml:space="preserve"> </w:t>
      </w:r>
      <w:r>
        <w:rPr>
          <w:rStyle w:val="6"/>
          <w:rFonts w:eastAsia="方正楷体_GBK"/>
        </w:rPr>
        <w:t>（四）强化自身建设，促进财政事业健康发展。</w:t>
      </w:r>
      <w:r>
        <w:rPr>
          <w:rStyle w:val="6"/>
        </w:rPr>
        <w:t>认真贯彻财经法规，切实把依法行政、依法理财贯穿于各项财政工作中。全面履行党风廉政建设主体责任和“一岗双责”，规范财政秩序，强化预算约束，加强专项资金的监督，确保财政收支平衡。</w:t>
      </w:r>
      <w:r>
        <w:rPr>
          <w:rStyle w:val="6"/>
          <w:rFonts w:hint="eastAsia"/>
        </w:rPr>
        <w:t>深入贯彻落实中央八项规定及其实施细则精神和市委、县委实施意见</w:t>
      </w:r>
      <w:r>
        <w:rPr>
          <w:rStyle w:val="6"/>
        </w:rPr>
        <w:t>，合理缩减“三公经费”开支，确保不挤占挪用专项资金。牢固树立过“紧日子”的思想，大力发扬艰苦奋斗、勤俭节约的精神。强化财务人员专业知识培训，加强财务干部能力建设。构建规范高效、运转有序的财政服务体系，全面提升财政工作效能。</w:t>
      </w:r>
    </w:p>
    <w:p>
      <w:pPr>
        <w:spacing w:line="560" w:lineRule="exact"/>
        <w:ind w:firstLine="640" w:firstLineChars="200"/>
        <w:rPr>
          <w:rStyle w:val="6"/>
          <w:color w:val="000000"/>
        </w:rPr>
      </w:pPr>
      <w:r>
        <w:rPr>
          <w:rStyle w:val="6"/>
          <w:rFonts w:ascii="方正仿宋_GBK" w:hAnsi="楷体"/>
        </w:rPr>
        <w:t>各位代表！</w:t>
      </w:r>
      <w:r>
        <w:rPr>
          <w:rStyle w:val="6"/>
        </w:rPr>
        <w:t>2022年</w:t>
      </w:r>
      <w:r>
        <w:rPr>
          <w:rStyle w:val="6"/>
          <w:rFonts w:ascii="方正仿宋_GBK" w:hAnsi="楷体"/>
        </w:rPr>
        <w:t>是实施“十四五”规划的关键之年，财政工作需立足新发展阶段，贯彻新发展理念，构建新发展格局，以推动高质量发展为起点，以满足人民日益增长的美好生活需要为根本目的，</w:t>
      </w:r>
      <w:r>
        <w:rPr>
          <w:rStyle w:val="6"/>
        </w:rPr>
        <w:t>认真贯彻执行乡党委政府提出的总体目标和人代会作出的各项决议，</w:t>
      </w:r>
      <w:r>
        <w:rPr>
          <w:rStyle w:val="6"/>
          <w:rFonts w:ascii="方正仿宋_GBK" w:hAnsi="楷体"/>
        </w:rPr>
        <w:t>主动听取意见</w:t>
      </w:r>
      <w:r>
        <w:rPr>
          <w:rStyle w:val="6"/>
          <w:rFonts w:hint="eastAsia" w:ascii="方正仿宋_GBK" w:hAnsi="楷体"/>
        </w:rPr>
        <w:t>和</w:t>
      </w:r>
      <w:r>
        <w:rPr>
          <w:rStyle w:val="6"/>
          <w:rFonts w:ascii="方正仿宋_GBK" w:hAnsi="楷体"/>
        </w:rPr>
        <w:t>建议，</w:t>
      </w:r>
      <w:r>
        <w:rPr>
          <w:rStyle w:val="6"/>
        </w:rPr>
        <w:t>立足现实，着眼长远，求真务实，</w:t>
      </w:r>
      <w:r>
        <w:rPr>
          <w:rStyle w:val="6"/>
          <w:rFonts w:ascii="方正仿宋_GBK" w:hAnsi="楷体"/>
        </w:rPr>
        <w:t>担当作为，为奋力</w:t>
      </w:r>
      <w:r>
        <w:rPr>
          <w:rStyle w:val="6"/>
        </w:rPr>
        <w:t>开创财政事业新局面，谱写北屏高质量发展新篇章作出</w:t>
      </w:r>
      <w:r>
        <w:rPr>
          <w:rStyle w:val="6"/>
          <w:rFonts w:ascii="方正仿宋_GBK" w:hAnsi="楷体"/>
        </w:rPr>
        <w:t>新的</w:t>
      </w:r>
      <w:r>
        <w:rPr>
          <w:rStyle w:val="6"/>
        </w:rPr>
        <w:t>更大贡献！</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795207"/>
      <w:docPartObj>
        <w:docPartGallery w:val="autotext"/>
      </w:docPartObj>
    </w:sdtPr>
    <w:sdtEndPr>
      <w:rPr>
        <w:rFonts w:asciiTheme="minorEastAsia" w:hAnsiTheme="minorEastAsia" w:eastAsiaTheme="minorEastAsia"/>
        <w:sz w:val="28"/>
        <w:szCs w:val="28"/>
      </w:rPr>
    </w:sdtEndPr>
    <w:sdtContent>
      <w:p>
        <w:pPr>
          <w:pStyle w:val="2"/>
          <w:jc w:val="center"/>
        </w:pPr>
        <w:r>
          <w:rPr>
            <w:rFonts w:hint="eastAsia"/>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6</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hint="eastAsia"/>
          </w:rPr>
          <w:t>—</w:t>
        </w:r>
      </w:p>
    </w:sdtContent>
  </w:sdt>
  <w:p>
    <w:pPr>
      <w:pStyle w:val="8"/>
      <w:rPr>
        <w:rStyle w:val="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8F"/>
    <w:rsid w:val="0000366B"/>
    <w:rsid w:val="00006D87"/>
    <w:rsid w:val="000101B0"/>
    <w:rsid w:val="00013E9C"/>
    <w:rsid w:val="000172AE"/>
    <w:rsid w:val="0002284D"/>
    <w:rsid w:val="00027D7A"/>
    <w:rsid w:val="00030D55"/>
    <w:rsid w:val="00033EF8"/>
    <w:rsid w:val="00036726"/>
    <w:rsid w:val="0005466F"/>
    <w:rsid w:val="00057C5B"/>
    <w:rsid w:val="00057D9A"/>
    <w:rsid w:val="00060B7B"/>
    <w:rsid w:val="000619B4"/>
    <w:rsid w:val="000666BD"/>
    <w:rsid w:val="00066A9B"/>
    <w:rsid w:val="00083F6B"/>
    <w:rsid w:val="000961B0"/>
    <w:rsid w:val="000C53A0"/>
    <w:rsid w:val="000E060F"/>
    <w:rsid w:val="000E092D"/>
    <w:rsid w:val="000E0CFE"/>
    <w:rsid w:val="000E698D"/>
    <w:rsid w:val="000F13F1"/>
    <w:rsid w:val="000F258D"/>
    <w:rsid w:val="000F2D82"/>
    <w:rsid w:val="00103255"/>
    <w:rsid w:val="0010656A"/>
    <w:rsid w:val="00110252"/>
    <w:rsid w:val="00113435"/>
    <w:rsid w:val="00117180"/>
    <w:rsid w:val="00124B8F"/>
    <w:rsid w:val="001304FA"/>
    <w:rsid w:val="00134022"/>
    <w:rsid w:val="001343B7"/>
    <w:rsid w:val="00135E92"/>
    <w:rsid w:val="00143B62"/>
    <w:rsid w:val="00144A5B"/>
    <w:rsid w:val="00147879"/>
    <w:rsid w:val="001504AA"/>
    <w:rsid w:val="00156CD7"/>
    <w:rsid w:val="00167ABF"/>
    <w:rsid w:val="001803B7"/>
    <w:rsid w:val="0018042E"/>
    <w:rsid w:val="0018191D"/>
    <w:rsid w:val="001835F3"/>
    <w:rsid w:val="00185050"/>
    <w:rsid w:val="001945CE"/>
    <w:rsid w:val="001A0A14"/>
    <w:rsid w:val="001A4AB3"/>
    <w:rsid w:val="001B1AFE"/>
    <w:rsid w:val="001B380C"/>
    <w:rsid w:val="001B4C6A"/>
    <w:rsid w:val="001C464A"/>
    <w:rsid w:val="001C4D70"/>
    <w:rsid w:val="001D72CE"/>
    <w:rsid w:val="001E4A6F"/>
    <w:rsid w:val="001E55F9"/>
    <w:rsid w:val="001F0BD9"/>
    <w:rsid w:val="001F34CE"/>
    <w:rsid w:val="00200E8F"/>
    <w:rsid w:val="002024E5"/>
    <w:rsid w:val="00205143"/>
    <w:rsid w:val="00205D37"/>
    <w:rsid w:val="00211970"/>
    <w:rsid w:val="00215D26"/>
    <w:rsid w:val="00220971"/>
    <w:rsid w:val="0022208C"/>
    <w:rsid w:val="00222C13"/>
    <w:rsid w:val="0022375C"/>
    <w:rsid w:val="002239D4"/>
    <w:rsid w:val="00233BA0"/>
    <w:rsid w:val="002352EB"/>
    <w:rsid w:val="00236913"/>
    <w:rsid w:val="0023718B"/>
    <w:rsid w:val="0024086E"/>
    <w:rsid w:val="00241004"/>
    <w:rsid w:val="002443EE"/>
    <w:rsid w:val="00245811"/>
    <w:rsid w:val="00246270"/>
    <w:rsid w:val="0026614D"/>
    <w:rsid w:val="00270508"/>
    <w:rsid w:val="00271811"/>
    <w:rsid w:val="00272155"/>
    <w:rsid w:val="002724B8"/>
    <w:rsid w:val="00283CE2"/>
    <w:rsid w:val="00284910"/>
    <w:rsid w:val="00294C93"/>
    <w:rsid w:val="002A2E05"/>
    <w:rsid w:val="002A5A87"/>
    <w:rsid w:val="002B0016"/>
    <w:rsid w:val="002B0035"/>
    <w:rsid w:val="002B10EE"/>
    <w:rsid w:val="002C2B50"/>
    <w:rsid w:val="002C3328"/>
    <w:rsid w:val="002C386A"/>
    <w:rsid w:val="002C4200"/>
    <w:rsid w:val="002D1841"/>
    <w:rsid w:val="002E21FE"/>
    <w:rsid w:val="002E281F"/>
    <w:rsid w:val="002E2AA7"/>
    <w:rsid w:val="002F28D6"/>
    <w:rsid w:val="002F38F1"/>
    <w:rsid w:val="003001BD"/>
    <w:rsid w:val="00303ACA"/>
    <w:rsid w:val="0030643F"/>
    <w:rsid w:val="00315362"/>
    <w:rsid w:val="00324BF8"/>
    <w:rsid w:val="00331E45"/>
    <w:rsid w:val="00333D08"/>
    <w:rsid w:val="003343E4"/>
    <w:rsid w:val="00334E03"/>
    <w:rsid w:val="00335B29"/>
    <w:rsid w:val="00360FBE"/>
    <w:rsid w:val="0036348B"/>
    <w:rsid w:val="0036611E"/>
    <w:rsid w:val="003700FD"/>
    <w:rsid w:val="00377B61"/>
    <w:rsid w:val="00381469"/>
    <w:rsid w:val="00382A4B"/>
    <w:rsid w:val="00383BC7"/>
    <w:rsid w:val="0039097C"/>
    <w:rsid w:val="00392ADA"/>
    <w:rsid w:val="00395E60"/>
    <w:rsid w:val="00396E38"/>
    <w:rsid w:val="003974C4"/>
    <w:rsid w:val="003A218E"/>
    <w:rsid w:val="003B0637"/>
    <w:rsid w:val="003B29B0"/>
    <w:rsid w:val="003B309E"/>
    <w:rsid w:val="003B313D"/>
    <w:rsid w:val="003B48E7"/>
    <w:rsid w:val="003B7777"/>
    <w:rsid w:val="003D215D"/>
    <w:rsid w:val="003D551F"/>
    <w:rsid w:val="003E46AB"/>
    <w:rsid w:val="003E502F"/>
    <w:rsid w:val="003E5273"/>
    <w:rsid w:val="003E76F1"/>
    <w:rsid w:val="003F0280"/>
    <w:rsid w:val="003F485D"/>
    <w:rsid w:val="0040711D"/>
    <w:rsid w:val="00413A2D"/>
    <w:rsid w:val="00414120"/>
    <w:rsid w:val="00422B67"/>
    <w:rsid w:val="0042428C"/>
    <w:rsid w:val="00431AAA"/>
    <w:rsid w:val="00432EEE"/>
    <w:rsid w:val="004344B1"/>
    <w:rsid w:val="00434AF7"/>
    <w:rsid w:val="00436D73"/>
    <w:rsid w:val="00440E8F"/>
    <w:rsid w:val="00443AEC"/>
    <w:rsid w:val="004646CB"/>
    <w:rsid w:val="00481479"/>
    <w:rsid w:val="00481B22"/>
    <w:rsid w:val="00485422"/>
    <w:rsid w:val="004879CC"/>
    <w:rsid w:val="00491B1E"/>
    <w:rsid w:val="00492117"/>
    <w:rsid w:val="004A38DC"/>
    <w:rsid w:val="004A3E4F"/>
    <w:rsid w:val="004A5375"/>
    <w:rsid w:val="004A6A3A"/>
    <w:rsid w:val="004B09B0"/>
    <w:rsid w:val="004C1786"/>
    <w:rsid w:val="004D5922"/>
    <w:rsid w:val="004F3746"/>
    <w:rsid w:val="00501C06"/>
    <w:rsid w:val="005052FC"/>
    <w:rsid w:val="0051161C"/>
    <w:rsid w:val="005157A4"/>
    <w:rsid w:val="00522E4A"/>
    <w:rsid w:val="00526B3A"/>
    <w:rsid w:val="00533CB2"/>
    <w:rsid w:val="00534740"/>
    <w:rsid w:val="00541AE1"/>
    <w:rsid w:val="005449A7"/>
    <w:rsid w:val="005512B5"/>
    <w:rsid w:val="00556129"/>
    <w:rsid w:val="00556F40"/>
    <w:rsid w:val="00564619"/>
    <w:rsid w:val="00570442"/>
    <w:rsid w:val="00573869"/>
    <w:rsid w:val="00577A85"/>
    <w:rsid w:val="005856D1"/>
    <w:rsid w:val="005928F3"/>
    <w:rsid w:val="005967D5"/>
    <w:rsid w:val="005978A3"/>
    <w:rsid w:val="005A70CE"/>
    <w:rsid w:val="005C2F30"/>
    <w:rsid w:val="005C46DE"/>
    <w:rsid w:val="005C57A9"/>
    <w:rsid w:val="005C6DAA"/>
    <w:rsid w:val="005C75BE"/>
    <w:rsid w:val="005E200D"/>
    <w:rsid w:val="005E42EC"/>
    <w:rsid w:val="005E4499"/>
    <w:rsid w:val="005E7060"/>
    <w:rsid w:val="005E79F8"/>
    <w:rsid w:val="005F09ED"/>
    <w:rsid w:val="005F602B"/>
    <w:rsid w:val="00600DBC"/>
    <w:rsid w:val="0060351A"/>
    <w:rsid w:val="00607DD3"/>
    <w:rsid w:val="00617EBF"/>
    <w:rsid w:val="006202D4"/>
    <w:rsid w:val="00621611"/>
    <w:rsid w:val="006270FC"/>
    <w:rsid w:val="00630E65"/>
    <w:rsid w:val="006329A7"/>
    <w:rsid w:val="0065495A"/>
    <w:rsid w:val="00655943"/>
    <w:rsid w:val="006663A3"/>
    <w:rsid w:val="00666EC0"/>
    <w:rsid w:val="00667271"/>
    <w:rsid w:val="0067137C"/>
    <w:rsid w:val="00672B74"/>
    <w:rsid w:val="00674C30"/>
    <w:rsid w:val="00676958"/>
    <w:rsid w:val="00686B99"/>
    <w:rsid w:val="00692586"/>
    <w:rsid w:val="00693981"/>
    <w:rsid w:val="00694630"/>
    <w:rsid w:val="00697824"/>
    <w:rsid w:val="006A5CA9"/>
    <w:rsid w:val="006A7D2D"/>
    <w:rsid w:val="006B121A"/>
    <w:rsid w:val="006B5256"/>
    <w:rsid w:val="006C3F30"/>
    <w:rsid w:val="006C4FBE"/>
    <w:rsid w:val="006C7880"/>
    <w:rsid w:val="006E384A"/>
    <w:rsid w:val="006E753E"/>
    <w:rsid w:val="006F060D"/>
    <w:rsid w:val="006F2150"/>
    <w:rsid w:val="006F5A20"/>
    <w:rsid w:val="006F5FA5"/>
    <w:rsid w:val="006F7F21"/>
    <w:rsid w:val="00717F82"/>
    <w:rsid w:val="007312ED"/>
    <w:rsid w:val="007339F9"/>
    <w:rsid w:val="00736ADF"/>
    <w:rsid w:val="0076707A"/>
    <w:rsid w:val="0077035C"/>
    <w:rsid w:val="007726AA"/>
    <w:rsid w:val="007736A3"/>
    <w:rsid w:val="00774F4B"/>
    <w:rsid w:val="0077671F"/>
    <w:rsid w:val="007811E1"/>
    <w:rsid w:val="007863E9"/>
    <w:rsid w:val="0078650F"/>
    <w:rsid w:val="00786DC8"/>
    <w:rsid w:val="00792DA8"/>
    <w:rsid w:val="00793EBA"/>
    <w:rsid w:val="00795932"/>
    <w:rsid w:val="00796C87"/>
    <w:rsid w:val="007B1568"/>
    <w:rsid w:val="007B3529"/>
    <w:rsid w:val="007B3834"/>
    <w:rsid w:val="007B473D"/>
    <w:rsid w:val="007B76A9"/>
    <w:rsid w:val="007C581A"/>
    <w:rsid w:val="007C58B0"/>
    <w:rsid w:val="007C5E3A"/>
    <w:rsid w:val="007D3986"/>
    <w:rsid w:val="007D6AB8"/>
    <w:rsid w:val="007D6DBF"/>
    <w:rsid w:val="007E0AAB"/>
    <w:rsid w:val="007E2872"/>
    <w:rsid w:val="007E2AE7"/>
    <w:rsid w:val="007F2269"/>
    <w:rsid w:val="008019B9"/>
    <w:rsid w:val="00802AA3"/>
    <w:rsid w:val="00804D91"/>
    <w:rsid w:val="00805178"/>
    <w:rsid w:val="0080674F"/>
    <w:rsid w:val="0081406A"/>
    <w:rsid w:val="00820007"/>
    <w:rsid w:val="0082289A"/>
    <w:rsid w:val="008252BD"/>
    <w:rsid w:val="008269F6"/>
    <w:rsid w:val="00826D45"/>
    <w:rsid w:val="00827AD9"/>
    <w:rsid w:val="0083002E"/>
    <w:rsid w:val="00835B46"/>
    <w:rsid w:val="00844B1D"/>
    <w:rsid w:val="00850340"/>
    <w:rsid w:val="0086157C"/>
    <w:rsid w:val="0086744D"/>
    <w:rsid w:val="00871C8D"/>
    <w:rsid w:val="00885D0F"/>
    <w:rsid w:val="00894003"/>
    <w:rsid w:val="008A1886"/>
    <w:rsid w:val="008A49A2"/>
    <w:rsid w:val="008A6515"/>
    <w:rsid w:val="008B1988"/>
    <w:rsid w:val="008B7376"/>
    <w:rsid w:val="008C55E6"/>
    <w:rsid w:val="008D1BE0"/>
    <w:rsid w:val="008D4365"/>
    <w:rsid w:val="008D4392"/>
    <w:rsid w:val="008D4706"/>
    <w:rsid w:val="008E556A"/>
    <w:rsid w:val="008E655E"/>
    <w:rsid w:val="0090338A"/>
    <w:rsid w:val="009136C7"/>
    <w:rsid w:val="009153F9"/>
    <w:rsid w:val="00920730"/>
    <w:rsid w:val="009226F1"/>
    <w:rsid w:val="009315CB"/>
    <w:rsid w:val="00934783"/>
    <w:rsid w:val="009361F0"/>
    <w:rsid w:val="00937D29"/>
    <w:rsid w:val="00945072"/>
    <w:rsid w:val="00951103"/>
    <w:rsid w:val="00951286"/>
    <w:rsid w:val="00954707"/>
    <w:rsid w:val="00955665"/>
    <w:rsid w:val="00966AA7"/>
    <w:rsid w:val="00970CC9"/>
    <w:rsid w:val="009747F7"/>
    <w:rsid w:val="00974DAB"/>
    <w:rsid w:val="00983FEC"/>
    <w:rsid w:val="00992C3E"/>
    <w:rsid w:val="00993529"/>
    <w:rsid w:val="009A4F97"/>
    <w:rsid w:val="009A6258"/>
    <w:rsid w:val="009B5D2C"/>
    <w:rsid w:val="009B6574"/>
    <w:rsid w:val="009C501A"/>
    <w:rsid w:val="009C599F"/>
    <w:rsid w:val="009C6C2F"/>
    <w:rsid w:val="009D0EAC"/>
    <w:rsid w:val="009D39CE"/>
    <w:rsid w:val="009D42CA"/>
    <w:rsid w:val="009E0CCE"/>
    <w:rsid w:val="009E344E"/>
    <w:rsid w:val="009E4094"/>
    <w:rsid w:val="009E4A0E"/>
    <w:rsid w:val="009F1EED"/>
    <w:rsid w:val="009F5F29"/>
    <w:rsid w:val="009F600E"/>
    <w:rsid w:val="009F6E8B"/>
    <w:rsid w:val="00A00044"/>
    <w:rsid w:val="00A11E09"/>
    <w:rsid w:val="00A140D4"/>
    <w:rsid w:val="00A16476"/>
    <w:rsid w:val="00A20AAF"/>
    <w:rsid w:val="00A41FF5"/>
    <w:rsid w:val="00A4554C"/>
    <w:rsid w:val="00A600B5"/>
    <w:rsid w:val="00A61559"/>
    <w:rsid w:val="00A73BFB"/>
    <w:rsid w:val="00A751A4"/>
    <w:rsid w:val="00A81C26"/>
    <w:rsid w:val="00A82C87"/>
    <w:rsid w:val="00A85A8C"/>
    <w:rsid w:val="00A92283"/>
    <w:rsid w:val="00AA0D06"/>
    <w:rsid w:val="00AB0F6B"/>
    <w:rsid w:val="00AB4D4B"/>
    <w:rsid w:val="00AB75FE"/>
    <w:rsid w:val="00AC07AB"/>
    <w:rsid w:val="00AC27D9"/>
    <w:rsid w:val="00AC4E73"/>
    <w:rsid w:val="00AC6427"/>
    <w:rsid w:val="00AC6DF3"/>
    <w:rsid w:val="00AD577F"/>
    <w:rsid w:val="00AD7F26"/>
    <w:rsid w:val="00AE21E9"/>
    <w:rsid w:val="00AE3DF8"/>
    <w:rsid w:val="00AE4358"/>
    <w:rsid w:val="00AE66F1"/>
    <w:rsid w:val="00AE6F15"/>
    <w:rsid w:val="00AF0782"/>
    <w:rsid w:val="00B05946"/>
    <w:rsid w:val="00B12099"/>
    <w:rsid w:val="00B12F68"/>
    <w:rsid w:val="00B227F6"/>
    <w:rsid w:val="00B24BE3"/>
    <w:rsid w:val="00B254E6"/>
    <w:rsid w:val="00B25A40"/>
    <w:rsid w:val="00B26A87"/>
    <w:rsid w:val="00B26C44"/>
    <w:rsid w:val="00B31997"/>
    <w:rsid w:val="00B36DF7"/>
    <w:rsid w:val="00B43C7A"/>
    <w:rsid w:val="00B444AC"/>
    <w:rsid w:val="00B4539E"/>
    <w:rsid w:val="00B53922"/>
    <w:rsid w:val="00B53C37"/>
    <w:rsid w:val="00B55E9B"/>
    <w:rsid w:val="00B62008"/>
    <w:rsid w:val="00B62540"/>
    <w:rsid w:val="00B653B3"/>
    <w:rsid w:val="00B65BA1"/>
    <w:rsid w:val="00B7104D"/>
    <w:rsid w:val="00B83DFC"/>
    <w:rsid w:val="00B92B7B"/>
    <w:rsid w:val="00B97A17"/>
    <w:rsid w:val="00BA122F"/>
    <w:rsid w:val="00BA1A16"/>
    <w:rsid w:val="00BA275A"/>
    <w:rsid w:val="00BA31C5"/>
    <w:rsid w:val="00BC1023"/>
    <w:rsid w:val="00BC1A94"/>
    <w:rsid w:val="00BC22B2"/>
    <w:rsid w:val="00BD0477"/>
    <w:rsid w:val="00BD3F1D"/>
    <w:rsid w:val="00BE684D"/>
    <w:rsid w:val="00BF3D20"/>
    <w:rsid w:val="00C03EDF"/>
    <w:rsid w:val="00C0416C"/>
    <w:rsid w:val="00C056AA"/>
    <w:rsid w:val="00C07D29"/>
    <w:rsid w:val="00C1228C"/>
    <w:rsid w:val="00C12744"/>
    <w:rsid w:val="00C134AA"/>
    <w:rsid w:val="00C13FE6"/>
    <w:rsid w:val="00C22F4C"/>
    <w:rsid w:val="00C2431D"/>
    <w:rsid w:val="00C261E3"/>
    <w:rsid w:val="00C266F2"/>
    <w:rsid w:val="00C26DBD"/>
    <w:rsid w:val="00C3775F"/>
    <w:rsid w:val="00C41F5D"/>
    <w:rsid w:val="00C45359"/>
    <w:rsid w:val="00C45EAC"/>
    <w:rsid w:val="00C50C7E"/>
    <w:rsid w:val="00C650BC"/>
    <w:rsid w:val="00C65125"/>
    <w:rsid w:val="00C65B85"/>
    <w:rsid w:val="00C666EE"/>
    <w:rsid w:val="00C67352"/>
    <w:rsid w:val="00C67D42"/>
    <w:rsid w:val="00C67F0F"/>
    <w:rsid w:val="00C70912"/>
    <w:rsid w:val="00C80326"/>
    <w:rsid w:val="00C83BAB"/>
    <w:rsid w:val="00C901E9"/>
    <w:rsid w:val="00C91BEA"/>
    <w:rsid w:val="00C94034"/>
    <w:rsid w:val="00C96194"/>
    <w:rsid w:val="00CA0787"/>
    <w:rsid w:val="00CA77CC"/>
    <w:rsid w:val="00CB1943"/>
    <w:rsid w:val="00CB267B"/>
    <w:rsid w:val="00CB5BC4"/>
    <w:rsid w:val="00CC0A1A"/>
    <w:rsid w:val="00CC11C5"/>
    <w:rsid w:val="00CC181D"/>
    <w:rsid w:val="00CC2AC6"/>
    <w:rsid w:val="00CC45AE"/>
    <w:rsid w:val="00CC5897"/>
    <w:rsid w:val="00CC658F"/>
    <w:rsid w:val="00CC7976"/>
    <w:rsid w:val="00CD2458"/>
    <w:rsid w:val="00CD2DD1"/>
    <w:rsid w:val="00CD4497"/>
    <w:rsid w:val="00CD5545"/>
    <w:rsid w:val="00CE03EB"/>
    <w:rsid w:val="00CF4669"/>
    <w:rsid w:val="00CF581B"/>
    <w:rsid w:val="00CF6D8C"/>
    <w:rsid w:val="00D07B11"/>
    <w:rsid w:val="00D07E5B"/>
    <w:rsid w:val="00D10ABC"/>
    <w:rsid w:val="00D15811"/>
    <w:rsid w:val="00D1694A"/>
    <w:rsid w:val="00D20816"/>
    <w:rsid w:val="00D21A21"/>
    <w:rsid w:val="00D242EE"/>
    <w:rsid w:val="00D365B7"/>
    <w:rsid w:val="00D43C2F"/>
    <w:rsid w:val="00D44337"/>
    <w:rsid w:val="00D62DB0"/>
    <w:rsid w:val="00D63261"/>
    <w:rsid w:val="00D6357E"/>
    <w:rsid w:val="00D709EC"/>
    <w:rsid w:val="00D7277C"/>
    <w:rsid w:val="00D910DC"/>
    <w:rsid w:val="00D92A68"/>
    <w:rsid w:val="00D94269"/>
    <w:rsid w:val="00DA3B27"/>
    <w:rsid w:val="00DA7D8D"/>
    <w:rsid w:val="00DB2040"/>
    <w:rsid w:val="00DB260F"/>
    <w:rsid w:val="00DD17FE"/>
    <w:rsid w:val="00DD25F3"/>
    <w:rsid w:val="00DD4900"/>
    <w:rsid w:val="00DD5EEA"/>
    <w:rsid w:val="00DD6ED3"/>
    <w:rsid w:val="00DE2B17"/>
    <w:rsid w:val="00DF19EC"/>
    <w:rsid w:val="00DF502C"/>
    <w:rsid w:val="00E02173"/>
    <w:rsid w:val="00E02217"/>
    <w:rsid w:val="00E04294"/>
    <w:rsid w:val="00E23562"/>
    <w:rsid w:val="00E2566F"/>
    <w:rsid w:val="00E25D7D"/>
    <w:rsid w:val="00E27435"/>
    <w:rsid w:val="00E422C9"/>
    <w:rsid w:val="00E429A5"/>
    <w:rsid w:val="00E52691"/>
    <w:rsid w:val="00E526B1"/>
    <w:rsid w:val="00E55963"/>
    <w:rsid w:val="00E57990"/>
    <w:rsid w:val="00E60BA0"/>
    <w:rsid w:val="00E626DE"/>
    <w:rsid w:val="00E66260"/>
    <w:rsid w:val="00E66511"/>
    <w:rsid w:val="00E66888"/>
    <w:rsid w:val="00E6745F"/>
    <w:rsid w:val="00E70BEC"/>
    <w:rsid w:val="00E75475"/>
    <w:rsid w:val="00E7764A"/>
    <w:rsid w:val="00E779F8"/>
    <w:rsid w:val="00E86A49"/>
    <w:rsid w:val="00E90377"/>
    <w:rsid w:val="00E96AFF"/>
    <w:rsid w:val="00E971F7"/>
    <w:rsid w:val="00EA25E8"/>
    <w:rsid w:val="00EA53C2"/>
    <w:rsid w:val="00EA6EEF"/>
    <w:rsid w:val="00EB2E98"/>
    <w:rsid w:val="00EB35F6"/>
    <w:rsid w:val="00EB7A70"/>
    <w:rsid w:val="00ED2106"/>
    <w:rsid w:val="00ED49C1"/>
    <w:rsid w:val="00EE6673"/>
    <w:rsid w:val="00EF0D0F"/>
    <w:rsid w:val="00EF2F25"/>
    <w:rsid w:val="00EF5D92"/>
    <w:rsid w:val="00F02C07"/>
    <w:rsid w:val="00F04208"/>
    <w:rsid w:val="00F12320"/>
    <w:rsid w:val="00F14C16"/>
    <w:rsid w:val="00F17753"/>
    <w:rsid w:val="00F26DB2"/>
    <w:rsid w:val="00F30848"/>
    <w:rsid w:val="00F34BBA"/>
    <w:rsid w:val="00F355B9"/>
    <w:rsid w:val="00F377AC"/>
    <w:rsid w:val="00F44F8F"/>
    <w:rsid w:val="00F50B54"/>
    <w:rsid w:val="00F54538"/>
    <w:rsid w:val="00F60760"/>
    <w:rsid w:val="00F61C69"/>
    <w:rsid w:val="00F641FA"/>
    <w:rsid w:val="00F71A51"/>
    <w:rsid w:val="00F73F61"/>
    <w:rsid w:val="00F77336"/>
    <w:rsid w:val="00F81A92"/>
    <w:rsid w:val="00F8524D"/>
    <w:rsid w:val="00F87911"/>
    <w:rsid w:val="00F87F74"/>
    <w:rsid w:val="00F920DA"/>
    <w:rsid w:val="00F9538F"/>
    <w:rsid w:val="00F95989"/>
    <w:rsid w:val="00FA044B"/>
    <w:rsid w:val="00FA64D4"/>
    <w:rsid w:val="00FB3605"/>
    <w:rsid w:val="00FB5D26"/>
    <w:rsid w:val="00FC1977"/>
    <w:rsid w:val="00FC344B"/>
    <w:rsid w:val="00FC51CF"/>
    <w:rsid w:val="00FD7F78"/>
    <w:rsid w:val="00FE0267"/>
    <w:rsid w:val="00FE0974"/>
    <w:rsid w:val="00FE3BAB"/>
    <w:rsid w:val="00FE724D"/>
    <w:rsid w:val="00FF4B70"/>
    <w:rsid w:val="00FF501F"/>
    <w:rsid w:val="00FF59A5"/>
    <w:rsid w:val="00FF6281"/>
    <w:rsid w:val="09565B55"/>
    <w:rsid w:val="522325FC"/>
    <w:rsid w:val="554304A4"/>
    <w:rsid w:val="6E8D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NormalCharacter"/>
    <w:qFormat/>
    <w:uiPriority w:val="0"/>
  </w:style>
  <w:style w:type="table" w:customStyle="1" w:styleId="7">
    <w:name w:val="TableNormal"/>
    <w:qFormat/>
    <w:uiPriority w:val="0"/>
    <w:tblPr>
      <w:tblCellMar>
        <w:top w:w="0" w:type="dxa"/>
        <w:left w:w="0" w:type="dxa"/>
        <w:bottom w:w="0" w:type="dxa"/>
        <w:right w:w="0" w:type="dxa"/>
      </w:tblCellMar>
    </w:tblPr>
  </w:style>
  <w:style w:type="paragraph" w:customStyle="1" w:styleId="8">
    <w:name w:val="Footer"/>
    <w:basedOn w:val="1"/>
    <w:link w:val="13"/>
    <w:qFormat/>
    <w:uiPriority w:val="0"/>
    <w:pPr>
      <w:tabs>
        <w:tab w:val="center" w:pos="4153"/>
        <w:tab w:val="right" w:pos="8306"/>
      </w:tabs>
      <w:snapToGrid w:val="0"/>
      <w:jc w:val="left"/>
    </w:pPr>
    <w:rPr>
      <w:sz w:val="18"/>
    </w:rPr>
  </w:style>
  <w:style w:type="paragraph" w:customStyle="1" w:styleId="9">
    <w:name w:val="Header"/>
    <w:basedOn w:val="1"/>
    <w:link w:val="10"/>
    <w:qFormat/>
    <w:uiPriority w:val="0"/>
    <w:pPr>
      <w:pBdr>
        <w:bottom w:val="single" w:color="000000" w:sz="6" w:space="1"/>
      </w:pBdr>
      <w:tabs>
        <w:tab w:val="center" w:pos="4153"/>
        <w:tab w:val="right" w:pos="8306"/>
      </w:tabs>
      <w:snapToGrid w:val="0"/>
      <w:jc w:val="center"/>
    </w:pPr>
    <w:rPr>
      <w:sz w:val="18"/>
      <w:szCs w:val="18"/>
    </w:rPr>
  </w:style>
  <w:style w:type="character" w:customStyle="1" w:styleId="10">
    <w:name w:val="UserStyle_0"/>
    <w:basedOn w:val="6"/>
    <w:link w:val="9"/>
    <w:qFormat/>
    <w:uiPriority w:val="0"/>
    <w:rPr>
      <w:kern w:val="2"/>
      <w:sz w:val="18"/>
      <w:szCs w:val="18"/>
    </w:rPr>
  </w:style>
  <w:style w:type="paragraph" w:customStyle="1" w:styleId="11">
    <w:name w:val="UserStyle_1"/>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12">
    <w:name w:val="HtmlNormal"/>
    <w:basedOn w:val="1"/>
    <w:qFormat/>
    <w:uiPriority w:val="0"/>
    <w:pPr>
      <w:spacing w:before="100" w:beforeAutospacing="1" w:after="100" w:afterAutospacing="1"/>
      <w:jc w:val="left"/>
    </w:pPr>
    <w:rPr>
      <w:rFonts w:ascii="宋体" w:hAnsi="宋体" w:eastAsia="宋体"/>
      <w:kern w:val="0"/>
      <w:sz w:val="24"/>
      <w:szCs w:val="24"/>
    </w:rPr>
  </w:style>
  <w:style w:type="character" w:customStyle="1" w:styleId="13">
    <w:name w:val="UserStyle_2"/>
    <w:basedOn w:val="6"/>
    <w:link w:val="8"/>
    <w:qFormat/>
    <w:uiPriority w:val="0"/>
    <w:rPr>
      <w:kern w:val="2"/>
      <w:sz w:val="18"/>
      <w:szCs w:val="32"/>
    </w:rPr>
  </w:style>
  <w:style w:type="character" w:customStyle="1" w:styleId="14">
    <w:name w:val="页眉 Char"/>
    <w:basedOn w:val="5"/>
    <w:link w:val="3"/>
    <w:semiHidden/>
    <w:qFormat/>
    <w:uiPriority w:val="99"/>
    <w:rPr>
      <w:kern w:val="2"/>
      <w:sz w:val="18"/>
      <w:szCs w:val="18"/>
    </w:rPr>
  </w:style>
  <w:style w:type="character" w:customStyle="1" w:styleId="15">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866</Words>
  <Characters>4937</Characters>
  <Lines>41</Lines>
  <Paragraphs>11</Paragraphs>
  <TotalTime>20</TotalTime>
  <ScaleCrop>false</ScaleCrop>
  <LinksUpToDate>false</LinksUpToDate>
  <CharactersWithSpaces>5792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2021-12-20T03:15:00Z</dcterms:created>
  <dc:creator>Administrator</dc:creator>
  <cp:lastModifiedBy>周凡洁</cp:lastModifiedBy>
  <cp:lastPrinted>2021-12-20T04:30:00Z</cp:lastPrinted>
  <dcterms:modified xsi:type="dcterms:W3CDTF">2024-11-26T10:47:41Z</dcterms:modified>
  <cp:revision>3324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87E673B266D54799BAB778FBA72CCABC</vt:lpwstr>
  </property>
</Properties>
</file>