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5" w:line="240" w:lineRule="auto"/>
        <w:ind w:left="4241"/>
        <w:rPr>
          <w:rFonts w:hint="eastAsia" w:ascii="方正小标宋_GBK" w:hAnsi="方正小标宋_GBK" w:eastAsia="方正小标宋_GBK" w:cs="方正小标宋_GBK"/>
          <w:sz w:val="43"/>
          <w:szCs w:val="43"/>
          <w:lang w:eastAsia="zh-CN"/>
        </w:rPr>
      </w:pPr>
      <w:r>
        <w:rPr>
          <w:rFonts w:hint="eastAsia" w:ascii="方正小标宋_GBK" w:hAnsi="方正小标宋_GBK" w:eastAsia="方正小标宋_GBK" w:cs="方正小标宋_GBK"/>
          <w:spacing w:val="10"/>
          <w:sz w:val="43"/>
          <w:szCs w:val="43"/>
        </w:rPr>
        <w:t>重</w:t>
      </w:r>
      <w:r>
        <w:rPr>
          <w:rFonts w:hint="eastAsia" w:ascii="方正小标宋_GBK" w:hAnsi="方正小标宋_GBK" w:eastAsia="方正小标宋_GBK" w:cs="方正小标宋_GBK"/>
          <w:spacing w:val="9"/>
          <w:sz w:val="43"/>
          <w:szCs w:val="43"/>
        </w:rPr>
        <w:t>庆市</w:t>
      </w:r>
      <w:r>
        <w:rPr>
          <w:rFonts w:hint="eastAsia" w:ascii="方正小标宋_GBK" w:hAnsi="方正小标宋_GBK" w:eastAsia="方正小标宋_GBK" w:cs="方正小标宋_GBK"/>
          <w:spacing w:val="9"/>
          <w:sz w:val="43"/>
          <w:szCs w:val="43"/>
          <w:lang w:val="en-US" w:eastAsia="zh-CN"/>
        </w:rPr>
        <w:t>城口县</w:t>
      </w:r>
      <w:r>
        <w:rPr>
          <w:rFonts w:hint="eastAsia" w:ascii="方正小标宋_GBK" w:hAnsi="方正小标宋_GBK" w:eastAsia="方正小标宋_GBK" w:cs="方正小标宋_GBK"/>
          <w:spacing w:val="9"/>
          <w:sz w:val="43"/>
          <w:szCs w:val="43"/>
          <w:lang w:eastAsia="zh-CN"/>
        </w:rPr>
        <w:t>应急管理局</w:t>
      </w:r>
    </w:p>
    <w:p>
      <w:pPr>
        <w:spacing w:before="1" w:line="240" w:lineRule="auto"/>
        <w:ind w:left="3581"/>
        <w:rPr>
          <w:rFonts w:ascii="微软雅黑" w:hAnsi="微软雅黑" w:eastAsia="微软雅黑" w:cs="微软雅黑"/>
          <w:sz w:val="43"/>
          <w:szCs w:val="43"/>
        </w:rPr>
      </w:pPr>
      <w:bookmarkStart w:id="0" w:name="_GoBack"/>
      <w:r>
        <w:rPr>
          <w:rFonts w:hint="eastAsia" w:ascii="方正小标宋_GBK" w:hAnsi="方正小标宋_GBK" w:eastAsia="方正小标宋_GBK" w:cs="方正小标宋_GBK"/>
          <w:spacing w:val="13"/>
          <w:sz w:val="43"/>
          <w:szCs w:val="43"/>
        </w:rPr>
        <w:t>重</w:t>
      </w:r>
      <w:r>
        <w:rPr>
          <w:rFonts w:hint="eastAsia" w:ascii="方正小标宋_GBK" w:hAnsi="方正小标宋_GBK" w:eastAsia="方正小标宋_GBK" w:cs="方正小标宋_GBK"/>
          <w:spacing w:val="9"/>
          <w:sz w:val="43"/>
          <w:szCs w:val="43"/>
        </w:rPr>
        <w:t>大行政执法决定法制审核目录清单</w:t>
      </w:r>
      <w:bookmarkEnd w:id="0"/>
    </w:p>
    <w:tbl>
      <w:tblPr>
        <w:tblStyle w:val="4"/>
        <w:tblW w:w="137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
        <w:gridCol w:w="2159"/>
        <w:gridCol w:w="8500"/>
        <w:gridCol w:w="21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jc w:val="center"/>
        </w:trPr>
        <w:tc>
          <w:tcPr>
            <w:tcW w:w="931" w:type="dxa"/>
            <w:vAlign w:val="top"/>
          </w:tcPr>
          <w:p>
            <w:pPr>
              <w:spacing w:before="254" w:line="198" w:lineRule="auto"/>
              <w:ind w:left="187"/>
              <w:rPr>
                <w:rFonts w:ascii="方正黑体_GBK" w:hAnsi="方正黑体_GBK" w:eastAsia="方正黑体_GBK" w:cs="方正黑体_GBK"/>
                <w:sz w:val="28"/>
                <w:szCs w:val="28"/>
              </w:rPr>
            </w:pPr>
            <w:r>
              <w:rPr>
                <w:rFonts w:ascii="方正黑体_GBK" w:hAnsi="方正黑体_GBK" w:eastAsia="方正黑体_GBK" w:cs="方正黑体_GBK"/>
                <w:spacing w:val="-2"/>
                <w:sz w:val="28"/>
                <w:szCs w:val="28"/>
              </w:rPr>
              <w:t>序号</w:t>
            </w:r>
          </w:p>
        </w:tc>
        <w:tc>
          <w:tcPr>
            <w:tcW w:w="2159" w:type="dxa"/>
            <w:vAlign w:val="top"/>
          </w:tcPr>
          <w:p>
            <w:pPr>
              <w:spacing w:before="249" w:line="201" w:lineRule="auto"/>
              <w:ind w:left="524"/>
              <w:rPr>
                <w:rFonts w:ascii="方正黑体_GBK" w:hAnsi="方正黑体_GBK" w:eastAsia="方正黑体_GBK" w:cs="方正黑体_GBK"/>
                <w:sz w:val="28"/>
                <w:szCs w:val="28"/>
              </w:rPr>
            </w:pPr>
            <w:r>
              <w:rPr>
                <w:rFonts w:ascii="方正黑体_GBK" w:hAnsi="方正黑体_GBK" w:eastAsia="方正黑体_GBK" w:cs="方正黑体_GBK"/>
                <w:spacing w:val="-2"/>
                <w:sz w:val="28"/>
                <w:szCs w:val="28"/>
              </w:rPr>
              <w:t>行为类别</w:t>
            </w:r>
          </w:p>
        </w:tc>
        <w:tc>
          <w:tcPr>
            <w:tcW w:w="8500" w:type="dxa"/>
            <w:vAlign w:val="top"/>
          </w:tcPr>
          <w:p>
            <w:pPr>
              <w:spacing w:before="252" w:line="199" w:lineRule="auto"/>
              <w:ind w:left="3625"/>
              <w:rPr>
                <w:rFonts w:ascii="方正黑体_GBK" w:hAnsi="方正黑体_GBK" w:eastAsia="方正黑体_GBK" w:cs="方正黑体_GBK"/>
                <w:sz w:val="28"/>
                <w:szCs w:val="28"/>
              </w:rPr>
            </w:pPr>
            <w:r>
              <w:rPr>
                <w:rFonts w:ascii="方正黑体_GBK" w:hAnsi="方正黑体_GBK" w:eastAsia="方正黑体_GBK" w:cs="方正黑体_GBK"/>
                <w:spacing w:val="1"/>
                <w:sz w:val="28"/>
                <w:szCs w:val="28"/>
              </w:rPr>
              <w:t xml:space="preserve">标       </w:t>
            </w:r>
            <w:r>
              <w:rPr>
                <w:rFonts w:ascii="方正黑体_GBK" w:hAnsi="方正黑体_GBK" w:eastAsia="方正黑体_GBK" w:cs="方正黑体_GBK"/>
                <w:sz w:val="28"/>
                <w:szCs w:val="28"/>
              </w:rPr>
              <w:t xml:space="preserve">  准</w:t>
            </w:r>
          </w:p>
        </w:tc>
        <w:tc>
          <w:tcPr>
            <w:tcW w:w="2161" w:type="dxa"/>
            <w:vAlign w:val="top"/>
          </w:tcPr>
          <w:p>
            <w:pPr>
              <w:spacing w:before="249" w:line="201" w:lineRule="auto"/>
              <w:ind w:left="599"/>
              <w:rPr>
                <w:rFonts w:ascii="方正黑体_GBK" w:hAnsi="方正黑体_GBK" w:eastAsia="方正黑体_GBK" w:cs="方正黑体_GBK"/>
                <w:sz w:val="28"/>
                <w:szCs w:val="28"/>
              </w:rPr>
            </w:pPr>
            <w:r>
              <w:rPr>
                <w:rFonts w:ascii="方正黑体_GBK" w:hAnsi="方正黑体_GBK" w:eastAsia="方正黑体_GBK" w:cs="方正黑体_GBK"/>
                <w:spacing w:val="6"/>
                <w:sz w:val="28"/>
                <w:szCs w:val="28"/>
              </w:rPr>
              <w:t>备</w:t>
            </w:r>
            <w:r>
              <w:rPr>
                <w:rFonts w:ascii="方正黑体_GBK" w:hAnsi="方正黑体_GBK" w:eastAsia="方正黑体_GBK" w:cs="方正黑体_GBK"/>
                <w:spacing w:val="5"/>
                <w:sz w:val="28"/>
                <w:szCs w:val="28"/>
              </w:rPr>
              <w:t xml:space="preserve">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jc w:val="center"/>
        </w:trPr>
        <w:tc>
          <w:tcPr>
            <w:tcW w:w="931" w:type="dxa"/>
            <w:vMerge w:val="restart"/>
            <w:vAlign w:val="center"/>
          </w:tcPr>
          <w:p>
            <w:pPr>
              <w:spacing w:line="376" w:lineRule="auto"/>
              <w:rPr>
                <w:rFonts w:ascii="Arial"/>
                <w:sz w:val="21"/>
              </w:rPr>
            </w:pPr>
          </w:p>
          <w:p>
            <w:pPr>
              <w:spacing w:before="81" w:line="189" w:lineRule="auto"/>
              <w:ind w:left="426"/>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2159" w:type="dxa"/>
            <w:vMerge w:val="restart"/>
            <w:vAlign w:val="center"/>
          </w:tcPr>
          <w:p>
            <w:pPr>
              <w:spacing w:line="298" w:lineRule="auto"/>
              <w:rPr>
                <w:rFonts w:ascii="Arial"/>
                <w:sz w:val="21"/>
              </w:rPr>
            </w:pPr>
          </w:p>
          <w:p>
            <w:pPr>
              <w:spacing w:before="120" w:line="178" w:lineRule="auto"/>
              <w:ind w:left="532"/>
              <w:rPr>
                <w:rFonts w:ascii="微软雅黑" w:hAnsi="微软雅黑" w:eastAsia="微软雅黑" w:cs="微软雅黑"/>
                <w:sz w:val="28"/>
                <w:szCs w:val="28"/>
              </w:rPr>
            </w:pPr>
            <w:r>
              <w:rPr>
                <w:rFonts w:ascii="微软雅黑" w:hAnsi="微软雅黑" w:eastAsia="微软雅黑" w:cs="微软雅黑"/>
                <w:spacing w:val="-4"/>
                <w:sz w:val="28"/>
                <w:szCs w:val="28"/>
              </w:rPr>
              <w:t>行政许可</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eastAsia="zh-CN"/>
              </w:rPr>
            </w:pPr>
            <w:r>
              <w:rPr>
                <w:rFonts w:ascii="微软雅黑" w:hAnsi="微软雅黑" w:eastAsia="微软雅黑" w:cs="微软雅黑"/>
                <w:spacing w:val="4"/>
                <w:sz w:val="24"/>
                <w:szCs w:val="24"/>
              </w:rPr>
              <w:t xml:space="preserve">1 </w:t>
            </w:r>
            <w:r>
              <w:rPr>
                <w:rFonts w:hint="eastAsia" w:ascii="微软雅黑" w:hAnsi="微软雅黑" w:eastAsia="微软雅黑" w:cs="微软雅黑"/>
                <w:spacing w:val="4"/>
                <w:sz w:val="24"/>
                <w:szCs w:val="24"/>
                <w:lang w:val="en-US" w:eastAsia="zh-CN"/>
              </w:rPr>
              <w:t>.</w:t>
            </w:r>
            <w:r>
              <w:rPr>
                <w:rFonts w:hint="eastAsia" w:ascii="微软雅黑" w:hAnsi="微软雅黑" w:eastAsia="微软雅黑" w:cs="微软雅黑"/>
                <w:spacing w:val="4"/>
                <w:sz w:val="24"/>
                <w:szCs w:val="24"/>
              </w:rPr>
              <w:t>法律、法规、规章规定应当举行听证的，或者应急管理局认为涉及公共利益需要听证的，或者直接涉及申请人与他人之间重大利益关系，申请人、利害关系人要求听证的</w:t>
            </w:r>
            <w:r>
              <w:rPr>
                <w:rFonts w:hint="eastAsia" w:ascii="微软雅黑" w:hAnsi="微软雅黑" w:eastAsia="微软雅黑" w:cs="微软雅黑"/>
                <w:spacing w:val="4"/>
                <w:sz w:val="24"/>
                <w:szCs w:val="24"/>
                <w:lang w:eastAsia="zh-CN"/>
              </w:rPr>
              <w:t>。</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ascii="微软雅黑" w:hAnsi="微软雅黑" w:eastAsia="微软雅黑" w:cs="微软雅黑"/>
                <w:spacing w:val="4"/>
                <w:sz w:val="24"/>
                <w:szCs w:val="24"/>
              </w:rPr>
            </w:pPr>
            <w:r>
              <w:rPr>
                <w:rFonts w:ascii="微软雅黑" w:hAnsi="微软雅黑" w:eastAsia="微软雅黑" w:cs="微软雅黑"/>
                <w:spacing w:val="4"/>
                <w:sz w:val="24"/>
                <w:szCs w:val="24"/>
              </w:rPr>
              <w:t>2.撤销行政许可决定的。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ascii="微软雅黑" w:hAnsi="微软雅黑" w:eastAsia="微软雅黑" w:cs="微软雅黑"/>
                <w:spacing w:val="4"/>
                <w:sz w:val="24"/>
                <w:szCs w:val="24"/>
              </w:rPr>
            </w:pPr>
            <w:r>
              <w:rPr>
                <w:rFonts w:hint="eastAsia" w:ascii="微软雅黑" w:hAnsi="微软雅黑" w:eastAsia="微软雅黑" w:cs="微软雅黑"/>
                <w:spacing w:val="4"/>
                <w:sz w:val="24"/>
                <w:szCs w:val="24"/>
                <w:lang w:val="en-US" w:eastAsia="zh-CN"/>
              </w:rPr>
              <w:t>3.</w:t>
            </w:r>
            <w:r>
              <w:rPr>
                <w:rFonts w:hint="eastAsia" w:ascii="微软雅黑" w:hAnsi="微软雅黑" w:eastAsia="微软雅黑" w:cs="微软雅黑"/>
                <w:spacing w:val="4"/>
                <w:sz w:val="24"/>
                <w:szCs w:val="24"/>
              </w:rPr>
              <w:t>其他行政许可产生争议的。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31" w:type="dxa"/>
            <w:vMerge w:val="restart"/>
            <w:vAlign w:val="center"/>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81" w:line="189" w:lineRule="auto"/>
              <w:ind w:left="399"/>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2159" w:type="dxa"/>
            <w:vMerge w:val="restart"/>
            <w:vAlign w:val="center"/>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20" w:line="179" w:lineRule="auto"/>
              <w:ind w:left="532"/>
              <w:rPr>
                <w:rFonts w:ascii="微软雅黑" w:hAnsi="微软雅黑" w:eastAsia="微软雅黑" w:cs="微软雅黑"/>
                <w:sz w:val="28"/>
                <w:szCs w:val="28"/>
              </w:rPr>
            </w:pPr>
            <w:r>
              <w:rPr>
                <w:rFonts w:ascii="微软雅黑" w:hAnsi="微软雅黑" w:eastAsia="微软雅黑" w:cs="微软雅黑"/>
                <w:spacing w:val="-4"/>
                <w:sz w:val="28"/>
                <w:szCs w:val="28"/>
              </w:rPr>
              <w:t>行政处罚</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eastAsia="zh-CN"/>
              </w:rPr>
            </w:pPr>
            <w:r>
              <w:rPr>
                <w:rFonts w:ascii="微软雅黑" w:hAnsi="微软雅黑" w:eastAsia="微软雅黑" w:cs="微软雅黑"/>
                <w:spacing w:val="4"/>
                <w:sz w:val="24"/>
                <w:szCs w:val="24"/>
              </w:rPr>
              <w:t>适用一般程序案件，  重大行政处罚决定</w:t>
            </w:r>
            <w:r>
              <w:rPr>
                <w:rFonts w:hint="eastAsia" w:ascii="微软雅黑" w:hAnsi="微软雅黑" w:eastAsia="微软雅黑" w:cs="微软雅黑"/>
                <w:spacing w:val="4"/>
                <w:sz w:val="24"/>
                <w:szCs w:val="24"/>
                <w:lang w:eastAsia="zh-CN"/>
              </w:rPr>
              <w:t>：</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eastAsia="zh-CN"/>
              </w:rPr>
            </w:pPr>
            <w:r>
              <w:rPr>
                <w:rFonts w:ascii="微软雅黑" w:hAnsi="微软雅黑" w:eastAsia="微软雅黑" w:cs="微软雅黑"/>
                <w:spacing w:val="4"/>
                <w:sz w:val="24"/>
                <w:szCs w:val="24"/>
              </w:rPr>
              <w:t>1.对个人处以1万元以上罚款，对生产经营单位处以3万元以上罚款的行政处罚决定</w:t>
            </w:r>
            <w:r>
              <w:rPr>
                <w:rFonts w:hint="eastAsia" w:ascii="微软雅黑" w:hAnsi="微软雅黑" w:eastAsia="微软雅黑" w:cs="微软雅黑"/>
                <w:spacing w:val="4"/>
                <w:sz w:val="24"/>
                <w:szCs w:val="24"/>
                <w:lang w:eastAsia="zh-CN"/>
              </w:rPr>
              <w:t>。</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eastAsia="zh-CN"/>
              </w:rPr>
            </w:pPr>
            <w:r>
              <w:rPr>
                <w:rFonts w:ascii="微软雅黑" w:hAnsi="微软雅黑" w:eastAsia="微软雅黑" w:cs="微软雅黑"/>
                <w:spacing w:val="4"/>
                <w:sz w:val="24"/>
                <w:szCs w:val="24"/>
              </w:rPr>
              <w:t>2.</w:t>
            </w:r>
            <w:r>
              <w:rPr>
                <w:rFonts w:hint="eastAsia" w:ascii="微软雅黑" w:hAnsi="微软雅黑" w:eastAsia="微软雅黑" w:cs="微软雅黑"/>
                <w:spacing w:val="4"/>
                <w:sz w:val="24"/>
                <w:szCs w:val="24"/>
              </w:rPr>
              <w:t>案件情况疑难复杂，涉及多个法律关系的</w:t>
            </w:r>
            <w:r>
              <w:rPr>
                <w:rFonts w:hint="eastAsia" w:ascii="微软雅黑" w:hAnsi="微软雅黑" w:eastAsia="微软雅黑" w:cs="微软雅黑"/>
                <w:spacing w:val="4"/>
                <w:sz w:val="24"/>
                <w:szCs w:val="24"/>
                <w:lang w:eastAsia="zh-CN"/>
              </w:rPr>
              <w:t>。</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hint="default"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3.经过听证程序听证的。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eastAsia="zh-CN"/>
              </w:rPr>
            </w:pPr>
            <w:r>
              <w:rPr>
                <w:rFonts w:hint="eastAsia" w:ascii="微软雅黑" w:hAnsi="微软雅黑" w:eastAsia="微软雅黑" w:cs="微软雅黑"/>
                <w:spacing w:val="4"/>
                <w:sz w:val="24"/>
                <w:szCs w:val="24"/>
                <w:lang w:val="en-US" w:eastAsia="zh-CN"/>
              </w:rPr>
              <w:t>4.</w:t>
            </w:r>
            <w:r>
              <w:rPr>
                <w:rFonts w:hint="eastAsia" w:ascii="微软雅黑" w:hAnsi="微软雅黑" w:eastAsia="微软雅黑" w:cs="微软雅黑"/>
                <w:spacing w:val="4"/>
                <w:sz w:val="24"/>
                <w:szCs w:val="24"/>
              </w:rPr>
              <w:t>行政执法决定可能在社会上造成重大影响的</w:t>
            </w:r>
            <w:r>
              <w:rPr>
                <w:rFonts w:hint="eastAsia" w:ascii="微软雅黑" w:hAnsi="微软雅黑" w:eastAsia="微软雅黑" w:cs="微软雅黑"/>
                <w:spacing w:val="4"/>
                <w:sz w:val="24"/>
                <w:szCs w:val="24"/>
                <w:lang w:eastAsia="zh-CN"/>
              </w:rPr>
              <w:t>。</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5.对严重违法行为给予吊销有关许可证、撤销有关执业资格或岗位证书的;给予责令停产停业整顿、责令停产停业、责令停止建设、责令停止施工的(重大事故隐患排除前或者排除过程中无法保证安全的，应当责令从危险区域撤出作业人员的除外)。</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6.作出的行政执法决定使法人或者其他组织的生产经营活动难以正常进行的。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931" w:type="dxa"/>
            <w:vMerge w:val="continue"/>
            <w:vAlign w:val="center"/>
          </w:tcPr>
          <w:p>
            <w:pPr>
              <w:rPr>
                <w:rFonts w:ascii="Arial"/>
                <w:sz w:val="21"/>
              </w:rPr>
            </w:pPr>
          </w:p>
        </w:tc>
        <w:tc>
          <w:tcPr>
            <w:tcW w:w="2159" w:type="dxa"/>
            <w:vMerge w:val="continue"/>
            <w:vAlign w:val="center"/>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7.直接涉及申请人和他人之间重大利益关系，容易引起行政争议的行政处罚决定。</w:t>
            </w:r>
          </w:p>
        </w:tc>
        <w:tc>
          <w:tcPr>
            <w:tcW w:w="2161" w:type="dxa"/>
            <w:vAlign w:val="top"/>
          </w:tcPr>
          <w:p>
            <w:pPr>
              <w:rPr>
                <w:rFonts w:ascii="Arial"/>
                <w:sz w:val="21"/>
              </w:rPr>
            </w:pPr>
          </w:p>
        </w:tc>
      </w:tr>
    </w:tbl>
    <w:p>
      <w:pPr>
        <w:sectPr>
          <w:pgSz w:w="16839" w:h="11906"/>
          <w:pgMar w:top="1012" w:right="1754" w:bottom="0" w:left="1327" w:header="0" w:footer="0" w:gutter="0"/>
          <w:cols w:space="720" w:num="1"/>
        </w:sectPr>
      </w:pPr>
    </w:p>
    <w:p/>
    <w:p>
      <w:pPr>
        <w:spacing w:line="63" w:lineRule="exact"/>
      </w:pPr>
    </w:p>
    <w:tbl>
      <w:tblPr>
        <w:tblStyle w:val="4"/>
        <w:tblW w:w="137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
        <w:gridCol w:w="2159"/>
        <w:gridCol w:w="8500"/>
        <w:gridCol w:w="21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jc w:val="center"/>
        </w:trPr>
        <w:tc>
          <w:tcPr>
            <w:tcW w:w="931" w:type="dxa"/>
            <w:vAlign w:val="top"/>
          </w:tcPr>
          <w:p>
            <w:pPr>
              <w:spacing w:before="255" w:line="198" w:lineRule="auto"/>
              <w:ind w:left="187"/>
              <w:rPr>
                <w:rFonts w:ascii="方正黑体_GBK" w:hAnsi="方正黑体_GBK" w:eastAsia="方正黑体_GBK" w:cs="方正黑体_GBK"/>
                <w:sz w:val="28"/>
                <w:szCs w:val="28"/>
              </w:rPr>
            </w:pPr>
            <w:r>
              <w:rPr>
                <w:rFonts w:ascii="方正黑体_GBK" w:hAnsi="方正黑体_GBK" w:eastAsia="方正黑体_GBK" w:cs="方正黑体_GBK"/>
                <w:spacing w:val="-2"/>
                <w:sz w:val="28"/>
                <w:szCs w:val="28"/>
              </w:rPr>
              <w:t>序号</w:t>
            </w:r>
          </w:p>
        </w:tc>
        <w:tc>
          <w:tcPr>
            <w:tcW w:w="2159" w:type="dxa"/>
            <w:vAlign w:val="top"/>
          </w:tcPr>
          <w:p>
            <w:pPr>
              <w:spacing w:before="250" w:line="201" w:lineRule="auto"/>
              <w:ind w:left="524"/>
              <w:rPr>
                <w:rFonts w:ascii="方正黑体_GBK" w:hAnsi="方正黑体_GBK" w:eastAsia="方正黑体_GBK" w:cs="方正黑体_GBK"/>
                <w:sz w:val="28"/>
                <w:szCs w:val="28"/>
              </w:rPr>
            </w:pPr>
            <w:r>
              <w:rPr>
                <w:rFonts w:ascii="方正黑体_GBK" w:hAnsi="方正黑体_GBK" w:eastAsia="方正黑体_GBK" w:cs="方正黑体_GBK"/>
                <w:spacing w:val="-2"/>
                <w:sz w:val="28"/>
                <w:szCs w:val="28"/>
              </w:rPr>
              <w:t>行为类别</w:t>
            </w:r>
          </w:p>
        </w:tc>
        <w:tc>
          <w:tcPr>
            <w:tcW w:w="8500" w:type="dxa"/>
            <w:vAlign w:val="top"/>
          </w:tcPr>
          <w:p>
            <w:pPr>
              <w:spacing w:before="254" w:line="199" w:lineRule="auto"/>
              <w:ind w:left="3625"/>
              <w:rPr>
                <w:rFonts w:ascii="方正黑体_GBK" w:hAnsi="方正黑体_GBK" w:eastAsia="方正黑体_GBK" w:cs="方正黑体_GBK"/>
                <w:sz w:val="28"/>
                <w:szCs w:val="28"/>
              </w:rPr>
            </w:pPr>
            <w:r>
              <w:rPr>
                <w:rFonts w:ascii="方正黑体_GBK" w:hAnsi="方正黑体_GBK" w:eastAsia="方正黑体_GBK" w:cs="方正黑体_GBK"/>
                <w:spacing w:val="1"/>
                <w:sz w:val="28"/>
                <w:szCs w:val="28"/>
              </w:rPr>
              <w:t xml:space="preserve">标       </w:t>
            </w:r>
            <w:r>
              <w:rPr>
                <w:rFonts w:ascii="方正黑体_GBK" w:hAnsi="方正黑体_GBK" w:eastAsia="方正黑体_GBK" w:cs="方正黑体_GBK"/>
                <w:sz w:val="28"/>
                <w:szCs w:val="28"/>
              </w:rPr>
              <w:t xml:space="preserve">  准</w:t>
            </w:r>
          </w:p>
        </w:tc>
        <w:tc>
          <w:tcPr>
            <w:tcW w:w="2161" w:type="dxa"/>
            <w:vAlign w:val="top"/>
          </w:tcPr>
          <w:p>
            <w:pPr>
              <w:spacing w:before="250" w:line="201" w:lineRule="auto"/>
              <w:ind w:left="599"/>
              <w:rPr>
                <w:rFonts w:ascii="方正黑体_GBK" w:hAnsi="方正黑体_GBK" w:eastAsia="方正黑体_GBK" w:cs="方正黑体_GBK"/>
                <w:sz w:val="28"/>
                <w:szCs w:val="28"/>
              </w:rPr>
            </w:pPr>
            <w:r>
              <w:rPr>
                <w:rFonts w:ascii="方正黑体_GBK" w:hAnsi="方正黑体_GBK" w:eastAsia="方正黑体_GBK" w:cs="方正黑体_GBK"/>
                <w:spacing w:val="6"/>
                <w:sz w:val="28"/>
                <w:szCs w:val="28"/>
              </w:rPr>
              <w:t>备</w:t>
            </w:r>
            <w:r>
              <w:rPr>
                <w:rFonts w:ascii="方正黑体_GBK" w:hAnsi="方正黑体_GBK" w:eastAsia="方正黑体_GBK" w:cs="方正黑体_GBK"/>
                <w:spacing w:val="5"/>
                <w:sz w:val="28"/>
                <w:szCs w:val="28"/>
              </w:rPr>
              <w:t xml:space="preserve">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jc w:val="center"/>
        </w:trPr>
        <w:tc>
          <w:tcPr>
            <w:tcW w:w="931"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80" w:line="189" w:lineRule="auto"/>
              <w:ind w:left="404"/>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215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120" w:line="178" w:lineRule="auto"/>
              <w:ind w:left="532"/>
              <w:rPr>
                <w:rFonts w:ascii="微软雅黑" w:hAnsi="微软雅黑" w:eastAsia="微软雅黑" w:cs="微软雅黑"/>
                <w:sz w:val="28"/>
                <w:szCs w:val="28"/>
              </w:rPr>
            </w:pPr>
            <w:r>
              <w:rPr>
                <w:rFonts w:ascii="微软雅黑" w:hAnsi="微软雅黑" w:eastAsia="微软雅黑" w:cs="微软雅黑"/>
                <w:spacing w:val="-4"/>
                <w:sz w:val="28"/>
                <w:szCs w:val="28"/>
              </w:rPr>
              <w:t>行政强制</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1.对不符合保障安全生产的国家标准或者行业标准的设施、设备、器材以及违法生产、储存、使用、经营、运输的危险物品予以查封或者扣押的，或对违法生产、储存、使用、经营危险物品的作业场所予以查封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931" w:type="dxa"/>
            <w:vMerge w:val="continue"/>
            <w:tcBorders>
              <w:top w:val="nil"/>
              <w:bottom w:val="nil"/>
            </w:tcBorders>
            <w:vAlign w:val="top"/>
          </w:tcPr>
          <w:p>
            <w:pPr>
              <w:rPr>
                <w:rFonts w:ascii="Arial"/>
                <w:sz w:val="21"/>
              </w:rPr>
            </w:pPr>
          </w:p>
        </w:tc>
        <w:tc>
          <w:tcPr>
            <w:tcW w:w="2159" w:type="dxa"/>
            <w:vMerge w:val="continue"/>
            <w:tcBorders>
              <w:top w:val="nil"/>
              <w:bottom w:val="nil"/>
            </w:tcBorders>
            <w:vAlign w:val="top"/>
          </w:tcPr>
          <w:p>
            <w:pPr>
              <w:rPr>
                <w:rFonts w:ascii="Arial"/>
                <w:sz w:val="21"/>
              </w:rPr>
            </w:pPr>
          </w:p>
        </w:tc>
        <w:tc>
          <w:tcPr>
            <w:tcW w:w="8500" w:type="dxa"/>
            <w:vAlign w:val="center"/>
          </w:tcPr>
          <w:p>
            <w:pPr>
              <w:spacing w:before="158" w:line="240"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2. 通知有关部门、单位强制停止供电，停止供应民用爆炸物品,强制被处罚单位履行行政决定的。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931" w:type="dxa"/>
            <w:vMerge w:val="continue"/>
            <w:tcBorders>
              <w:top w:val="nil"/>
              <w:bottom w:val="nil"/>
            </w:tcBorders>
            <w:vAlign w:val="top"/>
          </w:tcPr>
          <w:p>
            <w:pPr>
              <w:rPr>
                <w:rFonts w:ascii="Arial"/>
                <w:sz w:val="21"/>
              </w:rPr>
            </w:pPr>
          </w:p>
        </w:tc>
        <w:tc>
          <w:tcPr>
            <w:tcW w:w="2159" w:type="dxa"/>
            <w:vMerge w:val="continue"/>
            <w:tcBorders>
              <w:top w:val="nil"/>
              <w:bottom w:val="nil"/>
            </w:tcBorders>
            <w:vAlign w:val="top"/>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3. 申请法院强制执行的。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jc w:val="center"/>
        </w:trPr>
        <w:tc>
          <w:tcPr>
            <w:tcW w:w="931" w:type="dxa"/>
            <w:vMerge w:val="continue"/>
            <w:tcBorders>
              <w:top w:val="nil"/>
            </w:tcBorders>
            <w:vAlign w:val="top"/>
          </w:tcPr>
          <w:p>
            <w:pPr>
              <w:rPr>
                <w:rFonts w:ascii="Arial"/>
                <w:sz w:val="21"/>
              </w:rPr>
            </w:pPr>
          </w:p>
        </w:tc>
        <w:tc>
          <w:tcPr>
            <w:tcW w:w="2159" w:type="dxa"/>
            <w:vMerge w:val="continue"/>
            <w:tcBorders>
              <w:top w:val="nil"/>
            </w:tcBorders>
            <w:vAlign w:val="top"/>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4.直接关系行政管理相对人或他人重大权益的。</w:t>
            </w:r>
          </w:p>
        </w:tc>
        <w:tc>
          <w:tcPr>
            <w:tcW w:w="21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931" w:type="dxa"/>
            <w:vAlign w:val="top"/>
          </w:tcPr>
          <w:p>
            <w:pPr>
              <w:spacing w:before="209" w:line="189" w:lineRule="auto"/>
              <w:ind w:left="397"/>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2159" w:type="dxa"/>
            <w:vAlign w:val="top"/>
          </w:tcPr>
          <w:p>
            <w:pPr>
              <w:spacing w:before="170" w:line="167" w:lineRule="auto"/>
              <w:ind w:left="532"/>
              <w:rPr>
                <w:rFonts w:ascii="微软雅黑" w:hAnsi="微软雅黑" w:eastAsia="微软雅黑" w:cs="微软雅黑"/>
                <w:sz w:val="28"/>
                <w:szCs w:val="28"/>
              </w:rPr>
            </w:pPr>
            <w:r>
              <w:rPr>
                <w:rFonts w:ascii="微软雅黑" w:hAnsi="微软雅黑" w:eastAsia="微软雅黑" w:cs="微软雅黑"/>
                <w:spacing w:val="-4"/>
                <w:sz w:val="28"/>
                <w:szCs w:val="28"/>
              </w:rPr>
              <w:t>行政检查</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涉及重大国家利益和公共利益的事项。</w:t>
            </w:r>
          </w:p>
        </w:tc>
        <w:tc>
          <w:tcPr>
            <w:tcW w:w="2161" w:type="dxa"/>
            <w:vMerge w:val="restart"/>
            <w:tcBorders>
              <w:bottom w:val="nil"/>
            </w:tcBorders>
            <w:vAlign w:val="top"/>
          </w:tcPr>
          <w:p>
            <w:pPr>
              <w:spacing w:before="173" w:line="249" w:lineRule="auto"/>
              <w:ind w:left="125" w:right="104" w:firstLine="4"/>
              <w:rPr>
                <w:rFonts w:ascii="微软雅黑" w:hAnsi="微软雅黑" w:eastAsia="微软雅黑" w:cs="微软雅黑"/>
                <w:sz w:val="28"/>
                <w:szCs w:val="28"/>
              </w:rPr>
            </w:pPr>
            <w:r>
              <w:rPr>
                <w:rFonts w:hint="eastAsia" w:ascii="微软雅黑" w:hAnsi="微软雅黑" w:eastAsia="微软雅黑" w:cs="微软雅黑"/>
                <w:spacing w:val="4"/>
                <w:sz w:val="24"/>
                <w:szCs w:val="24"/>
                <w:lang w:val="en-US" w:eastAsia="zh-CN"/>
              </w:rPr>
              <w:t>经过规范性文件合法性审查的，不再进行重大行政执法决定法制审查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931" w:type="dxa"/>
            <w:vAlign w:val="top"/>
          </w:tcPr>
          <w:p>
            <w:pPr>
              <w:spacing w:before="214" w:line="186" w:lineRule="auto"/>
              <w:ind w:left="406"/>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2159" w:type="dxa"/>
            <w:vAlign w:val="top"/>
          </w:tcPr>
          <w:p>
            <w:pPr>
              <w:spacing w:before="168" w:line="168" w:lineRule="auto"/>
              <w:ind w:left="532"/>
              <w:rPr>
                <w:rFonts w:ascii="微软雅黑" w:hAnsi="微软雅黑" w:eastAsia="微软雅黑" w:cs="微软雅黑"/>
                <w:sz w:val="28"/>
                <w:szCs w:val="28"/>
              </w:rPr>
            </w:pPr>
            <w:r>
              <w:rPr>
                <w:rFonts w:ascii="微软雅黑" w:hAnsi="微软雅黑" w:eastAsia="微软雅黑" w:cs="微软雅黑"/>
                <w:spacing w:val="-4"/>
                <w:sz w:val="28"/>
                <w:szCs w:val="28"/>
              </w:rPr>
              <w:t>行政给付</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除市级项目外的 ，我县 (含县政府涉及我局) 行政给付的相关文件。</w:t>
            </w:r>
          </w:p>
        </w:tc>
        <w:tc>
          <w:tcPr>
            <w:tcW w:w="216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31" w:type="dxa"/>
            <w:vMerge w:val="restart"/>
            <w:tcBorders>
              <w:bottom w:val="nil"/>
            </w:tcBorders>
            <w:vAlign w:val="top"/>
          </w:tcPr>
          <w:p>
            <w:pPr>
              <w:spacing w:line="382" w:lineRule="auto"/>
              <w:rPr>
                <w:rFonts w:ascii="Arial"/>
                <w:sz w:val="21"/>
              </w:rPr>
            </w:pPr>
          </w:p>
          <w:p>
            <w:pPr>
              <w:spacing w:before="81" w:line="189" w:lineRule="auto"/>
              <w:ind w:left="405"/>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2159" w:type="dxa"/>
            <w:vMerge w:val="restart"/>
            <w:tcBorders>
              <w:bottom w:val="nil"/>
            </w:tcBorders>
            <w:vAlign w:val="top"/>
          </w:tcPr>
          <w:p>
            <w:pPr>
              <w:spacing w:line="300" w:lineRule="auto"/>
              <w:rPr>
                <w:rFonts w:ascii="Arial"/>
                <w:sz w:val="21"/>
              </w:rPr>
            </w:pPr>
          </w:p>
          <w:p>
            <w:pPr>
              <w:spacing w:before="120" w:line="179" w:lineRule="auto"/>
              <w:ind w:left="532"/>
              <w:rPr>
                <w:rFonts w:ascii="微软雅黑" w:hAnsi="微软雅黑" w:eastAsia="微软雅黑" w:cs="微软雅黑"/>
                <w:sz w:val="28"/>
                <w:szCs w:val="28"/>
              </w:rPr>
            </w:pPr>
            <w:r>
              <w:rPr>
                <w:rFonts w:ascii="微软雅黑" w:hAnsi="微软雅黑" w:eastAsia="微软雅黑" w:cs="微软雅黑"/>
                <w:spacing w:val="-4"/>
                <w:sz w:val="28"/>
                <w:szCs w:val="28"/>
              </w:rPr>
              <w:t>行政奖励</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1.本系统以县政府名义进行奖励的。</w:t>
            </w:r>
          </w:p>
        </w:tc>
        <w:tc>
          <w:tcPr>
            <w:tcW w:w="216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931" w:type="dxa"/>
            <w:vMerge w:val="continue"/>
            <w:tcBorders>
              <w:top w:val="nil"/>
            </w:tcBorders>
            <w:vAlign w:val="top"/>
          </w:tcPr>
          <w:p>
            <w:pPr>
              <w:rPr>
                <w:rFonts w:ascii="Arial"/>
                <w:sz w:val="21"/>
              </w:rPr>
            </w:pPr>
          </w:p>
        </w:tc>
        <w:tc>
          <w:tcPr>
            <w:tcW w:w="2159" w:type="dxa"/>
            <w:vMerge w:val="continue"/>
            <w:tcBorders>
              <w:top w:val="nil"/>
            </w:tcBorders>
            <w:vAlign w:val="top"/>
          </w:tcPr>
          <w:p>
            <w:pPr>
              <w:rPr>
                <w:rFonts w:ascii="Arial"/>
                <w:sz w:val="21"/>
              </w:rPr>
            </w:pP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2.行政奖励涉及人数100人以上、社会影响较大的。</w:t>
            </w:r>
          </w:p>
        </w:tc>
        <w:tc>
          <w:tcPr>
            <w:tcW w:w="216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31" w:type="dxa"/>
            <w:vAlign w:val="top"/>
          </w:tcPr>
          <w:p>
            <w:pPr>
              <w:spacing w:before="213" w:line="186" w:lineRule="auto"/>
              <w:ind w:left="403"/>
              <w:rPr>
                <w:rFonts w:ascii="Times New Roman" w:hAnsi="Times New Roman" w:eastAsia="Times New Roman" w:cs="Times New Roman"/>
                <w:sz w:val="28"/>
                <w:szCs w:val="28"/>
              </w:rPr>
            </w:pPr>
            <w:r>
              <w:rPr>
                <w:rFonts w:ascii="Times New Roman" w:hAnsi="Times New Roman" w:eastAsia="Times New Roman" w:cs="Times New Roman"/>
                <w:sz w:val="28"/>
                <w:szCs w:val="28"/>
              </w:rPr>
              <w:t>7</w:t>
            </w:r>
          </w:p>
        </w:tc>
        <w:tc>
          <w:tcPr>
            <w:tcW w:w="2159" w:type="dxa"/>
            <w:vAlign w:val="top"/>
          </w:tcPr>
          <w:p>
            <w:pPr>
              <w:spacing w:before="169" w:line="167" w:lineRule="auto"/>
              <w:ind w:left="532"/>
              <w:rPr>
                <w:rFonts w:ascii="微软雅黑" w:hAnsi="微软雅黑" w:eastAsia="微软雅黑" w:cs="微软雅黑"/>
                <w:sz w:val="28"/>
                <w:szCs w:val="28"/>
              </w:rPr>
            </w:pPr>
            <w:r>
              <w:rPr>
                <w:rFonts w:ascii="微软雅黑" w:hAnsi="微软雅黑" w:eastAsia="微软雅黑" w:cs="微软雅黑"/>
                <w:spacing w:val="-4"/>
                <w:sz w:val="28"/>
                <w:szCs w:val="28"/>
              </w:rPr>
              <w:t>行政确认</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规范行政确认相关程序与标准的文件。</w:t>
            </w:r>
          </w:p>
        </w:tc>
        <w:tc>
          <w:tcPr>
            <w:tcW w:w="216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jc w:val="center"/>
        </w:trPr>
        <w:tc>
          <w:tcPr>
            <w:tcW w:w="931" w:type="dxa"/>
            <w:vAlign w:val="top"/>
          </w:tcPr>
          <w:p>
            <w:pPr>
              <w:spacing w:before="210" w:line="189" w:lineRule="auto"/>
              <w:ind w:left="356"/>
              <w:rPr>
                <w:rFonts w:hint="eastAsia" w:ascii="Times New Roman" w:hAnsi="Times New Roman" w:eastAsia="宋体" w:cs="Times New Roman"/>
                <w:sz w:val="28"/>
                <w:szCs w:val="28"/>
                <w:lang w:eastAsia="zh-CN"/>
              </w:rPr>
            </w:pPr>
            <w:r>
              <w:rPr>
                <w:rFonts w:hint="eastAsia" w:ascii="Times New Roman" w:hAnsi="Times New Roman" w:eastAsia="宋体" w:cs="Times New Roman"/>
                <w:spacing w:val="-17"/>
                <w:sz w:val="28"/>
                <w:szCs w:val="28"/>
                <w:lang w:val="en-US" w:eastAsia="zh-CN"/>
              </w:rPr>
              <w:t>8</w:t>
            </w:r>
          </w:p>
        </w:tc>
        <w:tc>
          <w:tcPr>
            <w:tcW w:w="2159" w:type="dxa"/>
            <w:vAlign w:val="top"/>
          </w:tcPr>
          <w:p>
            <w:pPr>
              <w:spacing w:before="170" w:line="169" w:lineRule="auto"/>
              <w:ind w:left="815"/>
              <w:rPr>
                <w:rFonts w:ascii="微软雅黑" w:hAnsi="微软雅黑" w:eastAsia="微软雅黑" w:cs="微软雅黑"/>
                <w:sz w:val="28"/>
                <w:szCs w:val="28"/>
              </w:rPr>
            </w:pPr>
            <w:r>
              <w:rPr>
                <w:rFonts w:ascii="微软雅黑" w:hAnsi="微软雅黑" w:eastAsia="微软雅黑" w:cs="微软雅黑"/>
                <w:spacing w:val="-9"/>
                <w:sz w:val="28"/>
                <w:szCs w:val="28"/>
              </w:rPr>
              <w:t>其</w:t>
            </w:r>
            <w:r>
              <w:rPr>
                <w:rFonts w:ascii="微软雅黑" w:hAnsi="微软雅黑" w:eastAsia="微软雅黑" w:cs="微软雅黑"/>
                <w:spacing w:val="-8"/>
                <w:sz w:val="28"/>
                <w:szCs w:val="28"/>
              </w:rPr>
              <w:t>他</w:t>
            </w:r>
          </w:p>
        </w:tc>
        <w:tc>
          <w:tcPr>
            <w:tcW w:w="8500" w:type="dxa"/>
            <w:vAlign w:val="center"/>
          </w:tcPr>
          <w:p>
            <w:pPr>
              <w:spacing w:before="158" w:line="164" w:lineRule="auto"/>
              <w:ind w:left="137"/>
              <w:rPr>
                <w:rFonts w:hint="eastAsia"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根据法律法规并结合实际情况予以确定。</w:t>
            </w:r>
          </w:p>
        </w:tc>
        <w:tc>
          <w:tcPr>
            <w:tcW w:w="2161" w:type="dxa"/>
            <w:vAlign w:val="top"/>
          </w:tcPr>
          <w:p>
            <w:pPr>
              <w:rPr>
                <w:rFonts w:ascii="Arial"/>
                <w:sz w:val="21"/>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MjY0YzllMzA1MmE2NmMyNDI3ZDgxNmJmMTY2NzMifQ=="/>
  </w:docVars>
  <w:rsids>
    <w:rsidRoot w:val="6C881E7B"/>
    <w:rsid w:val="6C88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2024-03-01T06:05:00Z</dcterms:created>
  <dc:creator>Ambition</dc:creator>
  <cp:lastModifiedBy>Ambition</cp:lastModifiedBy>
  <dcterms:modified xsi:type="dcterms:W3CDTF">2024-03-01T06:09:24Z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4F703C92395A48CDB3E23AA689DAE3AE_11</vt:lpwstr>
  </property>
</Properties>
</file>