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35" w:rsidRDefault="008418A3">
      <w:pPr>
        <w:widowControl/>
        <w:tabs>
          <w:tab w:val="left" w:pos="525"/>
        </w:tabs>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t>附件4</w:t>
      </w:r>
    </w:p>
    <w:p w:rsidR="00962335" w:rsidRDefault="008418A3">
      <w:pPr>
        <w:widowControl/>
        <w:tabs>
          <w:tab w:val="left" w:pos="525"/>
        </w:tabs>
        <w:jc w:val="center"/>
        <w:rPr>
          <w:rFonts w:ascii="方正小标宋_GBK" w:eastAsia="方正小标宋_GBK" w:hAnsi="方正小标宋_GBK" w:cs="方正小标宋_GBK"/>
          <w:color w:val="000000"/>
          <w:kern w:val="0"/>
          <w:sz w:val="36"/>
          <w:szCs w:val="36"/>
        </w:rPr>
      </w:pPr>
      <w:r>
        <w:rPr>
          <w:rFonts w:ascii="方正小标宋_GBK" w:eastAsia="方正小标宋_GBK" w:hAnsi="方正小标宋_GBK" w:cs="方正小标宋_GBK" w:hint="eastAsia"/>
          <w:color w:val="000000"/>
          <w:kern w:val="0"/>
          <w:sz w:val="36"/>
          <w:szCs w:val="36"/>
        </w:rPr>
        <w:t>健康医院评价参考标准</w:t>
      </w:r>
    </w:p>
    <w:tbl>
      <w:tblPr>
        <w:tblW w:w="13856" w:type="dxa"/>
        <w:jc w:val="center"/>
        <w:tblLayout w:type="fixed"/>
        <w:tblLook w:val="04A0"/>
      </w:tblPr>
      <w:tblGrid>
        <w:gridCol w:w="1200"/>
        <w:gridCol w:w="1362"/>
        <w:gridCol w:w="1404"/>
        <w:gridCol w:w="3750"/>
        <w:gridCol w:w="1566"/>
        <w:gridCol w:w="3735"/>
        <w:gridCol w:w="839"/>
      </w:tblGrid>
      <w:tr w:rsidR="00962335">
        <w:trPr>
          <w:trHeight w:val="573"/>
          <w:tblHeader/>
          <w:jc w:val="center"/>
        </w:trPr>
        <w:tc>
          <w:tcPr>
            <w:tcW w:w="1200" w:type="dxa"/>
            <w:tcBorders>
              <w:top w:val="single" w:sz="4" w:space="0" w:color="auto"/>
              <w:left w:val="single" w:sz="4" w:space="0" w:color="auto"/>
              <w:bottom w:val="single" w:sz="4" w:space="0" w:color="auto"/>
              <w:right w:val="single" w:sz="4" w:space="0" w:color="auto"/>
            </w:tcBorders>
            <w:noWrap/>
            <w:vAlign w:val="center"/>
          </w:tcPr>
          <w:p w:rsidR="00962335" w:rsidRDefault="008418A3">
            <w:pPr>
              <w:widowControl/>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项目</w:t>
            </w:r>
          </w:p>
        </w:tc>
        <w:tc>
          <w:tcPr>
            <w:tcW w:w="1362" w:type="dxa"/>
            <w:tcBorders>
              <w:top w:val="single" w:sz="4" w:space="0" w:color="auto"/>
              <w:left w:val="nil"/>
              <w:bottom w:val="single" w:sz="4" w:space="0" w:color="auto"/>
              <w:right w:val="single" w:sz="4" w:space="0" w:color="auto"/>
            </w:tcBorders>
            <w:noWrap/>
            <w:vAlign w:val="center"/>
          </w:tcPr>
          <w:p w:rsidR="00962335" w:rsidRDefault="008418A3">
            <w:pPr>
              <w:widowControl/>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活动内容</w:t>
            </w:r>
          </w:p>
        </w:tc>
        <w:tc>
          <w:tcPr>
            <w:tcW w:w="1404" w:type="dxa"/>
            <w:tcBorders>
              <w:top w:val="single" w:sz="4" w:space="0" w:color="auto"/>
              <w:left w:val="nil"/>
              <w:bottom w:val="single" w:sz="4" w:space="0" w:color="auto"/>
              <w:right w:val="single" w:sz="4" w:space="0" w:color="auto"/>
            </w:tcBorders>
            <w:noWrap/>
            <w:vAlign w:val="center"/>
          </w:tcPr>
          <w:p w:rsidR="00962335" w:rsidRDefault="008418A3">
            <w:pPr>
              <w:widowControl/>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选项</w:t>
            </w:r>
          </w:p>
        </w:tc>
        <w:tc>
          <w:tcPr>
            <w:tcW w:w="3750" w:type="dxa"/>
            <w:tcBorders>
              <w:top w:val="single" w:sz="4" w:space="0" w:color="auto"/>
              <w:left w:val="nil"/>
              <w:bottom w:val="single" w:sz="4" w:space="0" w:color="auto"/>
              <w:right w:val="single" w:sz="4" w:space="0" w:color="auto"/>
            </w:tcBorders>
            <w:noWrap/>
            <w:vAlign w:val="center"/>
          </w:tcPr>
          <w:p w:rsidR="00962335" w:rsidRDefault="008418A3">
            <w:pPr>
              <w:widowControl/>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工作要点</w:t>
            </w:r>
          </w:p>
        </w:tc>
        <w:tc>
          <w:tcPr>
            <w:tcW w:w="1566" w:type="dxa"/>
            <w:tcBorders>
              <w:top w:val="single" w:sz="4" w:space="0" w:color="auto"/>
              <w:left w:val="nil"/>
              <w:bottom w:val="single" w:sz="4" w:space="0" w:color="auto"/>
              <w:right w:val="single" w:sz="4" w:space="0" w:color="auto"/>
            </w:tcBorders>
            <w:noWrap/>
            <w:vAlign w:val="center"/>
          </w:tcPr>
          <w:p w:rsidR="00962335" w:rsidRDefault="008418A3">
            <w:pPr>
              <w:widowControl/>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考核方法</w:t>
            </w:r>
          </w:p>
        </w:tc>
        <w:tc>
          <w:tcPr>
            <w:tcW w:w="3735" w:type="dxa"/>
            <w:tcBorders>
              <w:top w:val="single" w:sz="4" w:space="0" w:color="auto"/>
              <w:left w:val="nil"/>
              <w:bottom w:val="single" w:sz="4" w:space="0" w:color="auto"/>
              <w:right w:val="single" w:sz="4" w:space="0" w:color="auto"/>
            </w:tcBorders>
            <w:noWrap/>
            <w:vAlign w:val="center"/>
          </w:tcPr>
          <w:p w:rsidR="00962335" w:rsidRDefault="008418A3">
            <w:pPr>
              <w:widowControl/>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评分细则</w:t>
            </w:r>
          </w:p>
        </w:tc>
        <w:tc>
          <w:tcPr>
            <w:tcW w:w="839" w:type="dxa"/>
            <w:tcBorders>
              <w:top w:val="single" w:sz="4" w:space="0" w:color="auto"/>
              <w:left w:val="nil"/>
              <w:bottom w:val="single" w:sz="4" w:space="0" w:color="auto"/>
              <w:right w:val="single" w:sz="4" w:space="0" w:color="auto"/>
            </w:tcBorders>
            <w:noWrap/>
            <w:vAlign w:val="center"/>
          </w:tcPr>
          <w:p w:rsidR="00962335" w:rsidRDefault="008418A3">
            <w:pPr>
              <w:widowControl/>
              <w:jc w:val="center"/>
              <w:rPr>
                <w:rFonts w:ascii="方正黑体_GBK" w:eastAsia="方正黑体_GBK" w:hAnsi="宋体" w:cs="宋体"/>
                <w:color w:val="000000"/>
                <w:kern w:val="0"/>
                <w:sz w:val="24"/>
                <w:szCs w:val="24"/>
              </w:rPr>
            </w:pPr>
            <w:r>
              <w:rPr>
                <w:rFonts w:ascii="方正黑体_GBK" w:eastAsia="方正黑体_GBK" w:hAnsi="宋体" w:cs="宋体" w:hint="eastAsia"/>
                <w:color w:val="000000"/>
                <w:kern w:val="0"/>
                <w:sz w:val="24"/>
                <w:szCs w:val="24"/>
              </w:rPr>
              <w:t>分值</w:t>
            </w:r>
          </w:p>
        </w:tc>
      </w:tr>
      <w:tr w:rsidR="00962335">
        <w:trPr>
          <w:trHeight w:val="1360"/>
          <w:jc w:val="center"/>
        </w:trPr>
        <w:tc>
          <w:tcPr>
            <w:tcW w:w="1200" w:type="dxa"/>
            <w:vMerge w:val="restart"/>
            <w:tcBorders>
              <w:top w:val="nil"/>
              <w:left w:val="single" w:sz="4" w:space="0" w:color="auto"/>
              <w:right w:val="single" w:sz="4" w:space="0" w:color="auto"/>
            </w:tcBorders>
            <w:shd w:val="clear" w:color="auto" w:fill="auto"/>
            <w:noWrap/>
            <w:vAlign w:val="center"/>
          </w:tcPr>
          <w:p w:rsidR="00962335" w:rsidRDefault="008418A3">
            <w:pPr>
              <w:widowControl/>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4"/>
                <w:szCs w:val="24"/>
              </w:rPr>
              <w:t>一、组织管理</w:t>
            </w:r>
          </w:p>
        </w:tc>
        <w:tc>
          <w:tcPr>
            <w:tcW w:w="1362" w:type="dxa"/>
            <w:vMerge w:val="restart"/>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（一）建立组织机构及网络</w:t>
            </w:r>
          </w:p>
        </w:tc>
        <w:tc>
          <w:tcPr>
            <w:tcW w:w="1404" w:type="dxa"/>
            <w:vMerge w:val="restart"/>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A类(5分)</w:t>
            </w: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 医院管理层组织一次讨论/动员会，参与成员包含医院行政部门成员与主管，明确创建健康促进医院的意义与目标。</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查看会议记录及签到表</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创建健康促进医院未组织讨论会，扣1分。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w:t>
            </w:r>
          </w:p>
        </w:tc>
      </w:tr>
      <w:tr w:rsidR="00962335">
        <w:trPr>
          <w:trHeight w:val="1698"/>
          <w:jc w:val="center"/>
        </w:trPr>
        <w:tc>
          <w:tcPr>
            <w:tcW w:w="1200" w:type="dxa"/>
            <w:vMerge/>
            <w:tcBorders>
              <w:left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2.正式成立“医院健康促进领导小组”,负责院内外健康教育与健康促进工作的全面管理和部门协调。</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查看领导小组名单及责任分工</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无名单扣2分。组长不由院领导担任扣1分；医院各行政职能科室及各专业科室负责人不是小组成员各扣0.5分，分工不明确扣0.5分，扣完为止。</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2</w:t>
            </w:r>
          </w:p>
        </w:tc>
      </w:tr>
      <w:tr w:rsidR="00962335">
        <w:trPr>
          <w:trHeight w:val="1698"/>
          <w:jc w:val="center"/>
        </w:trPr>
        <w:tc>
          <w:tcPr>
            <w:tcW w:w="1200" w:type="dxa"/>
            <w:vMerge/>
            <w:tcBorders>
              <w:left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3.建立定期汇报、协调与沟通机制：有例会制度，一年不少于2次,以及时总结工作经验、发现问题，保证健康促进工作的实施和正常运行。</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查看例会记录及签到表</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每年至少2次例会，少一次扣1分。例会签到表、会议记录和照片等资料不齐全扣0.5分。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2</w:t>
            </w:r>
          </w:p>
        </w:tc>
      </w:tr>
      <w:tr w:rsidR="00962335">
        <w:trPr>
          <w:trHeight w:val="2373"/>
          <w:jc w:val="center"/>
        </w:trPr>
        <w:tc>
          <w:tcPr>
            <w:tcW w:w="1200" w:type="dxa"/>
            <w:vMerge/>
            <w:tcBorders>
              <w:left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val="restart"/>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B类(10分)</w:t>
            </w: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kern w:val="0"/>
                <w:sz w:val="24"/>
                <w:szCs w:val="24"/>
              </w:rPr>
            </w:pPr>
            <w:r>
              <w:rPr>
                <w:rFonts w:ascii="方正仿宋_GBK" w:eastAsia="方正仿宋_GBK" w:hAnsi="宋体" w:cs="宋体" w:hint="eastAsia"/>
                <w:kern w:val="0"/>
                <w:sz w:val="24"/>
                <w:szCs w:val="24"/>
              </w:rPr>
              <w:t>4.各科室指定专/兼职健康教育管理员，明确责任与分工负责开展健康促进工作。</w:t>
            </w:r>
          </w:p>
          <w:p w:rsidR="00962335" w:rsidRDefault="008418A3">
            <w:pPr>
              <w:widowControl/>
              <w:spacing w:line="360" w:lineRule="exact"/>
              <w:jc w:val="left"/>
              <w:rPr>
                <w:rFonts w:ascii="方正仿宋_GBK" w:eastAsia="方正仿宋_GBK" w:hAnsi="宋体" w:cs="宋体"/>
                <w:kern w:val="0"/>
                <w:sz w:val="24"/>
                <w:szCs w:val="24"/>
              </w:rPr>
            </w:pPr>
            <w:r>
              <w:rPr>
                <w:rFonts w:ascii="方正仿宋_GBK" w:eastAsia="方正仿宋_GBK" w:hAnsi="宋体" w:cs="宋体" w:hint="eastAsia"/>
                <w:kern w:val="0"/>
                <w:sz w:val="24"/>
                <w:szCs w:val="24"/>
              </w:rPr>
              <w:t>*专职人员指具备大专以上学历，公共卫生管理、医学或传播学、预防医学专业，从事健康教育工作不少于2年以上。</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kern w:val="0"/>
                <w:sz w:val="24"/>
                <w:szCs w:val="24"/>
              </w:rPr>
            </w:pPr>
            <w:r>
              <w:rPr>
                <w:rFonts w:ascii="方正仿宋_GBK" w:eastAsia="方正仿宋_GBK" w:hAnsi="宋体" w:cs="宋体" w:hint="eastAsia"/>
                <w:kern w:val="0"/>
                <w:sz w:val="24"/>
                <w:szCs w:val="24"/>
              </w:rPr>
              <w:t>查看专/兼职人员名单，并进行抽查</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kern w:val="0"/>
                <w:sz w:val="24"/>
                <w:szCs w:val="24"/>
              </w:rPr>
            </w:pPr>
            <w:r>
              <w:rPr>
                <w:rFonts w:ascii="方正仿宋_GBK" w:eastAsia="方正仿宋_GBK" w:hAnsi="宋体" w:cs="宋体" w:hint="eastAsia"/>
                <w:kern w:val="0"/>
                <w:sz w:val="24"/>
                <w:szCs w:val="24"/>
              </w:rPr>
              <w:t>各科室均应设置健康教育专/兼职人员，每少一个科室扣1分，扣完为止。</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5</w:t>
            </w:r>
          </w:p>
        </w:tc>
      </w:tr>
      <w:tr w:rsidR="00962335">
        <w:trPr>
          <w:trHeight w:val="1360"/>
          <w:jc w:val="center"/>
        </w:trPr>
        <w:tc>
          <w:tcPr>
            <w:tcW w:w="1200" w:type="dxa"/>
            <w:vMerge/>
            <w:tcBorders>
              <w:left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kern w:val="0"/>
                <w:sz w:val="24"/>
                <w:szCs w:val="24"/>
              </w:rPr>
            </w:pPr>
            <w:r>
              <w:rPr>
                <w:rFonts w:ascii="方正仿宋_GBK" w:eastAsia="方正仿宋_GBK" w:hAnsi="宋体" w:cs="宋体" w:hint="eastAsia"/>
                <w:kern w:val="0"/>
                <w:sz w:val="24"/>
                <w:szCs w:val="24"/>
              </w:rPr>
              <w:t>5.二级医院成立健康教育科，设健康教育专职人员；一级医院有专人负责健康教育工作。</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kern w:val="0"/>
                <w:sz w:val="24"/>
                <w:szCs w:val="24"/>
              </w:rPr>
            </w:pPr>
            <w:r>
              <w:rPr>
                <w:rFonts w:ascii="方正仿宋_GBK" w:eastAsia="方正仿宋_GBK" w:hAnsi="宋体" w:cs="宋体" w:hint="eastAsia"/>
                <w:kern w:val="0"/>
                <w:sz w:val="24"/>
                <w:szCs w:val="24"/>
              </w:rPr>
              <w:t>查看名册及现场考察</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kern w:val="0"/>
                <w:sz w:val="24"/>
                <w:szCs w:val="24"/>
              </w:rPr>
            </w:pPr>
            <w:r>
              <w:rPr>
                <w:rFonts w:ascii="方正仿宋_GBK" w:eastAsia="方正仿宋_GBK" w:hAnsi="宋体" w:cs="宋体" w:hint="eastAsia"/>
                <w:kern w:val="0"/>
                <w:sz w:val="24"/>
                <w:szCs w:val="24"/>
              </w:rPr>
              <w:t>二级医院未设置健康教育科，扣3分；专职人员不符合要求，扣2分；一级医院未设置专人，且不为医、技、护专业人员扣5分。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5</w:t>
            </w:r>
          </w:p>
        </w:tc>
      </w:tr>
      <w:tr w:rsidR="00962335">
        <w:trPr>
          <w:trHeight w:val="1106"/>
          <w:jc w:val="center"/>
        </w:trPr>
        <w:tc>
          <w:tcPr>
            <w:tcW w:w="1200" w:type="dxa"/>
            <w:vMerge/>
            <w:tcBorders>
              <w:left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val="restart"/>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（二）制定计划和目标</w:t>
            </w:r>
          </w:p>
        </w:tc>
        <w:tc>
          <w:tcPr>
            <w:tcW w:w="1404" w:type="dxa"/>
            <w:tcBorders>
              <w:top w:val="nil"/>
              <w:left w:val="nil"/>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A类（3分）</w:t>
            </w: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kern w:val="0"/>
                <w:sz w:val="24"/>
                <w:szCs w:val="24"/>
              </w:rPr>
            </w:pPr>
            <w:r>
              <w:rPr>
                <w:rFonts w:ascii="方正仿宋_GBK" w:eastAsia="方正仿宋_GBK" w:hAnsi="宋体" w:cs="宋体" w:hint="eastAsia"/>
                <w:kern w:val="0"/>
                <w:sz w:val="24"/>
                <w:szCs w:val="24"/>
              </w:rPr>
              <w:t>1.制定健康促进医院工作年度计划，步骤如下：</w:t>
            </w:r>
            <w:r>
              <w:rPr>
                <w:rFonts w:ascii="方正仿宋_GBK" w:eastAsia="方正仿宋_GBK" w:hAnsi="宋体" w:cs="宋体" w:hint="eastAsia"/>
                <w:kern w:val="0"/>
                <w:sz w:val="24"/>
                <w:szCs w:val="24"/>
              </w:rPr>
              <w:sym w:font="Wingdings" w:char="F081"/>
            </w:r>
            <w:r>
              <w:rPr>
                <w:rFonts w:ascii="方正仿宋_GBK" w:eastAsia="方正仿宋_GBK" w:hAnsi="宋体" w:cs="宋体" w:hint="eastAsia"/>
                <w:kern w:val="0"/>
                <w:sz w:val="24"/>
                <w:szCs w:val="24"/>
              </w:rPr>
              <w:t>问题评估：评估本院病患、职工健康教育与健康促进现状，确定亟待解决的问题，并提出可行的解决方案。</w:t>
            </w:r>
            <w:r>
              <w:rPr>
                <w:rFonts w:ascii="方正仿宋_GBK" w:eastAsia="方正仿宋_GBK" w:hAnsi="宋体" w:cs="宋体" w:hint="eastAsia"/>
                <w:kern w:val="0"/>
                <w:sz w:val="24"/>
                <w:szCs w:val="24"/>
              </w:rPr>
              <w:sym w:font="Wingdings" w:char="F082"/>
            </w:r>
            <w:r>
              <w:rPr>
                <w:rFonts w:ascii="方正仿宋_GBK" w:eastAsia="方正仿宋_GBK" w:hAnsi="宋体" w:cs="宋体" w:hint="eastAsia"/>
                <w:kern w:val="0"/>
                <w:sz w:val="24"/>
                <w:szCs w:val="24"/>
              </w:rPr>
              <w:t>明确工作目标、任务/活动</w:t>
            </w:r>
            <w:r>
              <w:rPr>
                <w:rFonts w:ascii="方正仿宋_GBK" w:eastAsia="方正仿宋_GBK" w:hAnsi="宋体" w:cs="宋体" w:hint="eastAsia"/>
                <w:sz w:val="24"/>
                <w:szCs w:val="24"/>
              </w:rPr>
              <w:t>、科室职责与任务分解、时间进度与考核管理要求等，做到每项活动目标明确、责任</w:t>
            </w:r>
            <w:r>
              <w:rPr>
                <w:rFonts w:ascii="方正仿宋_GBK" w:eastAsia="方正仿宋_GBK" w:hAnsi="宋体" w:cs="宋体" w:hint="eastAsia"/>
                <w:sz w:val="24"/>
                <w:szCs w:val="24"/>
              </w:rPr>
              <w:lastRenderedPageBreak/>
              <w:t>到位、检查考核要求明确。③征求实施部门意见并报领导小组批准执行</w:t>
            </w:r>
            <w:r>
              <w:rPr>
                <w:rFonts w:ascii="方正仿宋_GBK" w:eastAsia="方正仿宋_GBK" w:hAnsi="宋体" w:cs="宋体" w:hint="eastAsia"/>
                <w:kern w:val="0"/>
                <w:sz w:val="24"/>
                <w:szCs w:val="24"/>
              </w:rPr>
              <w:t>。</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kern w:val="0"/>
                <w:sz w:val="24"/>
                <w:szCs w:val="24"/>
              </w:rPr>
            </w:pPr>
            <w:r>
              <w:rPr>
                <w:rFonts w:ascii="方正仿宋_GBK" w:eastAsia="方正仿宋_GBK" w:hAnsi="宋体" w:cs="宋体" w:hint="eastAsia"/>
                <w:kern w:val="0"/>
                <w:sz w:val="24"/>
                <w:szCs w:val="24"/>
              </w:rPr>
              <w:lastRenderedPageBreak/>
              <w:t>查看工作年度计划</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kern w:val="0"/>
                <w:sz w:val="24"/>
                <w:szCs w:val="24"/>
              </w:rPr>
            </w:pPr>
            <w:r>
              <w:rPr>
                <w:rFonts w:ascii="方正仿宋_GBK" w:eastAsia="方正仿宋_GBK" w:hAnsi="宋体" w:cs="宋体" w:hint="eastAsia"/>
                <w:kern w:val="0"/>
                <w:sz w:val="24"/>
                <w:szCs w:val="24"/>
              </w:rPr>
              <w:t>无健康促进医院专项工作年度计划扣2分，未将健康促进医院工作年度计划纳入医院工作年度计划扣1分。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w:t>
            </w:r>
          </w:p>
        </w:tc>
      </w:tr>
      <w:tr w:rsidR="00962335">
        <w:trPr>
          <w:trHeight w:val="1023"/>
          <w:jc w:val="center"/>
        </w:trPr>
        <w:tc>
          <w:tcPr>
            <w:tcW w:w="1200" w:type="dxa"/>
            <w:vMerge/>
            <w:tcBorders>
              <w:left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tcBorders>
              <w:top w:val="nil"/>
              <w:left w:val="nil"/>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B类（3分）</w:t>
            </w: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2.制定适合本院的健康促进医院创建工作规划。</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查看工作规划</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无健康促进医院专项工作规划扣2分，未将健康促进医院工作规划纳入医院发展规划扣1分。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w:t>
            </w:r>
          </w:p>
        </w:tc>
      </w:tr>
      <w:tr w:rsidR="00962335">
        <w:trPr>
          <w:trHeight w:val="1567"/>
          <w:jc w:val="center"/>
        </w:trPr>
        <w:tc>
          <w:tcPr>
            <w:tcW w:w="1200" w:type="dxa"/>
            <w:vMerge/>
            <w:tcBorders>
              <w:left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val="restart"/>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（三）落实经费与设施</w:t>
            </w:r>
          </w:p>
        </w:tc>
        <w:tc>
          <w:tcPr>
            <w:tcW w:w="1404" w:type="dxa"/>
            <w:vMerge w:val="restart"/>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A类（6分）</w:t>
            </w: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1.有专项健康教育经费，不少于卫生事业经费的1%。</w:t>
            </w:r>
            <w:r>
              <w:rPr>
                <w:rFonts w:ascii="方正仿宋_GBK" w:eastAsia="方正仿宋_GBK" w:hAnsi="宋体" w:cs="宋体" w:hint="eastAsia"/>
                <w:color w:val="000000"/>
                <w:kern w:val="0"/>
                <w:sz w:val="24"/>
                <w:szCs w:val="24"/>
              </w:rPr>
              <w:br/>
              <w:t>二级医院不低于10万元/年；</w:t>
            </w:r>
            <w:r>
              <w:rPr>
                <w:rFonts w:ascii="方正仿宋_GBK" w:eastAsia="方正仿宋_GBK" w:hAnsi="宋体" w:cs="宋体" w:hint="eastAsia"/>
                <w:color w:val="000000"/>
                <w:kern w:val="0"/>
                <w:sz w:val="24"/>
                <w:szCs w:val="24"/>
              </w:rPr>
              <w:br/>
              <w:t>一级医院不低于5万元/年；</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查看经费使用记录</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本年度经费未达标准扣2分，经费应全部用于健康教育工作，每少5%扣0.5分，扣完为止。经费主要用于健康教育工作。</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w:t>
            </w:r>
          </w:p>
        </w:tc>
      </w:tr>
      <w:tr w:rsidR="00962335">
        <w:trPr>
          <w:trHeight w:val="1360"/>
          <w:jc w:val="center"/>
        </w:trPr>
        <w:tc>
          <w:tcPr>
            <w:tcW w:w="1200" w:type="dxa"/>
            <w:vMerge/>
            <w:tcBorders>
              <w:left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2.医院应提供开展健康促进活动所必备的场所、设施、设备。</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查看现场</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场所、设施设备应齐全，以保障健康促进工作顺利开展，缺少办公场所、办公设备、健康教育室或宣传基地各扣1分。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w:t>
            </w:r>
          </w:p>
        </w:tc>
      </w:tr>
      <w:tr w:rsidR="00962335">
        <w:trPr>
          <w:trHeight w:val="1360"/>
          <w:jc w:val="center"/>
        </w:trPr>
        <w:tc>
          <w:tcPr>
            <w:tcW w:w="1200" w:type="dxa"/>
            <w:vMerge/>
            <w:tcBorders>
              <w:left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val="restart"/>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（四）完善规章制度</w:t>
            </w:r>
          </w:p>
        </w:tc>
        <w:tc>
          <w:tcPr>
            <w:tcW w:w="1404" w:type="dxa"/>
            <w:vMerge w:val="restart"/>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A类（5分）</w:t>
            </w: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1.建立或完善保证患者就医环境和医护人员执业环境安全、卫生、保证患者和医护人员的权利、文化与价值观得到尊重的有关规章制度。</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查看制度</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无制度扣1分。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w:t>
            </w:r>
          </w:p>
        </w:tc>
      </w:tr>
      <w:tr w:rsidR="00962335">
        <w:trPr>
          <w:trHeight w:val="1057"/>
          <w:jc w:val="center"/>
        </w:trPr>
        <w:tc>
          <w:tcPr>
            <w:tcW w:w="1200" w:type="dxa"/>
            <w:vMerge/>
            <w:tcBorders>
              <w:left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2.建立与完善医护人员定期体检、接受疾病防治服务、激励采纳健康生活方式；</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查看制度</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无制度扣1分。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w:t>
            </w:r>
          </w:p>
        </w:tc>
      </w:tr>
      <w:tr w:rsidR="00962335">
        <w:trPr>
          <w:trHeight w:val="1023"/>
          <w:jc w:val="center"/>
        </w:trPr>
        <w:tc>
          <w:tcPr>
            <w:tcW w:w="1200" w:type="dxa"/>
            <w:vMerge/>
            <w:tcBorders>
              <w:left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3.建立医护人员定期接受健康促进与医患沟通等方面继续医学教育、培训。</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查看制度</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无制度扣1分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w:t>
            </w:r>
          </w:p>
        </w:tc>
      </w:tr>
      <w:tr w:rsidR="00962335">
        <w:trPr>
          <w:trHeight w:val="771"/>
          <w:jc w:val="center"/>
        </w:trPr>
        <w:tc>
          <w:tcPr>
            <w:tcW w:w="1200" w:type="dxa"/>
            <w:vMerge/>
            <w:tcBorders>
              <w:left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4.鼓励医护人员开展院内和社会健康教育工作的规章制度。</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查看制度</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无制度扣1分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w:t>
            </w:r>
          </w:p>
        </w:tc>
      </w:tr>
      <w:tr w:rsidR="00962335">
        <w:trPr>
          <w:trHeight w:val="1093"/>
          <w:jc w:val="center"/>
        </w:trPr>
        <w:tc>
          <w:tcPr>
            <w:tcW w:w="1200" w:type="dxa"/>
            <w:vMerge/>
            <w:tcBorders>
              <w:left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5.严格执行院内无烟医院规章制度，建立首诊询问吸烟史、宣传吸烟危害及劝阻戒烟制度。</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查看制度</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无制度扣1分。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w:t>
            </w:r>
          </w:p>
        </w:tc>
      </w:tr>
      <w:tr w:rsidR="00962335">
        <w:trPr>
          <w:trHeight w:val="1698"/>
          <w:jc w:val="center"/>
        </w:trPr>
        <w:tc>
          <w:tcPr>
            <w:tcW w:w="1200" w:type="dxa"/>
            <w:vMerge/>
            <w:tcBorders>
              <w:left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B类（2分）</w:t>
            </w: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6.建立或完善工作制度:包括各功能科室制度、门诊、住院、出院健康教育制度或临床指引、临床路径中将健康促进服务列入操作程序，列入绩效考核。</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查看制度</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无制度扣2分。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2</w:t>
            </w:r>
          </w:p>
        </w:tc>
      </w:tr>
      <w:tr w:rsidR="00962335">
        <w:trPr>
          <w:trHeight w:val="2260"/>
          <w:jc w:val="center"/>
        </w:trPr>
        <w:tc>
          <w:tcPr>
            <w:tcW w:w="1200" w:type="dxa"/>
            <w:vMerge/>
            <w:tcBorders>
              <w:left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val="restart"/>
            <w:tcBorders>
              <w:top w:val="nil"/>
              <w:left w:val="single" w:sz="4" w:space="0" w:color="auto"/>
              <w:right w:val="single" w:sz="4" w:space="0" w:color="auto"/>
            </w:tcBorders>
            <w:shd w:val="clear" w:color="auto" w:fill="auto"/>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（五）加强培训学习</w:t>
            </w:r>
          </w:p>
        </w:tc>
        <w:tc>
          <w:tcPr>
            <w:tcW w:w="1404" w:type="dxa"/>
            <w:vMerge w:val="restart"/>
            <w:tcBorders>
              <w:top w:val="nil"/>
              <w:left w:val="single" w:sz="4" w:space="0" w:color="auto"/>
              <w:right w:val="single" w:sz="4" w:space="0" w:color="auto"/>
            </w:tcBorders>
            <w:shd w:val="clear" w:color="auto" w:fill="auto"/>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A类（9分）</w:t>
            </w: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1.开展医护人员定期培训：内容包含职业道德素养、人文关怀与行为规范教育、医患沟通、健康教育与健康促进、生活方式指导、健康咨询等方面的理论和技能培训，一年不少于2次。</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查看资料及随机抽查10名医护人员</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无年度培训计划扣1分；每缺少一次扣1分，其中每次培训无资料扣1分，并随机询问10名医护人员培训次数及内容与实际相符，一人不符扣0.2分，扣完为止。</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w:t>
            </w:r>
          </w:p>
        </w:tc>
      </w:tr>
      <w:tr w:rsidR="00962335">
        <w:trPr>
          <w:trHeight w:val="1221"/>
          <w:jc w:val="center"/>
        </w:trPr>
        <w:tc>
          <w:tcPr>
            <w:tcW w:w="1200" w:type="dxa"/>
            <w:vMerge/>
            <w:tcBorders>
              <w:left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left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left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2.健康教育专职人员每年至少参加2次县级及以上专业机构组织的知识更新培训或经验交流活动。</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查看资料</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每缺少一次扣1.5分。每次活动资料齐全，如培训记录、培训资料，不齐全扣0.5分。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w:t>
            </w:r>
          </w:p>
        </w:tc>
      </w:tr>
      <w:tr w:rsidR="00962335">
        <w:trPr>
          <w:trHeight w:val="1137"/>
          <w:jc w:val="center"/>
        </w:trPr>
        <w:tc>
          <w:tcPr>
            <w:tcW w:w="1200" w:type="dxa"/>
            <w:vMerge/>
            <w:tcBorders>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3.健康教育专职人员通过各种形式指导全院职工开展健康教育工作，一年不少于2次。</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查看工作记录</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 xml:space="preserve">每缺少一次扣1.5分。每次培训资料不齐全扣0.5分。 </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w:t>
            </w:r>
          </w:p>
        </w:tc>
      </w:tr>
      <w:tr w:rsidR="00962335">
        <w:trPr>
          <w:trHeight w:val="1698"/>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2335" w:rsidRDefault="008418A3">
            <w:pPr>
              <w:widowControl/>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4"/>
                <w:szCs w:val="24"/>
              </w:rPr>
              <w:t>（二）环境建设</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（六）物质环境</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A类（8分）</w:t>
            </w:r>
          </w:p>
        </w:tc>
        <w:tc>
          <w:tcPr>
            <w:tcW w:w="37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1.诊疗与就医环境（如建筑、设备、设施、卫生、照明、通风、采暖、绿化等）符合国家有关规定、标准和要求（包含环境、健康与安全的要求）。</w:t>
            </w:r>
          </w:p>
        </w:tc>
        <w:tc>
          <w:tcPr>
            <w:tcW w:w="156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查看现场</w:t>
            </w:r>
          </w:p>
        </w:tc>
        <w:tc>
          <w:tcPr>
            <w:tcW w:w="3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院内门诊区未给病人及其家属提供候诊设施扣0.5分；未提供免费安全的饮水设施扣0.5分；办公室、门诊、病房等无暖气、空调等设施扣0.5分；有安全隐患扣1分；有卫生死角扣0.5分。</w:t>
            </w:r>
          </w:p>
        </w:tc>
        <w:tc>
          <w:tcPr>
            <w:tcW w:w="839" w:type="dxa"/>
            <w:tcBorders>
              <w:top w:val="single" w:sz="4" w:space="0" w:color="auto"/>
              <w:left w:val="single" w:sz="4" w:space="0" w:color="auto"/>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w:t>
            </w:r>
          </w:p>
        </w:tc>
      </w:tr>
      <w:tr w:rsidR="00962335">
        <w:trPr>
          <w:trHeight w:val="685"/>
          <w:jc w:val="center"/>
        </w:trPr>
        <w:tc>
          <w:tcPr>
            <w:tcW w:w="12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2.医院导医标识清晰，方便患者找到地方。</w:t>
            </w:r>
          </w:p>
        </w:tc>
        <w:tc>
          <w:tcPr>
            <w:tcW w:w="156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查看现场</w:t>
            </w:r>
          </w:p>
        </w:tc>
        <w:tc>
          <w:tcPr>
            <w:tcW w:w="3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无导医标识扣1分；有导医标识但不醒目扣0.5分。</w:t>
            </w:r>
          </w:p>
        </w:tc>
        <w:tc>
          <w:tcPr>
            <w:tcW w:w="839" w:type="dxa"/>
            <w:tcBorders>
              <w:top w:val="single" w:sz="4" w:space="0" w:color="auto"/>
              <w:left w:val="single" w:sz="4" w:space="0" w:color="auto"/>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w:t>
            </w:r>
          </w:p>
        </w:tc>
      </w:tr>
      <w:tr w:rsidR="00962335">
        <w:trPr>
          <w:trHeight w:val="347"/>
          <w:jc w:val="center"/>
        </w:trPr>
        <w:tc>
          <w:tcPr>
            <w:tcW w:w="12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single" w:sz="4" w:space="0" w:color="auto"/>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3.厕所干净卫生。</w:t>
            </w:r>
          </w:p>
        </w:tc>
        <w:tc>
          <w:tcPr>
            <w:tcW w:w="1566" w:type="dxa"/>
            <w:tcBorders>
              <w:top w:val="single" w:sz="4" w:space="0" w:color="auto"/>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查看现场</w:t>
            </w:r>
          </w:p>
        </w:tc>
        <w:tc>
          <w:tcPr>
            <w:tcW w:w="3735" w:type="dxa"/>
            <w:tcBorders>
              <w:top w:val="single" w:sz="4" w:space="0" w:color="auto"/>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有蚊蝇、尿池有尿碱各扣0.5分。</w:t>
            </w:r>
          </w:p>
        </w:tc>
        <w:tc>
          <w:tcPr>
            <w:tcW w:w="839" w:type="dxa"/>
            <w:tcBorders>
              <w:top w:val="single" w:sz="4" w:space="0" w:color="auto"/>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w:t>
            </w:r>
          </w:p>
        </w:tc>
      </w:tr>
      <w:tr w:rsidR="00962335">
        <w:trPr>
          <w:trHeight w:val="685"/>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4.药品袋、病历袋、购物袋等使用环保用品。</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查看现场</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药品袋、病历袋及购物袋未使用环保用品各扣0.5分，扣完为止。</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w:t>
            </w:r>
          </w:p>
        </w:tc>
      </w:tr>
      <w:tr w:rsidR="00962335">
        <w:trPr>
          <w:trHeight w:val="1360"/>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5.院内生活垃圾和医疗废物分类收集，医疗废物标识清晰，收集、放置和转运合理，符合院感规定。</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查看垃圾分类清运记录、处理记录</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无垃圾分类清运记录扣0.5分，无处理记录扣0.5分，无医疗废物标识扣0.5分，垃圾分类处理不符合院感规定扣0.5分。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2</w:t>
            </w:r>
          </w:p>
        </w:tc>
      </w:tr>
      <w:tr w:rsidR="00962335">
        <w:trPr>
          <w:trHeight w:val="1360"/>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val="restart"/>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B类（14分）</w:t>
            </w: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6.注意病人的文化背景、饮食习惯、社会状况、身体残疾情况等方面的不同需求，提供人性化的设施或服务。</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查看现场</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kern w:val="0"/>
                <w:sz w:val="24"/>
                <w:szCs w:val="24"/>
              </w:rPr>
            </w:pPr>
            <w:r>
              <w:rPr>
                <w:rFonts w:ascii="方正仿宋_GBK" w:eastAsia="方正仿宋_GBK" w:hAnsi="宋体" w:cs="宋体" w:hint="eastAsia"/>
                <w:kern w:val="0"/>
                <w:sz w:val="24"/>
                <w:szCs w:val="24"/>
              </w:rPr>
              <w:t>无方便残疾人使用的通道、电梯或轮椅等扣2分；无残疾人使用的厕所扣2分；无保证各民族的措施扣1分。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5</w:t>
            </w:r>
          </w:p>
        </w:tc>
      </w:tr>
      <w:tr w:rsidR="00962335">
        <w:trPr>
          <w:trHeight w:val="784"/>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7.提供满足医护人员休息、健身、娱乐需要的设施和设备。</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查看现场</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未设置医护人员休息、健身、娱乐需要的设施设备各扣1分。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w:t>
            </w:r>
          </w:p>
        </w:tc>
      </w:tr>
      <w:tr w:rsidR="00962335">
        <w:trPr>
          <w:trHeight w:val="1360"/>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8.按照医院就医与工作环境中健康与安全、职业伤害的危险因子的定期评估机制或规定，评估是否符合，并不断提出改进建议。</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查看评估机制或规定</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无评估机制或规定扣2分，未提出改进建议扣2分。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4</w:t>
            </w:r>
          </w:p>
        </w:tc>
      </w:tr>
      <w:tr w:rsidR="00962335">
        <w:trPr>
          <w:trHeight w:val="1023"/>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9.有营养配餐室或食品销售处,为医护人员和患者提供安全、合理的饮食。</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查看现场</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无营养配餐室或食品销售处扣2分。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2</w:t>
            </w:r>
          </w:p>
        </w:tc>
      </w:tr>
      <w:tr w:rsidR="00962335">
        <w:trPr>
          <w:trHeight w:val="1698"/>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val="restart"/>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（七）人文环境</w:t>
            </w:r>
          </w:p>
        </w:tc>
        <w:tc>
          <w:tcPr>
            <w:tcW w:w="1404" w:type="dxa"/>
            <w:vMerge w:val="restart"/>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A类（9分）</w:t>
            </w: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1.大厅设有咨询台，服务态度良好，医务人员遵守相关文明、礼貌的行为规范,对待病人和蔼和亲，使用文明礼貌用语，医护人员服务态度好，医患矛盾少。</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查看现场，并随机询问10名门诊或住院患者及家属</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抽查10名门诊或住院患者及家属，询问医护人员服务态度，每得到1个差评扣0.5分。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5</w:t>
            </w:r>
          </w:p>
        </w:tc>
      </w:tr>
      <w:tr w:rsidR="00962335">
        <w:trPr>
          <w:trHeight w:val="1360"/>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2.有医患沟通媒介（投诉机制、新传媒系统等）,医患矛盾和纠纷的年增长率小于30%。</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查看资料</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无医患沟通媒介扣2分，医患矛盾和纠纷的年增长率大于等于30%小于35%扣0.5分，大于等于35%小于40%扣1分，40%及以上扣2分。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4</w:t>
            </w:r>
          </w:p>
        </w:tc>
      </w:tr>
      <w:tr w:rsidR="00962335">
        <w:trPr>
          <w:trHeight w:val="1023"/>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val="restart"/>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（八）宣传环境</w:t>
            </w:r>
          </w:p>
        </w:tc>
        <w:tc>
          <w:tcPr>
            <w:tcW w:w="1404" w:type="dxa"/>
            <w:tcBorders>
              <w:top w:val="nil"/>
              <w:left w:val="nil"/>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A类（2分）</w:t>
            </w: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 咨询台、候诊处有健康传播资料发放架、宣传专栏，资料定期更新。</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查看现场</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无资料发放架或宣传栏扣2分，健康传播资料种类不低于5种，每少一种扣0.5分，扣完为止。</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2</w:t>
            </w:r>
          </w:p>
        </w:tc>
      </w:tr>
      <w:tr w:rsidR="00962335">
        <w:trPr>
          <w:trHeight w:val="1023"/>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B类（2分）</w:t>
            </w:r>
          </w:p>
        </w:tc>
        <w:tc>
          <w:tcPr>
            <w:tcW w:w="37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2.大型电子显示屏或电子视频播放设备，播放内容定期更新。</w:t>
            </w:r>
          </w:p>
        </w:tc>
        <w:tc>
          <w:tcPr>
            <w:tcW w:w="156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查看现场</w:t>
            </w:r>
          </w:p>
        </w:tc>
        <w:tc>
          <w:tcPr>
            <w:tcW w:w="3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无电子设备扣2分，播放健康传播资料种类不低于5种，每少一种扣0.5分。</w:t>
            </w:r>
          </w:p>
        </w:tc>
        <w:tc>
          <w:tcPr>
            <w:tcW w:w="839" w:type="dxa"/>
            <w:tcBorders>
              <w:top w:val="single" w:sz="4" w:space="0" w:color="auto"/>
              <w:left w:val="single" w:sz="4" w:space="0" w:color="auto"/>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2</w:t>
            </w:r>
          </w:p>
        </w:tc>
      </w:tr>
      <w:tr w:rsidR="00962335">
        <w:trPr>
          <w:trHeight w:val="1360"/>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jc w:val="center"/>
              <w:rPr>
                <w:rFonts w:ascii="方正黑体_GBK" w:eastAsia="方正黑体_GBK" w:hAnsi="宋体" w:cs="宋体"/>
                <w:color w:val="000000"/>
                <w:kern w:val="0"/>
                <w:sz w:val="28"/>
                <w:szCs w:val="28"/>
              </w:rPr>
            </w:pPr>
            <w:r>
              <w:rPr>
                <w:rFonts w:ascii="方正黑体_GBK" w:eastAsia="方正黑体_GBK" w:hAnsi="方正黑体_GBK" w:cs="方正黑体_GBK" w:hint="eastAsia"/>
                <w:color w:val="000000"/>
                <w:kern w:val="0"/>
                <w:sz w:val="24"/>
                <w:szCs w:val="24"/>
              </w:rPr>
              <w:lastRenderedPageBreak/>
              <w:t>（三）健康教育与健康促进</w:t>
            </w:r>
          </w:p>
        </w:tc>
        <w:tc>
          <w:tcPr>
            <w:tcW w:w="1362" w:type="dxa"/>
            <w:vMerge w:val="restart"/>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（九）院内患者健康教育与健康促进</w:t>
            </w:r>
          </w:p>
        </w:tc>
        <w:tc>
          <w:tcPr>
            <w:tcW w:w="1404" w:type="dxa"/>
            <w:vMerge w:val="restart"/>
            <w:tcBorders>
              <w:top w:val="single" w:sz="4" w:space="0" w:color="auto"/>
              <w:left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A类（20分）</w:t>
            </w:r>
          </w:p>
        </w:tc>
        <w:tc>
          <w:tcPr>
            <w:tcW w:w="3750" w:type="dxa"/>
            <w:tcBorders>
              <w:top w:val="single" w:sz="4" w:space="0" w:color="auto"/>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1.评估患者吸烟、饮酒、营养、心理等主要生活方式与危险因素，及病人的文化风俗习惯（如教育、语言、饮食习惯）。</w:t>
            </w:r>
          </w:p>
        </w:tc>
        <w:tc>
          <w:tcPr>
            <w:tcW w:w="1566" w:type="dxa"/>
            <w:tcBorders>
              <w:top w:val="single" w:sz="4" w:space="0" w:color="auto"/>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查看现场，并随机询问10名患者</w:t>
            </w:r>
          </w:p>
        </w:tc>
        <w:tc>
          <w:tcPr>
            <w:tcW w:w="3735" w:type="dxa"/>
            <w:tcBorders>
              <w:top w:val="single" w:sz="4" w:space="0" w:color="auto"/>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抽查10名患者，询问是否提供这项服务，发现未向一位患者提供此项服务扣0.5分。</w:t>
            </w:r>
          </w:p>
        </w:tc>
        <w:tc>
          <w:tcPr>
            <w:tcW w:w="839" w:type="dxa"/>
            <w:tcBorders>
              <w:top w:val="single" w:sz="4" w:space="0" w:color="auto"/>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5</w:t>
            </w:r>
          </w:p>
        </w:tc>
      </w:tr>
      <w:tr w:rsidR="00962335">
        <w:trPr>
          <w:trHeight w:val="1102"/>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left w:val="single" w:sz="4" w:space="0" w:color="auto"/>
              <w:right w:val="single" w:sz="4" w:space="0" w:color="auto"/>
            </w:tcBorders>
            <w:shd w:val="clear" w:color="auto" w:fill="auto"/>
            <w:noWrap/>
            <w:vAlign w:val="center"/>
          </w:tcPr>
          <w:p w:rsidR="00962335" w:rsidRDefault="00962335">
            <w:pPr>
              <w:spacing w:line="360" w:lineRule="exact"/>
              <w:jc w:val="center"/>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2.医生根据患者的不同患病状况明确告知患者致病原因与高危因素。</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查看现场，并随机询问10名患者</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抽查10名患者，询问是否提供这项服务，发现未向一位患者提供此项服务扣0.5分。。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5</w:t>
            </w:r>
          </w:p>
        </w:tc>
      </w:tr>
      <w:tr w:rsidR="00962335">
        <w:trPr>
          <w:trHeight w:val="1116"/>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left w:val="single" w:sz="4" w:space="0" w:color="auto"/>
              <w:right w:val="single" w:sz="4" w:space="0" w:color="auto"/>
            </w:tcBorders>
            <w:shd w:val="clear" w:color="auto" w:fill="auto"/>
            <w:noWrap/>
            <w:vAlign w:val="center"/>
          </w:tcPr>
          <w:p w:rsidR="00962335" w:rsidRDefault="00962335">
            <w:pPr>
              <w:spacing w:line="360" w:lineRule="exact"/>
              <w:jc w:val="center"/>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3.为患者提供改进健康、促进疾病康复的建议（通过健康处方、折页、小册子、短信等）。</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查看现场，并随机询问10名患者</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抽查10名患者，询问是否提供这项服务，发现未向一位患者提供此项服务扣0.5分。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5</w:t>
            </w:r>
          </w:p>
        </w:tc>
      </w:tr>
      <w:tr w:rsidR="00962335">
        <w:trPr>
          <w:trHeight w:val="1135"/>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center"/>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4.患者出院时，给予患者或家属易于理解的出院健康促进指导说明或建议。</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查看现场，并随机询问10名患者</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抽查10名患者，询问是否提供这项服务，发现未向一位患者提供此项服务扣0.5分。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5</w:t>
            </w:r>
          </w:p>
        </w:tc>
      </w:tr>
      <w:tr w:rsidR="00962335">
        <w:trPr>
          <w:trHeight w:val="1698"/>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val="restart"/>
            <w:tcBorders>
              <w:top w:val="nil"/>
              <w:left w:val="single" w:sz="4" w:space="0" w:color="auto"/>
              <w:right w:val="single" w:sz="4" w:space="0" w:color="auto"/>
            </w:tcBorders>
            <w:shd w:val="clear" w:color="auto" w:fill="auto"/>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B类（10分）</w:t>
            </w: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5.患者出院后，继续在患者随访中提供健康促进服务和康复指导，如通过组织患者俱乐部与病友会、与其他保健机构合作的方式，继续开展患者健康促进活动。</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查看10名住院患者的计划书</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抽查10名住院患者的资料，每发现1名患者无健康促进计划扣0.5分。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5</w:t>
            </w:r>
          </w:p>
        </w:tc>
      </w:tr>
      <w:tr w:rsidR="00962335">
        <w:trPr>
          <w:trHeight w:val="1698"/>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6.患者出院后，在患者知情同意的情况下，将患者转介到基层医疗单位或社区患者支持组织，确保病人在出院后健康促进项目的延续与实施。</w:t>
            </w:r>
          </w:p>
        </w:tc>
        <w:tc>
          <w:tcPr>
            <w:tcW w:w="156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查看资料，电话查访10名患者</w:t>
            </w:r>
          </w:p>
        </w:tc>
        <w:tc>
          <w:tcPr>
            <w:tcW w:w="3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电话查访10名患者，一人一项不合格扣0.5分。</w:t>
            </w:r>
          </w:p>
        </w:tc>
        <w:tc>
          <w:tcPr>
            <w:tcW w:w="839" w:type="dxa"/>
            <w:tcBorders>
              <w:top w:val="single" w:sz="4" w:space="0" w:color="auto"/>
              <w:left w:val="single" w:sz="4" w:space="0" w:color="auto"/>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5</w:t>
            </w:r>
          </w:p>
        </w:tc>
      </w:tr>
      <w:tr w:rsidR="00962335">
        <w:trPr>
          <w:trHeight w:val="1023"/>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val="restart"/>
            <w:tcBorders>
              <w:top w:val="nil"/>
              <w:left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（十）社区和公众健康教育健康促进</w:t>
            </w:r>
          </w:p>
        </w:tc>
        <w:tc>
          <w:tcPr>
            <w:tcW w:w="1404" w:type="dxa"/>
            <w:vMerge w:val="restart"/>
            <w:tcBorders>
              <w:top w:val="nil"/>
              <w:left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A类（14分）</w:t>
            </w:r>
          </w:p>
        </w:tc>
        <w:tc>
          <w:tcPr>
            <w:tcW w:w="3750" w:type="dxa"/>
            <w:tcBorders>
              <w:top w:val="single" w:sz="4" w:space="0" w:color="auto"/>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1.医院定期组织向社会开放的健康课堂和专题健康讲座。</w:t>
            </w:r>
          </w:p>
        </w:tc>
        <w:tc>
          <w:tcPr>
            <w:tcW w:w="1566" w:type="dxa"/>
            <w:tcBorders>
              <w:top w:val="single" w:sz="4" w:space="0" w:color="auto"/>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查看年度计划及记录</w:t>
            </w:r>
          </w:p>
        </w:tc>
        <w:tc>
          <w:tcPr>
            <w:tcW w:w="3735" w:type="dxa"/>
            <w:tcBorders>
              <w:top w:val="single" w:sz="4" w:space="0" w:color="auto"/>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无年度计划扣1分；每年开展健康活动至少6次，每少一次扣1分，其中每次活动无记录扣0.5分。</w:t>
            </w:r>
          </w:p>
        </w:tc>
        <w:tc>
          <w:tcPr>
            <w:tcW w:w="839" w:type="dxa"/>
            <w:tcBorders>
              <w:top w:val="single" w:sz="4" w:space="0" w:color="auto"/>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7</w:t>
            </w:r>
          </w:p>
        </w:tc>
      </w:tr>
      <w:tr w:rsidR="00962335">
        <w:trPr>
          <w:trHeight w:val="1023"/>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right w:val="single" w:sz="4" w:space="0" w:color="auto"/>
            </w:tcBorders>
            <w:shd w:val="clear" w:color="auto" w:fill="auto"/>
            <w:noWrap/>
            <w:vAlign w:val="center"/>
          </w:tcPr>
          <w:p w:rsidR="00962335" w:rsidRDefault="00962335">
            <w:pPr>
              <w:widowControl/>
              <w:spacing w:line="360" w:lineRule="exact"/>
              <w:jc w:val="center"/>
              <w:rPr>
                <w:rFonts w:ascii="方正仿宋_GBK" w:eastAsia="方正仿宋_GBK" w:hAnsi="宋体" w:cs="宋体"/>
                <w:color w:val="000000"/>
                <w:kern w:val="0"/>
                <w:sz w:val="24"/>
                <w:szCs w:val="24"/>
              </w:rPr>
            </w:pPr>
          </w:p>
        </w:tc>
        <w:tc>
          <w:tcPr>
            <w:tcW w:w="1404" w:type="dxa"/>
            <w:vMerge/>
            <w:tcBorders>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center"/>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2.开展或积极参加义诊咨询或健康教育活动。</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查看年度计划及记录</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无年度计划扣1分；每年开展健康活动至少6次，每少一次扣1分，其中每次活动无记录扣0.5分。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7</w:t>
            </w:r>
          </w:p>
        </w:tc>
      </w:tr>
      <w:tr w:rsidR="00962335">
        <w:trPr>
          <w:trHeight w:val="1135"/>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left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val="restart"/>
            <w:tcBorders>
              <w:top w:val="nil"/>
              <w:left w:val="nil"/>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B类（14分）</w:t>
            </w: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3.通过当地广播、电视、报纸、社交媒体与网站对公众开展健康倡导与知识传播。</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查看年度计划及记录</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无年度计划扣1分；每年至少6次，每少一次扣1分，其中每次传播无记录扣0.5分。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7</w:t>
            </w:r>
          </w:p>
        </w:tc>
      </w:tr>
      <w:tr w:rsidR="00962335">
        <w:trPr>
          <w:trHeight w:val="1360"/>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left w:val="nil"/>
              <w:bottom w:val="single" w:sz="4" w:space="0" w:color="auto"/>
              <w:right w:val="single" w:sz="4" w:space="0" w:color="auto"/>
            </w:tcBorders>
            <w:shd w:val="clear" w:color="auto" w:fill="auto"/>
            <w:noWrap/>
            <w:vAlign w:val="center"/>
          </w:tcPr>
          <w:p w:rsidR="00962335" w:rsidRDefault="00962335">
            <w:pPr>
              <w:widowControl/>
              <w:spacing w:line="360" w:lineRule="exact"/>
              <w:jc w:val="center"/>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4.根据国家或当地卫生政策计划的需要，与社区医疗机构或社会健康服务机构合作开展健康促进活动。</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查看年度计划及记录</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无年度计划扣1分；每年与社区医疗机构合作开展健康促进活动至少6次，每少一次扣1分，其中每次活动无记录扣0.5分。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7</w:t>
            </w:r>
          </w:p>
        </w:tc>
      </w:tr>
      <w:tr w:rsidR="00962335">
        <w:trPr>
          <w:trHeight w:val="2373"/>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val="restart"/>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（十一）医护人员健康教育与健康促进</w:t>
            </w:r>
          </w:p>
        </w:tc>
        <w:tc>
          <w:tcPr>
            <w:tcW w:w="1404" w:type="dxa"/>
            <w:tcBorders>
              <w:top w:val="nil"/>
              <w:left w:val="nil"/>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A类（7分）</w:t>
            </w: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根据员工的健康状况，医院有计划有组织的开展职工健康管理工作（包括告知职工健康的影响因素，或提供个性化的健康促进指导，定期组织由医护人员参加自我保健、生活方式、心理调适和疾病防治等方面的健康促进活动。）</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查看工作计划并随机询问10名医护人员</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无职工健康管理工作计划扣2分。随机询问10名医护人员，发现1人未告知及指导扣0.5分。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7</w:t>
            </w:r>
          </w:p>
        </w:tc>
      </w:tr>
      <w:tr w:rsidR="00962335">
        <w:trPr>
          <w:trHeight w:val="1360"/>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val="restart"/>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B类（10分）</w:t>
            </w: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2.每年对全体员工进行定期健康评估,掌握职工中存在的主要健康问题及其行为危险因素的流行水平。</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查看评估计划及分析报告</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无健康评估计划扣2分，未完成对职工存在的主要健康问题及行为危险因素流行水平分析报告扣3分。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5</w:t>
            </w:r>
          </w:p>
        </w:tc>
      </w:tr>
      <w:tr w:rsidR="00962335">
        <w:trPr>
          <w:trHeight w:val="1023"/>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3.医院有1－2项员工健康促进计划，如员工戒烟计划、体育健身计划等。</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查看资料</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无员工健康促进计划扣5分，无实施记录扣3分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5</w:t>
            </w:r>
          </w:p>
        </w:tc>
      </w:tr>
      <w:tr w:rsidR="00962335">
        <w:trPr>
          <w:trHeight w:val="203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jc w:val="center"/>
              <w:rPr>
                <w:rFonts w:ascii="方正黑体_GBK" w:eastAsia="方正黑体_GBK" w:hAnsi="宋体" w:cs="宋体"/>
                <w:color w:val="000000"/>
                <w:kern w:val="0"/>
                <w:sz w:val="28"/>
                <w:szCs w:val="28"/>
              </w:rPr>
            </w:pPr>
            <w:r>
              <w:rPr>
                <w:rFonts w:ascii="方正黑体_GBK" w:eastAsia="方正黑体_GBK" w:hAnsi="方正黑体_GBK" w:cs="方正黑体_GBK" w:hint="eastAsia"/>
                <w:color w:val="000000"/>
                <w:kern w:val="0"/>
                <w:sz w:val="24"/>
                <w:szCs w:val="24"/>
              </w:rPr>
              <w:lastRenderedPageBreak/>
              <w:t>（四）特色活动</w:t>
            </w:r>
          </w:p>
        </w:tc>
        <w:tc>
          <w:tcPr>
            <w:tcW w:w="1362" w:type="dxa"/>
            <w:tcBorders>
              <w:top w:val="nil"/>
              <w:left w:val="nil"/>
              <w:bottom w:val="single" w:sz="4" w:space="0" w:color="auto"/>
              <w:right w:val="single" w:sz="4" w:space="0" w:color="auto"/>
            </w:tcBorders>
            <w:shd w:val="clear" w:color="auto" w:fill="auto"/>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 xml:space="preserve">　</w:t>
            </w:r>
          </w:p>
        </w:tc>
        <w:tc>
          <w:tcPr>
            <w:tcW w:w="1404" w:type="dxa"/>
            <w:tcBorders>
              <w:top w:val="nil"/>
              <w:left w:val="nil"/>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B类（30分）</w:t>
            </w: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结合医院特色诊疗或资源，至少开展一项特色健康教育和健康促进活动，如组织“患者沙龙活动”、建立中医“治未病”中心、“健康生活方式管理中心”、患者联盟、远程咨询等。</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查看活动记录</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开展3项及以上不扣分，每项特色活动记10分，其中无活动记录扣5分；无活动总结扣5分。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30</w:t>
            </w:r>
          </w:p>
        </w:tc>
      </w:tr>
      <w:tr w:rsidR="00962335">
        <w:trPr>
          <w:trHeight w:val="1023"/>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jc w:val="center"/>
              <w:rPr>
                <w:rFonts w:ascii="方正黑体_GBK" w:eastAsia="方正黑体_GBK" w:hAnsi="宋体" w:cs="宋体"/>
                <w:color w:val="000000"/>
                <w:kern w:val="0"/>
                <w:sz w:val="28"/>
                <w:szCs w:val="28"/>
              </w:rPr>
            </w:pPr>
            <w:r>
              <w:rPr>
                <w:rFonts w:ascii="方正黑体_GBK" w:eastAsia="方正黑体_GBK" w:hAnsi="方正黑体_GBK" w:cs="方正黑体_GBK" w:hint="eastAsia"/>
                <w:color w:val="000000"/>
                <w:kern w:val="0"/>
                <w:sz w:val="24"/>
                <w:szCs w:val="24"/>
              </w:rPr>
              <w:t>（五）考核评估</w:t>
            </w:r>
          </w:p>
        </w:tc>
        <w:tc>
          <w:tcPr>
            <w:tcW w:w="1362" w:type="dxa"/>
            <w:vMerge w:val="restart"/>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 xml:space="preserve">　</w:t>
            </w:r>
          </w:p>
        </w:tc>
        <w:tc>
          <w:tcPr>
            <w:tcW w:w="1404" w:type="dxa"/>
            <w:vMerge w:val="restart"/>
            <w:tcBorders>
              <w:top w:val="nil"/>
              <w:left w:val="single" w:sz="4" w:space="0" w:color="auto"/>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A类（12分）</w:t>
            </w: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1.定期开展无烟医疗卫生机构自我评估。</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查看自我评估及整改报告</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未开展自我评估扣3分。评估后发现问题未提出整改方案扣1分。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w:t>
            </w:r>
          </w:p>
        </w:tc>
      </w:tr>
      <w:tr w:rsidR="00962335">
        <w:trPr>
          <w:trHeight w:val="1023"/>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2.医院例行性的记录、收集、存档医院健康促进活动、评估资料，并提供给相关人员做评估使用。</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查看资料</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未收集存档活动记录扣1.5分，未收集存档评估资料扣1.5分。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w:t>
            </w:r>
          </w:p>
        </w:tc>
      </w:tr>
      <w:tr w:rsidR="00962335">
        <w:trPr>
          <w:trHeight w:val="685"/>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 开展日常检查考核，发现问题，查找不足，改进工作。</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查看资料</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无考核记录扣3分。发现问题未改进扣2分。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w:t>
            </w:r>
          </w:p>
        </w:tc>
      </w:tr>
      <w:tr w:rsidR="00962335">
        <w:trPr>
          <w:trHeight w:val="1360"/>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4.根据本院的“健康促进质量评估方案”，或“城口县健康促进医院评估标准”开展自评及年度总结工作。</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查看资料</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无自评及年度总结工作记录各扣1.5分。</w:t>
            </w:r>
          </w:p>
        </w:tc>
        <w:tc>
          <w:tcPr>
            <w:tcW w:w="839" w:type="dxa"/>
            <w:tcBorders>
              <w:top w:val="nil"/>
              <w:left w:val="nil"/>
              <w:bottom w:val="single" w:sz="4" w:space="0" w:color="auto"/>
              <w:right w:val="single" w:sz="4" w:space="0" w:color="auto"/>
            </w:tcBorders>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3</w:t>
            </w:r>
          </w:p>
        </w:tc>
      </w:tr>
      <w:tr w:rsidR="00962335">
        <w:trPr>
          <w:trHeight w:val="2373"/>
          <w:jc w:val="center"/>
        </w:trPr>
        <w:tc>
          <w:tcPr>
            <w:tcW w:w="1200"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jc w:val="left"/>
              <w:rPr>
                <w:rFonts w:ascii="方正黑体_GBK" w:eastAsia="方正黑体_GBK" w:hAnsi="宋体" w:cs="宋体"/>
                <w:color w:val="000000"/>
                <w:kern w:val="0"/>
                <w:sz w:val="28"/>
                <w:szCs w:val="28"/>
              </w:rPr>
            </w:pPr>
          </w:p>
        </w:tc>
        <w:tc>
          <w:tcPr>
            <w:tcW w:w="1362" w:type="dxa"/>
            <w:vMerge/>
            <w:tcBorders>
              <w:top w:val="nil"/>
              <w:left w:val="single" w:sz="4" w:space="0" w:color="auto"/>
              <w:bottom w:val="single" w:sz="4" w:space="0" w:color="auto"/>
              <w:right w:val="single" w:sz="4" w:space="0" w:color="auto"/>
            </w:tcBorders>
            <w:shd w:val="clear" w:color="auto" w:fill="auto"/>
            <w:noWrap/>
            <w:vAlign w:val="center"/>
          </w:tcPr>
          <w:p w:rsidR="00962335" w:rsidRDefault="00962335">
            <w:pPr>
              <w:widowControl/>
              <w:spacing w:line="360" w:lineRule="exact"/>
              <w:jc w:val="left"/>
              <w:rPr>
                <w:rFonts w:ascii="方正仿宋_GBK" w:eastAsia="方正仿宋_GBK" w:hAnsi="宋体" w:cs="宋体"/>
                <w:color w:val="000000"/>
                <w:kern w:val="0"/>
                <w:sz w:val="24"/>
                <w:szCs w:val="24"/>
              </w:rPr>
            </w:pPr>
          </w:p>
        </w:tc>
        <w:tc>
          <w:tcPr>
            <w:tcW w:w="1404" w:type="dxa"/>
            <w:tcBorders>
              <w:top w:val="nil"/>
              <w:left w:val="nil"/>
              <w:bottom w:val="single" w:sz="4" w:space="0" w:color="auto"/>
              <w:right w:val="single" w:sz="4" w:space="0" w:color="auto"/>
            </w:tcBorders>
            <w:shd w:val="clear" w:color="auto" w:fill="auto"/>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B类（5分）</w:t>
            </w:r>
          </w:p>
        </w:tc>
        <w:tc>
          <w:tcPr>
            <w:tcW w:w="3750"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5.对于提供给病人的健康教育活动做满意度评估，并将评估结果纳入质量管理系统中（如调查、专题小组访谈、问卷调查等各种评估方法）。</w:t>
            </w:r>
          </w:p>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注：附录中提供了一份“病人健康教育效果调查样表”供参考。</w:t>
            </w:r>
          </w:p>
        </w:tc>
        <w:tc>
          <w:tcPr>
            <w:tcW w:w="1566"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查看资料</w:t>
            </w:r>
          </w:p>
        </w:tc>
        <w:tc>
          <w:tcPr>
            <w:tcW w:w="3735"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无评估扣3分，未纳入质量管理扣2分。</w:t>
            </w:r>
          </w:p>
        </w:tc>
        <w:tc>
          <w:tcPr>
            <w:tcW w:w="839" w:type="dxa"/>
            <w:tcBorders>
              <w:top w:val="nil"/>
              <w:left w:val="nil"/>
              <w:bottom w:val="single" w:sz="4" w:space="0" w:color="auto"/>
              <w:right w:val="single" w:sz="4" w:space="0" w:color="auto"/>
            </w:tcBorders>
            <w:shd w:val="clear" w:color="000000" w:fill="FFFFFF"/>
            <w:noWrap/>
            <w:vAlign w:val="center"/>
          </w:tcPr>
          <w:p w:rsidR="00962335" w:rsidRDefault="008418A3">
            <w:pPr>
              <w:widowControl/>
              <w:spacing w:line="360" w:lineRule="exact"/>
              <w:jc w:val="center"/>
              <w:rPr>
                <w:rFonts w:ascii="方正仿宋_GBK" w:eastAsia="方正仿宋_GBK" w:hAnsi="宋体" w:cs="宋体"/>
                <w:color w:val="000000"/>
                <w:kern w:val="0"/>
                <w:sz w:val="24"/>
                <w:szCs w:val="24"/>
              </w:rPr>
            </w:pPr>
            <w:r>
              <w:rPr>
                <w:rFonts w:ascii="方正仿宋_GBK" w:eastAsia="方正仿宋_GBK" w:hAnsi="宋体" w:cs="宋体" w:hint="eastAsia"/>
                <w:color w:val="000000"/>
                <w:kern w:val="0"/>
                <w:sz w:val="24"/>
                <w:szCs w:val="24"/>
              </w:rPr>
              <w:t>5</w:t>
            </w:r>
          </w:p>
        </w:tc>
      </w:tr>
      <w:tr w:rsidR="00962335">
        <w:trPr>
          <w:trHeight w:val="4061"/>
          <w:jc w:val="center"/>
        </w:trPr>
        <w:tc>
          <w:tcPr>
            <w:tcW w:w="13856" w:type="dxa"/>
            <w:gridSpan w:val="7"/>
            <w:tcBorders>
              <w:top w:val="nil"/>
              <w:left w:val="nil"/>
              <w:bottom w:val="nil"/>
              <w:right w:val="nil"/>
            </w:tcBorders>
            <w:noWrap/>
          </w:tcPr>
          <w:p w:rsidR="00962335" w:rsidRDefault="008418A3">
            <w:pPr>
              <w:widowControl/>
              <w:spacing w:line="360" w:lineRule="exact"/>
              <w:jc w:val="left"/>
              <w:rPr>
                <w:rFonts w:ascii="方正仿宋_GBK" w:eastAsia="方正仿宋_GBK" w:hAnsi="宋体" w:cs="宋体"/>
                <w:color w:val="000000"/>
                <w:kern w:val="0"/>
                <w:sz w:val="24"/>
                <w:szCs w:val="24"/>
              </w:rPr>
            </w:pPr>
            <w:r>
              <w:rPr>
                <w:rFonts w:ascii="方正黑体_GBK" w:eastAsia="方正黑体_GBK" w:hAnsi="宋体" w:cs="宋体" w:hint="eastAsia"/>
                <w:color w:val="000000"/>
                <w:kern w:val="0"/>
                <w:sz w:val="28"/>
                <w:szCs w:val="28"/>
              </w:rPr>
              <w:t>说明：</w:t>
            </w:r>
            <w:r>
              <w:rPr>
                <w:rFonts w:ascii="方正仿宋_GBK" w:eastAsia="方正仿宋_GBK" w:hAnsi="宋体" w:cs="宋体" w:hint="eastAsia"/>
                <w:color w:val="000000"/>
                <w:kern w:val="0"/>
                <w:sz w:val="24"/>
                <w:szCs w:val="24"/>
              </w:rPr>
              <w:br/>
              <w:t xml:space="preserve">    1.健康促进医院工作涵盖医院健康促进工作组织管理、环境建设、健康教育与健康促进、特色活动及考核评估五大部分。</w:t>
            </w:r>
            <w:r>
              <w:rPr>
                <w:rFonts w:ascii="方正仿宋_GBK" w:eastAsia="方正仿宋_GBK" w:hAnsi="宋体" w:cs="宋体" w:hint="eastAsia"/>
                <w:color w:val="000000"/>
                <w:kern w:val="0"/>
                <w:sz w:val="24"/>
                <w:szCs w:val="24"/>
              </w:rPr>
              <w:br/>
              <w:t xml:space="preserve">    2.根据各部分在健康促进医院活动中的内容不同，分值有所侧重，可分为A、B两大类，各占100分。考评达标标准如下：</w:t>
            </w:r>
            <w:r>
              <w:rPr>
                <w:rFonts w:ascii="方正仿宋_GBK" w:eastAsia="方正仿宋_GBK" w:hAnsi="宋体" w:cs="宋体" w:hint="eastAsia"/>
                <w:color w:val="000000"/>
                <w:kern w:val="0"/>
                <w:sz w:val="24"/>
                <w:szCs w:val="24"/>
              </w:rPr>
              <w:br/>
              <w:t xml:space="preserve">     （1）二级医院：“A”类≥80分，且“B”类≥40分；</w:t>
            </w:r>
            <w:r>
              <w:rPr>
                <w:rFonts w:ascii="方正仿宋_GBK" w:eastAsia="方正仿宋_GBK" w:hAnsi="宋体" w:cs="宋体" w:hint="eastAsia"/>
                <w:color w:val="000000"/>
                <w:kern w:val="0"/>
                <w:sz w:val="24"/>
                <w:szCs w:val="24"/>
              </w:rPr>
              <w:br/>
              <w:t xml:space="preserve">     （2）一级医院：“A”类≥80分，“B”类指标不作要求。</w:t>
            </w:r>
            <w:r>
              <w:rPr>
                <w:rFonts w:ascii="方正仿宋_GBK" w:eastAsia="方正仿宋_GBK" w:hAnsi="宋体" w:cs="宋体" w:hint="eastAsia"/>
                <w:color w:val="000000"/>
                <w:kern w:val="0"/>
                <w:sz w:val="24"/>
                <w:szCs w:val="24"/>
              </w:rPr>
              <w:br/>
              <w:t xml:space="preserve">    3.社区卫生服务中心、卫生院参照一级医院标准执行。本标准不适用社区卫生服务站、村卫生室。</w:t>
            </w:r>
            <w:r>
              <w:rPr>
                <w:rFonts w:ascii="方正仿宋_GBK" w:eastAsia="方正仿宋_GBK" w:hAnsi="宋体" w:cs="宋体" w:hint="eastAsia"/>
                <w:color w:val="000000"/>
                <w:kern w:val="0"/>
                <w:sz w:val="24"/>
                <w:szCs w:val="24"/>
              </w:rPr>
              <w:br/>
              <w:t xml:space="preserve">    4.在创建期间出现下列情况之一者，取消健康促进医院的参评资格。</w:t>
            </w:r>
            <w:r>
              <w:rPr>
                <w:rFonts w:ascii="方正仿宋_GBK" w:eastAsia="方正仿宋_GBK" w:hAnsi="宋体" w:cs="宋体" w:hint="eastAsia"/>
                <w:color w:val="000000"/>
                <w:kern w:val="0"/>
                <w:sz w:val="24"/>
                <w:szCs w:val="24"/>
              </w:rPr>
              <w:br/>
              <w:t xml:space="preserve">     （1）未达到《无烟医疗卫生计生机构标准》；</w:t>
            </w:r>
            <w:r>
              <w:rPr>
                <w:rFonts w:ascii="方正仿宋_GBK" w:eastAsia="方正仿宋_GBK" w:hAnsi="宋体" w:cs="宋体" w:hint="eastAsia"/>
                <w:color w:val="000000"/>
                <w:kern w:val="0"/>
                <w:sz w:val="24"/>
                <w:szCs w:val="24"/>
              </w:rPr>
              <w:br/>
              <w:t xml:space="preserve">     （2）发生重大医疗责任事故；</w:t>
            </w:r>
            <w:r>
              <w:rPr>
                <w:rFonts w:ascii="方正仿宋_GBK" w:eastAsia="方正仿宋_GBK" w:hAnsi="宋体" w:cs="宋体" w:hint="eastAsia"/>
                <w:color w:val="000000"/>
                <w:kern w:val="0"/>
                <w:sz w:val="24"/>
                <w:szCs w:val="24"/>
              </w:rPr>
              <w:br/>
              <w:t xml:space="preserve">     （3）发生严重院内感染事件；</w:t>
            </w:r>
            <w:r>
              <w:rPr>
                <w:rFonts w:ascii="方正仿宋_GBK" w:eastAsia="方正仿宋_GBK" w:hAnsi="宋体" w:cs="宋体" w:hint="eastAsia"/>
                <w:color w:val="000000"/>
                <w:kern w:val="0"/>
                <w:sz w:val="24"/>
                <w:szCs w:val="24"/>
              </w:rPr>
              <w:br/>
              <w:t xml:space="preserve">     （4）发生食物中毒和饮用水污染事故；</w:t>
            </w:r>
            <w:r>
              <w:rPr>
                <w:rFonts w:ascii="方正仿宋_GBK" w:eastAsia="方正仿宋_GBK" w:hAnsi="宋体" w:cs="宋体" w:hint="eastAsia"/>
                <w:color w:val="000000"/>
                <w:kern w:val="0"/>
                <w:sz w:val="24"/>
                <w:szCs w:val="24"/>
              </w:rPr>
              <w:br/>
              <w:t xml:space="preserve">     （5）由于管理不善，导致医护人员在工作期间发生伤亡。</w:t>
            </w:r>
          </w:p>
        </w:tc>
      </w:tr>
    </w:tbl>
    <w:p w:rsidR="00962335" w:rsidRDefault="00962335">
      <w:pPr>
        <w:rPr>
          <w:rFonts w:eastAsia="方正仿宋_GBK"/>
          <w:szCs w:val="32"/>
        </w:rPr>
        <w:sectPr w:rsidR="00962335">
          <w:footerReference w:type="default" r:id="rId8"/>
          <w:pgSz w:w="16838" w:h="11906" w:orient="landscape"/>
          <w:pgMar w:top="2098" w:right="1587" w:bottom="2098" w:left="1587" w:header="851" w:footer="1418" w:gutter="0"/>
          <w:cols w:space="720"/>
          <w:docGrid w:type="lines" w:linePitch="579" w:charSpace="-849"/>
        </w:sectPr>
      </w:pPr>
    </w:p>
    <w:p w:rsidR="00962335" w:rsidRDefault="00962335"/>
    <w:sectPr w:rsidR="00962335" w:rsidSect="0096233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335" w:rsidRDefault="00962335" w:rsidP="00962335">
      <w:r>
        <w:separator/>
      </w:r>
    </w:p>
  </w:endnote>
  <w:endnote w:type="continuationSeparator" w:id="0">
    <w:p w:rsidR="00962335" w:rsidRDefault="00962335" w:rsidP="00962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altName w:val="微软雅黑"/>
    <w:charset w:val="86"/>
    <w:family w:val="script"/>
    <w:pitch w:val="default"/>
    <w:sig w:usb0="00000000" w:usb1="080E0000" w:usb2="00000000" w:usb3="00000000" w:csb0="00040000" w:csb1="00000000"/>
  </w:font>
  <w:font w:name="方正小标宋_GBK">
    <w:altName w:val="微软雅黑"/>
    <w:charset w:val="86"/>
    <w:family w:val="script"/>
    <w:pitch w:val="default"/>
    <w:sig w:usb0="00000000" w:usb1="080E0000" w:usb2="00000000" w:usb3="00000000" w:csb0="00040000" w:csb1="00000000"/>
  </w:font>
  <w:font w:name="方正仿宋_GBK">
    <w:altName w:val="微软雅黑"/>
    <w:charset w:val="86"/>
    <w:family w:val="script"/>
    <w:pitch w:val="default"/>
    <w:sig w:usb0="00000000"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35" w:rsidRDefault="00535E48">
    <w:pPr>
      <w:pStyle w:val="a5"/>
    </w:pPr>
    <w:r>
      <w:pict>
        <v:shapetype id="_x0000_t202" coordsize="21600,21600" o:spt="202" path="m,l,21600r21600,l21600,xe">
          <v:stroke joinstyle="miter"/>
          <v:path gradientshapeok="t" o:connecttype="rect"/>
        </v:shapetype>
        <v:shape id="_x0000_s2049" type="#_x0000_t202" style="position:absolute;margin-left:416pt;margin-top:0;width:2in;height:2in;z-index:251661312;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962335" w:rsidRDefault="00535E48">
                <w:pPr>
                  <w:pStyle w:val="a5"/>
                </w:pPr>
                <w:r>
                  <w:fldChar w:fldCharType="begin"/>
                </w:r>
                <w:r w:rsidR="008418A3">
                  <w:instrText xml:space="preserve"> PAGE  \* MERGEFORMAT </w:instrText>
                </w:r>
                <w:r>
                  <w:fldChar w:fldCharType="separate"/>
                </w:r>
                <w:r w:rsidR="00C953E5">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335" w:rsidRDefault="00962335" w:rsidP="00962335">
      <w:r>
        <w:separator/>
      </w:r>
    </w:p>
  </w:footnote>
  <w:footnote w:type="continuationSeparator" w:id="0">
    <w:p w:rsidR="00962335" w:rsidRDefault="00962335" w:rsidP="00962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47C64F"/>
    <w:multiLevelType w:val="singleLevel"/>
    <w:tmpl w:val="C747C64F"/>
    <w:lvl w:ilvl="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TFmMjkwZDc2NzI1NzM5ZDI4NTE3NGI4NDViNmJhMDQifQ=="/>
  </w:docVars>
  <w:rsids>
    <w:rsidRoot w:val="63445A5C"/>
    <w:rsid w:val="00177E93"/>
    <w:rsid w:val="001A5FC5"/>
    <w:rsid w:val="00313569"/>
    <w:rsid w:val="00375841"/>
    <w:rsid w:val="00535E48"/>
    <w:rsid w:val="00747965"/>
    <w:rsid w:val="007E4CA5"/>
    <w:rsid w:val="008418A3"/>
    <w:rsid w:val="00962335"/>
    <w:rsid w:val="00A26EC8"/>
    <w:rsid w:val="00C953E5"/>
    <w:rsid w:val="00DA7099"/>
    <w:rsid w:val="00F54464"/>
    <w:rsid w:val="03634B61"/>
    <w:rsid w:val="05453514"/>
    <w:rsid w:val="071375C7"/>
    <w:rsid w:val="072B545A"/>
    <w:rsid w:val="08021DF0"/>
    <w:rsid w:val="08615753"/>
    <w:rsid w:val="0F2E1175"/>
    <w:rsid w:val="102B55AF"/>
    <w:rsid w:val="117017BF"/>
    <w:rsid w:val="13B011C1"/>
    <w:rsid w:val="15121DFF"/>
    <w:rsid w:val="1629525B"/>
    <w:rsid w:val="17932C57"/>
    <w:rsid w:val="17EB1239"/>
    <w:rsid w:val="18601EFF"/>
    <w:rsid w:val="188E78A4"/>
    <w:rsid w:val="18A312F5"/>
    <w:rsid w:val="18C140A9"/>
    <w:rsid w:val="1A11228E"/>
    <w:rsid w:val="1AB506E4"/>
    <w:rsid w:val="1AE175A3"/>
    <w:rsid w:val="1BC25D8A"/>
    <w:rsid w:val="1D0C2AEC"/>
    <w:rsid w:val="1F6D440A"/>
    <w:rsid w:val="1FA4005D"/>
    <w:rsid w:val="21780E44"/>
    <w:rsid w:val="24CF3471"/>
    <w:rsid w:val="25D65D0B"/>
    <w:rsid w:val="2613738E"/>
    <w:rsid w:val="288046D1"/>
    <w:rsid w:val="2AF810F3"/>
    <w:rsid w:val="2D7A3830"/>
    <w:rsid w:val="2EBC7077"/>
    <w:rsid w:val="32617353"/>
    <w:rsid w:val="34515C51"/>
    <w:rsid w:val="35BA2DA8"/>
    <w:rsid w:val="36883480"/>
    <w:rsid w:val="36DD7CB5"/>
    <w:rsid w:val="375D2459"/>
    <w:rsid w:val="376A1DCE"/>
    <w:rsid w:val="3B8E32E7"/>
    <w:rsid w:val="3D750467"/>
    <w:rsid w:val="3F2323F3"/>
    <w:rsid w:val="41594397"/>
    <w:rsid w:val="42C143D9"/>
    <w:rsid w:val="4401095D"/>
    <w:rsid w:val="44436F79"/>
    <w:rsid w:val="481F39D0"/>
    <w:rsid w:val="4B2D1D3D"/>
    <w:rsid w:val="4DB6197A"/>
    <w:rsid w:val="4DE45275"/>
    <w:rsid w:val="4EFB6A8D"/>
    <w:rsid w:val="50FD7058"/>
    <w:rsid w:val="52993D88"/>
    <w:rsid w:val="53FC12DE"/>
    <w:rsid w:val="54442C85"/>
    <w:rsid w:val="577A5B49"/>
    <w:rsid w:val="59771406"/>
    <w:rsid w:val="59941FB8"/>
    <w:rsid w:val="5A9A745C"/>
    <w:rsid w:val="5D2F37B9"/>
    <w:rsid w:val="5DC30021"/>
    <w:rsid w:val="5F562D33"/>
    <w:rsid w:val="5FDE5E1C"/>
    <w:rsid w:val="60247A82"/>
    <w:rsid w:val="60DE3C10"/>
    <w:rsid w:val="62C236F2"/>
    <w:rsid w:val="63445A5C"/>
    <w:rsid w:val="641B67AC"/>
    <w:rsid w:val="69CC4625"/>
    <w:rsid w:val="6BC93D43"/>
    <w:rsid w:val="6FBB18A6"/>
    <w:rsid w:val="71030531"/>
    <w:rsid w:val="71C034F3"/>
    <w:rsid w:val="71C04C7A"/>
    <w:rsid w:val="73B94EBB"/>
    <w:rsid w:val="73E3796C"/>
    <w:rsid w:val="75436915"/>
    <w:rsid w:val="77ED3F6F"/>
    <w:rsid w:val="77F739E6"/>
    <w:rsid w:val="780A6ED9"/>
    <w:rsid w:val="78355A6C"/>
    <w:rsid w:val="7FBE05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Date" w:uiPriority="99" w:unhideWhenUsed="1" w:qFormat="1"/>
    <w:lsdException w:name="Body Text First Indent" w:uiPriority="99"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62335"/>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qFormat/>
    <w:rsid w:val="00962335"/>
  </w:style>
  <w:style w:type="paragraph" w:styleId="5">
    <w:name w:val="toc 5"/>
    <w:basedOn w:val="a"/>
    <w:next w:val="a"/>
    <w:qFormat/>
    <w:rsid w:val="00962335"/>
    <w:pPr>
      <w:ind w:leftChars="800" w:left="1680"/>
    </w:pPr>
  </w:style>
  <w:style w:type="paragraph" w:styleId="a4">
    <w:name w:val="Date"/>
    <w:basedOn w:val="a"/>
    <w:next w:val="a"/>
    <w:uiPriority w:val="99"/>
    <w:unhideWhenUsed/>
    <w:qFormat/>
    <w:rsid w:val="00962335"/>
    <w:pPr>
      <w:ind w:leftChars="2500" w:left="100"/>
    </w:pPr>
    <w:rPr>
      <w:rFonts w:ascii="Times New Roman" w:hAnsi="Times New Roman"/>
      <w:szCs w:val="24"/>
    </w:rPr>
  </w:style>
  <w:style w:type="paragraph" w:styleId="a5">
    <w:name w:val="footer"/>
    <w:basedOn w:val="a"/>
    <w:link w:val="Char"/>
    <w:qFormat/>
    <w:rsid w:val="00962335"/>
    <w:pPr>
      <w:tabs>
        <w:tab w:val="center" w:pos="4153"/>
        <w:tab w:val="right" w:pos="8306"/>
      </w:tabs>
      <w:snapToGrid w:val="0"/>
      <w:jc w:val="left"/>
    </w:pPr>
    <w:rPr>
      <w:sz w:val="18"/>
      <w:szCs w:val="18"/>
    </w:rPr>
  </w:style>
  <w:style w:type="paragraph" w:styleId="a6">
    <w:name w:val="header"/>
    <w:basedOn w:val="a"/>
    <w:link w:val="Char0"/>
    <w:qFormat/>
    <w:rsid w:val="00962335"/>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962335"/>
    <w:pPr>
      <w:spacing w:beforeAutospacing="1" w:afterAutospacing="1"/>
      <w:jc w:val="left"/>
    </w:pPr>
    <w:rPr>
      <w:kern w:val="0"/>
      <w:sz w:val="24"/>
    </w:rPr>
  </w:style>
  <w:style w:type="paragraph" w:styleId="a8">
    <w:name w:val="Body Text First Indent"/>
    <w:basedOn w:val="a0"/>
    <w:uiPriority w:val="99"/>
    <w:qFormat/>
    <w:rsid w:val="00962335"/>
    <w:pPr>
      <w:ind w:firstLineChars="100" w:firstLine="420"/>
    </w:pPr>
  </w:style>
  <w:style w:type="table" w:styleId="a9">
    <w:name w:val="Table Grid"/>
    <w:basedOn w:val="a2"/>
    <w:qFormat/>
    <w:rsid w:val="009623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qFormat/>
    <w:rsid w:val="00962335"/>
    <w:rPr>
      <w:color w:val="0000FF"/>
      <w:u w:val="single"/>
    </w:rPr>
  </w:style>
  <w:style w:type="character" w:customStyle="1" w:styleId="Char0">
    <w:name w:val="页眉 Char"/>
    <w:basedOn w:val="a1"/>
    <w:link w:val="a6"/>
    <w:qFormat/>
    <w:rsid w:val="00962335"/>
    <w:rPr>
      <w:rFonts w:ascii="Calibri" w:hAnsi="Calibri"/>
      <w:kern w:val="2"/>
      <w:sz w:val="18"/>
      <w:szCs w:val="18"/>
    </w:rPr>
  </w:style>
  <w:style w:type="character" w:customStyle="1" w:styleId="Char">
    <w:name w:val="页脚 Char"/>
    <w:basedOn w:val="a1"/>
    <w:link w:val="a5"/>
    <w:qFormat/>
    <w:rsid w:val="0096233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862</Words>
  <Characters>4917</Characters>
  <Application>Microsoft Office Word</Application>
  <DocSecurity>0</DocSecurity>
  <Lines>40</Lines>
  <Paragraphs>11</Paragraphs>
  <ScaleCrop>false</ScaleCrop>
  <Company>china</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安静</dc:creator>
  <cp:lastModifiedBy>xbany</cp:lastModifiedBy>
  <cp:revision>10</cp:revision>
  <cp:lastPrinted>2022-06-29T09:05:00Z</cp:lastPrinted>
  <dcterms:created xsi:type="dcterms:W3CDTF">2020-09-08T07:34:00Z</dcterms:created>
  <dcterms:modified xsi:type="dcterms:W3CDTF">2022-07-28T03:55:00Z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4A31058C187E48BCB04E815214D12826</vt:lpwstr>
  </property>
</Properties>
</file>