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城口县鸡鸣乡卫生院</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ascii="黑体" w:hAnsi="黑体" w:eastAsia="黑体" w:cs="黑体"/>
          <w:sz w:val="32"/>
          <w:szCs w:val="32"/>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pPr>
        <w:pStyle w:val="9"/>
        <w:shd w:val="clear" w:color="auto" w:fill="FFFFFF"/>
        <w:ind w:firstLine="420"/>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城口县鸡鸣乡卫生院位于鸡鸣乡场镇，是一所由城口县卫健委批准成立的综合性乡镇卫生院，集基本医疗、公共卫生、康复服务为一体，交通便利，环境优雅，属于城口县城乡居民医疗保险、城镇职工医疗保险、民政医疗救助定点单位。组织领导群众卫生运动，培养卫生技术人员，担负着医疗防疫、公共卫生的重要任务，是直接解决农村看病难、看病贵的重要一关。</w:t>
      </w:r>
    </w:p>
    <w:p>
      <w:pPr>
        <w:pStyle w:val="9"/>
        <w:shd w:val="clear" w:color="auto" w:fill="FFFFFF"/>
        <w:ind w:firstLine="420"/>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pPr>
        <w:pStyle w:val="9"/>
        <w:shd w:val="clear" w:color="auto" w:fill="FFFFFF"/>
        <w:ind w:firstLine="640" w:firstLineChars="200"/>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本单位现有职工18人，其中临聘6人，公益性岗位4人，主治医师1名，执业医师3名,执业助理医师2名，执业护士4名，床位18张。具有大专及以上学历者17人,设有内科、外科、妇科、中医科、理疗科、公共卫生科组成。</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9"/>
        <w:shd w:val="clear" w:color="auto" w:fill="FFFFFF"/>
        <w:ind w:firstLine="643" w:firstLineChars="200"/>
        <w:rPr>
          <w:rFonts w:hint="eastAsia" w:ascii="方正仿宋_GBK" w:hAnsi="方正仿宋_GBK" w:eastAsia="方正仿宋_GBK" w:cs="方正仿宋_GBK"/>
          <w:sz w:val="32"/>
          <w:szCs w:val="32"/>
          <w:lang w:eastAsia="zh-CN"/>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.总体情况。</w:t>
      </w:r>
      <w:r>
        <w:rPr>
          <w:rFonts w:hint="eastAsia" w:ascii="Times New Roman" w:hAnsi="Times New Roman" w:eastAsia="方正仿宋_GBK" w:cs="Times New Roman"/>
          <w:kern w:val="0"/>
          <w:sz w:val="32"/>
          <w:szCs w:val="32"/>
          <w:lang w:val="en-US" w:eastAsia="zh-CN" w:bidi="ar"/>
        </w:rPr>
        <w:t>2024年度收入总计536.32万元，支出总计536.32万元。收支较上年决算数增加78.76万元，增长17.21%，主要原因是</w:t>
      </w:r>
      <w:r>
        <w:rPr>
          <w:rFonts w:hint="eastAsia" w:ascii="Times New Roman" w:hAnsi="Times New Roman" w:eastAsia="方正仿宋_GBK" w:cs="Times New Roman"/>
          <w:kern w:val="0"/>
          <w:sz w:val="32"/>
          <w:szCs w:val="32"/>
          <w:lang w:val="en-US" w:eastAsia="zh-CN" w:bidi="ar"/>
        </w:rPr>
        <w:t>医疗业务基本增加，财政拨款收入增加。</w:t>
      </w:r>
    </w:p>
    <w:p>
      <w:pPr>
        <w:pStyle w:val="9"/>
        <w:snapToGrid w:val="0"/>
        <w:spacing w:before="0" w:beforeAutospacing="0" w:after="0" w:afterAutospacing="0" w:line="600" w:lineRule="exact"/>
        <w:ind w:firstLine="643" w:firstLineChars="200"/>
        <w:jc w:val="both"/>
        <w:rPr>
          <w:rFonts w:hint="default" w:ascii="Times New Roman" w:hAnsi="Times New Roman" w:eastAsia="方正仿宋_GBK" w:cs="Times New Roman"/>
          <w:kern w:val="0"/>
          <w:sz w:val="32"/>
          <w:szCs w:val="32"/>
          <w:lang w:val="en-US" w:eastAsia="zh-CN" w:bidi="ar"/>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.收入情况。</w:t>
      </w:r>
      <w:r>
        <w:rPr>
          <w:rFonts w:hint="eastAsia" w:ascii="Times New Roman" w:hAnsi="Times New Roman" w:eastAsia="方正仿宋_GBK" w:cs="Times New Roman"/>
          <w:kern w:val="0"/>
          <w:sz w:val="32"/>
          <w:szCs w:val="32"/>
          <w:lang w:val="en-US" w:eastAsia="zh-CN" w:bidi="ar"/>
        </w:rPr>
        <w:t>2</w:t>
      </w:r>
      <w:r>
        <w:rPr>
          <w:rFonts w:hint="eastAsia" w:ascii="Times New Roman" w:hAnsi="Times New Roman" w:eastAsia="方正仿宋_GBK" w:cs="Times New Roman"/>
          <w:kern w:val="0"/>
          <w:sz w:val="32"/>
          <w:szCs w:val="32"/>
          <w:lang w:val="en-US" w:eastAsia="zh-CN" w:bidi="ar"/>
        </w:rPr>
        <w:t>024年度收入合计536.32万元，较上年决算数增加150.89万元，增加39.14%，主要原因是</w:t>
      </w:r>
      <w:r>
        <w:rPr>
          <w:rFonts w:hint="eastAsia" w:ascii="Times New Roman" w:hAnsi="Times New Roman" w:eastAsia="方正仿宋_GBK" w:cs="Times New Roman"/>
          <w:kern w:val="0"/>
          <w:sz w:val="32"/>
          <w:szCs w:val="32"/>
          <w:lang w:val="en-US" w:eastAsia="zh-CN" w:bidi="ar"/>
        </w:rPr>
        <w:t>医疗业务基本收入、财政拨款收入</w:t>
      </w:r>
      <w:r>
        <w:rPr>
          <w:rFonts w:hint="eastAsia" w:ascii="Times New Roman" w:hAnsi="Times New Roman" w:eastAsia="方正仿宋_GBK" w:cs="Times New Roman"/>
          <w:kern w:val="0"/>
          <w:sz w:val="32"/>
          <w:szCs w:val="32"/>
          <w:lang w:val="en-US" w:eastAsia="zh-CN" w:bidi="ar"/>
        </w:rPr>
        <w:t>增加。其中：财政拨款收入181.55万元，占33.95%；事业收入354.72万元，占66.14%；经营收入0.00万元，占0.00%；其他收入0.05万元，占0.09%。此外，使用非财政拨款结余和专用结余0.00万元，年初结转和结余0.00万元。</w:t>
      </w:r>
    </w:p>
    <w:p>
      <w:pPr>
        <w:pStyle w:val="9"/>
        <w:snapToGrid w:val="0"/>
        <w:spacing w:before="0" w:beforeAutospacing="0" w:after="0" w:afterAutospacing="0" w:line="600" w:lineRule="exact"/>
        <w:ind w:firstLine="643" w:firstLineChars="200"/>
        <w:jc w:val="both"/>
        <w:rPr>
          <w:rFonts w:hint="default" w:ascii="Times New Roman" w:hAnsi="Times New Roman" w:eastAsia="方正仿宋_GBK" w:cs="Times New Roman"/>
          <w:kern w:val="0"/>
          <w:sz w:val="32"/>
          <w:szCs w:val="32"/>
          <w:lang w:val="en-US" w:eastAsia="zh-CN" w:bidi="ar"/>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.支出情况。</w:t>
      </w:r>
      <w:r>
        <w:rPr>
          <w:rFonts w:hint="eastAsia" w:ascii="Times New Roman" w:hAnsi="Times New Roman" w:eastAsia="方正仿宋_GBK" w:cs="Times New Roman"/>
          <w:kern w:val="0"/>
          <w:sz w:val="32"/>
          <w:szCs w:val="32"/>
          <w:lang w:val="en-US" w:eastAsia="zh-CN" w:bidi="ar"/>
        </w:rPr>
        <w:t>2024年度支出合计536.32万元，较上年决算数增加78.76万元，增长17.21%，主要原因是一般公共预算支出、事业医疗支出增加，医疗基本办公设备更新、人员类经费增加，其中：基本支出449.43万元，占83.80%；项目支出86.90万元，占16.20%；经营支出0.00万元，占0.00%。此外，结余分配0.00万元。</w:t>
      </w:r>
    </w:p>
    <w:p>
      <w:pPr>
        <w:pStyle w:val="9"/>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lang w:val="en-US" w:eastAsia="zh-CN"/>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.结转结余情况。</w:t>
      </w:r>
      <w:r>
        <w:rPr>
          <w:rFonts w:hint="eastAsia" w:ascii="Times New Roman" w:hAnsi="Times New Roman" w:eastAsia="方正仿宋_GBK" w:cs="Times New Roman"/>
          <w:kern w:val="0"/>
          <w:sz w:val="32"/>
          <w:szCs w:val="32"/>
          <w:lang w:val="en-US" w:eastAsia="zh-CN" w:bidi="ar"/>
        </w:rPr>
        <w:t>2024年度年末结转和结余0.00万元。</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9"/>
        <w:snapToGrid w:val="0"/>
        <w:spacing w:before="0" w:beforeAutospacing="0" w:after="0" w:afterAutospacing="0" w:line="600" w:lineRule="exact"/>
        <w:ind w:firstLine="640" w:firstLineChars="200"/>
        <w:jc w:val="both"/>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2024年度财政拨款收、支总计181.55万元。与2023年相比，财政拨款收、支总计各增加20.02万元，增长12.39%。主要原因是人员类经费、项目类经费、公用经费收、支均有增加。</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9"/>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eastAsia" w:ascii="Times New Roman" w:hAnsi="Times New Roman" w:eastAsia="方正仿宋_GBK" w:cs="Times New Roman"/>
          <w:kern w:val="0"/>
          <w:sz w:val="32"/>
          <w:szCs w:val="32"/>
          <w:lang w:val="en-US" w:eastAsia="zh-CN" w:bidi="ar"/>
        </w:rPr>
        <w:t>2024年度一般公共预算财政拨款收入181.55万元，较上年决算数增加20.02万元，增长12.39%。主要原因是人员待遇基数增长并同步调整，社会保障、福利待遇等相对增加，基本公共卫生服务项目增加，较年初预算数增加51.06万元，增长39.13%。主要原因是年初未进行项目类拨款预算，年中增加该类项目预算收入，因此较年初预算数明显增加。此外，年初财政拨款结转和结余8.40万元。</w:t>
      </w:r>
    </w:p>
    <w:p>
      <w:pPr>
        <w:pStyle w:val="9"/>
        <w:snapToGrid w:val="0"/>
        <w:spacing w:before="0" w:beforeAutospacing="0" w:after="0" w:afterAutospacing="0" w:line="600" w:lineRule="exact"/>
        <w:ind w:firstLine="643" w:firstLineChars="200"/>
        <w:jc w:val="both"/>
        <w:rPr>
          <w:rFonts w:hint="eastAsia" w:ascii="Times New Roman" w:hAnsi="Times New Roman" w:eastAsia="方正仿宋_GBK" w:cs="Times New Roman"/>
          <w:kern w:val="0"/>
          <w:sz w:val="32"/>
          <w:szCs w:val="32"/>
          <w:lang w:val="en-US" w:eastAsia="zh-CN" w:bidi="ar"/>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eastAsia" w:ascii="Times New Roman" w:hAnsi="Times New Roman" w:eastAsia="方正仿宋_GBK" w:cs="Times New Roman"/>
          <w:kern w:val="0"/>
          <w:sz w:val="32"/>
          <w:szCs w:val="32"/>
          <w:lang w:val="en-US" w:eastAsia="zh-CN" w:bidi="ar"/>
        </w:rPr>
        <w:t>2024年度一般公共预算财政拨款支出181.55万元，较上年决算数增加20.02万元，增长12.39%。主要原因是人员待遇基数增长并同步调整，社会保障、福利待遇等相对增加，基本公共卫生服务项目增加。较年初预算数增加51.06万元，增长39.13%。主要原因是年初未财政预算项目类，中途财政预算收入之后支出增加。</w:t>
      </w:r>
    </w:p>
    <w:p>
      <w:pPr>
        <w:pStyle w:val="9"/>
        <w:snapToGrid w:val="0"/>
        <w:spacing w:before="0" w:beforeAutospacing="0" w:after="0" w:afterAutospacing="0" w:line="600" w:lineRule="exact"/>
        <w:ind w:firstLine="643" w:firstLineChars="200"/>
        <w:jc w:val="both"/>
        <w:rPr>
          <w:rFonts w:hint="default" w:ascii="Times New Roman" w:hAnsi="Times New Roman" w:eastAsia="方正仿宋_GBK" w:cs="Times New Roman"/>
          <w:kern w:val="0"/>
          <w:sz w:val="32"/>
          <w:szCs w:val="32"/>
          <w:lang w:val="en-US" w:eastAsia="zh-CN" w:bidi="ar"/>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eastAsia" w:ascii="Times New Roman" w:hAnsi="Times New Roman" w:eastAsia="方正仿宋_GBK" w:cs="Times New Roman"/>
          <w:kern w:val="0"/>
          <w:sz w:val="32"/>
          <w:szCs w:val="32"/>
          <w:lang w:val="en-US" w:eastAsia="zh-CN" w:bidi="ar"/>
        </w:rPr>
        <w:t>2024年度年末一般公共预算财政拨款结转和结余0.00万元，较上年决算数无增减，主要原因是收入支出持平。</w:t>
      </w:r>
    </w:p>
    <w:p>
      <w:pPr>
        <w:pStyle w:val="9"/>
        <w:snapToGrid w:val="0"/>
        <w:spacing w:before="0" w:beforeAutospacing="0" w:after="0" w:afterAutospacing="0" w:line="600" w:lineRule="exact"/>
        <w:ind w:firstLine="643" w:firstLineChars="200"/>
        <w:jc w:val="both"/>
        <w:rPr>
          <w:rFonts w:hint="eastAsia" w:ascii="Times New Roman" w:hAnsi="Times New Roman" w:eastAsia="方正仿宋_GBK" w:cs="Times New Roman"/>
          <w:kern w:val="0"/>
          <w:sz w:val="32"/>
          <w:szCs w:val="32"/>
          <w:lang w:val="en-US" w:eastAsia="zh-CN" w:bidi="ar"/>
        </w:rPr>
      </w:pPr>
      <w:r>
        <w:rPr>
          <w:rStyle w:val="13"/>
          <w:rFonts w:ascii="方正仿宋_GBK" w:hAnsi="方正仿宋_GBK" w:eastAsia="方正仿宋_GBK" w:cs="方正仿宋_GBK"/>
          <w:sz w:val="32"/>
          <w:szCs w:val="32"/>
          <w:shd w:val="clear" w:color="auto" w:fill="FFFFFF"/>
        </w:rPr>
        <w:t xml:space="preserve"> </w:t>
      </w: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.比较情况。</w:t>
      </w:r>
      <w:r>
        <w:rPr>
          <w:rFonts w:hint="eastAsia" w:ascii="Times New Roman" w:hAnsi="Times New Roman" w:eastAsia="方正仿宋_GBK" w:cs="Times New Roman"/>
          <w:kern w:val="0"/>
          <w:sz w:val="32"/>
          <w:szCs w:val="32"/>
          <w:lang w:val="en-US" w:eastAsia="zh-CN" w:bidi="ar"/>
        </w:rPr>
        <w:t>本单位2024年度一般公共预算财政拨款支出主要用于以下几个方面：</w:t>
      </w:r>
    </w:p>
    <w:p>
      <w:pPr>
        <w:pStyle w:val="9"/>
        <w:snapToGrid w:val="0"/>
        <w:spacing w:before="0" w:beforeAutospacing="0" w:after="0" w:afterAutospacing="0" w:line="600" w:lineRule="exact"/>
        <w:ind w:firstLine="640" w:firstLineChars="200"/>
        <w:jc w:val="both"/>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（1）一般公共服务支出0.49万元，占0.26%，较年初预算数无增减，主要原因是未作预算调整。</w:t>
      </w:r>
    </w:p>
    <w:p>
      <w:pPr>
        <w:pStyle w:val="9"/>
        <w:snapToGrid w:val="0"/>
        <w:spacing w:before="0" w:beforeAutospacing="0" w:after="0" w:afterAutospacing="0" w:line="600" w:lineRule="exact"/>
        <w:ind w:firstLine="640" w:firstLineChars="200"/>
        <w:jc w:val="both"/>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（2）社会保障与就业支出17.60万元，占9.69%，较年初预算无增减，主要原因是无人员变动。</w:t>
      </w:r>
    </w:p>
    <w:p>
      <w:pPr>
        <w:pStyle w:val="9"/>
        <w:snapToGrid w:val="0"/>
        <w:spacing w:before="0" w:beforeAutospacing="0" w:after="0" w:afterAutospacing="0" w:line="600" w:lineRule="exact"/>
        <w:ind w:firstLine="640" w:firstLineChars="200"/>
        <w:jc w:val="both"/>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（3）卫生健康支出156.98万元，占86.47%，较年初预算数增加59.64万元，增长61.27%，主要原因是医疗业务药品、材料、人员类经费等支出增加</w:t>
      </w:r>
    </w:p>
    <w:p>
      <w:pPr>
        <w:pStyle w:val="9"/>
        <w:snapToGrid w:val="0"/>
        <w:spacing w:before="0" w:beforeAutospacing="0" w:after="0" w:afterAutospacing="0" w:line="600" w:lineRule="exact"/>
        <w:ind w:firstLine="640" w:firstLineChars="200"/>
        <w:jc w:val="both"/>
        <w:rPr>
          <w:rFonts w:hint="default"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（4）住房保障支出6.5万元，占3.58%，较年初预算数无增减，主要原因是未作预算调整。</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Times New Roman" w:hAnsi="Times New Roman" w:eastAsia="方正仿宋_GBK" w:cs="Times New Roman"/>
          <w:kern w:val="0"/>
          <w:sz w:val="32"/>
          <w:szCs w:val="32"/>
          <w:lang w:val="en-US" w:eastAsia="zh-CN" w:bidi="ar"/>
        </w:rPr>
        <w:t> 2024年度一般公共财政拨款基本支出181.55万元。其中：人员经费116.91万元，较上年决算数减少0.94万元，减少0.80%，主要原因是人员离职变动导致薪资待遇调整基本工资减少，绩效工资减少，社保减少，人员经费用途主要包括基本薪资福利发放，社会保险缴纳等。公用经费2.06万元，较上年决算数减少6.87万元，减少76.93%，主要原因是办公业务经费减少，公用经费用途主要包括办公、党建，工会支出。</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14"/>
        <w:numPr>
          <w:ilvl w:val="0"/>
          <w:numId w:val="0"/>
        </w:numPr>
        <w:autoSpaceDE w:val="0"/>
        <w:ind w:firstLine="640" w:firstLineChars="200"/>
        <w:rPr>
          <w:rFonts w:hint="default" w:ascii="楷体" w:hAnsi="楷体" w:eastAsia="方正仿宋_GBK" w:cs="楷体"/>
          <w:b/>
          <w:bCs/>
          <w:sz w:val="32"/>
          <w:szCs w:val="32"/>
          <w:shd w:val="clear" w:color="auto" w:fill="FFFFFF"/>
          <w:lang w:val="en-US" w:eastAsia="zh-CN"/>
        </w:rPr>
      </w:pPr>
      <w:r>
        <w:rPr>
          <w:rFonts w:hint="eastAsia" w:ascii="Times New Roman" w:hAnsi="Times New Roman" w:eastAsia="方正仿宋_GBK" w:cs="Times New Roman"/>
          <w:kern w:val="0"/>
          <w:sz w:val="32"/>
          <w:szCs w:val="32"/>
          <w:lang w:val="en-US" w:eastAsia="zh-CN" w:bidi="ar"/>
        </w:rPr>
        <w:t>本单位2024年无政府性基金预算财政拨款收支。</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kern w:val="0"/>
          <w:sz w:val="32"/>
          <w:szCs w:val="32"/>
          <w:lang w:val="en-US" w:eastAsia="zh-CN" w:bidi="ar"/>
        </w:rPr>
        <w:t>本单位2024年度无国有资本经营预算财政拨款支出。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pPr>
        <w:pStyle w:val="14"/>
        <w:autoSpaceDE w:val="0"/>
        <w:ind w:firstLine="643"/>
        <w:rPr>
          <w:rFonts w:hint="default" w:ascii="方正仿宋_GBK" w:hAnsi="方正仿宋_GBK" w:eastAsia="方正仿宋_GBK" w:cs="方正仿宋_GBK"/>
          <w:sz w:val="32"/>
          <w:szCs w:val="32"/>
        </w:rPr>
      </w:pPr>
      <w:r>
        <w:rPr>
          <w:rFonts w:hint="default" w:ascii="方正仿宋_GBK" w:hAnsi="方正仿宋_GBK" w:eastAsia="方正仿宋_GBK" w:cs="方正仿宋_GBK"/>
          <w:kern w:val="0"/>
          <w:sz w:val="32"/>
          <w:szCs w:val="32"/>
          <w:shd w:val="clear" w:fill="FFFFFF"/>
        </w:rPr>
        <w:t>因我单位为基层卫生事业单位，财政未保障我单位“三公”经费。</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pPr>
        <w:pStyle w:val="15"/>
        <w:keepNext w:val="0"/>
        <w:keepLines w:val="0"/>
        <w:widowControl/>
        <w:suppressLineNumbers w:val="0"/>
        <w:spacing w:before="0" w:beforeAutospacing="0"/>
        <w:ind w:left="0" w:firstLine="640" w:firstLineChars="20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xml:space="preserve">  </w:t>
      </w:r>
      <w:r>
        <w:rPr>
          <w:rFonts w:hint="default" w:ascii="方正仿宋_GBK" w:hAnsi="方正仿宋_GBK" w:eastAsia="方正仿宋_GBK" w:cs="方正仿宋_GBK"/>
          <w:kern w:val="0"/>
          <w:sz w:val="32"/>
          <w:szCs w:val="32"/>
          <w:shd w:val="clear" w:fill="FFFFFF"/>
        </w:rPr>
        <w:t>因我单位为基层卫生事业单位，财政未保障我单位会议费和培训费</w:t>
      </w:r>
    </w:p>
    <w:p>
      <w:pPr>
        <w:pStyle w:val="14"/>
        <w:autoSpaceDE w:val="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15"/>
        <w:keepNext w:val="0"/>
        <w:keepLines w:val="0"/>
        <w:widowControl/>
        <w:suppressLineNumbers w:val="0"/>
        <w:spacing w:before="0" w:beforeAutospacing="0"/>
        <w:ind w:left="0" w:firstLine="640" w:firstLineChars="200"/>
        <w:jc w:val="left"/>
        <w:rPr>
          <w:rFonts w:hint="default" w:ascii="方正仿宋_GBK" w:hAnsi="方正仿宋_GBK" w:eastAsia="方正仿宋_GBK" w:cs="方正仿宋_GBK"/>
          <w:kern w:val="0"/>
          <w:sz w:val="32"/>
          <w:szCs w:val="32"/>
        </w:rPr>
      </w:pPr>
      <w:r>
        <w:rPr>
          <w:rFonts w:hint="default" w:ascii="方正仿宋_GBK" w:hAnsi="方正仿宋_GBK" w:eastAsia="方正仿宋_GBK" w:cs="方正仿宋_GBK"/>
          <w:kern w:val="0"/>
          <w:sz w:val="32"/>
          <w:szCs w:val="32"/>
          <w:shd w:val="clear" w:fill="FFFFFF"/>
        </w:rPr>
        <w:t>按照部门决算列包口径，我单位不再机关运行经费统计范围之内。</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 xml:space="preserve">  </w:t>
      </w:r>
      <w:r>
        <w:rPr>
          <w:rFonts w:hint="eastAsia" w:ascii="Times New Roman" w:hAnsi="Times New Roman" w:eastAsia="方正仿宋_GBK" w:cs="Times New Roman"/>
          <w:kern w:val="0"/>
          <w:sz w:val="32"/>
          <w:szCs w:val="32"/>
          <w:lang w:val="en-US" w:eastAsia="zh-CN" w:bidi="ar"/>
        </w:rPr>
        <w:t>截至2024年12月31日，本单位共有车辆2辆，其中，副部（省）级及以上领导用车0辆、主要负责人用车0辆、机要通信用车0辆、应急保障用车0辆、执法执勤用车0辆，特种专业技术用车2辆，离退休干部用车0辆。单价100万元（含）以上专用设备0台（套）。</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highlight w:val="yellow"/>
        </w:rPr>
      </w:pPr>
      <w:r>
        <w:rPr>
          <w:rFonts w:ascii="方正仿宋_GBK" w:hAnsi="方正仿宋_GBK" w:eastAsia="方正仿宋_GBK" w:cs="方正仿宋_GBK"/>
          <w:sz w:val="32"/>
          <w:szCs w:val="32"/>
          <w:shd w:val="clear" w:color="auto" w:fill="FFFFFF"/>
        </w:rPr>
        <w:t> </w:t>
      </w:r>
      <w:r>
        <w:rPr>
          <w:rFonts w:hint="eastAsia" w:ascii="Times New Roman" w:hAnsi="Times New Roman" w:eastAsia="方正仿宋_GBK" w:cs="Times New Roman"/>
          <w:kern w:val="0"/>
          <w:sz w:val="32"/>
          <w:szCs w:val="32"/>
          <w:lang w:val="en-US" w:eastAsia="zh-CN" w:bidi="ar"/>
        </w:rPr>
        <w:t xml:space="preserve"> 2024年度本单位政府采购支出总额3.35万元，其中：政府采购货物支出3.35万元、政府采购工程支出0.00万元、政府采购服务支出0.00万元。授予中小企业合同金额3.35万元，占政府采购支出总额的100.00%，其中：授予小微企业合同金额3.35万元，占政府采购支出总额的100.00 %。主要用于采购多功能病床、病房床头柜、门诊大厅输液椅等。</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pPr>
        <w:pStyle w:val="9"/>
        <w:numPr>
          <w:ilvl w:val="0"/>
          <w:numId w:val="0"/>
        </w:numPr>
        <w:shd w:val="clear" w:color="auto" w:fill="FFFFFF"/>
        <w:ind w:firstLine="640" w:firstLineChars="200"/>
        <w:rPr>
          <w:rFonts w:hint="eastAsia" w:ascii="楷体" w:hAnsi="楷体" w:eastAsia="楷体" w:cs="楷体"/>
          <w:b/>
          <w:bCs/>
          <w:sz w:val="32"/>
          <w:szCs w:val="32"/>
          <w:shd w:val="clear" w:color="auto" w:fill="FFFFFF"/>
        </w:rPr>
      </w:pPr>
      <w:r>
        <w:rPr>
          <w:rStyle w:val="20"/>
          <w:rFonts w:hint="default" w:ascii="方正仿宋_GBK" w:hAnsi="方正仿宋_GBK" w:eastAsia="方正仿宋_GBK" w:cs="方正仿宋_GBK"/>
          <w:b w:val="0"/>
          <w:sz w:val="32"/>
          <w:szCs w:val="32"/>
          <w:shd w:val="clear" w:fill="FFFFFF"/>
        </w:rPr>
        <w:t>本单位按进度完成年初预算，完成情况良好。</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5"/>
        <w:autoSpaceDE w:val="0"/>
        <w:spacing w:before="0" w:beforeAutospacing="0" w:line="600" w:lineRule="exact"/>
        <w:ind w:firstLine="640" w:firstLineChars="200"/>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根据预算绩效管理要求，我单位对3个二级项目开展了绩效自评，涉及财政拨款项目支出资金39.03万元。</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pPr>
        <w:pStyle w:val="15"/>
        <w:autoSpaceDE w:val="0"/>
        <w:spacing w:before="0" w:beforeAutospacing="0" w:line="600" w:lineRule="exact"/>
        <w:ind w:firstLine="640" w:firstLineChars="200"/>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我单位对基本公共卫生服务项目、基本药物补助项目、乡村医生补助项目开展了绩效评价，涉及财政拨款项目资金39.03万元，评价得分96分，评价等次为A级，绩效评价发现了基金使用不严谨，支付进度不达标等主要问题，提出严格规范资金使用，做到专款专项支出，加快支付进度等下一步工作建议。</w:t>
      </w:r>
    </w:p>
    <w:p>
      <w:pPr>
        <w:pStyle w:val="14"/>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pPr>
        <w:pStyle w:val="14"/>
        <w:autoSpaceDE w:val="0"/>
        <w:ind w:firstLine="643"/>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市财政局</w:t>
      </w:r>
      <w:r>
        <w:rPr>
          <w:rFonts w:hint="eastAsia" w:ascii="方正仿宋_GBK" w:hAnsi="方正仿宋_GBK" w:eastAsia="方正仿宋_GBK" w:cs="方正仿宋_GBK"/>
          <w:sz w:val="32"/>
          <w:szCs w:val="32"/>
          <w:shd w:val="clear" w:color="auto" w:fill="FFFFFF"/>
          <w:lang w:val="en-US" w:eastAsia="zh-CN"/>
        </w:rPr>
        <w:t>未</w:t>
      </w:r>
      <w:r>
        <w:rPr>
          <w:rFonts w:hint="eastAsia" w:ascii="方正仿宋_GBK" w:hAnsi="方正仿宋_GBK" w:eastAsia="方正仿宋_GBK" w:cs="方正仿宋_GBK"/>
          <w:sz w:val="32"/>
          <w:szCs w:val="32"/>
          <w:shd w:val="clear" w:color="auto" w:fill="FFFFFF"/>
        </w:rPr>
        <w:t>委托第三方对我单位</w:t>
      </w:r>
      <w:r>
        <w:rPr>
          <w:rFonts w:hint="eastAsia" w:ascii="方正仿宋_GBK" w:hAnsi="方正仿宋_GBK" w:eastAsia="方正仿宋_GBK" w:cs="方正仿宋_GBK"/>
          <w:sz w:val="32"/>
          <w:szCs w:val="32"/>
          <w:shd w:val="clear" w:color="auto" w:fill="FFFFFF"/>
          <w:lang w:val="en-US" w:eastAsia="zh-CN"/>
        </w:rPr>
        <w:t>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w:t>
      </w:r>
      <w:bookmarkStart w:id="0" w:name="_GoBack"/>
      <w:bookmarkEnd w:id="0"/>
      <w:r>
        <w:rPr>
          <w:rFonts w:hint="eastAsia" w:ascii="方正仿宋_GBK" w:hAnsi="方正仿宋_GBK" w:eastAsia="方正仿宋_GBK" w:cs="方正仿宋_GBK"/>
          <w:kern w:val="0"/>
          <w:sz w:val="32"/>
          <w:szCs w:val="32"/>
          <w:shd w:val="clear" w:fill="FFFFFF"/>
        </w:rPr>
        <w:t>和联系方式：</w:t>
      </w:r>
    </w:p>
    <w:p>
      <w:pPr>
        <w:pStyle w:val="14"/>
        <w:autoSpaceDE w:val="0"/>
        <w:ind w:firstLine="0" w:firstLineChars="0"/>
        <w:rPr>
          <w:rFonts w:hint="default" w:ascii="Times New Roman" w:hAnsi="Times New Roman" w:eastAsia="方正仿宋_GBK" w:cs="Times New Roman"/>
          <w:kern w:val="0"/>
          <w:sz w:val="32"/>
          <w:szCs w:val="32"/>
          <w:lang w:val="en-US" w:eastAsia="zh-CN" w:bidi="ar"/>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lang w:val="en-US" w:eastAsia="zh-CN"/>
        </w:rPr>
        <w:t>联系人：罗娜，联系电话：</w:t>
      </w:r>
      <w:r>
        <w:rPr>
          <w:rFonts w:hint="eastAsia" w:ascii="Times New Roman" w:hAnsi="Times New Roman" w:eastAsia="方正仿宋_GBK" w:cs="Times New Roman"/>
          <w:kern w:val="0"/>
          <w:sz w:val="32"/>
          <w:szCs w:val="32"/>
          <w:lang w:val="en-US" w:eastAsia="zh-CN" w:bidi="ar"/>
        </w:rPr>
        <w:t>19926787959</w:t>
      </w: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城口县鸡鸣乡卫生院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181.56</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354.72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17.59</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511.75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536.33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536.33</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536.33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536.33</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城口县鸡鸣乡卫生院</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536.33</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181.56</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354.72</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0.05</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511.75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156.98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354.72</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0.05</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473.49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118.72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354.72</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0.05</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473.49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354.72</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0.05</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32.68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32.68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32.68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32.68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城口县鸡鸣乡卫生院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536.33</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449.43</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86.90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4.33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511.75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424.85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86.90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473.49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419.27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54.22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473.49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419.27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54.22</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32.68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32.68</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32.68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32.68</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0.97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城口县鸡鸣乡卫生院</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17.59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17.59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156.98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6.50</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181.56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城口县鸡鸣乡卫生院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181.56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118.97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62.59</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0.49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0.49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8.66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8.66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4.33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4.33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156.98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94.39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62.59</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118.72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88.81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29.91</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118.72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88.81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29.91</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32.68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32.68</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32.68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32.68</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4.60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0.97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6.50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6.50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城口县鸡鸣乡卫生院</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112.31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8.05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54.75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8.66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116.91</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2.06</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城口县鸡鸣乡卫生院</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城口县鸡鸣乡卫生院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城口县鸡鸣乡卫生院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7.78</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7.78</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7.78</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7.78</w:t>
            </w: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方正大黑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方正粗宋_GBK">
    <w:panose1 w:val="03000509000000000000"/>
    <w:charset w:val="86"/>
    <w:family w:val="auto"/>
    <w:pitch w:val="default"/>
    <w:sig w:usb0="00000001" w:usb1="080E0000" w:usb2="00000000" w:usb3="00000000" w:csb0="00040000" w:csb1="00000000"/>
  </w:font>
  <w:font w:name="Sitka Heading">
    <w:panose1 w:val="02000505000000020004"/>
    <w:charset w:val="00"/>
    <w:family w:val="auto"/>
    <w:pitch w:val="default"/>
    <w:sig w:usb0="A00002EF" w:usb1="4000204B" w:usb2="00000000" w:usb3="00000000" w:csb0="2000019F" w:csb1="00000000"/>
  </w:font>
  <w:font w:name="Sitka Small">
    <w:panose1 w:val="02000505000000020004"/>
    <w:charset w:val="00"/>
    <w:family w:val="auto"/>
    <w:pitch w:val="default"/>
    <w:sig w:usb0="A00002EF" w:usb1="4000204B" w:usb2="00000000" w:usb3="00000000" w:csb0="2000019F" w:csb1="00000000"/>
  </w:font>
  <w:font w:name="HoloLens MDL2 Assets">
    <w:panose1 w:val="050A0102010101010101"/>
    <w:charset w:val="00"/>
    <w:family w:val="auto"/>
    <w:pitch w:val="default"/>
    <w:sig w:usb0="00000000" w:usb1="10000000" w:usb2="00000000" w:usb3="00000000" w:csb0="00000001" w:csb1="00000000"/>
  </w:font>
  <w:font w:name="Impact">
    <w:panose1 w:val="020B0806030902050204"/>
    <w:charset w:val="00"/>
    <w:family w:val="auto"/>
    <w:pitch w:val="default"/>
    <w:sig w:usb0="00000287" w:usb1="00000000" w:usb2="00000000" w:usb3="00000000" w:csb0="2000009F" w:csb1="DFD70000"/>
  </w:font>
  <w:font w:name="Gabriola">
    <w:panose1 w:val="04040605051002020D02"/>
    <w:charset w:val="00"/>
    <w:family w:val="auto"/>
    <w:pitch w:val="default"/>
    <w:sig w:usb0="E00002EF" w:usb1="5000204B" w:usb2="00000000" w:usb3="00000000" w:csb0="2000009F" w:csb1="00000000"/>
  </w:font>
  <w:font w:name="Nirmala UI">
    <w:panose1 w:val="020B0502040204020203"/>
    <w:charset w:val="00"/>
    <w:family w:val="auto"/>
    <w:pitch w:val="default"/>
    <w:sig w:usb0="80FF8023" w:usb1="0200004A" w:usb2="00000200" w:usb3="00040000" w:csb0="00000001"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egoe UI Black">
    <w:panose1 w:val="020B0A02040204020203"/>
    <w:charset w:val="00"/>
    <w:family w:val="auto"/>
    <w:pitch w:val="default"/>
    <w:sig w:usb0="E00002FF" w:usb1="4000E47F" w:usb2="0000002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default"/>
                            </w:rPr>
                          </w:pPr>
                          <w:r>
                            <w:fldChar w:fldCharType="begin"/>
                          </w:r>
                          <w:r>
                            <w:instrText xml:space="preserve"> PAGE  \* MERGEFORMAT </w:instrText>
                          </w:r>
                          <w:r>
                            <w:fldChar w:fldCharType="separate"/>
                          </w:r>
                          <w:r>
                            <w:rPr>
                              <w:rFonts w:hint="default"/>
                            </w:rPr>
                            <w:t>- 23 -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6"/>
                      <w:rPr>
                        <w:rFonts w:hint="default"/>
                      </w:rPr>
                    </w:pPr>
                    <w:r>
                      <w:fldChar w:fldCharType="begin"/>
                    </w:r>
                    <w:r>
                      <w:instrText xml:space="preserve"> PAGE  \* MERGEFORMAT </w:instrText>
                    </w:r>
                    <w:r>
                      <w:fldChar w:fldCharType="separate"/>
                    </w:r>
                    <w:r>
                      <w:rPr>
                        <w:rFonts w:hint="default"/>
                      </w:rPr>
                      <w:t>- 23 -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rFonts w:hint="default"/>
      </w:rPr>
      <mc:AlternateContent>
        <mc:Choice Requires="wps">
          <w:drawing>
            <wp:anchor distT="0" distB="0" distL="114300" distR="114300" simplePos="0" relativeHeight="251664384"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3360"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3360;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AF61594"/>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2DB1A18"/>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BAB5689"/>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6B7778"/>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20">
    <w:name w:val="18"/>
    <w:basedOn w:val="12"/>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5</TotalTime>
  <ScaleCrop>false</ScaleCrop>
  <LinksUpToDate>false</LinksUpToDate>
  <CharactersWithSpaces>26313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2025-11-06T02:02:18Z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BB46EABDBB2749749395447164B066B3_12</vt:lpwstr>
  </property>
</Properties>
</file>