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1E" w:rsidRDefault="00E63918">
      <w:pPr>
        <w:adjustRightInd w:val="0"/>
        <w:snapToGrid w:val="0"/>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城口县高燕</w:t>
      </w:r>
      <w:r>
        <w:rPr>
          <w:rFonts w:ascii="方正小标宋_GBK" w:eastAsia="方正小标宋_GBK" w:hAnsi="方正小标宋_GBK" w:cs="方正小标宋_GBK" w:hint="eastAsia"/>
          <w:sz w:val="44"/>
          <w:szCs w:val="44"/>
        </w:rPr>
        <w:t>镇</w:t>
      </w:r>
      <w:r>
        <w:rPr>
          <w:rFonts w:ascii="方正小标宋_GBK" w:eastAsia="方正小标宋_GBK" w:hAnsi="方正小标宋_GBK" w:cs="方正小标宋_GBK" w:hint="eastAsia"/>
          <w:sz w:val="44"/>
          <w:szCs w:val="44"/>
        </w:rPr>
        <w:t>卫生院</w:t>
      </w:r>
    </w:p>
    <w:p w:rsidR="00F7411E" w:rsidRDefault="00E63918">
      <w:pPr>
        <w:adjustRightInd w:val="0"/>
        <w:snapToGrid w:val="0"/>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2</w:t>
      </w:r>
      <w:r>
        <w:rPr>
          <w:rFonts w:ascii="方正小标宋_GBK" w:eastAsia="方正小标宋_GBK" w:hAnsi="方正小标宋_GBK" w:cs="方正小标宋_GBK" w:hint="eastAsia"/>
          <w:sz w:val="44"/>
          <w:szCs w:val="44"/>
        </w:rPr>
        <w:t>年度部门决算情况说明</w:t>
      </w:r>
    </w:p>
    <w:p w:rsidR="00F7411E" w:rsidRDefault="00E63918">
      <w:pPr>
        <w:adjustRightInd w:val="0"/>
        <w:snapToGrid w:val="0"/>
        <w:spacing w:line="6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一、单位基本情况</w:t>
      </w:r>
    </w:p>
    <w:p w:rsidR="00F7411E" w:rsidRDefault="00E63918">
      <w:p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（一）职能职责。</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主要负责本辖区内居民的基本医疗服务和基本公共卫生服务</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负责本辖区内的卫生工作法律、法规、政策的贯彻，卫生事业发展规划和工作计划的制订，社会公共卫生工作的组织和实施</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负责本辖区内突发公共卫生事件的报告，并依据上级部门要求组织实施处置</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负责本辖区内的卫生信息统计、分析、上报</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负责对本辖区内村级卫生组织和乡村医生的业务指导和培训</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负责承办政府卫生行政部门委托的相关业务或事项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负责上级卫生行政部门下达的其他工作。</w:t>
      </w:r>
    </w:p>
    <w:p w:rsidR="00F7411E" w:rsidRDefault="00E63918">
      <w:p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（二）机构设置。</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我院位于城口县高燕镇场镇，下设内科，外科，妇科，中医科，公共卫生科等多个科室。主要医疗设备有：心电图机、</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超机、</w:t>
      </w:r>
      <w:r>
        <w:rPr>
          <w:rFonts w:ascii="Times New Roman" w:eastAsia="方正仿宋_GBK" w:hAnsi="Times New Roman" w:cs="Times New Roman"/>
          <w:sz w:val="32"/>
          <w:szCs w:val="32"/>
        </w:rPr>
        <w:t>DR</w:t>
      </w:r>
      <w:r>
        <w:rPr>
          <w:rFonts w:ascii="Times New Roman" w:eastAsia="方正仿宋_GBK" w:hAnsi="Times New Roman" w:cs="Times New Roman"/>
          <w:sz w:val="32"/>
          <w:szCs w:val="32"/>
        </w:rPr>
        <w:t>照光机、全自动生化分析仪、血球分析仪、尿液分析仪、高压消毒锅等仪器。为科学诊治创造了较好条</w:t>
      </w:r>
      <w:r>
        <w:rPr>
          <w:rFonts w:ascii="Times New Roman" w:eastAsia="方正仿宋_GBK" w:hAnsi="Times New Roman" w:cs="Times New Roman"/>
          <w:sz w:val="32"/>
          <w:szCs w:val="32"/>
        </w:rPr>
        <w:lastRenderedPageBreak/>
        <w:t>件。现有病床</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张，承担着辖区所有群众的基本医疗，预防保健，公共卫生服务等任务。</w:t>
      </w:r>
    </w:p>
    <w:p w:rsidR="00F7411E" w:rsidRDefault="00E63918">
      <w:pPr>
        <w:numPr>
          <w:ilvl w:val="0"/>
          <w:numId w:val="1"/>
        </w:num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单位构成</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我院属于财政差额拨款事业单位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独立核算，无下属单位。上级主管部门为城口县卫生健康委员会。在职职工</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人，其中在编在岗</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人，借调人员</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人，临聘人员</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人</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通达劳务派遣</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人</w:t>
      </w:r>
      <w:r>
        <w:rPr>
          <w:rFonts w:ascii="Times New Roman" w:eastAsia="方正仿宋_GBK" w:hAnsi="Times New Roman" w:cs="Times New Roman"/>
          <w:sz w:val="32"/>
          <w:szCs w:val="32"/>
        </w:rPr>
        <w:t>。</w:t>
      </w:r>
    </w:p>
    <w:p w:rsidR="00F7411E" w:rsidRDefault="00F7411E">
      <w:pPr>
        <w:adjustRightInd w:val="0"/>
        <w:snapToGrid w:val="0"/>
        <w:spacing w:line="640" w:lineRule="exact"/>
        <w:ind w:firstLineChars="200" w:firstLine="640"/>
        <w:jc w:val="left"/>
        <w:rPr>
          <w:rFonts w:ascii="Times New Roman" w:eastAsia="方正仿宋_GBK" w:hAnsi="Times New Roman" w:cs="Times New Roman"/>
          <w:sz w:val="32"/>
          <w:szCs w:val="32"/>
        </w:rPr>
      </w:pPr>
    </w:p>
    <w:p w:rsidR="00F7411E" w:rsidRDefault="00E63918">
      <w:pPr>
        <w:numPr>
          <w:ilvl w:val="0"/>
          <w:numId w:val="1"/>
        </w:num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机构改革情况</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本单位不涉及相关改革情况。</w:t>
      </w:r>
    </w:p>
    <w:p w:rsidR="00F7411E" w:rsidRDefault="00E63918">
      <w:pPr>
        <w:adjustRightInd w:val="0"/>
        <w:snapToGrid w:val="0"/>
        <w:spacing w:line="6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二、部门决算情况说明</w:t>
      </w:r>
    </w:p>
    <w:p w:rsidR="00F7411E" w:rsidRDefault="00E63918">
      <w:pPr>
        <w:adjustRightInd w:val="0"/>
        <w:snapToGrid w:val="0"/>
        <w:spacing w:line="640" w:lineRule="exact"/>
        <w:jc w:val="left"/>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（一）收入支出决算总体情况说明</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年度收入总计</w:t>
      </w:r>
      <w:r>
        <w:rPr>
          <w:rFonts w:ascii="Times New Roman" w:eastAsia="方正仿宋_GBK" w:hAnsi="Times New Roman" w:cs="Times New Roman" w:hint="eastAsia"/>
          <w:sz w:val="32"/>
          <w:szCs w:val="32"/>
        </w:rPr>
        <w:t>613.13</w:t>
      </w:r>
      <w:r>
        <w:rPr>
          <w:rFonts w:ascii="Times New Roman" w:eastAsia="方正仿宋_GBK" w:hAnsi="Times New Roman" w:cs="Times New Roman"/>
          <w:sz w:val="32"/>
          <w:szCs w:val="32"/>
        </w:rPr>
        <w:t>万元，支出总计</w:t>
      </w:r>
      <w:r>
        <w:rPr>
          <w:rFonts w:ascii="Times New Roman" w:eastAsia="方正仿宋_GBK" w:hAnsi="Times New Roman" w:cs="Times New Roman" w:hint="eastAsia"/>
          <w:sz w:val="32"/>
          <w:szCs w:val="32"/>
        </w:rPr>
        <w:t>613.13</w:t>
      </w:r>
      <w:r>
        <w:rPr>
          <w:rFonts w:ascii="Times New Roman" w:eastAsia="方正仿宋_GBK" w:hAnsi="Times New Roman" w:cs="Times New Roman"/>
          <w:sz w:val="32"/>
          <w:szCs w:val="32"/>
        </w:rPr>
        <w:t>元。收</w:t>
      </w:r>
      <w:r>
        <w:rPr>
          <w:rFonts w:ascii="Times New Roman" w:eastAsia="方正仿宋_GBK" w:hAnsi="Times New Roman" w:cs="Times New Roman" w:hint="eastAsia"/>
          <w:sz w:val="32"/>
          <w:szCs w:val="32"/>
        </w:rPr>
        <w:t>支</w:t>
      </w:r>
      <w:r>
        <w:rPr>
          <w:rFonts w:ascii="Times New Roman" w:eastAsia="方正仿宋_GBK" w:hAnsi="Times New Roman" w:cs="Times New Roman"/>
          <w:sz w:val="32"/>
          <w:szCs w:val="32"/>
        </w:rPr>
        <w:t>较上年决算数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134.8</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减少了</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疫情防控期间</w:t>
      </w:r>
      <w:r>
        <w:rPr>
          <w:rFonts w:ascii="Times New Roman" w:eastAsia="方正仿宋_GBK" w:hAnsi="Times New Roman" w:cs="Times New Roman" w:hint="eastAsia"/>
          <w:sz w:val="32"/>
          <w:szCs w:val="32"/>
        </w:rPr>
        <w:t>影响单位</w:t>
      </w:r>
      <w:r>
        <w:rPr>
          <w:rFonts w:ascii="Times New Roman" w:eastAsia="方正仿宋_GBK" w:hAnsi="Times New Roman" w:cs="Times New Roman" w:hint="eastAsia"/>
          <w:sz w:val="32"/>
          <w:szCs w:val="32"/>
        </w:rPr>
        <w:t>事业</w:t>
      </w:r>
      <w:r>
        <w:rPr>
          <w:rFonts w:ascii="Times New Roman" w:eastAsia="方正仿宋_GBK" w:hAnsi="Times New Roman" w:cs="Times New Roman" w:hint="eastAsia"/>
          <w:sz w:val="32"/>
          <w:szCs w:val="32"/>
        </w:rPr>
        <w:t>收入</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政策原因财政拨款减少，</w:t>
      </w:r>
      <w:r>
        <w:rPr>
          <w:rFonts w:ascii="Times New Roman" w:eastAsia="方正仿宋_GBK" w:hAnsi="Times New Roman" w:cs="Times New Roman"/>
          <w:sz w:val="32"/>
          <w:szCs w:val="32"/>
        </w:rPr>
        <w:t>在职人员工资福利及社会保险缴费增加，公共卫生和基本医疗基本运营支出增加，及职工年度正常晋升岗位，薪级和绩效工资等。</w:t>
      </w:r>
      <w:r>
        <w:rPr>
          <w:rFonts w:ascii="Times New Roman" w:eastAsia="方正仿宋_GBK" w:hAnsi="Times New Roman" w:cs="Times New Roman"/>
          <w:sz w:val="32"/>
          <w:szCs w:val="32"/>
        </w:rPr>
        <w:t> </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收入情况。</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02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年度收入合计</w:t>
      </w:r>
      <w:r>
        <w:rPr>
          <w:rFonts w:ascii="Times New Roman" w:eastAsia="方正仿宋_GBK" w:hAnsi="Times New Roman" w:cs="Times New Roman" w:hint="eastAsia"/>
          <w:sz w:val="32"/>
          <w:szCs w:val="32"/>
        </w:rPr>
        <w:t>613.13</w:t>
      </w:r>
      <w:r>
        <w:rPr>
          <w:rFonts w:ascii="Times New Roman" w:eastAsia="方正仿宋_GBK" w:hAnsi="Times New Roman" w:cs="Times New Roman"/>
          <w:sz w:val="32"/>
          <w:szCs w:val="32"/>
        </w:rPr>
        <w:t>万元，较上年决算数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134.8</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减少了</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疫情防控期间</w:t>
      </w:r>
      <w:r>
        <w:rPr>
          <w:rFonts w:ascii="Times New Roman" w:eastAsia="方正仿宋_GBK" w:hAnsi="Times New Roman" w:cs="Times New Roman" w:hint="eastAsia"/>
          <w:sz w:val="32"/>
          <w:szCs w:val="32"/>
        </w:rPr>
        <w:t>影响单位</w:t>
      </w:r>
      <w:r>
        <w:rPr>
          <w:rFonts w:ascii="Times New Roman" w:eastAsia="方正仿宋_GBK" w:hAnsi="Times New Roman" w:cs="Times New Roman" w:hint="eastAsia"/>
          <w:sz w:val="32"/>
          <w:szCs w:val="32"/>
        </w:rPr>
        <w:t>事业</w:t>
      </w:r>
      <w:r>
        <w:rPr>
          <w:rFonts w:ascii="Times New Roman" w:eastAsia="方正仿宋_GBK" w:hAnsi="Times New Roman" w:cs="Times New Roman" w:hint="eastAsia"/>
          <w:sz w:val="32"/>
          <w:szCs w:val="32"/>
        </w:rPr>
        <w:t>收入</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政策原因财政拨款减少</w:t>
      </w:r>
      <w:r>
        <w:rPr>
          <w:rFonts w:ascii="Times New Roman" w:eastAsia="方正仿宋_GBK" w:hAnsi="Times New Roman" w:cs="Times New Roman"/>
          <w:sz w:val="32"/>
          <w:szCs w:val="32"/>
        </w:rPr>
        <w:t>。其中：</w:t>
      </w:r>
      <w:r>
        <w:rPr>
          <w:rFonts w:ascii="Times New Roman" w:eastAsia="方正仿宋_GBK" w:hAnsi="Times New Roman" w:cs="Times New Roman"/>
          <w:sz w:val="32"/>
          <w:szCs w:val="32"/>
        </w:rPr>
        <w:lastRenderedPageBreak/>
        <w:t>财政拨款收入</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15.09</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总收入合计的</w:t>
      </w:r>
      <w:r>
        <w:rPr>
          <w:rFonts w:ascii="Times New Roman" w:eastAsia="方正仿宋_GBK" w:hAnsi="Times New Roman" w:cs="Times New Roman" w:hint="eastAsia"/>
          <w:sz w:val="32"/>
          <w:szCs w:val="32"/>
        </w:rPr>
        <w:t>35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hint="eastAsia"/>
          <w:sz w:val="32"/>
          <w:szCs w:val="32"/>
        </w:rPr>
        <w:t>384.44</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总收入合计</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2.7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；其他收入</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3.59</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总收入合计的</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。年初结转和结余</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p>
    <w:p w:rsidR="00F7411E" w:rsidRDefault="00E63918">
      <w:pPr>
        <w:ind w:firstLineChars="200" w:firstLine="640"/>
        <w:jc w:val="left"/>
        <w:rPr>
          <w:rFonts w:ascii="宋体" w:eastAsia="宋体" w:hAnsi="宋体" w:cs="Arial"/>
          <w:b/>
          <w:bCs/>
          <w:kern w:val="0"/>
          <w:sz w:val="20"/>
          <w:szCs w:val="20"/>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支出情况。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年度支出合计</w:t>
      </w:r>
      <w:r>
        <w:rPr>
          <w:rFonts w:ascii="Times New Roman" w:eastAsia="方正仿宋_GBK" w:hAnsi="Times New Roman" w:cs="Times New Roman" w:hint="eastAsia"/>
          <w:sz w:val="32"/>
          <w:szCs w:val="32"/>
        </w:rPr>
        <w:t>613.13</w:t>
      </w:r>
      <w:r>
        <w:rPr>
          <w:rFonts w:ascii="Times New Roman" w:eastAsia="方正仿宋_GBK" w:hAnsi="Times New Roman" w:cs="Times New Roman"/>
          <w:sz w:val="32"/>
          <w:szCs w:val="32"/>
        </w:rPr>
        <w:t>万元，较上年决算数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134.8</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减少了</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疫情影响单位</w:t>
      </w:r>
      <w:r>
        <w:rPr>
          <w:rFonts w:ascii="Times New Roman" w:eastAsia="方正仿宋_GBK" w:hAnsi="Times New Roman" w:cs="Times New Roman" w:hint="eastAsia"/>
          <w:sz w:val="32"/>
          <w:szCs w:val="32"/>
        </w:rPr>
        <w:t>收入减少从而</w:t>
      </w:r>
      <w:r>
        <w:rPr>
          <w:rFonts w:ascii="Times New Roman" w:eastAsia="方正仿宋_GBK" w:hAnsi="Times New Roman" w:cs="Times New Roman" w:hint="eastAsia"/>
          <w:sz w:val="32"/>
          <w:szCs w:val="32"/>
        </w:rPr>
        <w:t>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，在职人员工资福利</w:t>
      </w:r>
      <w:r>
        <w:rPr>
          <w:rFonts w:ascii="Times New Roman" w:eastAsia="方正仿宋_GBK" w:hAnsi="Times New Roman" w:cs="Times New Roman" w:hint="eastAsia"/>
          <w:sz w:val="32"/>
          <w:szCs w:val="32"/>
        </w:rPr>
        <w:t>待遇减少</w:t>
      </w:r>
      <w:r>
        <w:rPr>
          <w:rFonts w:ascii="Times New Roman" w:eastAsia="方正仿宋_GBK" w:hAnsi="Times New Roman" w:cs="Times New Roman"/>
          <w:sz w:val="32"/>
          <w:szCs w:val="32"/>
        </w:rPr>
        <w:t>等。其中：基本支出</w:t>
      </w:r>
      <w:r>
        <w:rPr>
          <w:rFonts w:ascii="Times New Roman" w:eastAsia="方正仿宋_GBK" w:hAnsi="Times New Roman" w:cs="Times New Roman" w:hint="eastAsia"/>
          <w:sz w:val="32"/>
          <w:szCs w:val="32"/>
        </w:rPr>
        <w:t>505.7</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总</w:t>
      </w:r>
      <w:r>
        <w:rPr>
          <w:rFonts w:ascii="Times New Roman" w:eastAsia="方正仿宋_GBK" w:hAnsi="Times New Roman" w:cs="Times New Roman"/>
          <w:sz w:val="32"/>
          <w:szCs w:val="32"/>
        </w:rPr>
        <w:t>支出合计</w:t>
      </w:r>
      <w:r>
        <w:rPr>
          <w:rFonts w:ascii="Times New Roman" w:eastAsia="方正仿宋_GBK" w:hAnsi="Times New Roman" w:cs="Times New Roman" w:hint="eastAsia"/>
          <w:sz w:val="32"/>
          <w:szCs w:val="32"/>
        </w:rPr>
        <w:t>的</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2.47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107.43</w:t>
      </w:r>
      <w:r>
        <w:rPr>
          <w:rFonts w:ascii="Times New Roman" w:eastAsia="方正仿宋_GBK" w:hAnsi="Times New Roman" w:cs="Times New Roman"/>
          <w:sz w:val="32"/>
          <w:szCs w:val="32"/>
        </w:rPr>
        <w:t>万元，占支出合计</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7.52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结转结余情况。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年度年末</w:t>
      </w:r>
      <w:r>
        <w:rPr>
          <w:rFonts w:ascii="Times New Roman" w:eastAsia="方正仿宋_GBK" w:hAnsi="Times New Roman" w:cs="Times New Roman" w:hint="eastAsia"/>
          <w:sz w:val="32"/>
          <w:szCs w:val="32"/>
        </w:rPr>
        <w:t>无</w:t>
      </w:r>
      <w:r>
        <w:rPr>
          <w:rFonts w:ascii="Times New Roman" w:eastAsia="方正仿宋_GBK" w:hAnsi="Times New Roman" w:cs="Times New Roman"/>
          <w:sz w:val="32"/>
          <w:szCs w:val="32"/>
        </w:rPr>
        <w:t>结转和结余。</w:t>
      </w:r>
    </w:p>
    <w:p w:rsidR="00F7411E" w:rsidRDefault="00E63918">
      <w:pPr>
        <w:adjustRightInd w:val="0"/>
        <w:snapToGrid w:val="0"/>
        <w:spacing w:line="640"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（二）财政拨款收入支出决算总体情况说明</w:t>
      </w:r>
    </w:p>
    <w:p w:rsidR="00F7411E" w:rsidRDefault="00E63918">
      <w:pPr>
        <w:adjustRightInd w:val="0"/>
        <w:snapToGrid w:val="0"/>
        <w:spacing w:line="64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年度财政拨款收、支总计</w:t>
      </w: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5.09</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年相比，财政拨款收、支总计</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2.3</w:t>
      </w:r>
      <w:r>
        <w:rPr>
          <w:rFonts w:ascii="Times New Roman" w:eastAsia="方正仿宋_GBK" w:hAnsi="Times New Roman" w:cs="Times New Roman"/>
          <w:sz w:val="32"/>
          <w:szCs w:val="32"/>
        </w:rPr>
        <w:t>万元。主要原因是</w:t>
      </w:r>
      <w:r>
        <w:rPr>
          <w:rFonts w:ascii="Times New Roman" w:eastAsia="方正仿宋_GBK" w:hAnsi="Times New Roman" w:cs="Times New Roman" w:hint="eastAsia"/>
          <w:sz w:val="32"/>
          <w:szCs w:val="32"/>
        </w:rPr>
        <w:t>疫情防控期间</w:t>
      </w:r>
      <w:r>
        <w:rPr>
          <w:rFonts w:ascii="Times New Roman" w:eastAsia="方正仿宋_GBK" w:hAnsi="Times New Roman" w:cs="Times New Roman" w:hint="eastAsia"/>
          <w:sz w:val="32"/>
          <w:szCs w:val="32"/>
        </w:rPr>
        <w:t>相关补助支出以及</w:t>
      </w:r>
      <w:r>
        <w:rPr>
          <w:rFonts w:ascii="Times New Roman" w:eastAsia="方正仿宋_GBK" w:hAnsi="Times New Roman" w:cs="Times New Roman"/>
          <w:sz w:val="32"/>
          <w:szCs w:val="32"/>
        </w:rPr>
        <w:t>在职人员工资福利及社会保险缴费</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，主要原因</w:t>
      </w:r>
      <w:r>
        <w:rPr>
          <w:rFonts w:ascii="Times New Roman" w:eastAsia="方正仿宋_GBK" w:hAnsi="Times New Roman" w:cs="Times New Roman" w:hint="eastAsia"/>
          <w:sz w:val="32"/>
          <w:szCs w:val="32"/>
        </w:rPr>
        <w:t>政策原因财政拨款调整预算减少。</w:t>
      </w:r>
    </w:p>
    <w:p w:rsidR="00F7411E" w:rsidRDefault="00E63918">
      <w:pPr>
        <w:adjustRightInd w:val="0"/>
        <w:snapToGrid w:val="0"/>
        <w:spacing w:line="640"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（三）一般公共预算财政拨款支出决算情况说明</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收入情况。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年度一般公共预算财政拨款收入</w:t>
      </w:r>
      <w:r>
        <w:rPr>
          <w:rFonts w:ascii="Times New Roman" w:eastAsia="方正仿宋_GBK" w:hAnsi="Times New Roman" w:cs="Times New Roman" w:hint="eastAsia"/>
          <w:sz w:val="32"/>
          <w:szCs w:val="32"/>
        </w:rPr>
        <w:t>21</w:t>
      </w:r>
      <w:r>
        <w:rPr>
          <w:rFonts w:ascii="Times New Roman" w:eastAsia="方正仿宋_GBK" w:hAnsi="Times New Roman" w:cs="Times New Roman" w:hint="eastAsia"/>
          <w:sz w:val="32"/>
          <w:szCs w:val="32"/>
        </w:rPr>
        <w:t>5.09</w:t>
      </w:r>
      <w:r>
        <w:rPr>
          <w:rFonts w:ascii="Times New Roman" w:eastAsia="方正仿宋_GBK" w:hAnsi="Times New Roman" w:cs="Times New Roman"/>
          <w:sz w:val="32"/>
          <w:szCs w:val="32"/>
        </w:rPr>
        <w:t>万元，较上年决</w:t>
      </w:r>
      <w:r>
        <w:rPr>
          <w:rFonts w:ascii="Times New Roman" w:eastAsia="方正仿宋_GBK" w:hAnsi="Times New Roman" w:cs="Times New Roman"/>
          <w:sz w:val="32"/>
          <w:szCs w:val="32"/>
        </w:rPr>
        <w:t>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2.3</w:t>
      </w:r>
      <w:r>
        <w:rPr>
          <w:rFonts w:ascii="Times New Roman" w:eastAsia="方正仿宋_GBK" w:hAnsi="Times New Roman" w:cs="Times New Roman"/>
          <w:sz w:val="32"/>
          <w:szCs w:val="32"/>
        </w:rPr>
        <w:t>万元。主要原因是主要原因</w:t>
      </w:r>
      <w:r>
        <w:rPr>
          <w:rFonts w:ascii="Times New Roman" w:eastAsia="方正仿宋_GBK" w:hAnsi="Times New Roman" w:cs="Times New Roman" w:hint="eastAsia"/>
          <w:sz w:val="32"/>
          <w:szCs w:val="32"/>
        </w:rPr>
        <w:t>政策原因财政拨款调整预算减少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在职人员工资福利及社会保险缴费</w:t>
      </w:r>
      <w:r>
        <w:rPr>
          <w:rFonts w:ascii="Times New Roman" w:eastAsia="方正仿宋_GBK" w:hAnsi="Times New Roman" w:cs="Times New Roman" w:hint="eastAsia"/>
          <w:sz w:val="32"/>
          <w:szCs w:val="32"/>
        </w:rPr>
        <w:t>拨款减少。</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支出情况。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年度一般公共预算财政拨款支出</w:t>
      </w:r>
      <w:r>
        <w:rPr>
          <w:rFonts w:ascii="Times New Roman" w:eastAsia="方正仿宋_GBK" w:hAnsi="Times New Roman" w:cs="Times New Roman" w:hint="eastAsia"/>
          <w:sz w:val="32"/>
          <w:szCs w:val="32"/>
        </w:rPr>
        <w:t>215.09</w:t>
      </w:r>
      <w:r>
        <w:rPr>
          <w:rFonts w:ascii="Times New Roman" w:eastAsia="方正仿宋_GBK" w:hAnsi="Times New Roman" w:cs="Times New Roman"/>
          <w:sz w:val="32"/>
          <w:szCs w:val="32"/>
        </w:rPr>
        <w:t>万元，较上年决算数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2.3</w:t>
      </w:r>
      <w:r>
        <w:rPr>
          <w:rFonts w:ascii="Times New Roman" w:eastAsia="方正仿宋_GBK" w:hAnsi="Times New Roman" w:cs="Times New Roman"/>
          <w:sz w:val="32"/>
          <w:szCs w:val="32"/>
        </w:rPr>
        <w:t>万元。主要原因是</w:t>
      </w:r>
      <w:r>
        <w:rPr>
          <w:rFonts w:ascii="Times New Roman" w:eastAsia="方正仿宋_GBK" w:hAnsi="Times New Roman" w:cs="Times New Roman" w:hint="eastAsia"/>
          <w:sz w:val="32"/>
          <w:szCs w:val="32"/>
        </w:rPr>
        <w:t>疫情</w:t>
      </w:r>
      <w:r>
        <w:rPr>
          <w:rFonts w:ascii="Times New Roman" w:eastAsia="方正仿宋_GBK" w:hAnsi="Times New Roman" w:cs="Times New Roman" w:hint="eastAsia"/>
          <w:sz w:val="32"/>
          <w:szCs w:val="32"/>
        </w:rPr>
        <w:lastRenderedPageBreak/>
        <w:t>防控期间</w:t>
      </w:r>
      <w:r>
        <w:rPr>
          <w:rFonts w:ascii="Times New Roman" w:eastAsia="方正仿宋_GBK" w:hAnsi="Times New Roman" w:cs="Times New Roman" w:hint="eastAsia"/>
          <w:sz w:val="32"/>
          <w:szCs w:val="32"/>
        </w:rPr>
        <w:t>相关补助支出及</w:t>
      </w:r>
      <w:r>
        <w:rPr>
          <w:rFonts w:ascii="Times New Roman" w:eastAsia="方正仿宋_GBK" w:hAnsi="Times New Roman" w:cs="Times New Roman"/>
          <w:sz w:val="32"/>
          <w:szCs w:val="32"/>
        </w:rPr>
        <w:t>在职人员工资福利及社会保险缴费</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，公共卫生和基本医疗基本运营支出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等。</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结转结余情况。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年度年末</w:t>
      </w:r>
      <w:r>
        <w:rPr>
          <w:rFonts w:ascii="Times New Roman" w:eastAsia="方正仿宋_GBK" w:hAnsi="Times New Roman" w:cs="Times New Roman" w:hint="eastAsia"/>
          <w:sz w:val="32"/>
          <w:szCs w:val="32"/>
        </w:rPr>
        <w:t>无</w:t>
      </w:r>
      <w:r>
        <w:rPr>
          <w:rFonts w:ascii="Times New Roman" w:eastAsia="方正仿宋_GBK" w:hAnsi="Times New Roman" w:cs="Times New Roman"/>
          <w:sz w:val="32"/>
          <w:szCs w:val="32"/>
        </w:rPr>
        <w:t>一般公共预算财政拨款</w:t>
      </w:r>
      <w:r>
        <w:rPr>
          <w:rFonts w:ascii="Times New Roman" w:eastAsia="方正仿宋_GBK" w:hAnsi="Times New Roman" w:cs="Times New Roman" w:hint="eastAsia"/>
          <w:sz w:val="32"/>
          <w:szCs w:val="32"/>
        </w:rPr>
        <w:t>无</w:t>
      </w:r>
      <w:r>
        <w:rPr>
          <w:rFonts w:ascii="Times New Roman" w:eastAsia="方正仿宋_GBK" w:hAnsi="Times New Roman" w:cs="Times New Roman"/>
          <w:sz w:val="32"/>
          <w:szCs w:val="32"/>
        </w:rPr>
        <w:t>结转和结余。</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比较情况。本部门</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年度一般公共预算财政拨款支出主要用于以下几个方面：</w:t>
      </w:r>
      <w:r>
        <w:rPr>
          <w:rFonts w:ascii="Times New Roman" w:eastAsia="方正仿宋_GBK" w:hAnsi="Times New Roman" w:cs="Times New Roman"/>
          <w:sz w:val="32"/>
          <w:szCs w:val="32"/>
        </w:rPr>
        <w:t xml:space="preserve"> </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）一般公共服务支出</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02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）社会保障与就业支出</w:t>
      </w:r>
      <w:r>
        <w:rPr>
          <w:rFonts w:ascii="Times New Roman" w:eastAsia="方正仿宋_GBK" w:hAnsi="Times New Roman" w:cs="Times New Roman" w:hint="eastAsia"/>
          <w:sz w:val="32"/>
          <w:szCs w:val="32"/>
        </w:rPr>
        <w:t>27.00</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4.4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18.5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w:t>
      </w:r>
      <w:r>
        <w:rPr>
          <w:rFonts w:ascii="Times New Roman" w:eastAsia="方正仿宋_GBK" w:hAnsi="Times New Roman" w:cs="Times New Roman" w:hint="eastAsia"/>
          <w:sz w:val="32"/>
          <w:szCs w:val="32"/>
        </w:rPr>
        <w:t>是</w:t>
      </w:r>
      <w:r>
        <w:rPr>
          <w:rFonts w:ascii="Times New Roman" w:eastAsia="方正仿宋_GBK" w:hAnsi="Times New Roman" w:cs="Times New Roman"/>
          <w:sz w:val="32"/>
          <w:szCs w:val="32"/>
        </w:rPr>
        <w:t>在职人员工资福利及社会保险缴费</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等</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）卫生健康支出</w:t>
      </w:r>
      <w:r>
        <w:rPr>
          <w:rFonts w:ascii="Times New Roman" w:eastAsia="方正仿宋_GBK" w:hAnsi="Times New Roman" w:cs="Times New Roman" w:hint="eastAsia"/>
          <w:sz w:val="32"/>
          <w:szCs w:val="32"/>
        </w:rPr>
        <w:t>184.54</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85.79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，较年初预算数增加</w:t>
      </w:r>
      <w:r>
        <w:rPr>
          <w:rFonts w:ascii="Times New Roman" w:eastAsia="方正仿宋_GBK" w:hAnsi="Times New Roman" w:cs="Times New Roman" w:hint="eastAsia"/>
          <w:sz w:val="32"/>
          <w:szCs w:val="32"/>
        </w:rPr>
        <w:t>3.9</w:t>
      </w:r>
      <w:r>
        <w:rPr>
          <w:rFonts w:ascii="Times New Roman" w:eastAsia="方正仿宋_GBK" w:hAnsi="Times New Roman" w:cs="Times New Roman"/>
          <w:sz w:val="32"/>
          <w:szCs w:val="32"/>
        </w:rPr>
        <w:t>万元，增长</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疫情防控期间</w:t>
      </w:r>
      <w:r>
        <w:rPr>
          <w:rFonts w:ascii="Times New Roman" w:eastAsia="方正仿宋_GBK" w:hAnsi="Times New Roman" w:cs="Times New Roman" w:hint="eastAsia"/>
          <w:sz w:val="32"/>
          <w:szCs w:val="32"/>
        </w:rPr>
        <w:t>相关补助支出及</w:t>
      </w:r>
      <w:r>
        <w:rPr>
          <w:rFonts w:ascii="Times New Roman" w:eastAsia="方正仿宋_GBK" w:hAnsi="Times New Roman" w:cs="Times New Roman"/>
          <w:sz w:val="32"/>
          <w:szCs w:val="32"/>
        </w:rPr>
        <w:t>在职人员工资福利及社会保险缴费增加，公共卫生和基本医疗基本运营支出增加等。</w:t>
      </w:r>
      <w:r>
        <w:rPr>
          <w:rFonts w:ascii="Times New Roman" w:eastAsia="方正仿宋_GBK" w:hAnsi="Times New Roman" w:cs="Times New Roman"/>
          <w:sz w:val="32"/>
          <w:szCs w:val="32"/>
        </w:rPr>
        <w:t> </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bookmarkStart w:id="0" w:name="_GoBack"/>
      <w:bookmarkEnd w:id="0"/>
      <w:r>
        <w:rPr>
          <w:rFonts w:ascii="Times New Roman" w:eastAsia="方正仿宋_GBK" w:hAnsi="Times New Roman" w:cs="Times New Roman"/>
          <w:sz w:val="32"/>
          <w:szCs w:val="32"/>
        </w:rPr>
        <w:t>住房保障支出</w:t>
      </w:r>
      <w:r>
        <w:rPr>
          <w:rFonts w:ascii="Times New Roman" w:eastAsia="方正仿宋_GBK" w:hAnsi="Times New Roman" w:cs="Times New Roman" w:hint="eastAsia"/>
          <w:sz w:val="32"/>
          <w:szCs w:val="32"/>
        </w:rPr>
        <w:t>2.95</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万元，占</w:t>
      </w:r>
      <w:r>
        <w:rPr>
          <w:rFonts w:ascii="Times New Roman" w:eastAsia="方正仿宋_GBK" w:hAnsi="Times New Roman" w:cs="Times New Roman" w:hint="eastAsia"/>
          <w:sz w:val="32"/>
          <w:szCs w:val="32"/>
        </w:rPr>
        <w:t>0.5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，较年初预算数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原因财政整体预算调整减少</w:t>
      </w:r>
      <w:r>
        <w:rPr>
          <w:rFonts w:ascii="Times New Roman" w:eastAsia="方正仿宋_GBK" w:hAnsi="Times New Roman" w:cs="Times New Roman"/>
          <w:sz w:val="32"/>
          <w:szCs w:val="32"/>
        </w:rPr>
        <w:t>。</w:t>
      </w:r>
    </w:p>
    <w:p w:rsidR="00F7411E" w:rsidRDefault="00E63918">
      <w:pPr>
        <w:adjustRightInd w:val="0"/>
        <w:snapToGrid w:val="0"/>
        <w:spacing w:line="640"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（四）一般公共预算财政拨款基本支出决算情况说明</w:t>
      </w:r>
    </w:p>
    <w:p w:rsidR="00F7411E" w:rsidRDefault="00E63918">
      <w:pPr>
        <w:adjustRightInd w:val="0"/>
        <w:snapToGrid w:val="0"/>
        <w:spacing w:line="64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年度一般公共财政拨款基本支出</w:t>
      </w:r>
      <w:r>
        <w:rPr>
          <w:rFonts w:ascii="Times New Roman" w:eastAsia="方正仿宋_GBK" w:hAnsi="Times New Roman" w:cs="Times New Roman" w:hint="eastAsia"/>
          <w:sz w:val="32"/>
          <w:szCs w:val="32"/>
        </w:rPr>
        <w:t>112.38</w:t>
      </w:r>
      <w:r>
        <w:rPr>
          <w:rFonts w:ascii="Times New Roman" w:eastAsia="方正仿宋_GBK" w:hAnsi="Times New Roman" w:cs="Times New Roman"/>
          <w:sz w:val="32"/>
          <w:szCs w:val="32"/>
        </w:rPr>
        <w:t>万元。其中：人员经费</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10.38</w:t>
      </w:r>
      <w:r>
        <w:rPr>
          <w:rFonts w:ascii="Times New Roman" w:eastAsia="方正仿宋_GBK" w:hAnsi="Times New Roman" w:cs="Times New Roman"/>
          <w:sz w:val="32"/>
          <w:szCs w:val="32"/>
        </w:rPr>
        <w:t>万元，较上年决算数</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27.58</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较上年</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24.98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公用经费财政拨款</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万元，较上年减</w:t>
      </w:r>
      <w:r>
        <w:rPr>
          <w:rFonts w:ascii="Times New Roman" w:eastAsia="方正仿宋_GBK" w:hAnsi="Times New Roman" w:cs="Times New Roman" w:hint="eastAsia"/>
          <w:sz w:val="32"/>
          <w:szCs w:val="32"/>
        </w:rPr>
        <w:lastRenderedPageBreak/>
        <w:t>少</w:t>
      </w:r>
      <w:r>
        <w:rPr>
          <w:rFonts w:ascii="Times New Roman" w:eastAsia="方正仿宋_GBK" w:hAnsi="Times New Roman" w:cs="Times New Roman" w:hint="eastAsia"/>
          <w:sz w:val="32"/>
          <w:szCs w:val="32"/>
        </w:rPr>
        <w:t>8.11</w:t>
      </w:r>
      <w:r>
        <w:rPr>
          <w:rFonts w:ascii="Times New Roman" w:eastAsia="方正仿宋_GBK" w:hAnsi="Times New Roman" w:cs="Times New Roman"/>
          <w:sz w:val="32"/>
          <w:szCs w:val="32"/>
        </w:rPr>
        <w:t>主要原因是要原因是</w:t>
      </w:r>
      <w:r>
        <w:rPr>
          <w:rFonts w:ascii="Times New Roman" w:eastAsia="方正仿宋_GBK" w:hAnsi="Times New Roman" w:cs="Times New Roman" w:hint="eastAsia"/>
          <w:sz w:val="32"/>
          <w:szCs w:val="32"/>
        </w:rPr>
        <w:t>疫情影响职称减少</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w:t>
      </w:r>
    </w:p>
    <w:p w:rsidR="00F7411E" w:rsidRDefault="00E63918">
      <w:pPr>
        <w:numPr>
          <w:ilvl w:val="0"/>
          <w:numId w:val="1"/>
        </w:num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本单位无政府性基金预算收支</w:t>
      </w:r>
      <w:r>
        <w:rPr>
          <w:rFonts w:ascii="方正楷体_GBK" w:eastAsia="方正楷体_GBK" w:hAnsi="方正楷体_GBK" w:cs="方正楷体_GBK" w:hint="eastAsia"/>
          <w:sz w:val="32"/>
          <w:szCs w:val="32"/>
        </w:rPr>
        <w:t>。</w:t>
      </w:r>
    </w:p>
    <w:p w:rsidR="00F7411E" w:rsidRDefault="00E63918">
      <w:pPr>
        <w:numPr>
          <w:ilvl w:val="0"/>
          <w:numId w:val="1"/>
        </w:num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本单位无</w:t>
      </w:r>
      <w:r>
        <w:rPr>
          <w:rFonts w:ascii="方正楷体_GBK" w:eastAsia="方正楷体_GBK" w:hAnsi="方正楷体_GBK" w:cs="方正楷体_GBK" w:hint="eastAsia"/>
          <w:sz w:val="32"/>
          <w:szCs w:val="32"/>
        </w:rPr>
        <w:t>国有资本经营预算财政拨款支出。</w:t>
      </w:r>
    </w:p>
    <w:p w:rsidR="00F7411E" w:rsidRDefault="00E63918">
      <w:pPr>
        <w:adjustRightInd w:val="0"/>
        <w:snapToGrid w:val="0"/>
        <w:spacing w:line="6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三、“三公”经费情况说明</w:t>
      </w:r>
    </w:p>
    <w:p w:rsidR="00F7411E" w:rsidRDefault="00E63918">
      <w:pPr>
        <w:adjustRightInd w:val="0"/>
        <w:snapToGrid w:val="0"/>
        <w:spacing w:line="640" w:lineRule="exact"/>
        <w:ind w:firstLineChars="200" w:firstLine="640"/>
        <w:jc w:val="left"/>
        <w:rPr>
          <w:rFonts w:ascii="Times New Roman" w:eastAsia="方正楷体_GBK" w:hAnsi="Times New Roman"/>
          <w:color w:val="333333"/>
          <w:sz w:val="32"/>
          <w:szCs w:val="32"/>
        </w:rPr>
      </w:pPr>
      <w:r>
        <w:rPr>
          <w:rFonts w:ascii="Times New Roman" w:eastAsia="方正楷体_GBK" w:hAnsi="Times New Roman" w:hint="eastAsia"/>
          <w:color w:val="333333"/>
          <w:sz w:val="32"/>
          <w:szCs w:val="32"/>
        </w:rPr>
        <w:t>（一）“三公”经费支出情况说明</w:t>
      </w:r>
    </w:p>
    <w:p w:rsidR="00F7411E" w:rsidRDefault="00E63918">
      <w:pPr>
        <w:adjustRightInd w:val="0"/>
        <w:snapToGrid w:val="0"/>
        <w:spacing w:line="640" w:lineRule="exact"/>
        <w:ind w:firstLineChars="250" w:firstLine="80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我单位属于差额拨款单位，财政未保障我单位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经费支出共计</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万元，较年初预算数增加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。较上年支出数增加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p>
    <w:p w:rsidR="00F7411E" w:rsidRDefault="00E63918">
      <w:pPr>
        <w:adjustRightInd w:val="0"/>
        <w:snapToGrid w:val="0"/>
        <w:spacing w:line="6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（二）“三公”经费实物量情况</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我单位属于差额拨款单位，财政未保障我单位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w:t>
      </w:r>
      <w:r>
        <w:rPr>
          <w:rFonts w:ascii="Times New Roman" w:eastAsia="方正仿宋_GBK" w:hAnsi="Times New Roman" w:cs="Times New Roman"/>
          <w:sz w:val="32"/>
          <w:szCs w:val="32"/>
        </w:rPr>
        <w:t xml:space="preserve"> 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年度本部门因公出国（境）共计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个团组，</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人；公务用车购置</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辆，公务车保有量为</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辆；国内公务接待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人，其中：国内外事接待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人；国（境）外公务接待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年本部门人均接待费</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元，车均购置费</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万元，车均维护费</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w:t>
      </w:r>
    </w:p>
    <w:p w:rsidR="00F7411E" w:rsidRDefault="00E63918">
      <w:pPr>
        <w:numPr>
          <w:ilvl w:val="0"/>
          <w:numId w:val="2"/>
        </w:numPr>
        <w:adjustRightInd w:val="0"/>
        <w:snapToGrid w:val="0"/>
        <w:spacing w:line="6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其他需要说明的事项</w:t>
      </w:r>
    </w:p>
    <w:p w:rsidR="00F7411E" w:rsidRDefault="00E63918">
      <w:pPr>
        <w:numPr>
          <w:ilvl w:val="0"/>
          <w:numId w:val="3"/>
        </w:num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机关运行经费情况说明。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按照部门决算列报口径，我单位补助机关运行经费统计范围之类。年度本部门机关运行经费支出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万元。机关运行经费较上年决算数增加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此外，本年度一般公共预算财政拨款会议费支出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万元，较上年决算数增加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。本年度一般公共预算财政拨款培训费支出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万元，较上年决算数增加</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（二）国有资产占用情况说明。</w:t>
      </w:r>
      <w:r>
        <w:rPr>
          <w:rFonts w:ascii="Times New Roman" w:eastAsia="方正仿宋_GBK" w:hAnsi="Times New Roman" w:cs="Times New Roman"/>
          <w:sz w:val="32"/>
          <w:szCs w:val="32"/>
        </w:rPr>
        <w:t>截至</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日，本</w:t>
      </w:r>
      <w:r>
        <w:rPr>
          <w:rFonts w:ascii="Times New Roman" w:eastAsia="方正仿宋_GBK" w:hAnsi="Times New Roman" w:cs="Times New Roman" w:hint="eastAsia"/>
          <w:sz w:val="32"/>
          <w:szCs w:val="32"/>
        </w:rPr>
        <w:t>单位</w:t>
      </w:r>
      <w:r>
        <w:rPr>
          <w:rFonts w:ascii="Times New Roman" w:eastAsia="方正仿宋_GBK" w:hAnsi="Times New Roman" w:cs="Times New Roman"/>
          <w:sz w:val="32"/>
          <w:szCs w:val="32"/>
        </w:rPr>
        <w:t>共有车辆</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辆，其中，副部（省）级及以上领导用车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辆、主要领导干部用车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辆、机要</w:t>
      </w:r>
      <w:r>
        <w:rPr>
          <w:rFonts w:ascii="Times New Roman" w:eastAsia="方正仿宋_GBK" w:hAnsi="Times New Roman" w:cs="Times New Roman"/>
          <w:sz w:val="32"/>
          <w:szCs w:val="32"/>
        </w:rPr>
        <w:t>通信用车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辆、应急保障用车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辆、执法执勤用车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辆，特种专业技术用车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辆，离退休干部用车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辆，其他用车</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辆。单价</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万元（含）以上通用设备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台（套），单价</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万元（含）以上专用设备</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台（套）。</w:t>
      </w:r>
    </w:p>
    <w:p w:rsidR="00F7411E" w:rsidRDefault="00E63918">
      <w:pPr>
        <w:adjustRightInd w:val="0"/>
        <w:snapToGrid w:val="0"/>
        <w:spacing w:line="640" w:lineRule="exact"/>
        <w:ind w:firstLineChars="200" w:firstLine="640"/>
        <w:jc w:val="left"/>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（三）政府采购支出情况说明。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年度本部门政府采购支出总额</w:t>
      </w:r>
      <w:r>
        <w:rPr>
          <w:rFonts w:ascii="Times New Roman" w:eastAsia="方正仿宋_GBK" w:hAnsi="Times New Roman" w:cs="Times New Roman" w:hint="eastAsia"/>
          <w:sz w:val="32"/>
          <w:szCs w:val="32"/>
        </w:rPr>
        <w:t xml:space="preserve"> 29.55</w:t>
      </w:r>
      <w:r>
        <w:rPr>
          <w:rFonts w:ascii="Times New Roman" w:eastAsia="方正仿宋_GBK" w:hAnsi="Times New Roman" w:cs="Times New Roman"/>
          <w:sz w:val="32"/>
          <w:szCs w:val="32"/>
        </w:rPr>
        <w:t>万元，其中：政府采购货物支出</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6.3</w:t>
      </w:r>
      <w:r>
        <w:rPr>
          <w:rFonts w:ascii="Times New Roman" w:eastAsia="方正仿宋_GBK" w:hAnsi="Times New Roman" w:cs="Times New Roman"/>
          <w:sz w:val="32"/>
          <w:szCs w:val="32"/>
        </w:rPr>
        <w:t>万元、政府采购工程支出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万元、政府采购服务支出</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万元。授予中小企业合同金额</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6.3</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，其中：授予小微企业合同金额</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6.3</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。主要用于采购医疗设备</w:t>
      </w:r>
      <w:r>
        <w:rPr>
          <w:rFonts w:ascii="Times New Roman" w:eastAsia="方正仿宋_GBK" w:hAnsi="Times New Roman" w:cs="Times New Roman" w:hint="eastAsia"/>
          <w:sz w:val="32"/>
          <w:szCs w:val="32"/>
        </w:rPr>
        <w:t>和日常办公设备</w:t>
      </w:r>
      <w:r>
        <w:rPr>
          <w:rFonts w:ascii="Times New Roman" w:eastAsia="方正仿宋_GBK" w:hAnsi="Times New Roman" w:cs="Times New Roman"/>
          <w:sz w:val="32"/>
          <w:szCs w:val="32"/>
        </w:rPr>
        <w:t>。</w:t>
      </w:r>
    </w:p>
    <w:p w:rsidR="00F7411E" w:rsidRDefault="00E63918">
      <w:pPr>
        <w:numPr>
          <w:ilvl w:val="0"/>
          <w:numId w:val="2"/>
        </w:numPr>
        <w:adjustRightInd w:val="0"/>
        <w:snapToGrid w:val="0"/>
        <w:spacing w:line="6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预算绩效管理情况说明</w:t>
      </w:r>
    </w:p>
    <w:p w:rsidR="00F7411E" w:rsidRDefault="00E63918">
      <w:pPr>
        <w:pStyle w:val="a8"/>
        <w:tabs>
          <w:tab w:val="center" w:pos="4153"/>
          <w:tab w:val="left" w:pos="7275"/>
        </w:tabs>
        <w:spacing w:line="600" w:lineRule="exact"/>
        <w:ind w:left="640" w:firstLineChars="0" w:firstLine="0"/>
        <w:rPr>
          <w:rFonts w:eastAsia="方正楷体_GBK"/>
          <w:color w:val="333333"/>
          <w:szCs w:val="32"/>
        </w:rPr>
      </w:pPr>
      <w:r>
        <w:rPr>
          <w:rFonts w:eastAsia="方正楷体_GBK" w:hint="eastAsia"/>
          <w:color w:val="333333"/>
          <w:szCs w:val="32"/>
        </w:rPr>
        <w:t>（一）预算绩效管理工作开展情况</w:t>
      </w:r>
    </w:p>
    <w:p w:rsidR="00F7411E" w:rsidRDefault="00E63918">
      <w:pPr>
        <w:pStyle w:val="a8"/>
        <w:tabs>
          <w:tab w:val="center" w:pos="4153"/>
          <w:tab w:val="left" w:pos="7275"/>
        </w:tabs>
        <w:spacing w:line="600" w:lineRule="exact"/>
        <w:ind w:left="640" w:firstLineChars="0" w:firstLine="0"/>
        <w:rPr>
          <w:rFonts w:eastAsia="方正楷体_GBK"/>
          <w:color w:val="333333"/>
          <w:szCs w:val="32"/>
        </w:rPr>
      </w:pPr>
      <w:r>
        <w:rPr>
          <w:rFonts w:eastAsia="方正仿宋_GBK" w:cs="宋体" w:hint="eastAsia"/>
          <w:kern w:val="0"/>
          <w:szCs w:val="32"/>
        </w:rPr>
        <w:t>根据预算绩效管理要求，本单位对部门</w:t>
      </w:r>
      <w:r>
        <w:rPr>
          <w:rFonts w:eastAsia="方正仿宋_GBK" w:cs="宋体"/>
          <w:kern w:val="0"/>
          <w:szCs w:val="32"/>
        </w:rPr>
        <w:t>整体</w:t>
      </w:r>
      <w:r>
        <w:rPr>
          <w:rFonts w:eastAsia="方正仿宋_GBK" w:cs="宋体" w:hint="eastAsia"/>
          <w:kern w:val="0"/>
          <w:szCs w:val="32"/>
        </w:rPr>
        <w:t>绩效开展了</w:t>
      </w:r>
      <w:r>
        <w:rPr>
          <w:rFonts w:eastAsia="方正仿宋_GBK" w:cs="宋体" w:hint="eastAsia"/>
          <w:kern w:val="0"/>
          <w:szCs w:val="32"/>
        </w:rPr>
        <w:lastRenderedPageBreak/>
        <w:t>自评，从评价情况来看，实施的项目均已实现年初目标，完成较好。</w:t>
      </w:r>
    </w:p>
    <w:p w:rsidR="00F7411E" w:rsidRDefault="00E63918">
      <w:pPr>
        <w:tabs>
          <w:tab w:val="center" w:pos="4153"/>
          <w:tab w:val="left" w:pos="7275"/>
        </w:tabs>
        <w:spacing w:line="600" w:lineRule="exact"/>
        <w:ind w:firstLineChars="250" w:firstLine="750"/>
        <w:rPr>
          <w:rFonts w:eastAsia="方正楷体_GBK"/>
          <w:color w:val="333333"/>
          <w:sz w:val="30"/>
          <w:szCs w:val="30"/>
        </w:rPr>
      </w:pPr>
      <w:r>
        <w:rPr>
          <w:rFonts w:eastAsia="方正楷体_GBK" w:hint="eastAsia"/>
          <w:color w:val="333333"/>
          <w:sz w:val="30"/>
          <w:szCs w:val="30"/>
        </w:rPr>
        <w:t>（二）绩效自评结果</w:t>
      </w:r>
    </w:p>
    <w:p w:rsidR="00F7411E" w:rsidRDefault="00E63918" w:rsidP="00E63918">
      <w:pPr>
        <w:tabs>
          <w:tab w:val="center" w:pos="4153"/>
          <w:tab w:val="left" w:pos="7275"/>
        </w:tabs>
        <w:spacing w:line="600" w:lineRule="exact"/>
        <w:ind w:firstLineChars="343" w:firstLine="1029"/>
        <w:rPr>
          <w:rFonts w:eastAsia="方正仿宋_GBK" w:cs="宋体"/>
          <w:b/>
          <w:kern w:val="0"/>
          <w:sz w:val="30"/>
          <w:szCs w:val="30"/>
        </w:rPr>
      </w:pPr>
      <w:r>
        <w:rPr>
          <w:rFonts w:eastAsia="方正仿宋_GBK" w:cs="宋体" w:hint="eastAsia"/>
          <w:b/>
          <w:kern w:val="0"/>
          <w:sz w:val="30"/>
          <w:szCs w:val="30"/>
        </w:rPr>
        <w:t>1</w:t>
      </w:r>
      <w:r>
        <w:rPr>
          <w:rFonts w:eastAsia="方正仿宋_GBK" w:cs="宋体"/>
          <w:b/>
          <w:kern w:val="0"/>
          <w:sz w:val="30"/>
          <w:szCs w:val="30"/>
        </w:rPr>
        <w:t>.</w:t>
      </w:r>
      <w:r>
        <w:rPr>
          <w:rFonts w:eastAsia="方正仿宋_GBK" w:cs="宋体" w:hint="eastAsia"/>
          <w:b/>
          <w:kern w:val="0"/>
          <w:sz w:val="30"/>
          <w:szCs w:val="30"/>
        </w:rPr>
        <w:t>绩效目标自评表</w:t>
      </w:r>
    </w:p>
    <w:p w:rsidR="00F7411E" w:rsidRDefault="00E63918">
      <w:pPr>
        <w:pStyle w:val="a8"/>
        <w:tabs>
          <w:tab w:val="center" w:pos="4153"/>
          <w:tab w:val="left" w:pos="7275"/>
        </w:tabs>
        <w:spacing w:line="600" w:lineRule="exact"/>
        <w:ind w:firstLineChars="0" w:firstLine="0"/>
        <w:jc w:val="center"/>
        <w:rPr>
          <w:rFonts w:eastAsia="方正仿宋_GBK" w:cs="宋体"/>
          <w:kern w:val="0"/>
          <w:szCs w:val="32"/>
        </w:rPr>
      </w:pPr>
      <w:r>
        <w:rPr>
          <w:rFonts w:eastAsia="方正小标宋_GBK" w:cs="宋体" w:hint="eastAsia"/>
          <w:color w:val="000000"/>
          <w:kern w:val="0"/>
          <w:sz w:val="36"/>
          <w:szCs w:val="36"/>
        </w:rPr>
        <w:t>部门整体绩效自评表</w:t>
      </w:r>
    </w:p>
    <w:tbl>
      <w:tblPr>
        <w:tblW w:w="10673" w:type="dxa"/>
        <w:tblInd w:w="-743" w:type="dxa"/>
        <w:tblLayout w:type="fixed"/>
        <w:tblLook w:val="04A0"/>
      </w:tblPr>
      <w:tblGrid>
        <w:gridCol w:w="851"/>
        <w:gridCol w:w="1276"/>
        <w:gridCol w:w="330"/>
        <w:gridCol w:w="256"/>
        <w:gridCol w:w="265"/>
        <w:gridCol w:w="1134"/>
        <w:gridCol w:w="661"/>
        <w:gridCol w:w="19"/>
        <w:gridCol w:w="37"/>
        <w:gridCol w:w="653"/>
        <w:gridCol w:w="19"/>
        <w:gridCol w:w="11"/>
        <w:gridCol w:w="458"/>
        <w:gridCol w:w="504"/>
        <w:gridCol w:w="19"/>
        <w:gridCol w:w="973"/>
        <w:gridCol w:w="19"/>
        <w:gridCol w:w="907"/>
        <w:gridCol w:w="492"/>
        <w:gridCol w:w="19"/>
        <w:gridCol w:w="548"/>
        <w:gridCol w:w="283"/>
        <w:gridCol w:w="19"/>
        <w:gridCol w:w="901"/>
        <w:gridCol w:w="19"/>
      </w:tblGrid>
      <w:tr w:rsidR="00F7411E">
        <w:trPr>
          <w:gridAfter w:val="1"/>
          <w:wAfter w:w="19" w:type="dxa"/>
          <w:trHeight w:val="575"/>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主管</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部门</w:t>
            </w:r>
          </w:p>
        </w:tc>
        <w:tc>
          <w:tcPr>
            <w:tcW w:w="1862" w:type="dxa"/>
            <w:gridSpan w:val="3"/>
            <w:vMerge w:val="restart"/>
            <w:tcBorders>
              <w:top w:val="single" w:sz="4" w:space="0" w:color="auto"/>
              <w:left w:val="single" w:sz="4" w:space="0" w:color="auto"/>
              <w:bottom w:val="single" w:sz="4" w:space="0" w:color="000000"/>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县卫生健康委</w:t>
            </w:r>
          </w:p>
        </w:tc>
        <w:tc>
          <w:tcPr>
            <w:tcW w:w="1399" w:type="dxa"/>
            <w:gridSpan w:val="2"/>
            <w:vMerge w:val="restart"/>
            <w:tcBorders>
              <w:top w:val="single" w:sz="4" w:space="0" w:color="auto"/>
              <w:left w:val="single" w:sz="4" w:space="0" w:color="auto"/>
              <w:bottom w:val="single" w:sz="4" w:space="0" w:color="000000"/>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财政处室</w:t>
            </w:r>
          </w:p>
        </w:tc>
        <w:tc>
          <w:tcPr>
            <w:tcW w:w="717" w:type="dxa"/>
            <w:gridSpan w:val="3"/>
            <w:vMerge w:val="restart"/>
            <w:tcBorders>
              <w:top w:val="single" w:sz="4" w:space="0" w:color="auto"/>
              <w:left w:val="single" w:sz="4" w:space="0" w:color="auto"/>
              <w:bottom w:val="single" w:sz="4" w:space="0" w:color="000000"/>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行社科</w:t>
            </w:r>
          </w:p>
        </w:tc>
        <w:tc>
          <w:tcPr>
            <w:tcW w:w="1141" w:type="dxa"/>
            <w:gridSpan w:val="4"/>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自评总分（分）</w:t>
            </w:r>
          </w:p>
        </w:tc>
        <w:tc>
          <w:tcPr>
            <w:tcW w:w="4684" w:type="dxa"/>
            <w:gridSpan w:val="11"/>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w:t>
            </w:r>
            <w:r>
              <w:rPr>
                <w:rFonts w:asciiTheme="minorEastAsia" w:hAnsiTheme="minorEastAsia" w:cs="宋体" w:hint="eastAsia"/>
                <w:color w:val="000000"/>
                <w:kern w:val="0"/>
                <w:sz w:val="24"/>
                <w:szCs w:val="24"/>
              </w:rPr>
              <w:t>5</w:t>
            </w:r>
          </w:p>
        </w:tc>
      </w:tr>
      <w:tr w:rsidR="00F7411E">
        <w:trPr>
          <w:gridAfter w:val="1"/>
          <w:wAfter w:w="19" w:type="dxa"/>
          <w:trHeight w:val="575"/>
        </w:trPr>
        <w:tc>
          <w:tcPr>
            <w:tcW w:w="851" w:type="dxa"/>
            <w:vMerge/>
            <w:tcBorders>
              <w:top w:val="single" w:sz="4" w:space="0" w:color="auto"/>
              <w:left w:val="single" w:sz="4" w:space="0" w:color="auto"/>
              <w:bottom w:val="single" w:sz="4" w:space="0" w:color="000000"/>
              <w:right w:val="single" w:sz="4" w:space="0" w:color="auto"/>
            </w:tcBorders>
            <w:vAlign w:val="center"/>
          </w:tcPr>
          <w:p w:rsidR="00F7411E" w:rsidRDefault="00F7411E">
            <w:pPr>
              <w:widowControl/>
              <w:spacing w:line="300" w:lineRule="exact"/>
              <w:jc w:val="center"/>
              <w:rPr>
                <w:rFonts w:asciiTheme="minorEastAsia" w:hAnsiTheme="minorEastAsia" w:cs="宋体"/>
                <w:color w:val="000000"/>
                <w:kern w:val="0"/>
                <w:sz w:val="24"/>
                <w:szCs w:val="24"/>
              </w:rPr>
            </w:pPr>
          </w:p>
        </w:tc>
        <w:tc>
          <w:tcPr>
            <w:tcW w:w="1862" w:type="dxa"/>
            <w:gridSpan w:val="3"/>
            <w:vMerge/>
            <w:tcBorders>
              <w:top w:val="single" w:sz="4" w:space="0" w:color="auto"/>
              <w:left w:val="single" w:sz="4" w:space="0" w:color="auto"/>
              <w:bottom w:val="single" w:sz="4" w:space="0" w:color="000000"/>
              <w:right w:val="single" w:sz="4" w:space="0" w:color="000000"/>
            </w:tcBorders>
            <w:vAlign w:val="center"/>
          </w:tcPr>
          <w:p w:rsidR="00F7411E" w:rsidRDefault="00F7411E">
            <w:pPr>
              <w:widowControl/>
              <w:spacing w:line="300" w:lineRule="exact"/>
              <w:jc w:val="center"/>
              <w:rPr>
                <w:rFonts w:asciiTheme="minorEastAsia" w:hAnsiTheme="minorEastAsia" w:cs="宋体"/>
                <w:color w:val="000000"/>
                <w:kern w:val="0"/>
                <w:sz w:val="24"/>
                <w:szCs w:val="24"/>
              </w:rPr>
            </w:pPr>
          </w:p>
        </w:tc>
        <w:tc>
          <w:tcPr>
            <w:tcW w:w="1399" w:type="dxa"/>
            <w:gridSpan w:val="2"/>
            <w:vMerge/>
            <w:tcBorders>
              <w:top w:val="single" w:sz="4" w:space="0" w:color="auto"/>
              <w:left w:val="single" w:sz="4" w:space="0" w:color="auto"/>
              <w:bottom w:val="single" w:sz="4" w:space="0" w:color="000000"/>
              <w:right w:val="single" w:sz="4" w:space="0" w:color="auto"/>
            </w:tcBorders>
            <w:vAlign w:val="center"/>
          </w:tcPr>
          <w:p w:rsidR="00F7411E" w:rsidRDefault="00F7411E">
            <w:pPr>
              <w:widowControl/>
              <w:spacing w:line="300" w:lineRule="exact"/>
              <w:jc w:val="center"/>
              <w:rPr>
                <w:rFonts w:asciiTheme="minorEastAsia" w:hAnsiTheme="minorEastAsia" w:cs="宋体"/>
                <w:color w:val="000000"/>
                <w:kern w:val="0"/>
                <w:sz w:val="24"/>
                <w:szCs w:val="24"/>
              </w:rPr>
            </w:pPr>
          </w:p>
        </w:tc>
        <w:tc>
          <w:tcPr>
            <w:tcW w:w="717" w:type="dxa"/>
            <w:gridSpan w:val="3"/>
            <w:vMerge/>
            <w:tcBorders>
              <w:top w:val="single" w:sz="4" w:space="0" w:color="auto"/>
              <w:left w:val="single" w:sz="4" w:space="0" w:color="auto"/>
              <w:bottom w:val="single" w:sz="4" w:space="0" w:color="000000"/>
              <w:right w:val="single" w:sz="4" w:space="0" w:color="000000"/>
            </w:tcBorders>
            <w:vAlign w:val="center"/>
          </w:tcPr>
          <w:p w:rsidR="00F7411E" w:rsidRDefault="00F7411E">
            <w:pPr>
              <w:widowControl/>
              <w:spacing w:line="300" w:lineRule="exact"/>
              <w:jc w:val="center"/>
              <w:rPr>
                <w:rFonts w:asciiTheme="minorEastAsia" w:hAnsiTheme="minorEastAsia" w:cs="宋体"/>
                <w:color w:val="000000"/>
                <w:kern w:val="0"/>
                <w:sz w:val="24"/>
                <w:szCs w:val="24"/>
              </w:rPr>
            </w:pPr>
          </w:p>
        </w:tc>
        <w:tc>
          <w:tcPr>
            <w:tcW w:w="1141" w:type="dxa"/>
            <w:gridSpan w:val="4"/>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部门</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联系人</w:t>
            </w:r>
          </w:p>
        </w:tc>
        <w:tc>
          <w:tcPr>
            <w:tcW w:w="1496" w:type="dxa"/>
            <w:gridSpan w:val="3"/>
            <w:tcBorders>
              <w:top w:val="nil"/>
              <w:left w:val="nil"/>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王守均</w:t>
            </w:r>
          </w:p>
        </w:tc>
        <w:tc>
          <w:tcPr>
            <w:tcW w:w="926" w:type="dxa"/>
            <w:gridSpan w:val="2"/>
            <w:tcBorders>
              <w:top w:val="nil"/>
              <w:left w:val="nil"/>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联系电话</w:t>
            </w:r>
          </w:p>
        </w:tc>
        <w:tc>
          <w:tcPr>
            <w:tcW w:w="2262" w:type="dxa"/>
            <w:gridSpan w:val="6"/>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17783215512</w:t>
            </w:r>
          </w:p>
        </w:tc>
      </w:tr>
      <w:tr w:rsidR="00F7411E">
        <w:trPr>
          <w:gridAfter w:val="1"/>
          <w:wAfter w:w="19" w:type="dxa"/>
          <w:trHeight w:val="575"/>
        </w:trPr>
        <w:tc>
          <w:tcPr>
            <w:tcW w:w="851" w:type="dxa"/>
            <w:vMerge w:val="restart"/>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部门预算执行情况</w:t>
            </w:r>
          </w:p>
        </w:tc>
        <w:tc>
          <w:tcPr>
            <w:tcW w:w="1606" w:type="dxa"/>
            <w:gridSpan w:val="2"/>
            <w:vMerge w:val="restart"/>
            <w:tcBorders>
              <w:top w:val="nil"/>
              <w:left w:val="nil"/>
              <w:right w:val="nil"/>
            </w:tcBorders>
            <w:vAlign w:val="center"/>
          </w:tcPr>
          <w:p w:rsidR="00F7411E" w:rsidRDefault="00E63918">
            <w:pPr>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预算</w:t>
            </w:r>
          </w:p>
          <w:p w:rsidR="00F7411E" w:rsidRDefault="00E63918">
            <w:pPr>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资金</w:t>
            </w:r>
          </w:p>
          <w:p w:rsidR="00F7411E" w:rsidRDefault="00E63918">
            <w:pPr>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（万元）</w:t>
            </w:r>
          </w:p>
        </w:tc>
        <w:tc>
          <w:tcPr>
            <w:tcW w:w="1655" w:type="dxa"/>
            <w:gridSpan w:val="3"/>
            <w:tcBorders>
              <w:top w:val="single" w:sz="4" w:space="0" w:color="auto"/>
              <w:left w:val="single" w:sz="4" w:space="0" w:color="auto"/>
              <w:bottom w:val="single" w:sz="4" w:space="0" w:color="auto"/>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年初</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预算数</w:t>
            </w:r>
          </w:p>
        </w:tc>
        <w:tc>
          <w:tcPr>
            <w:tcW w:w="1400" w:type="dxa"/>
            <w:gridSpan w:val="6"/>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全年（调整）</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预算数</w:t>
            </w:r>
          </w:p>
        </w:tc>
        <w:tc>
          <w:tcPr>
            <w:tcW w:w="1954" w:type="dxa"/>
            <w:gridSpan w:val="4"/>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全年执行数</w:t>
            </w:r>
          </w:p>
        </w:tc>
        <w:tc>
          <w:tcPr>
            <w:tcW w:w="926"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执行率</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p>
        </w:tc>
        <w:tc>
          <w:tcPr>
            <w:tcW w:w="1059" w:type="dxa"/>
            <w:gridSpan w:val="3"/>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执行率</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权重</w:t>
            </w:r>
          </w:p>
        </w:tc>
        <w:tc>
          <w:tcPr>
            <w:tcW w:w="1203" w:type="dxa"/>
            <w:gridSpan w:val="3"/>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执行率</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得分</w:t>
            </w:r>
          </w:p>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w:t>
            </w:r>
          </w:p>
        </w:tc>
      </w:tr>
      <w:tr w:rsidR="00F7411E">
        <w:trPr>
          <w:gridAfter w:val="1"/>
          <w:wAfter w:w="19" w:type="dxa"/>
          <w:trHeight w:val="575"/>
        </w:trPr>
        <w:tc>
          <w:tcPr>
            <w:tcW w:w="851"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heme="minorEastAsia" w:hAnsiTheme="minorEastAsia" w:cs="宋体"/>
                <w:color w:val="000000"/>
                <w:kern w:val="0"/>
                <w:sz w:val="24"/>
                <w:szCs w:val="24"/>
              </w:rPr>
            </w:pPr>
          </w:p>
        </w:tc>
        <w:tc>
          <w:tcPr>
            <w:tcW w:w="1606" w:type="dxa"/>
            <w:gridSpan w:val="2"/>
            <w:vMerge/>
            <w:tcBorders>
              <w:left w:val="nil"/>
              <w:bottom w:val="single" w:sz="4" w:space="0" w:color="auto"/>
              <w:right w:val="nil"/>
            </w:tcBorders>
            <w:vAlign w:val="center"/>
          </w:tcPr>
          <w:p w:rsidR="00F7411E" w:rsidRDefault="00F7411E">
            <w:pPr>
              <w:widowControl/>
              <w:spacing w:line="300" w:lineRule="exact"/>
              <w:jc w:val="center"/>
              <w:rPr>
                <w:rFonts w:asciiTheme="minorEastAsia" w:hAnsiTheme="minorEastAsia" w:cs="宋体"/>
                <w:color w:val="000000"/>
                <w:kern w:val="0"/>
                <w:sz w:val="24"/>
                <w:szCs w:val="24"/>
              </w:rPr>
            </w:pPr>
          </w:p>
        </w:tc>
        <w:tc>
          <w:tcPr>
            <w:tcW w:w="1655" w:type="dxa"/>
            <w:gridSpan w:val="3"/>
            <w:tcBorders>
              <w:top w:val="single" w:sz="4" w:space="0" w:color="auto"/>
              <w:left w:val="single" w:sz="4" w:space="0" w:color="auto"/>
              <w:bottom w:val="single" w:sz="4" w:space="0" w:color="auto"/>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31.87</w:t>
            </w:r>
          </w:p>
        </w:tc>
        <w:tc>
          <w:tcPr>
            <w:tcW w:w="1400" w:type="dxa"/>
            <w:gridSpan w:val="6"/>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505.7</w:t>
            </w:r>
          </w:p>
        </w:tc>
        <w:tc>
          <w:tcPr>
            <w:tcW w:w="1954" w:type="dxa"/>
            <w:gridSpan w:val="4"/>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505.7</w:t>
            </w:r>
          </w:p>
        </w:tc>
        <w:tc>
          <w:tcPr>
            <w:tcW w:w="926" w:type="dxa"/>
            <w:gridSpan w:val="2"/>
            <w:tcBorders>
              <w:top w:val="nil"/>
              <w:left w:val="nil"/>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100</w:t>
            </w:r>
          </w:p>
        </w:tc>
        <w:tc>
          <w:tcPr>
            <w:tcW w:w="1059" w:type="dxa"/>
            <w:gridSpan w:val="3"/>
            <w:tcBorders>
              <w:top w:val="nil"/>
              <w:left w:val="nil"/>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80</w:t>
            </w:r>
          </w:p>
        </w:tc>
        <w:tc>
          <w:tcPr>
            <w:tcW w:w="1203" w:type="dxa"/>
            <w:gridSpan w:val="3"/>
            <w:tcBorders>
              <w:top w:val="nil"/>
              <w:left w:val="nil"/>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100</w:t>
            </w:r>
          </w:p>
        </w:tc>
      </w:tr>
      <w:tr w:rsidR="00F7411E">
        <w:trPr>
          <w:gridAfter w:val="1"/>
          <w:wAfter w:w="19" w:type="dxa"/>
          <w:trHeight w:val="575"/>
        </w:trPr>
        <w:tc>
          <w:tcPr>
            <w:tcW w:w="851" w:type="dxa"/>
            <w:vMerge w:val="restart"/>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当年绩效目标</w:t>
            </w:r>
          </w:p>
        </w:tc>
        <w:tc>
          <w:tcPr>
            <w:tcW w:w="3261" w:type="dxa"/>
            <w:gridSpan w:val="5"/>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年初绩效目标</w:t>
            </w:r>
          </w:p>
        </w:tc>
        <w:tc>
          <w:tcPr>
            <w:tcW w:w="3354" w:type="dxa"/>
            <w:gridSpan w:val="10"/>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全年（调整）绩效目标</w:t>
            </w:r>
          </w:p>
        </w:tc>
        <w:tc>
          <w:tcPr>
            <w:tcW w:w="3188" w:type="dxa"/>
            <w:gridSpan w:val="8"/>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全年目标实际完成情况</w:t>
            </w:r>
          </w:p>
        </w:tc>
      </w:tr>
      <w:tr w:rsidR="00F7411E">
        <w:trPr>
          <w:gridAfter w:val="1"/>
          <w:wAfter w:w="19" w:type="dxa"/>
          <w:trHeight w:val="1039"/>
        </w:trPr>
        <w:tc>
          <w:tcPr>
            <w:tcW w:w="851"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heme="minorEastAsia" w:hAnsiTheme="minorEastAsia" w:cs="宋体"/>
                <w:color w:val="000000"/>
                <w:kern w:val="0"/>
                <w:sz w:val="24"/>
                <w:szCs w:val="24"/>
              </w:rPr>
            </w:pPr>
          </w:p>
        </w:tc>
        <w:tc>
          <w:tcPr>
            <w:tcW w:w="3261" w:type="dxa"/>
            <w:gridSpan w:val="5"/>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完成主管部门及上级各部门下达的各项指标任务。</w:t>
            </w:r>
          </w:p>
        </w:tc>
        <w:tc>
          <w:tcPr>
            <w:tcW w:w="3354" w:type="dxa"/>
            <w:gridSpan w:val="10"/>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完成主管部门及上级各部门下达的各项指标任务。</w:t>
            </w:r>
          </w:p>
        </w:tc>
        <w:tc>
          <w:tcPr>
            <w:tcW w:w="3188" w:type="dxa"/>
            <w:gridSpan w:val="8"/>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已完成主管部门及上级各部门下达的各项指标任务。</w:t>
            </w:r>
          </w:p>
        </w:tc>
      </w:tr>
      <w:tr w:rsidR="00F7411E">
        <w:trPr>
          <w:gridAfter w:val="1"/>
          <w:wAfter w:w="19" w:type="dxa"/>
          <w:trHeight w:val="983"/>
        </w:trPr>
        <w:tc>
          <w:tcPr>
            <w:tcW w:w="851" w:type="dxa"/>
            <w:vMerge w:val="restart"/>
            <w:tcBorders>
              <w:top w:val="nil"/>
              <w:left w:val="single" w:sz="4" w:space="0" w:color="auto"/>
              <w:right w:val="single" w:sz="4" w:space="0" w:color="auto"/>
            </w:tcBorders>
            <w:textDirection w:val="tbRlV"/>
            <w:vAlign w:val="center"/>
          </w:tcPr>
          <w:p w:rsidR="00F7411E" w:rsidRDefault="00E63918">
            <w:pPr>
              <w:widowControl/>
              <w:spacing w:line="300" w:lineRule="exac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绩效指标</w:t>
            </w:r>
          </w:p>
        </w:tc>
        <w:tc>
          <w:tcPr>
            <w:tcW w:w="1276" w:type="dxa"/>
            <w:tcBorders>
              <w:top w:val="nil"/>
              <w:left w:val="nil"/>
              <w:bottom w:val="single" w:sz="4" w:space="0" w:color="auto"/>
              <w:right w:val="nil"/>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名称</w:t>
            </w:r>
          </w:p>
        </w:tc>
        <w:tc>
          <w:tcPr>
            <w:tcW w:w="851" w:type="dxa"/>
            <w:gridSpan w:val="3"/>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661"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年初</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值</w:t>
            </w:r>
          </w:p>
        </w:tc>
        <w:tc>
          <w:tcPr>
            <w:tcW w:w="709" w:type="dxa"/>
            <w:gridSpan w:val="3"/>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计量</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单位</w:t>
            </w:r>
          </w:p>
        </w:tc>
        <w:tc>
          <w:tcPr>
            <w:tcW w:w="992" w:type="dxa"/>
            <w:gridSpan w:val="4"/>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性质</w:t>
            </w:r>
          </w:p>
        </w:tc>
        <w:tc>
          <w:tcPr>
            <w:tcW w:w="992"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得分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系数</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p>
        </w:tc>
        <w:tc>
          <w:tcPr>
            <w:tcW w:w="1418" w:type="dxa"/>
            <w:gridSpan w:val="3"/>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指标权重</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c>
          <w:tcPr>
            <w:tcW w:w="850" w:type="dxa"/>
            <w:gridSpan w:val="3"/>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得分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c>
          <w:tcPr>
            <w:tcW w:w="920"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是否核心</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tc>
      </w:tr>
      <w:tr w:rsidR="00F7411E">
        <w:trPr>
          <w:gridAfter w:val="1"/>
          <w:wAfter w:w="19" w:type="dxa"/>
          <w:trHeight w:val="500"/>
        </w:trPr>
        <w:tc>
          <w:tcPr>
            <w:tcW w:w="851" w:type="dxa"/>
            <w:vMerge/>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single" w:sz="4" w:space="0" w:color="auto"/>
              <w:right w:val="nil"/>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宋体" w:eastAsia="宋体" w:hAnsi="宋体" w:cs="宋体" w:hint="eastAsia"/>
                <w:color w:val="000000"/>
                <w:kern w:val="0"/>
                <w:sz w:val="24"/>
                <w:szCs w:val="24"/>
              </w:rPr>
              <w:t>基本医疗服务考核情况</w:t>
            </w:r>
          </w:p>
        </w:tc>
        <w:tc>
          <w:tcPr>
            <w:tcW w:w="851"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良</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中</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差</w:t>
            </w:r>
          </w:p>
        </w:tc>
        <w:tc>
          <w:tcPr>
            <w:tcW w:w="1134" w:type="dxa"/>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定性指标</w:t>
            </w:r>
          </w:p>
        </w:tc>
        <w:tc>
          <w:tcPr>
            <w:tcW w:w="661" w:type="dxa"/>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良</w:t>
            </w:r>
          </w:p>
        </w:tc>
        <w:tc>
          <w:tcPr>
            <w:tcW w:w="709"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良</w:t>
            </w:r>
          </w:p>
        </w:tc>
        <w:tc>
          <w:tcPr>
            <w:tcW w:w="992" w:type="dxa"/>
            <w:gridSpan w:val="4"/>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良</w:t>
            </w:r>
          </w:p>
        </w:tc>
        <w:tc>
          <w:tcPr>
            <w:tcW w:w="992" w:type="dxa"/>
            <w:gridSpan w:val="2"/>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90</w:t>
            </w:r>
          </w:p>
        </w:tc>
        <w:tc>
          <w:tcPr>
            <w:tcW w:w="1418"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850"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920" w:type="dxa"/>
            <w:gridSpan w:val="2"/>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F7411E">
        <w:trPr>
          <w:trHeight w:val="500"/>
        </w:trPr>
        <w:tc>
          <w:tcPr>
            <w:tcW w:w="851" w:type="dxa"/>
            <w:vMerge/>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single" w:sz="4" w:space="0" w:color="auto"/>
              <w:right w:val="nil"/>
            </w:tcBorders>
            <w:vAlign w:val="center"/>
          </w:tcPr>
          <w:p w:rsidR="00F7411E" w:rsidRDefault="00E63918">
            <w:pPr>
              <w:widowControl/>
              <w:jc w:val="center"/>
              <w:textAlignment w:val="center"/>
              <w:rPr>
                <w:rFonts w:ascii="Times New Roman" w:eastAsia="方正仿宋_GBK" w:hAnsi="Times New Roman" w:cs="宋体"/>
                <w:color w:val="000000"/>
                <w:kern w:val="0"/>
                <w:sz w:val="24"/>
                <w:szCs w:val="24"/>
              </w:rPr>
            </w:pPr>
            <w:r>
              <w:rPr>
                <w:rFonts w:ascii="宋体" w:eastAsia="宋体" w:hAnsi="宋体" w:cs="宋体" w:hint="eastAsia"/>
                <w:color w:val="000000"/>
                <w:kern w:val="0"/>
                <w:sz w:val="24"/>
                <w:szCs w:val="24"/>
              </w:rPr>
              <w:t>国家基本公共卫生服务项目实施率</w:t>
            </w:r>
          </w:p>
        </w:tc>
        <w:tc>
          <w:tcPr>
            <w:tcW w:w="851"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134" w:type="dxa"/>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定量指标</w:t>
            </w:r>
          </w:p>
        </w:tc>
        <w:tc>
          <w:tcPr>
            <w:tcW w:w="680" w:type="dxa"/>
            <w:gridSpan w:val="2"/>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9"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4"/>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2"/>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418"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850"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920" w:type="dxa"/>
            <w:gridSpan w:val="2"/>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F7411E">
        <w:trPr>
          <w:gridAfter w:val="1"/>
          <w:wAfter w:w="19" w:type="dxa"/>
          <w:trHeight w:val="500"/>
        </w:trPr>
        <w:tc>
          <w:tcPr>
            <w:tcW w:w="851" w:type="dxa"/>
            <w:vMerge/>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single" w:sz="4" w:space="0" w:color="auto"/>
              <w:right w:val="nil"/>
            </w:tcBorders>
            <w:vAlign w:val="center"/>
          </w:tcPr>
          <w:p w:rsidR="00F7411E" w:rsidRDefault="00E63918">
            <w:pPr>
              <w:widowControl/>
              <w:jc w:val="center"/>
              <w:textAlignment w:val="center"/>
              <w:rPr>
                <w:rFonts w:ascii="Times New Roman" w:eastAsia="方正仿宋_GBK" w:hAnsi="Times New Roman" w:cs="宋体"/>
                <w:color w:val="000000"/>
                <w:kern w:val="0"/>
                <w:sz w:val="24"/>
                <w:szCs w:val="24"/>
              </w:rPr>
            </w:pPr>
            <w:r>
              <w:rPr>
                <w:rFonts w:ascii="宋体" w:eastAsia="宋体" w:hAnsi="宋体" w:cs="宋体" w:hint="eastAsia"/>
                <w:color w:val="000000"/>
                <w:kern w:val="0"/>
                <w:sz w:val="24"/>
                <w:szCs w:val="24"/>
              </w:rPr>
              <w:t>主管部门考核达标率</w:t>
            </w:r>
          </w:p>
        </w:tc>
        <w:tc>
          <w:tcPr>
            <w:tcW w:w="851"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好</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较</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一般</w:t>
            </w:r>
          </w:p>
        </w:tc>
        <w:tc>
          <w:tcPr>
            <w:tcW w:w="1134" w:type="dxa"/>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定性指标</w:t>
            </w:r>
          </w:p>
        </w:tc>
        <w:tc>
          <w:tcPr>
            <w:tcW w:w="661" w:type="dxa"/>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好</w:t>
            </w:r>
          </w:p>
        </w:tc>
        <w:tc>
          <w:tcPr>
            <w:tcW w:w="709"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好</w:t>
            </w:r>
          </w:p>
        </w:tc>
        <w:tc>
          <w:tcPr>
            <w:tcW w:w="992" w:type="dxa"/>
            <w:gridSpan w:val="4"/>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较好</w:t>
            </w:r>
          </w:p>
        </w:tc>
        <w:tc>
          <w:tcPr>
            <w:tcW w:w="992" w:type="dxa"/>
            <w:gridSpan w:val="2"/>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80</w:t>
            </w:r>
          </w:p>
        </w:tc>
        <w:tc>
          <w:tcPr>
            <w:tcW w:w="1418"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850" w:type="dxa"/>
            <w:gridSpan w:val="3"/>
            <w:tcBorders>
              <w:top w:val="nil"/>
              <w:left w:val="single" w:sz="4" w:space="0" w:color="auto"/>
              <w:bottom w:val="single" w:sz="4" w:space="0" w:color="auto"/>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920" w:type="dxa"/>
            <w:gridSpan w:val="2"/>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F7411E">
        <w:trPr>
          <w:gridAfter w:val="1"/>
          <w:wAfter w:w="19" w:type="dxa"/>
          <w:trHeight w:val="500"/>
        </w:trPr>
        <w:tc>
          <w:tcPr>
            <w:tcW w:w="851" w:type="dxa"/>
            <w:vMerge/>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nil"/>
              <w:right w:val="nil"/>
            </w:tcBorders>
            <w:vAlign w:val="center"/>
          </w:tcPr>
          <w:p w:rsidR="00F7411E" w:rsidRDefault="00E63918">
            <w:pPr>
              <w:widowControl/>
              <w:jc w:val="center"/>
              <w:textAlignment w:val="center"/>
              <w:rPr>
                <w:rFonts w:ascii="Times New Roman" w:eastAsia="方正仿宋_GBK" w:hAnsi="Times New Roman" w:cs="宋体"/>
                <w:color w:val="000000"/>
                <w:kern w:val="0"/>
                <w:sz w:val="24"/>
                <w:szCs w:val="24"/>
              </w:rPr>
            </w:pPr>
            <w:r>
              <w:rPr>
                <w:rFonts w:ascii="宋体" w:eastAsia="宋体" w:hAnsi="宋体" w:cs="宋体" w:hint="eastAsia"/>
                <w:color w:val="000000"/>
                <w:kern w:val="0"/>
                <w:sz w:val="24"/>
                <w:szCs w:val="24"/>
              </w:rPr>
              <w:t>基本药物制度执行率</w:t>
            </w:r>
          </w:p>
        </w:tc>
        <w:tc>
          <w:tcPr>
            <w:tcW w:w="851"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134"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定量指标</w:t>
            </w:r>
          </w:p>
        </w:tc>
        <w:tc>
          <w:tcPr>
            <w:tcW w:w="661"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709"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992" w:type="dxa"/>
            <w:gridSpan w:val="4"/>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992" w:type="dxa"/>
            <w:gridSpan w:val="2"/>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418"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850"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0</w:t>
            </w:r>
          </w:p>
        </w:tc>
        <w:tc>
          <w:tcPr>
            <w:tcW w:w="920" w:type="dxa"/>
            <w:gridSpan w:val="2"/>
            <w:tcBorders>
              <w:top w:val="nil"/>
              <w:left w:val="single" w:sz="4" w:space="0" w:color="auto"/>
              <w:bottom w:val="nil"/>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F7411E">
        <w:trPr>
          <w:gridAfter w:val="1"/>
          <w:wAfter w:w="19" w:type="dxa"/>
          <w:trHeight w:val="500"/>
        </w:trPr>
        <w:tc>
          <w:tcPr>
            <w:tcW w:w="851" w:type="dxa"/>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nil"/>
              <w:right w:val="nil"/>
            </w:tcBorders>
            <w:vAlign w:val="center"/>
          </w:tcPr>
          <w:p w:rsidR="00F7411E" w:rsidRDefault="00E63918">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党建工作完成率</w:t>
            </w:r>
          </w:p>
        </w:tc>
        <w:tc>
          <w:tcPr>
            <w:tcW w:w="851"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134"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定量指标</w:t>
            </w:r>
          </w:p>
        </w:tc>
        <w:tc>
          <w:tcPr>
            <w:tcW w:w="661"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9"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4"/>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2"/>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418"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850"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920" w:type="dxa"/>
            <w:gridSpan w:val="2"/>
            <w:tcBorders>
              <w:top w:val="nil"/>
              <w:left w:val="single" w:sz="4" w:space="0" w:color="auto"/>
              <w:bottom w:val="nil"/>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r w:rsidR="00F7411E">
        <w:trPr>
          <w:gridAfter w:val="1"/>
          <w:wAfter w:w="19" w:type="dxa"/>
          <w:trHeight w:val="1635"/>
        </w:trPr>
        <w:tc>
          <w:tcPr>
            <w:tcW w:w="851" w:type="dxa"/>
            <w:tcBorders>
              <w:left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6" w:type="dxa"/>
            <w:tcBorders>
              <w:top w:val="nil"/>
              <w:left w:val="nil"/>
              <w:bottom w:val="nil"/>
              <w:right w:val="nil"/>
            </w:tcBorders>
            <w:vAlign w:val="center"/>
          </w:tcPr>
          <w:p w:rsidR="00F7411E" w:rsidRDefault="00E63918">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医院安全生产达标率</w:t>
            </w:r>
          </w:p>
        </w:tc>
        <w:tc>
          <w:tcPr>
            <w:tcW w:w="851"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134"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定量指标</w:t>
            </w:r>
          </w:p>
        </w:tc>
        <w:tc>
          <w:tcPr>
            <w:tcW w:w="661" w:type="dxa"/>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709"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4"/>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992" w:type="dxa"/>
            <w:gridSpan w:val="2"/>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418"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850" w:type="dxa"/>
            <w:gridSpan w:val="3"/>
            <w:tcBorders>
              <w:top w:val="nil"/>
              <w:left w:val="single" w:sz="4" w:space="0" w:color="auto"/>
              <w:bottom w:val="nil"/>
              <w:right w:val="nil"/>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920" w:type="dxa"/>
            <w:gridSpan w:val="2"/>
            <w:tcBorders>
              <w:top w:val="nil"/>
              <w:left w:val="single" w:sz="4" w:space="0" w:color="auto"/>
              <w:bottom w:val="nil"/>
              <w:right w:val="single" w:sz="4" w:space="0" w:color="auto"/>
            </w:tcBorders>
            <w:vAlign w:val="center"/>
          </w:tcPr>
          <w:p w:rsidR="00F7411E" w:rsidRDefault="00E63918">
            <w:pPr>
              <w:widowControl/>
              <w:spacing w:line="3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bl>
    <w:p w:rsidR="00F7411E" w:rsidRDefault="00F7411E">
      <w:pPr>
        <w:pStyle w:val="a8"/>
        <w:tabs>
          <w:tab w:val="center" w:pos="4153"/>
          <w:tab w:val="left" w:pos="7275"/>
        </w:tabs>
        <w:spacing w:line="600" w:lineRule="exact"/>
        <w:ind w:firstLineChars="0" w:firstLine="0"/>
        <w:rPr>
          <w:rFonts w:eastAsia="方正仿宋_GBK" w:cs="宋体"/>
          <w:kern w:val="0"/>
          <w:szCs w:val="32"/>
        </w:rPr>
      </w:pPr>
    </w:p>
    <w:tbl>
      <w:tblPr>
        <w:tblW w:w="10632" w:type="dxa"/>
        <w:tblInd w:w="-743" w:type="dxa"/>
        <w:tblLook w:val="04A0"/>
      </w:tblPr>
      <w:tblGrid>
        <w:gridCol w:w="851"/>
        <w:gridCol w:w="9781"/>
      </w:tblGrid>
      <w:tr w:rsidR="00F7411E">
        <w:trPr>
          <w:trHeight w:val="589"/>
        </w:trPr>
        <w:tc>
          <w:tcPr>
            <w:tcW w:w="851" w:type="dxa"/>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说明</w:t>
            </w:r>
          </w:p>
        </w:tc>
        <w:tc>
          <w:tcPr>
            <w:tcW w:w="9781" w:type="dxa"/>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bl>
    <w:p w:rsidR="00F7411E" w:rsidRDefault="00E63918">
      <w:pPr>
        <w:pStyle w:val="a8"/>
        <w:tabs>
          <w:tab w:val="center" w:pos="4153"/>
          <w:tab w:val="left" w:pos="7275"/>
        </w:tabs>
        <w:spacing w:line="600" w:lineRule="exact"/>
        <w:ind w:firstLineChars="0" w:firstLine="0"/>
        <w:jc w:val="center"/>
        <w:rPr>
          <w:rFonts w:eastAsia="方正小标宋_GBK" w:cs="宋体"/>
          <w:color w:val="000000"/>
          <w:kern w:val="0"/>
          <w:sz w:val="36"/>
          <w:szCs w:val="36"/>
        </w:rPr>
      </w:pPr>
      <w:r>
        <w:rPr>
          <w:rFonts w:eastAsia="方正小标宋_GBK" w:cs="宋体" w:hint="eastAsia"/>
          <w:color w:val="000000"/>
          <w:kern w:val="0"/>
          <w:sz w:val="36"/>
          <w:szCs w:val="36"/>
        </w:rPr>
        <w:t>一级／二级项目绩效自评表</w:t>
      </w:r>
    </w:p>
    <w:tbl>
      <w:tblPr>
        <w:tblW w:w="10132" w:type="dxa"/>
        <w:jc w:val="center"/>
        <w:tblLayout w:type="fixed"/>
        <w:tblLook w:val="04A0"/>
      </w:tblPr>
      <w:tblGrid>
        <w:gridCol w:w="847"/>
        <w:gridCol w:w="756"/>
        <w:gridCol w:w="541"/>
        <w:gridCol w:w="167"/>
        <w:gridCol w:w="251"/>
        <w:gridCol w:w="458"/>
        <w:gridCol w:w="366"/>
        <w:gridCol w:w="342"/>
        <w:gridCol w:w="704"/>
        <w:gridCol w:w="1272"/>
        <w:gridCol w:w="990"/>
        <w:gridCol w:w="1365"/>
        <w:gridCol w:w="835"/>
        <w:gridCol w:w="1238"/>
      </w:tblGrid>
      <w:tr w:rsidR="00F7411E">
        <w:trPr>
          <w:trHeight w:val="469"/>
          <w:jc w:val="center"/>
        </w:trPr>
        <w:tc>
          <w:tcPr>
            <w:tcW w:w="847" w:type="dxa"/>
            <w:tcBorders>
              <w:top w:val="single" w:sz="4" w:space="0" w:color="auto"/>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项目</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名称</w:t>
            </w:r>
          </w:p>
        </w:tc>
        <w:tc>
          <w:tcPr>
            <w:tcW w:w="1715" w:type="dxa"/>
            <w:gridSpan w:val="4"/>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无</w:t>
            </w:r>
          </w:p>
        </w:tc>
        <w:tc>
          <w:tcPr>
            <w:tcW w:w="824" w:type="dxa"/>
            <w:gridSpan w:val="2"/>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项目</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编码</w:t>
            </w:r>
          </w:p>
        </w:tc>
        <w:tc>
          <w:tcPr>
            <w:tcW w:w="1046" w:type="dxa"/>
            <w:gridSpan w:val="2"/>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272" w:type="dxa"/>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自评</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总分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c>
          <w:tcPr>
            <w:tcW w:w="4428" w:type="dxa"/>
            <w:gridSpan w:val="4"/>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r w:rsidR="00F7411E">
        <w:trPr>
          <w:trHeight w:val="469"/>
          <w:jc w:val="center"/>
        </w:trPr>
        <w:tc>
          <w:tcPr>
            <w:tcW w:w="847" w:type="dxa"/>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主管</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部门</w:t>
            </w:r>
          </w:p>
        </w:tc>
        <w:tc>
          <w:tcPr>
            <w:tcW w:w="1715" w:type="dxa"/>
            <w:gridSpan w:val="4"/>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824"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财政</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处室</w:t>
            </w:r>
          </w:p>
        </w:tc>
        <w:tc>
          <w:tcPr>
            <w:tcW w:w="1046" w:type="dxa"/>
            <w:gridSpan w:val="2"/>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272"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项目</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联系人</w:t>
            </w:r>
          </w:p>
        </w:tc>
        <w:tc>
          <w:tcPr>
            <w:tcW w:w="990"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365"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联系电话</w:t>
            </w:r>
          </w:p>
        </w:tc>
        <w:tc>
          <w:tcPr>
            <w:tcW w:w="2073" w:type="dxa"/>
            <w:gridSpan w:val="2"/>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r w:rsidR="00F7411E">
        <w:trPr>
          <w:trHeight w:val="469"/>
          <w:jc w:val="center"/>
        </w:trPr>
        <w:tc>
          <w:tcPr>
            <w:tcW w:w="847" w:type="dxa"/>
            <w:vMerge w:val="restart"/>
            <w:tcBorders>
              <w:top w:val="nil"/>
              <w:left w:val="single" w:sz="4" w:space="0" w:color="auto"/>
              <w:bottom w:val="single" w:sz="4" w:space="0" w:color="auto"/>
              <w:right w:val="single" w:sz="4" w:space="0" w:color="auto"/>
            </w:tcBorders>
            <w:textDirection w:val="tbRlV"/>
            <w:vAlign w:val="center"/>
          </w:tcPr>
          <w:p w:rsidR="00F7411E" w:rsidRDefault="00E63918">
            <w:pPr>
              <w:widowControl/>
              <w:spacing w:line="300" w:lineRule="exact"/>
              <w:ind w:left="113" w:right="113"/>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项目资金（万元）</w:t>
            </w:r>
          </w:p>
        </w:tc>
        <w:tc>
          <w:tcPr>
            <w:tcW w:w="1297" w:type="dxa"/>
            <w:gridSpan w:val="2"/>
            <w:vMerge w:val="restart"/>
            <w:tcBorders>
              <w:top w:val="nil"/>
              <w:left w:val="nil"/>
              <w:right w:val="nil"/>
            </w:tcBorders>
            <w:vAlign w:val="center"/>
          </w:tcPr>
          <w:p w:rsidR="00F7411E" w:rsidRDefault="00E63918">
            <w:pPr>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年度</w:t>
            </w:r>
          </w:p>
          <w:p w:rsidR="00F7411E" w:rsidRDefault="00E63918">
            <w:pPr>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总金额</w:t>
            </w:r>
          </w:p>
        </w:tc>
        <w:tc>
          <w:tcPr>
            <w:tcW w:w="1242" w:type="dxa"/>
            <w:gridSpan w:val="4"/>
            <w:tcBorders>
              <w:top w:val="single" w:sz="4" w:space="0" w:color="auto"/>
              <w:left w:val="single" w:sz="4" w:space="0" w:color="auto"/>
              <w:bottom w:val="single" w:sz="4" w:space="0" w:color="auto"/>
              <w:right w:val="single" w:sz="4" w:space="0" w:color="000000"/>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年初</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预算数</w:t>
            </w:r>
          </w:p>
        </w:tc>
        <w:tc>
          <w:tcPr>
            <w:tcW w:w="1046" w:type="dxa"/>
            <w:gridSpan w:val="2"/>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全年</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（调整）预算数</w:t>
            </w:r>
          </w:p>
        </w:tc>
        <w:tc>
          <w:tcPr>
            <w:tcW w:w="2262" w:type="dxa"/>
            <w:gridSpan w:val="2"/>
            <w:tcBorders>
              <w:top w:val="single" w:sz="4" w:space="0" w:color="auto"/>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全年执行数</w:t>
            </w:r>
          </w:p>
        </w:tc>
        <w:tc>
          <w:tcPr>
            <w:tcW w:w="1365"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执行率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p>
        </w:tc>
        <w:tc>
          <w:tcPr>
            <w:tcW w:w="835"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执行率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权重</w:t>
            </w:r>
          </w:p>
        </w:tc>
        <w:tc>
          <w:tcPr>
            <w:tcW w:w="1238"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执行率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得分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r>
      <w:tr w:rsidR="00F7411E">
        <w:trPr>
          <w:trHeight w:val="469"/>
          <w:jc w:val="center"/>
        </w:trPr>
        <w:tc>
          <w:tcPr>
            <w:tcW w:w="847"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97" w:type="dxa"/>
            <w:gridSpan w:val="2"/>
            <w:vMerge/>
            <w:tcBorders>
              <w:left w:val="nil"/>
              <w:bottom w:val="single" w:sz="4" w:space="0" w:color="auto"/>
              <w:right w:val="nil"/>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242" w:type="dxa"/>
            <w:gridSpan w:val="4"/>
            <w:tcBorders>
              <w:top w:val="single" w:sz="4" w:space="0" w:color="auto"/>
              <w:left w:val="single" w:sz="4" w:space="0" w:color="auto"/>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046"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2262"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36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83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kern w:val="0"/>
                <w:sz w:val="24"/>
                <w:szCs w:val="24"/>
              </w:rPr>
            </w:pPr>
          </w:p>
        </w:tc>
        <w:tc>
          <w:tcPr>
            <w:tcW w:w="1238"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r>
      <w:tr w:rsidR="00F7411E">
        <w:trPr>
          <w:trHeight w:val="469"/>
          <w:jc w:val="center"/>
        </w:trPr>
        <w:tc>
          <w:tcPr>
            <w:tcW w:w="847"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97" w:type="dxa"/>
            <w:gridSpan w:val="2"/>
            <w:tcBorders>
              <w:top w:val="nil"/>
              <w:left w:val="nil"/>
              <w:bottom w:val="single" w:sz="4" w:space="0" w:color="auto"/>
              <w:right w:val="nil"/>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其中：</w:t>
            </w:r>
          </w:p>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县级支出</w:t>
            </w:r>
          </w:p>
        </w:tc>
        <w:tc>
          <w:tcPr>
            <w:tcW w:w="1242" w:type="dxa"/>
            <w:gridSpan w:val="4"/>
            <w:tcBorders>
              <w:top w:val="single" w:sz="4" w:space="0" w:color="auto"/>
              <w:left w:val="single" w:sz="4" w:space="0" w:color="auto"/>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046"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2262"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36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83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238"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r>
      <w:tr w:rsidR="00F7411E">
        <w:trPr>
          <w:trHeight w:val="469"/>
          <w:jc w:val="center"/>
        </w:trPr>
        <w:tc>
          <w:tcPr>
            <w:tcW w:w="847"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97" w:type="dxa"/>
            <w:gridSpan w:val="2"/>
            <w:tcBorders>
              <w:top w:val="nil"/>
              <w:left w:val="nil"/>
              <w:bottom w:val="single" w:sz="4" w:space="0" w:color="auto"/>
              <w:right w:val="nil"/>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补助区县</w:t>
            </w:r>
          </w:p>
        </w:tc>
        <w:tc>
          <w:tcPr>
            <w:tcW w:w="1242" w:type="dxa"/>
            <w:gridSpan w:val="4"/>
            <w:tcBorders>
              <w:top w:val="single" w:sz="4" w:space="0" w:color="auto"/>
              <w:left w:val="single" w:sz="4" w:space="0" w:color="auto"/>
              <w:bottom w:val="single" w:sz="4" w:space="0" w:color="auto"/>
              <w:right w:val="single" w:sz="4" w:space="0" w:color="000000"/>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046"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2262" w:type="dxa"/>
            <w:gridSpan w:val="2"/>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36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835"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c>
          <w:tcPr>
            <w:tcW w:w="1238" w:type="dxa"/>
            <w:tcBorders>
              <w:top w:val="nil"/>
              <w:left w:val="nil"/>
              <w:bottom w:val="single" w:sz="4" w:space="0" w:color="auto"/>
              <w:right w:val="single" w:sz="4" w:space="0" w:color="auto"/>
            </w:tcBorders>
            <w:vAlign w:val="center"/>
          </w:tcPr>
          <w:p w:rsidR="00F7411E" w:rsidRDefault="00F7411E">
            <w:pPr>
              <w:widowControl/>
              <w:spacing w:line="300" w:lineRule="exact"/>
              <w:jc w:val="center"/>
              <w:rPr>
                <w:rFonts w:ascii="Times New Roman" w:eastAsia="方正仿宋_GBK" w:hAnsi="Times New Roman" w:cs="宋体"/>
                <w:color w:val="000000"/>
                <w:kern w:val="0"/>
                <w:sz w:val="24"/>
                <w:szCs w:val="24"/>
              </w:rPr>
            </w:pPr>
          </w:p>
        </w:tc>
      </w:tr>
      <w:tr w:rsidR="00F7411E">
        <w:trPr>
          <w:trHeight w:val="469"/>
          <w:jc w:val="center"/>
        </w:trPr>
        <w:tc>
          <w:tcPr>
            <w:tcW w:w="847" w:type="dxa"/>
            <w:vMerge w:val="restart"/>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当年绩效目标</w:t>
            </w:r>
          </w:p>
        </w:tc>
        <w:tc>
          <w:tcPr>
            <w:tcW w:w="2539" w:type="dxa"/>
            <w:gridSpan w:val="6"/>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年初绩效目标</w:t>
            </w:r>
          </w:p>
        </w:tc>
        <w:tc>
          <w:tcPr>
            <w:tcW w:w="3308" w:type="dxa"/>
            <w:gridSpan w:val="4"/>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全年（调整）绩效目标</w:t>
            </w:r>
          </w:p>
        </w:tc>
        <w:tc>
          <w:tcPr>
            <w:tcW w:w="3438" w:type="dxa"/>
            <w:gridSpan w:val="3"/>
            <w:tcBorders>
              <w:top w:val="single" w:sz="4" w:space="0" w:color="auto"/>
              <w:left w:val="nil"/>
              <w:bottom w:val="single" w:sz="4" w:space="0" w:color="auto"/>
              <w:right w:val="single" w:sz="4" w:space="0" w:color="000000"/>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全年目标实际完成情况</w:t>
            </w:r>
          </w:p>
        </w:tc>
      </w:tr>
      <w:tr w:rsidR="00F7411E">
        <w:trPr>
          <w:trHeight w:val="1055"/>
          <w:jc w:val="center"/>
        </w:trPr>
        <w:tc>
          <w:tcPr>
            <w:tcW w:w="847"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2539" w:type="dxa"/>
            <w:gridSpan w:val="6"/>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3308" w:type="dxa"/>
            <w:gridSpan w:val="4"/>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3438" w:type="dxa"/>
            <w:gridSpan w:val="3"/>
            <w:tcBorders>
              <w:top w:val="single" w:sz="4" w:space="0" w:color="auto"/>
              <w:left w:val="nil"/>
              <w:bottom w:val="single" w:sz="4" w:space="0" w:color="auto"/>
              <w:right w:val="single" w:sz="4" w:space="0" w:color="000000"/>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r w:rsidR="00F7411E">
        <w:trPr>
          <w:trHeight w:val="469"/>
          <w:jc w:val="center"/>
        </w:trPr>
        <w:tc>
          <w:tcPr>
            <w:tcW w:w="847" w:type="dxa"/>
            <w:vMerge w:val="restart"/>
            <w:tcBorders>
              <w:top w:val="nil"/>
              <w:left w:val="single" w:sz="4" w:space="0" w:color="auto"/>
              <w:bottom w:val="single" w:sz="4" w:space="0" w:color="auto"/>
              <w:right w:val="single" w:sz="4" w:space="0" w:color="auto"/>
            </w:tcBorders>
            <w:textDirection w:val="tbRlV"/>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绩效指标</w:t>
            </w:r>
          </w:p>
        </w:tc>
        <w:tc>
          <w:tcPr>
            <w:tcW w:w="756" w:type="dxa"/>
            <w:tcBorders>
              <w:top w:val="nil"/>
              <w:left w:val="nil"/>
              <w:bottom w:val="single" w:sz="4" w:space="0" w:color="auto"/>
              <w:right w:val="nil"/>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名称</w:t>
            </w:r>
          </w:p>
        </w:tc>
        <w:tc>
          <w:tcPr>
            <w:tcW w:w="708" w:type="dxa"/>
            <w:gridSpan w:val="2"/>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计量</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单位</w:t>
            </w:r>
          </w:p>
        </w:tc>
        <w:tc>
          <w:tcPr>
            <w:tcW w:w="709"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性质</w:t>
            </w:r>
          </w:p>
        </w:tc>
        <w:tc>
          <w:tcPr>
            <w:tcW w:w="708" w:type="dxa"/>
            <w:gridSpan w:val="2"/>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年初</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值</w:t>
            </w:r>
          </w:p>
        </w:tc>
        <w:tc>
          <w:tcPr>
            <w:tcW w:w="704"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调整</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值</w:t>
            </w:r>
          </w:p>
        </w:tc>
        <w:tc>
          <w:tcPr>
            <w:tcW w:w="1272"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全年</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完成值</w:t>
            </w:r>
          </w:p>
        </w:tc>
        <w:tc>
          <w:tcPr>
            <w:tcW w:w="990"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得分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系数</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r>
              <w:rPr>
                <w:rFonts w:ascii="Times New Roman" w:eastAsia="方正仿宋_GBK" w:hAnsi="Times New Roman" w:cs="宋体" w:hint="eastAsia"/>
                <w:color w:val="000000"/>
                <w:kern w:val="0"/>
                <w:sz w:val="24"/>
                <w:szCs w:val="24"/>
              </w:rPr>
              <w:t>）</w:t>
            </w:r>
          </w:p>
        </w:tc>
        <w:tc>
          <w:tcPr>
            <w:tcW w:w="1365"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权重</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c>
          <w:tcPr>
            <w:tcW w:w="835"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指标得分</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（分）</w:t>
            </w:r>
          </w:p>
        </w:tc>
        <w:tc>
          <w:tcPr>
            <w:tcW w:w="1238" w:type="dxa"/>
            <w:tcBorders>
              <w:top w:val="nil"/>
              <w:left w:val="nil"/>
              <w:bottom w:val="single" w:sz="4" w:space="0" w:color="auto"/>
              <w:right w:val="single" w:sz="4" w:space="0" w:color="auto"/>
            </w:tcBorders>
            <w:vAlign w:val="center"/>
          </w:tcPr>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是否核心</w:t>
            </w:r>
          </w:p>
          <w:p w:rsidR="00F7411E" w:rsidRDefault="00E63918">
            <w:pPr>
              <w:widowControl/>
              <w:spacing w:line="300" w:lineRule="exact"/>
              <w:jc w:val="center"/>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指标</w:t>
            </w:r>
          </w:p>
        </w:tc>
      </w:tr>
      <w:tr w:rsidR="00F7411E">
        <w:trPr>
          <w:trHeight w:val="408"/>
          <w:jc w:val="center"/>
        </w:trPr>
        <w:tc>
          <w:tcPr>
            <w:tcW w:w="847" w:type="dxa"/>
            <w:vMerge/>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756" w:type="dxa"/>
            <w:tcBorders>
              <w:top w:val="nil"/>
              <w:left w:val="nil"/>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708" w:type="dxa"/>
            <w:gridSpan w:val="2"/>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709" w:type="dxa"/>
            <w:gridSpan w:val="2"/>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708" w:type="dxa"/>
            <w:gridSpan w:val="2"/>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704" w:type="dxa"/>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72" w:type="dxa"/>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990" w:type="dxa"/>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365" w:type="dxa"/>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835" w:type="dxa"/>
            <w:tcBorders>
              <w:top w:val="nil"/>
              <w:left w:val="single" w:sz="4" w:space="0" w:color="auto"/>
              <w:bottom w:val="single" w:sz="4" w:space="0" w:color="auto"/>
              <w:right w:val="nil"/>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c>
          <w:tcPr>
            <w:tcW w:w="1238" w:type="dxa"/>
            <w:tcBorders>
              <w:top w:val="nil"/>
              <w:left w:val="single" w:sz="4" w:space="0" w:color="auto"/>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r w:rsidR="00F7411E">
        <w:trPr>
          <w:trHeight w:val="589"/>
          <w:jc w:val="center"/>
        </w:trPr>
        <w:tc>
          <w:tcPr>
            <w:tcW w:w="847" w:type="dxa"/>
            <w:tcBorders>
              <w:top w:val="nil"/>
              <w:left w:val="single" w:sz="4" w:space="0" w:color="auto"/>
              <w:bottom w:val="single" w:sz="4" w:space="0" w:color="auto"/>
              <w:right w:val="single" w:sz="4" w:space="0" w:color="auto"/>
            </w:tcBorders>
            <w:vAlign w:val="center"/>
          </w:tcPr>
          <w:p w:rsidR="00F7411E" w:rsidRDefault="00E63918">
            <w:pPr>
              <w:widowControl/>
              <w:spacing w:line="300" w:lineRule="exact"/>
              <w:rPr>
                <w:rFonts w:ascii="Times New Roman" w:eastAsia="方正仿宋_GBK" w:hAnsi="Times New Roman" w:cs="宋体"/>
                <w:color w:val="000000"/>
                <w:kern w:val="0"/>
                <w:sz w:val="24"/>
                <w:szCs w:val="24"/>
              </w:rPr>
            </w:pPr>
            <w:r>
              <w:rPr>
                <w:rFonts w:ascii="Times New Roman" w:eastAsia="方正仿宋_GBK" w:hAnsi="Times New Roman" w:cs="宋体" w:hint="eastAsia"/>
                <w:color w:val="000000"/>
                <w:kern w:val="0"/>
                <w:sz w:val="24"/>
                <w:szCs w:val="24"/>
              </w:rPr>
              <w:t>说明</w:t>
            </w:r>
          </w:p>
        </w:tc>
        <w:tc>
          <w:tcPr>
            <w:tcW w:w="9285" w:type="dxa"/>
            <w:gridSpan w:val="13"/>
            <w:tcBorders>
              <w:top w:val="single" w:sz="4" w:space="0" w:color="auto"/>
              <w:left w:val="nil"/>
              <w:bottom w:val="single" w:sz="4" w:space="0" w:color="auto"/>
              <w:right w:val="single" w:sz="4" w:space="0" w:color="auto"/>
            </w:tcBorders>
            <w:vAlign w:val="center"/>
          </w:tcPr>
          <w:p w:rsidR="00F7411E" w:rsidRDefault="00F7411E">
            <w:pPr>
              <w:widowControl/>
              <w:spacing w:line="300" w:lineRule="exact"/>
              <w:rPr>
                <w:rFonts w:ascii="Times New Roman" w:eastAsia="方正仿宋_GBK" w:hAnsi="Times New Roman" w:cs="宋体"/>
                <w:color w:val="000000"/>
                <w:kern w:val="0"/>
                <w:sz w:val="24"/>
                <w:szCs w:val="24"/>
              </w:rPr>
            </w:pPr>
          </w:p>
        </w:tc>
      </w:tr>
    </w:tbl>
    <w:p w:rsidR="00F7411E" w:rsidRDefault="00E63918">
      <w:pPr>
        <w:tabs>
          <w:tab w:val="center" w:pos="4153"/>
          <w:tab w:val="left" w:pos="7275"/>
        </w:tabs>
        <w:spacing w:line="600" w:lineRule="exact"/>
        <w:rPr>
          <w:rFonts w:eastAsia="方正仿宋_GBK" w:cs="宋体"/>
          <w:kern w:val="0"/>
          <w:sz w:val="32"/>
          <w:szCs w:val="32"/>
        </w:rPr>
      </w:pPr>
      <w:r>
        <w:rPr>
          <w:rFonts w:eastAsia="方正仿宋_GBK" w:cs="宋体" w:hint="eastAsia"/>
          <w:b/>
          <w:kern w:val="0"/>
          <w:sz w:val="32"/>
          <w:szCs w:val="32"/>
        </w:rPr>
        <w:t>2.</w:t>
      </w:r>
      <w:r>
        <w:rPr>
          <w:rFonts w:eastAsia="方正仿宋_GBK" w:cs="宋体" w:hint="eastAsia"/>
          <w:b/>
          <w:kern w:val="0"/>
          <w:sz w:val="32"/>
          <w:szCs w:val="32"/>
        </w:rPr>
        <w:t>绩效报告</w:t>
      </w:r>
      <w:r>
        <w:rPr>
          <w:rFonts w:eastAsia="方正仿宋_GBK" w:cs="宋体"/>
          <w:b/>
          <w:kern w:val="0"/>
          <w:sz w:val="32"/>
          <w:szCs w:val="32"/>
        </w:rPr>
        <w:t>或案例</w:t>
      </w:r>
      <w:r>
        <w:rPr>
          <w:rFonts w:eastAsia="方正仿宋_GBK" w:cs="宋体"/>
          <w:kern w:val="0"/>
          <w:sz w:val="32"/>
          <w:szCs w:val="32"/>
        </w:rPr>
        <w:t>（</w:t>
      </w:r>
      <w:r>
        <w:rPr>
          <w:rFonts w:eastAsia="方正仿宋_GBK" w:cs="宋体" w:hint="eastAsia"/>
          <w:kern w:val="0"/>
          <w:sz w:val="32"/>
          <w:szCs w:val="32"/>
        </w:rPr>
        <w:t>如有</w:t>
      </w:r>
      <w:r>
        <w:rPr>
          <w:rFonts w:eastAsia="方正仿宋_GBK" w:cs="宋体"/>
          <w:kern w:val="0"/>
          <w:sz w:val="32"/>
          <w:szCs w:val="32"/>
        </w:rPr>
        <w:t>）</w:t>
      </w:r>
    </w:p>
    <w:p w:rsidR="00F7411E" w:rsidRDefault="00E63918">
      <w:pPr>
        <w:tabs>
          <w:tab w:val="center" w:pos="4153"/>
          <w:tab w:val="left" w:pos="7275"/>
        </w:tabs>
        <w:spacing w:line="600" w:lineRule="exact"/>
        <w:rPr>
          <w:rFonts w:eastAsia="方正仿宋_GBK" w:cs="宋体"/>
          <w:kern w:val="0"/>
          <w:sz w:val="32"/>
          <w:szCs w:val="32"/>
        </w:rPr>
      </w:pPr>
      <w:r>
        <w:rPr>
          <w:rFonts w:eastAsia="方正仿宋_GBK" w:cs="宋体" w:hint="eastAsia"/>
          <w:kern w:val="0"/>
          <w:sz w:val="32"/>
          <w:szCs w:val="32"/>
        </w:rPr>
        <w:t>本单位无绩效自评报告。</w:t>
      </w:r>
    </w:p>
    <w:p w:rsidR="00F7411E" w:rsidRDefault="00E63918">
      <w:pPr>
        <w:tabs>
          <w:tab w:val="center" w:pos="4153"/>
          <w:tab w:val="left" w:pos="7275"/>
        </w:tabs>
        <w:spacing w:line="600" w:lineRule="exact"/>
        <w:rPr>
          <w:rFonts w:eastAsia="方正仿宋_GBK" w:cs="宋体"/>
          <w:kern w:val="0"/>
          <w:sz w:val="32"/>
          <w:szCs w:val="32"/>
        </w:rPr>
      </w:pPr>
      <w:r>
        <w:rPr>
          <w:rFonts w:eastAsia="方正楷体_GBK" w:hint="eastAsia"/>
          <w:color w:val="333333"/>
          <w:sz w:val="32"/>
          <w:szCs w:val="32"/>
        </w:rPr>
        <w:t>（三）重点绩效评价结果（如有</w:t>
      </w:r>
      <w:r>
        <w:rPr>
          <w:rFonts w:eastAsia="方正楷体_GBK"/>
          <w:color w:val="333333"/>
          <w:sz w:val="32"/>
          <w:szCs w:val="32"/>
        </w:rPr>
        <w:t>）</w:t>
      </w:r>
    </w:p>
    <w:p w:rsidR="00F7411E" w:rsidRDefault="00E63918">
      <w:pPr>
        <w:tabs>
          <w:tab w:val="center" w:pos="4153"/>
          <w:tab w:val="left" w:pos="7275"/>
        </w:tabs>
        <w:spacing w:line="520" w:lineRule="exact"/>
        <w:rPr>
          <w:rFonts w:eastAsia="方正仿宋_GBK" w:cs="宋体"/>
          <w:kern w:val="0"/>
          <w:sz w:val="32"/>
          <w:szCs w:val="32"/>
        </w:rPr>
      </w:pPr>
      <w:r>
        <w:rPr>
          <w:rFonts w:eastAsia="方正仿宋_GBK" w:cs="宋体" w:hint="eastAsia"/>
          <w:kern w:val="0"/>
          <w:sz w:val="32"/>
          <w:szCs w:val="32"/>
        </w:rPr>
        <w:t>本单位无重点绩效评价结果。</w:t>
      </w:r>
    </w:p>
    <w:p w:rsidR="00F7411E" w:rsidRDefault="00E63918">
      <w:pPr>
        <w:tabs>
          <w:tab w:val="center" w:pos="4153"/>
          <w:tab w:val="left" w:pos="7275"/>
        </w:tabs>
        <w:spacing w:line="600" w:lineRule="exact"/>
        <w:rPr>
          <w:rFonts w:eastAsia="方正黑体_GBK"/>
          <w:sz w:val="32"/>
          <w:szCs w:val="32"/>
        </w:rPr>
      </w:pPr>
      <w:r>
        <w:rPr>
          <w:rFonts w:eastAsia="方正黑体_GBK" w:hint="eastAsia"/>
          <w:sz w:val="32"/>
          <w:szCs w:val="32"/>
        </w:rPr>
        <w:lastRenderedPageBreak/>
        <w:t>六、专业名词解释</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（一）财政拨款收入：</w:t>
      </w:r>
      <w:r>
        <w:rPr>
          <w:rFonts w:ascii="Times New Roman" w:eastAsia="方正仿宋_GBK" w:hAnsi="Times New Roman" w:hint="eastAsia"/>
          <w:sz w:val="32"/>
          <w:szCs w:val="32"/>
        </w:rPr>
        <w:t>指本年度从本级财政部门取得的财政拨款，包括一般公共预算财政拨款和政府性基金预算财政拨款。</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（二）事业收入</w:t>
      </w:r>
      <w:r>
        <w:rPr>
          <w:rFonts w:ascii="Times New Roman" w:eastAsia="方正仿宋_GBK" w:hAnsi="Times New Roman" w:hint="eastAsia"/>
          <w:sz w:val="32"/>
          <w:szCs w:val="32"/>
        </w:rPr>
        <w:t>：指事业单位开展专业业务活动及其辅助活动取得的现金流入；事业单位收到的财政专户实际核拨的教育收费等资金在此反映。</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（三）经营收入：</w:t>
      </w:r>
      <w:r>
        <w:rPr>
          <w:rFonts w:ascii="Times New Roman" w:eastAsia="方正仿宋_GBK" w:hAnsi="Times New Roman" w:hint="eastAsia"/>
          <w:sz w:val="32"/>
          <w:szCs w:val="32"/>
        </w:rPr>
        <w:t>指事业单位在专业业务活动及其辅助活动之外开展非独立核算经营活动取得的现金流入。</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（四）其他收入：</w:t>
      </w:r>
      <w:r>
        <w:rPr>
          <w:rFonts w:ascii="Times New Roman" w:eastAsia="方正仿宋_GBK" w:hAnsi="Times New Roman"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w:t>
      </w:r>
      <w:r>
        <w:rPr>
          <w:rFonts w:ascii="Times New Roman" w:eastAsia="方正仿宋_GBK" w:hAnsi="Times New Roman" w:hint="eastAsia"/>
          <w:sz w:val="32"/>
          <w:szCs w:val="32"/>
        </w:rPr>
        <w:t>非本级财政部门取得的经费，以及行政单位收到的财政专户管理资金反映在本项内。</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（五）使用非财政拨款结余：</w:t>
      </w:r>
      <w:r>
        <w:rPr>
          <w:rFonts w:ascii="Times New Roman" w:eastAsia="方正仿宋_GBK" w:hAnsi="Times New Roman" w:hint="eastAsia"/>
          <w:sz w:val="32"/>
          <w:szCs w:val="32"/>
        </w:rPr>
        <w:t>指单位在当年的“财政拨款收入”、“事业收入”、“经营收入”、“其他收入”等不足以安排当年支出的情况下，使用以前年度积累的非财政拨款结余弥补本年度收支缺口的资金。</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lastRenderedPageBreak/>
        <w:t>（六）年初结转和结余：</w:t>
      </w:r>
      <w:r>
        <w:rPr>
          <w:rFonts w:ascii="Times New Roman" w:eastAsia="方正仿宋_GBK" w:hAnsi="Times New Roman" w:hint="eastAsia"/>
          <w:sz w:val="32"/>
          <w:szCs w:val="32"/>
        </w:rPr>
        <w:t>指单位上年结转本年使用的基本支出结转、项目支出结转和结余、经营结余。</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（七）结余分配：</w:t>
      </w:r>
      <w:r>
        <w:rPr>
          <w:rFonts w:ascii="Times New Roman" w:eastAsia="方正仿宋_GBK" w:hAnsi="Times New Roman" w:hint="eastAsia"/>
          <w:sz w:val="32"/>
          <w:szCs w:val="32"/>
        </w:rPr>
        <w:t>指单位按照国家有关规定，缴纳所得税、提取专用基金、转入非财政拨款结余等当年结余的分配情况。</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（八）年末结转和结余：</w:t>
      </w:r>
      <w:r>
        <w:rPr>
          <w:rFonts w:ascii="Times New Roman" w:eastAsia="方正仿宋_GBK" w:hAnsi="Times New Roman" w:hint="eastAsia"/>
          <w:sz w:val="32"/>
          <w:szCs w:val="32"/>
        </w:rPr>
        <w:t>指单位结转下年的基本支出结</w:t>
      </w:r>
      <w:r>
        <w:rPr>
          <w:rFonts w:ascii="Times New Roman" w:eastAsia="方正仿宋_GBK" w:hAnsi="Times New Roman" w:hint="eastAsia"/>
          <w:sz w:val="32"/>
          <w:szCs w:val="32"/>
        </w:rPr>
        <w:t>转、项目支出结转和结余、经营结余。</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（九）基本支出：</w:t>
      </w:r>
      <w:r>
        <w:rPr>
          <w:rFonts w:ascii="Times New Roman" w:eastAsia="方正仿宋_GBK" w:hAnsi="Times New Roman"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（十）项目支出：</w:t>
      </w:r>
      <w:r>
        <w:rPr>
          <w:rFonts w:ascii="Times New Roman" w:eastAsia="方正仿宋_GBK" w:hAnsi="Times New Roman" w:hint="eastAsia"/>
          <w:sz w:val="32"/>
          <w:szCs w:val="32"/>
        </w:rPr>
        <w:t>指在基本支出之外为完成特定行政任务和事业发展目标所发生的支出。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（十一）经营支出：</w:t>
      </w:r>
      <w:r>
        <w:rPr>
          <w:rFonts w:ascii="Times New Roman" w:eastAsia="方正仿宋_GBK" w:hAnsi="Times New Roman" w:hint="eastAsia"/>
          <w:sz w:val="32"/>
          <w:szCs w:val="32"/>
        </w:rPr>
        <w:t>指事业单位在专业业务活动及其辅助活动之外开展非独立核算经营活动发生的支出。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（十二）“三公”经费：</w:t>
      </w:r>
      <w:r>
        <w:rPr>
          <w:rFonts w:ascii="Times New Roman" w:eastAsia="方正仿宋_GBK" w:hAnsi="Times New Roman"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w:t>
      </w:r>
      <w:r>
        <w:rPr>
          <w:rFonts w:ascii="Times New Roman" w:eastAsia="方正仿宋_GBK" w:hAnsi="Times New Roman" w:hint="eastAsia"/>
          <w:sz w:val="32"/>
          <w:szCs w:val="32"/>
        </w:rPr>
        <w:lastRenderedPageBreak/>
        <w:t>（含车辆购置税）；公务用车运行维护费反映单位按规定保留的公务用车燃料费、维修费、过路过桥费、保险费、安全奖励费用等支出；公务接待费反映单位按规定开支的各类公务接待（含外宾接待）支出。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（十三）机关运行经费：</w:t>
      </w:r>
      <w:r>
        <w:rPr>
          <w:rFonts w:ascii="Times New Roman" w:eastAsia="方正仿宋_GBK" w:hAnsi="Times New Roman" w:hint="eastAsia"/>
          <w:sz w:val="32"/>
          <w:szCs w:val="32"/>
        </w:rPr>
        <w:t>为保障行政单位（含参照公务员法管理的事业单位）运行用于购买货物和服务等的各项公用经费，包括办公及印刷费、邮电费、差旅费、会议费、福利费、日常维护</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费、专用材料及一般设备购置费、办公用房水电费、办公用房取暖费、办公用房物业管理费、公务用车运行维护费以及其他费用。</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（十四）工资福利支出（支出经济分类科目类级）：</w:t>
      </w:r>
      <w:r>
        <w:rPr>
          <w:rFonts w:ascii="Times New Roman" w:eastAsia="方正仿宋_GBK" w:hAnsi="Times New Roman" w:hint="eastAsia"/>
          <w:sz w:val="32"/>
          <w:szCs w:val="32"/>
        </w:rPr>
        <w:t>反映单位开支的在职职工和编制外长期聘用人员的各类劳动报酬，以及为上述人员缴纳的各项社会保险费等。</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（十五）商品和服务支出（支出经济分类科目类级）：</w:t>
      </w:r>
      <w:r>
        <w:rPr>
          <w:rFonts w:ascii="Times New Roman" w:eastAsia="方正仿宋_GBK" w:hAnsi="Times New Roman" w:hint="eastAsia"/>
          <w:sz w:val="32"/>
          <w:szCs w:val="32"/>
        </w:rPr>
        <w:t>反映单位购买商品和服务的支出（不包括用于购置固定资产的支出</w:t>
      </w:r>
      <w:r>
        <w:rPr>
          <w:rFonts w:ascii="Times New Roman" w:eastAsia="方正仿宋_GBK" w:hAnsi="Times New Roman" w:hint="eastAsia"/>
          <w:sz w:val="32"/>
          <w:szCs w:val="32"/>
        </w:rPr>
        <w:t>、战略性和应急储备支出）。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（十六）对个人和家庭的补助（支出经济分类科目类级）：</w:t>
      </w:r>
      <w:r>
        <w:rPr>
          <w:rFonts w:ascii="Times New Roman" w:eastAsia="方正仿宋_GBK" w:hAnsi="Times New Roman" w:hint="eastAsia"/>
          <w:sz w:val="32"/>
          <w:szCs w:val="32"/>
        </w:rPr>
        <w:t>反映用于对个人和家庭的补助支出。</w:t>
      </w:r>
    </w:p>
    <w:p w:rsidR="00F7411E" w:rsidRDefault="00E63918" w:rsidP="00E63918">
      <w:pPr>
        <w:pStyle w:val="a6"/>
        <w:spacing w:before="0" w:beforeAutospacing="0" w:afterAutospacing="0"/>
        <w:ind w:firstLineChars="200" w:firstLine="640"/>
        <w:rPr>
          <w:rFonts w:ascii="Times New Roman" w:eastAsia="方正仿宋_GBK" w:hAnsi="Times New Roman"/>
          <w:sz w:val="32"/>
          <w:szCs w:val="32"/>
        </w:rPr>
      </w:pPr>
      <w:r>
        <w:rPr>
          <w:rFonts w:ascii="Times New Roman" w:eastAsia="方正仿宋_GBK" w:hAnsi="Times New Roman" w:hint="eastAsia"/>
          <w:b/>
          <w:bCs/>
          <w:sz w:val="32"/>
          <w:szCs w:val="32"/>
        </w:rPr>
        <w:t>（十七）其他资本性支出（支出经济分类科目类级）：</w:t>
      </w:r>
      <w:r>
        <w:rPr>
          <w:rFonts w:ascii="Times New Roman" w:eastAsia="方正仿宋_GBK" w:hAnsi="Times New Roman" w:hint="eastAsia"/>
          <w:sz w:val="32"/>
          <w:szCs w:val="32"/>
        </w:rPr>
        <w:t>反映非各级发展与改革部门集中安排的用于购置固定资产、</w:t>
      </w:r>
      <w:r>
        <w:rPr>
          <w:rFonts w:ascii="Times New Roman" w:eastAsia="方正仿宋_GBK" w:hAnsi="Times New Roman" w:hint="eastAsia"/>
          <w:sz w:val="32"/>
          <w:szCs w:val="32"/>
        </w:rPr>
        <w:lastRenderedPageBreak/>
        <w:t>战略性和应急性储备、土地和无形资产，以及构建基础设施、大型修缮和财政支持企业更新改造所发生的支出。</w:t>
      </w:r>
    </w:p>
    <w:p w:rsidR="00F7411E" w:rsidRDefault="00E63918">
      <w:pPr>
        <w:pStyle w:val="a8"/>
        <w:tabs>
          <w:tab w:val="center" w:pos="4153"/>
          <w:tab w:val="left" w:pos="7275"/>
        </w:tabs>
        <w:spacing w:line="600" w:lineRule="exact"/>
        <w:ind w:firstLine="640"/>
        <w:rPr>
          <w:rFonts w:eastAsia="方正黑体_GBK"/>
          <w:szCs w:val="32"/>
        </w:rPr>
      </w:pPr>
      <w:r>
        <w:rPr>
          <w:rFonts w:eastAsia="方正黑体_GBK" w:hint="eastAsia"/>
          <w:szCs w:val="32"/>
        </w:rPr>
        <w:t>七、决算公开联系方式</w:t>
      </w:r>
    </w:p>
    <w:p w:rsidR="00F7411E" w:rsidRDefault="00E63918">
      <w:pPr>
        <w:pStyle w:val="a8"/>
        <w:tabs>
          <w:tab w:val="center" w:pos="4153"/>
          <w:tab w:val="left" w:pos="7275"/>
        </w:tabs>
        <w:spacing w:line="600" w:lineRule="exact"/>
        <w:ind w:firstLine="640"/>
        <w:rPr>
          <w:rFonts w:eastAsia="方正仿宋_GBK"/>
          <w:szCs w:val="32"/>
        </w:rPr>
      </w:pPr>
      <w:r>
        <w:rPr>
          <w:rFonts w:eastAsia="方正仿宋_GBK" w:hint="eastAsia"/>
          <w:szCs w:val="32"/>
        </w:rPr>
        <w:t>本单位决算公开的联系电话：</w:t>
      </w:r>
      <w:r>
        <w:rPr>
          <w:rFonts w:eastAsia="方正仿宋_GBK" w:hint="eastAsia"/>
          <w:szCs w:val="32"/>
        </w:rPr>
        <w:t>59501337</w:t>
      </w:r>
      <w:r>
        <w:rPr>
          <w:rFonts w:eastAsia="方正仿宋_GBK" w:hint="eastAsia"/>
          <w:szCs w:val="32"/>
        </w:rPr>
        <w:t>。</w:t>
      </w:r>
      <w:r>
        <w:rPr>
          <w:rFonts w:eastAsia="方正仿宋_GBK"/>
          <w:szCs w:val="32"/>
        </w:rPr>
        <w:t xml:space="preserve">  </w:t>
      </w:r>
    </w:p>
    <w:p w:rsidR="00F7411E" w:rsidRDefault="00F7411E">
      <w:pPr>
        <w:spacing w:line="640" w:lineRule="exact"/>
        <w:rPr>
          <w:rFonts w:ascii="方正仿宋_GBK" w:eastAsia="方正仿宋_GBK" w:hAnsi="方正仿宋_GBK" w:cs="方正仿宋_GBK"/>
          <w:sz w:val="32"/>
          <w:szCs w:val="32"/>
        </w:rPr>
      </w:pPr>
    </w:p>
    <w:sectPr w:rsidR="00F7411E" w:rsidSect="00F741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489DE"/>
    <w:multiLevelType w:val="singleLevel"/>
    <w:tmpl w:val="C8B489DE"/>
    <w:lvl w:ilvl="0">
      <w:start w:val="4"/>
      <w:numFmt w:val="chineseCounting"/>
      <w:suff w:val="nothing"/>
      <w:lvlText w:val="%1、"/>
      <w:lvlJc w:val="left"/>
      <w:rPr>
        <w:rFonts w:hint="eastAsia"/>
        <w:lang w:val="en-US"/>
      </w:rPr>
    </w:lvl>
  </w:abstractNum>
  <w:abstractNum w:abstractNumId="1">
    <w:nsid w:val="F7D871EC"/>
    <w:multiLevelType w:val="singleLevel"/>
    <w:tmpl w:val="F7D871EC"/>
    <w:lvl w:ilvl="0">
      <w:start w:val="3"/>
      <w:numFmt w:val="chineseCounting"/>
      <w:suff w:val="nothing"/>
      <w:lvlText w:val="（%1）"/>
      <w:lvlJc w:val="left"/>
      <w:rPr>
        <w:rFonts w:hint="eastAsia"/>
      </w:rPr>
    </w:lvl>
  </w:abstractNum>
  <w:abstractNum w:abstractNumId="2">
    <w:nsid w:val="39F2C2D6"/>
    <w:multiLevelType w:val="singleLevel"/>
    <w:tmpl w:val="39F2C2D6"/>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lhNWM5OGUyZGQxYzliZTJlZjFkNmFjYzAwZjU3NWIifQ=="/>
  </w:docVars>
  <w:rsids>
    <w:rsidRoot w:val="00992B10"/>
    <w:rsid w:val="00003A77"/>
    <w:rsid w:val="00064826"/>
    <w:rsid w:val="000678EB"/>
    <w:rsid w:val="000B2DE9"/>
    <w:rsid w:val="000F5B74"/>
    <w:rsid w:val="001031EB"/>
    <w:rsid w:val="0012167F"/>
    <w:rsid w:val="00125FAD"/>
    <w:rsid w:val="0013561B"/>
    <w:rsid w:val="00173751"/>
    <w:rsid w:val="001811F0"/>
    <w:rsid w:val="001C31AC"/>
    <w:rsid w:val="001C6C3A"/>
    <w:rsid w:val="00226341"/>
    <w:rsid w:val="00281527"/>
    <w:rsid w:val="0029778A"/>
    <w:rsid w:val="002F0078"/>
    <w:rsid w:val="002F4CA0"/>
    <w:rsid w:val="00323508"/>
    <w:rsid w:val="00345BDC"/>
    <w:rsid w:val="0039190A"/>
    <w:rsid w:val="003D7D3E"/>
    <w:rsid w:val="003E466F"/>
    <w:rsid w:val="003E6589"/>
    <w:rsid w:val="00401FC9"/>
    <w:rsid w:val="00426B9D"/>
    <w:rsid w:val="00431A6B"/>
    <w:rsid w:val="0043425A"/>
    <w:rsid w:val="00446671"/>
    <w:rsid w:val="004618BD"/>
    <w:rsid w:val="00485E40"/>
    <w:rsid w:val="004A4EBD"/>
    <w:rsid w:val="004A5AEF"/>
    <w:rsid w:val="004E3E47"/>
    <w:rsid w:val="00506E9A"/>
    <w:rsid w:val="00512304"/>
    <w:rsid w:val="00526838"/>
    <w:rsid w:val="005538BF"/>
    <w:rsid w:val="00590B2A"/>
    <w:rsid w:val="005A073F"/>
    <w:rsid w:val="005B6012"/>
    <w:rsid w:val="006058AF"/>
    <w:rsid w:val="00636A36"/>
    <w:rsid w:val="00636FFB"/>
    <w:rsid w:val="00644F91"/>
    <w:rsid w:val="006714F5"/>
    <w:rsid w:val="006B1549"/>
    <w:rsid w:val="00702325"/>
    <w:rsid w:val="007302AB"/>
    <w:rsid w:val="00742985"/>
    <w:rsid w:val="00743E35"/>
    <w:rsid w:val="00774402"/>
    <w:rsid w:val="00781347"/>
    <w:rsid w:val="0079077E"/>
    <w:rsid w:val="00790DE5"/>
    <w:rsid w:val="0079406E"/>
    <w:rsid w:val="007A12AF"/>
    <w:rsid w:val="007C7D72"/>
    <w:rsid w:val="00804FAA"/>
    <w:rsid w:val="00824AE9"/>
    <w:rsid w:val="00833F9E"/>
    <w:rsid w:val="00852252"/>
    <w:rsid w:val="00865194"/>
    <w:rsid w:val="00867E2E"/>
    <w:rsid w:val="008E2798"/>
    <w:rsid w:val="008E6F1D"/>
    <w:rsid w:val="008F1316"/>
    <w:rsid w:val="008F4B20"/>
    <w:rsid w:val="00992B10"/>
    <w:rsid w:val="009B156A"/>
    <w:rsid w:val="009D431D"/>
    <w:rsid w:val="009F250F"/>
    <w:rsid w:val="00A11865"/>
    <w:rsid w:val="00A54A89"/>
    <w:rsid w:val="00A560BB"/>
    <w:rsid w:val="00A92344"/>
    <w:rsid w:val="00A9438C"/>
    <w:rsid w:val="00AF53D2"/>
    <w:rsid w:val="00B017F1"/>
    <w:rsid w:val="00B06B8F"/>
    <w:rsid w:val="00B07D81"/>
    <w:rsid w:val="00B11246"/>
    <w:rsid w:val="00B36EA1"/>
    <w:rsid w:val="00B52313"/>
    <w:rsid w:val="00BB59D4"/>
    <w:rsid w:val="00BB6CF1"/>
    <w:rsid w:val="00BE7BF7"/>
    <w:rsid w:val="00BF79C5"/>
    <w:rsid w:val="00C017D7"/>
    <w:rsid w:val="00C572FB"/>
    <w:rsid w:val="00C667FA"/>
    <w:rsid w:val="00C66DFF"/>
    <w:rsid w:val="00CA7F99"/>
    <w:rsid w:val="00CB223D"/>
    <w:rsid w:val="00D116C1"/>
    <w:rsid w:val="00D22FF6"/>
    <w:rsid w:val="00D231E7"/>
    <w:rsid w:val="00D4558F"/>
    <w:rsid w:val="00D46167"/>
    <w:rsid w:val="00D716C8"/>
    <w:rsid w:val="00D761D5"/>
    <w:rsid w:val="00D85E51"/>
    <w:rsid w:val="00DB7BF8"/>
    <w:rsid w:val="00DC302B"/>
    <w:rsid w:val="00DD14F5"/>
    <w:rsid w:val="00DF2E42"/>
    <w:rsid w:val="00DF332B"/>
    <w:rsid w:val="00DF5029"/>
    <w:rsid w:val="00E139AB"/>
    <w:rsid w:val="00E413BB"/>
    <w:rsid w:val="00E47B96"/>
    <w:rsid w:val="00E5152B"/>
    <w:rsid w:val="00E63918"/>
    <w:rsid w:val="00E74554"/>
    <w:rsid w:val="00EC6E9F"/>
    <w:rsid w:val="00ED5CC2"/>
    <w:rsid w:val="00EE30D4"/>
    <w:rsid w:val="00F00394"/>
    <w:rsid w:val="00F013BF"/>
    <w:rsid w:val="00F0247F"/>
    <w:rsid w:val="00F438D9"/>
    <w:rsid w:val="00F56626"/>
    <w:rsid w:val="00F61D6C"/>
    <w:rsid w:val="00F7411E"/>
    <w:rsid w:val="00F77F47"/>
    <w:rsid w:val="00FB0E8B"/>
    <w:rsid w:val="00FB59E1"/>
    <w:rsid w:val="00FE706F"/>
    <w:rsid w:val="027B0203"/>
    <w:rsid w:val="059A3598"/>
    <w:rsid w:val="098B07D6"/>
    <w:rsid w:val="0C2537E6"/>
    <w:rsid w:val="15D639CA"/>
    <w:rsid w:val="1D167BBB"/>
    <w:rsid w:val="1DDC2BB3"/>
    <w:rsid w:val="1ED52472"/>
    <w:rsid w:val="2024069D"/>
    <w:rsid w:val="246D1F51"/>
    <w:rsid w:val="2555539D"/>
    <w:rsid w:val="28CE0382"/>
    <w:rsid w:val="29E308A3"/>
    <w:rsid w:val="2DDB67B3"/>
    <w:rsid w:val="2F2A42C6"/>
    <w:rsid w:val="2FB2440C"/>
    <w:rsid w:val="32C76B25"/>
    <w:rsid w:val="32DD7361"/>
    <w:rsid w:val="34711E4F"/>
    <w:rsid w:val="356859D2"/>
    <w:rsid w:val="365E1F48"/>
    <w:rsid w:val="38F16A61"/>
    <w:rsid w:val="3FC90D91"/>
    <w:rsid w:val="3FE511EB"/>
    <w:rsid w:val="46DD56CF"/>
    <w:rsid w:val="4BE1252E"/>
    <w:rsid w:val="4DDB7C88"/>
    <w:rsid w:val="53114850"/>
    <w:rsid w:val="53980497"/>
    <w:rsid w:val="55944F63"/>
    <w:rsid w:val="5EEC63F2"/>
    <w:rsid w:val="611A0FF5"/>
    <w:rsid w:val="63CE32EE"/>
    <w:rsid w:val="6B353C77"/>
    <w:rsid w:val="6CA279AB"/>
    <w:rsid w:val="6CF80C88"/>
    <w:rsid w:val="6EB801BD"/>
    <w:rsid w:val="718A2D1F"/>
    <w:rsid w:val="74C06648"/>
    <w:rsid w:val="77FC0609"/>
    <w:rsid w:val="794D080B"/>
    <w:rsid w:val="7A9A44E4"/>
    <w:rsid w:val="7BE40491"/>
    <w:rsid w:val="7C927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unhideWhenUsed/>
    <w:qFormat/>
    <w:rsid w:val="00F7411E"/>
    <w:rPr>
      <w:sz w:val="18"/>
      <w:szCs w:val="18"/>
    </w:rPr>
  </w:style>
  <w:style w:type="paragraph" w:styleId="a4">
    <w:name w:val="footer"/>
    <w:basedOn w:val="a"/>
    <w:link w:val="Char"/>
    <w:uiPriority w:val="99"/>
    <w:semiHidden/>
    <w:unhideWhenUsed/>
    <w:qFormat/>
    <w:rsid w:val="00F7411E"/>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F7411E"/>
    <w:pPr>
      <w:pBdr>
        <w:bottom w:val="single" w:sz="6" w:space="1" w:color="auto"/>
      </w:pBdr>
      <w:tabs>
        <w:tab w:val="center" w:pos="4153"/>
        <w:tab w:val="right" w:pos="8306"/>
      </w:tabs>
      <w:snapToGrid w:val="0"/>
      <w:jc w:val="center"/>
    </w:pPr>
    <w:rPr>
      <w:sz w:val="18"/>
      <w:szCs w:val="18"/>
    </w:rPr>
  </w:style>
  <w:style w:type="paragraph" w:styleId="a6">
    <w:name w:val="Normal (Web)"/>
    <w:basedOn w:val="a"/>
    <w:link w:val="Char2"/>
    <w:uiPriority w:val="99"/>
    <w:unhideWhenUsed/>
    <w:qFormat/>
    <w:rsid w:val="00F7411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7411E"/>
    <w:rPr>
      <w:b/>
      <w:bCs/>
    </w:rPr>
  </w:style>
  <w:style w:type="character" w:customStyle="1" w:styleId="Char0">
    <w:name w:val="页眉 Char"/>
    <w:basedOn w:val="a0"/>
    <w:link w:val="a5"/>
    <w:uiPriority w:val="99"/>
    <w:semiHidden/>
    <w:qFormat/>
    <w:rsid w:val="00F7411E"/>
    <w:rPr>
      <w:sz w:val="18"/>
      <w:szCs w:val="18"/>
    </w:rPr>
  </w:style>
  <w:style w:type="character" w:customStyle="1" w:styleId="Char">
    <w:name w:val="页脚 Char"/>
    <w:basedOn w:val="a0"/>
    <w:link w:val="a4"/>
    <w:uiPriority w:val="99"/>
    <w:qFormat/>
    <w:rsid w:val="00F7411E"/>
    <w:rPr>
      <w:sz w:val="18"/>
      <w:szCs w:val="18"/>
    </w:rPr>
  </w:style>
  <w:style w:type="paragraph" w:styleId="a8">
    <w:name w:val="List Paragraph"/>
    <w:basedOn w:val="a"/>
    <w:uiPriority w:val="34"/>
    <w:qFormat/>
    <w:rsid w:val="00F7411E"/>
    <w:pPr>
      <w:ind w:firstLineChars="200" w:firstLine="420"/>
    </w:pPr>
    <w:rPr>
      <w:rFonts w:ascii="Times New Roman" w:eastAsia="宋体" w:hAnsi="Times New Roman" w:cs="Times New Roman"/>
      <w:sz w:val="32"/>
    </w:rPr>
  </w:style>
  <w:style w:type="character" w:customStyle="1" w:styleId="Char3">
    <w:name w:val="批注框文本 Char"/>
    <w:link w:val="a3"/>
    <w:uiPriority w:val="99"/>
    <w:qFormat/>
    <w:rsid w:val="00F7411E"/>
    <w:rPr>
      <w:kern w:val="2"/>
      <w:sz w:val="18"/>
      <w:szCs w:val="18"/>
    </w:rPr>
  </w:style>
  <w:style w:type="character" w:customStyle="1" w:styleId="Char1">
    <w:name w:val="批注框文本 Char1"/>
    <w:basedOn w:val="a0"/>
    <w:link w:val="a3"/>
    <w:uiPriority w:val="99"/>
    <w:semiHidden/>
    <w:qFormat/>
    <w:rsid w:val="00F7411E"/>
    <w:rPr>
      <w:kern w:val="2"/>
      <w:sz w:val="18"/>
      <w:szCs w:val="18"/>
    </w:rPr>
  </w:style>
  <w:style w:type="character" w:customStyle="1" w:styleId="Char2">
    <w:name w:val="普通(网站) Char"/>
    <w:basedOn w:val="a0"/>
    <w:link w:val="a6"/>
    <w:qFormat/>
    <w:rsid w:val="00F7411E"/>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803</Words>
  <Characters>4578</Characters>
  <Application>Microsoft Office Word</Application>
  <DocSecurity>0</DocSecurity>
  <Lines>38</Lines>
  <Paragraphs>10</Paragraphs>
  <ScaleCrop>false</ScaleCrop>
  <Company>Sky123.Org</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xbany</cp:lastModifiedBy>
  <cp:revision>43</cp:revision>
  <dcterms:created xsi:type="dcterms:W3CDTF">2022-10-09T05:22:00Z</dcterms:created>
  <dcterms:modified xsi:type="dcterms:W3CDTF">2023-11-17T03:57:00Z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5759A89234474EE1AE3944B78E65EA55_12</vt:lpwstr>
  </property>
</Properties>
</file>