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470" w:rsidRDefault="00B02293">
      <w:pPr>
        <w:widowControl w:val="0"/>
        <w:spacing w:line="596" w:lineRule="exact"/>
        <w:ind w:firstLineChars="250" w:firstLine="1100"/>
        <w:jc w:val="center"/>
        <w:rPr>
          <w:rFonts w:ascii="方正小标宋_GBK" w:eastAsia="方正小标宋_GBK" w:hAnsi="华文中宋" w:cs="Times New Roman"/>
          <w:kern w:val="2"/>
          <w:sz w:val="44"/>
          <w:szCs w:val="44"/>
        </w:rPr>
      </w:pPr>
      <w:r>
        <w:rPr>
          <w:rFonts w:ascii="方正小标宋_GBK" w:eastAsia="方正小标宋_GBK" w:hAnsi="华文中宋" w:cs="Times New Roman" w:hint="eastAsia"/>
          <w:kern w:val="2"/>
          <w:sz w:val="44"/>
          <w:szCs w:val="44"/>
        </w:rPr>
        <w:t>重庆市城口</w:t>
      </w:r>
      <w:proofErr w:type="gramStart"/>
      <w:r>
        <w:rPr>
          <w:rFonts w:ascii="方正小标宋_GBK" w:eastAsia="方正小标宋_GBK" w:hAnsi="华文中宋" w:cs="Times New Roman" w:hint="eastAsia"/>
          <w:kern w:val="2"/>
          <w:sz w:val="44"/>
          <w:szCs w:val="44"/>
        </w:rPr>
        <w:t>县疾病</w:t>
      </w:r>
      <w:proofErr w:type="gramEnd"/>
      <w:r>
        <w:rPr>
          <w:rFonts w:ascii="方正小标宋_GBK" w:eastAsia="方正小标宋_GBK" w:hAnsi="华文中宋" w:cs="Times New Roman" w:hint="eastAsia"/>
          <w:kern w:val="2"/>
          <w:sz w:val="44"/>
          <w:szCs w:val="44"/>
        </w:rPr>
        <w:t>预防控制中心</w:t>
      </w:r>
    </w:p>
    <w:p w:rsidR="00BB2470" w:rsidRDefault="00B02293">
      <w:pPr>
        <w:widowControl w:val="0"/>
        <w:spacing w:line="596" w:lineRule="exact"/>
        <w:ind w:firstLineChars="250" w:firstLine="1100"/>
        <w:jc w:val="center"/>
        <w:rPr>
          <w:rFonts w:ascii="方正小标宋_GBK" w:eastAsia="方正小标宋_GBK" w:hAnsi="华文中宋" w:cs="Times New Roman"/>
          <w:kern w:val="2"/>
          <w:sz w:val="44"/>
          <w:szCs w:val="44"/>
        </w:rPr>
      </w:pPr>
      <w:r>
        <w:rPr>
          <w:rFonts w:ascii="方正小标宋_GBK" w:eastAsia="方正小标宋_GBK" w:hAnsi="华文中宋" w:cs="Times New Roman" w:hint="eastAsia"/>
          <w:kern w:val="2"/>
          <w:sz w:val="44"/>
          <w:szCs w:val="44"/>
        </w:rPr>
        <w:t>2022</w:t>
      </w:r>
      <w:r>
        <w:rPr>
          <w:rFonts w:ascii="方正小标宋_GBK" w:eastAsia="方正小标宋_GBK" w:hAnsi="华文中宋" w:cs="Times New Roman" w:hint="eastAsia"/>
          <w:kern w:val="2"/>
          <w:sz w:val="44"/>
          <w:szCs w:val="44"/>
        </w:rPr>
        <w:t>年度部门决算情况说明</w:t>
      </w:r>
    </w:p>
    <w:p w:rsidR="00BB2470" w:rsidRDefault="00B02293">
      <w:pPr>
        <w:pStyle w:val="a7"/>
        <w:tabs>
          <w:tab w:val="center" w:pos="4153"/>
          <w:tab w:val="left" w:pos="7275"/>
        </w:tabs>
        <w:spacing w:line="596" w:lineRule="exact"/>
        <w:ind w:firstLine="640"/>
        <w:rPr>
          <w:rFonts w:ascii="方正黑体_GBK" w:eastAsia="方正黑体_GBK" w:hAnsi="Times New Roman"/>
          <w:sz w:val="32"/>
          <w:szCs w:val="32"/>
        </w:rPr>
      </w:pPr>
      <w:r>
        <w:rPr>
          <w:rFonts w:ascii="方正黑体_GBK" w:eastAsia="方正黑体_GBK" w:hAnsi="Times New Roman" w:hint="eastAsia"/>
          <w:sz w:val="32"/>
          <w:szCs w:val="32"/>
        </w:rPr>
        <w:t>一、部门基本情况</w:t>
      </w:r>
    </w:p>
    <w:p w:rsidR="00BB2470" w:rsidRDefault="00B02293">
      <w:pPr>
        <w:pStyle w:val="a5"/>
        <w:shd w:val="clear" w:color="auto" w:fill="FFFFFF"/>
        <w:spacing w:beforeAutospacing="0" w:afterAutospacing="0" w:line="560" w:lineRule="exact"/>
        <w:ind w:firstLineChars="200" w:firstLine="643"/>
        <w:jc w:val="both"/>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（一）职能职责。</w:t>
      </w:r>
    </w:p>
    <w:p w:rsidR="00BB2470"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城口</w:t>
      </w:r>
      <w:proofErr w:type="gramStart"/>
      <w:r>
        <w:rPr>
          <w:rFonts w:ascii="Times New Roman" w:eastAsia="方正仿宋_GBK" w:hAnsi="Times New Roman" w:cs="Times New Roman" w:hint="eastAsia"/>
          <w:sz w:val="32"/>
          <w:szCs w:val="32"/>
          <w:lang w:bidi="ar"/>
        </w:rPr>
        <w:t>县疾病</w:t>
      </w:r>
      <w:proofErr w:type="gramEnd"/>
      <w:r>
        <w:rPr>
          <w:rFonts w:ascii="Times New Roman" w:eastAsia="方正仿宋_GBK" w:hAnsi="Times New Roman" w:cs="Times New Roman" w:hint="eastAsia"/>
          <w:sz w:val="32"/>
          <w:szCs w:val="32"/>
          <w:lang w:bidi="ar"/>
        </w:rPr>
        <w:t>预防控制中心是政府举办的公共卫生技术管理和服务的事业单位，</w:t>
      </w:r>
      <w:proofErr w:type="gramStart"/>
      <w:r>
        <w:rPr>
          <w:rFonts w:ascii="Times New Roman" w:eastAsia="方正仿宋_GBK" w:hAnsi="Times New Roman" w:cs="Times New Roman" w:hint="eastAsia"/>
          <w:sz w:val="32"/>
          <w:szCs w:val="32"/>
          <w:lang w:bidi="ar"/>
        </w:rPr>
        <w:t>集疾病</w:t>
      </w:r>
      <w:proofErr w:type="gramEnd"/>
      <w:r>
        <w:rPr>
          <w:rFonts w:ascii="Times New Roman" w:eastAsia="方正仿宋_GBK" w:hAnsi="Times New Roman" w:cs="Times New Roman" w:hint="eastAsia"/>
          <w:sz w:val="32"/>
          <w:szCs w:val="32"/>
          <w:lang w:bidi="ar"/>
        </w:rPr>
        <w:t>预防控制、公共卫生技术管理、卫生监测检验与评价、健康教育促进、应用研究与指导、技术咨询与服务为一体的综合性疾病防治机构，担负着全县</w:t>
      </w:r>
      <w:r>
        <w:rPr>
          <w:rFonts w:ascii="Times New Roman" w:eastAsia="方正仿宋_GBK" w:hAnsi="Times New Roman" w:cs="Times New Roman" w:hint="eastAsia"/>
          <w:sz w:val="32"/>
          <w:szCs w:val="32"/>
          <w:lang w:bidi="ar"/>
        </w:rPr>
        <w:t>25</w:t>
      </w:r>
      <w:r>
        <w:rPr>
          <w:rFonts w:ascii="Times New Roman" w:eastAsia="方正仿宋_GBK" w:hAnsi="Times New Roman" w:cs="Times New Roman" w:hint="eastAsia"/>
          <w:sz w:val="32"/>
          <w:szCs w:val="32"/>
          <w:lang w:bidi="ar"/>
        </w:rPr>
        <w:t>万人的疾病预防控制和公共卫生应急处置工作任务。</w:t>
      </w:r>
    </w:p>
    <w:p w:rsidR="00BB2470"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城口</w:t>
      </w:r>
      <w:proofErr w:type="gramStart"/>
      <w:r>
        <w:rPr>
          <w:rFonts w:ascii="Times New Roman" w:eastAsia="方正仿宋_GBK" w:hAnsi="Times New Roman" w:cs="Times New Roman" w:hint="eastAsia"/>
          <w:sz w:val="32"/>
          <w:szCs w:val="32"/>
          <w:lang w:bidi="ar"/>
        </w:rPr>
        <w:t>县疾病</w:t>
      </w:r>
      <w:proofErr w:type="gramEnd"/>
      <w:r>
        <w:rPr>
          <w:rFonts w:ascii="Times New Roman" w:eastAsia="方正仿宋_GBK" w:hAnsi="Times New Roman" w:cs="Times New Roman" w:hint="eastAsia"/>
          <w:sz w:val="32"/>
          <w:szCs w:val="32"/>
          <w:lang w:bidi="ar"/>
        </w:rPr>
        <w:t>预防控制中心预算管理级次为县级。执行财务会计制度为《</w:t>
      </w:r>
      <w:r>
        <w:rPr>
          <w:rFonts w:ascii="Times New Roman" w:eastAsia="方正仿宋_GBK" w:hAnsi="Times New Roman" w:cs="Times New Roman" w:hint="eastAsia"/>
          <w:sz w:val="32"/>
          <w:szCs w:val="32"/>
          <w:lang w:bidi="ar"/>
        </w:rPr>
        <w:t xml:space="preserve"> </w:t>
      </w:r>
      <w:r>
        <w:rPr>
          <w:rFonts w:ascii="Times New Roman" w:eastAsia="方正仿宋_GBK" w:hAnsi="Times New Roman" w:cs="Times New Roman" w:hint="eastAsia"/>
          <w:sz w:val="32"/>
          <w:szCs w:val="32"/>
          <w:lang w:bidi="ar"/>
        </w:rPr>
        <w:t>事业单位会计制度》。</w:t>
      </w:r>
    </w:p>
    <w:p w:rsidR="00BB2470" w:rsidRDefault="00B02293">
      <w:pPr>
        <w:pStyle w:val="a5"/>
        <w:shd w:val="clear" w:color="auto" w:fill="FFFFFF"/>
        <w:spacing w:beforeAutospacing="0" w:afterAutospacing="0" w:line="560" w:lineRule="exact"/>
        <w:ind w:firstLineChars="200" w:firstLine="643"/>
        <w:jc w:val="both"/>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（二）机构设置。</w:t>
      </w:r>
    </w:p>
    <w:p w:rsidR="00BB2470"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城口</w:t>
      </w:r>
      <w:proofErr w:type="gramStart"/>
      <w:r>
        <w:rPr>
          <w:rFonts w:ascii="Times New Roman" w:eastAsia="方正仿宋_GBK" w:hAnsi="Times New Roman" w:cs="Times New Roman" w:hint="eastAsia"/>
          <w:sz w:val="32"/>
          <w:szCs w:val="32"/>
          <w:lang w:bidi="ar"/>
        </w:rPr>
        <w:t>县疾病</w:t>
      </w:r>
      <w:proofErr w:type="gramEnd"/>
      <w:r>
        <w:rPr>
          <w:rFonts w:ascii="Times New Roman" w:eastAsia="方正仿宋_GBK" w:hAnsi="Times New Roman" w:cs="Times New Roman" w:hint="eastAsia"/>
          <w:sz w:val="32"/>
          <w:szCs w:val="32"/>
          <w:lang w:bidi="ar"/>
        </w:rPr>
        <w:t>预防控制中心现有业务用房</w:t>
      </w:r>
      <w:r>
        <w:rPr>
          <w:rFonts w:ascii="Times New Roman" w:eastAsia="方正仿宋_GBK" w:hAnsi="Times New Roman" w:cs="Times New Roman" w:hint="eastAsia"/>
          <w:sz w:val="32"/>
          <w:szCs w:val="32"/>
          <w:lang w:bidi="ar"/>
        </w:rPr>
        <w:t>3488.02</w:t>
      </w:r>
      <w:r>
        <w:rPr>
          <w:rFonts w:ascii="Times New Roman" w:eastAsia="方正仿宋_GBK" w:hAnsi="Times New Roman" w:cs="Times New Roman" w:hint="eastAsia"/>
          <w:sz w:val="32"/>
          <w:szCs w:val="32"/>
          <w:lang w:bidi="ar"/>
        </w:rPr>
        <w:t>㎡。</w:t>
      </w:r>
      <w:r>
        <w:rPr>
          <w:rFonts w:ascii="Times New Roman" w:eastAsia="方正仿宋_GBK" w:hAnsi="Times New Roman" w:cs="Times New Roman" w:hint="eastAsia"/>
          <w:sz w:val="32"/>
          <w:szCs w:val="32"/>
          <w:lang w:bidi="ar"/>
        </w:rPr>
        <w:t>2022</w:t>
      </w:r>
      <w:r>
        <w:rPr>
          <w:rFonts w:ascii="Times New Roman" w:eastAsia="方正仿宋_GBK" w:hAnsi="Times New Roman" w:cs="Times New Roman" w:hint="eastAsia"/>
          <w:sz w:val="32"/>
          <w:szCs w:val="32"/>
          <w:lang w:bidi="ar"/>
        </w:rPr>
        <w:t>年末有正式职工</w:t>
      </w:r>
      <w:r>
        <w:rPr>
          <w:rFonts w:ascii="Times New Roman" w:eastAsia="方正仿宋_GBK" w:hAnsi="Times New Roman" w:cs="Times New Roman" w:hint="eastAsia"/>
          <w:sz w:val="32"/>
          <w:szCs w:val="32"/>
          <w:lang w:bidi="ar"/>
        </w:rPr>
        <w:t>27</w:t>
      </w:r>
      <w:r>
        <w:rPr>
          <w:rFonts w:ascii="Times New Roman" w:eastAsia="方正仿宋_GBK" w:hAnsi="Times New Roman" w:cs="Times New Roman" w:hint="eastAsia"/>
          <w:sz w:val="32"/>
          <w:szCs w:val="32"/>
          <w:lang w:bidi="ar"/>
        </w:rPr>
        <w:t>人，其中高级职称</w:t>
      </w:r>
      <w:r>
        <w:rPr>
          <w:rFonts w:ascii="Times New Roman" w:eastAsia="方正仿宋_GBK" w:hAnsi="Times New Roman" w:cs="Times New Roman" w:hint="eastAsia"/>
          <w:sz w:val="32"/>
          <w:szCs w:val="32"/>
          <w:lang w:bidi="ar"/>
        </w:rPr>
        <w:t>5</w:t>
      </w:r>
      <w:r>
        <w:rPr>
          <w:rFonts w:ascii="Times New Roman" w:eastAsia="方正仿宋_GBK" w:hAnsi="Times New Roman" w:cs="Times New Roman" w:hint="eastAsia"/>
          <w:sz w:val="32"/>
          <w:szCs w:val="32"/>
          <w:lang w:bidi="ar"/>
        </w:rPr>
        <w:t>人，初级职称</w:t>
      </w:r>
      <w:r>
        <w:rPr>
          <w:rFonts w:ascii="Times New Roman" w:eastAsia="方正仿宋_GBK" w:hAnsi="Times New Roman" w:cs="Times New Roman" w:hint="eastAsia"/>
          <w:sz w:val="32"/>
          <w:szCs w:val="32"/>
          <w:lang w:bidi="ar"/>
        </w:rPr>
        <w:t>17</w:t>
      </w:r>
      <w:r>
        <w:rPr>
          <w:rFonts w:ascii="Times New Roman" w:eastAsia="方正仿宋_GBK" w:hAnsi="Times New Roman" w:cs="Times New Roman" w:hint="eastAsia"/>
          <w:sz w:val="32"/>
          <w:szCs w:val="32"/>
          <w:lang w:bidi="ar"/>
        </w:rPr>
        <w:t>人，管理及工勤人员</w:t>
      </w:r>
      <w:r>
        <w:rPr>
          <w:rFonts w:ascii="Times New Roman" w:eastAsia="方正仿宋_GBK" w:hAnsi="Times New Roman" w:cs="Times New Roman" w:hint="eastAsia"/>
          <w:sz w:val="32"/>
          <w:szCs w:val="32"/>
          <w:lang w:bidi="ar"/>
        </w:rPr>
        <w:t>5</w:t>
      </w:r>
      <w:r>
        <w:rPr>
          <w:rFonts w:ascii="Times New Roman" w:eastAsia="方正仿宋_GBK" w:hAnsi="Times New Roman" w:cs="Times New Roman" w:hint="eastAsia"/>
          <w:sz w:val="32"/>
          <w:szCs w:val="32"/>
          <w:lang w:bidi="ar"/>
        </w:rPr>
        <w:t>人。</w:t>
      </w:r>
    </w:p>
    <w:p w:rsidR="00BB2470" w:rsidRDefault="00B02293">
      <w:pPr>
        <w:pStyle w:val="a5"/>
        <w:shd w:val="clear" w:color="auto" w:fill="FFFFFF"/>
        <w:spacing w:beforeAutospacing="0" w:afterAutospacing="0" w:line="560" w:lineRule="exact"/>
        <w:ind w:firstLineChars="200" w:firstLine="643"/>
        <w:jc w:val="both"/>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（三）单位构成。</w:t>
      </w:r>
    </w:p>
    <w:p w:rsidR="00BB2470" w:rsidRDefault="00B02293">
      <w:pPr>
        <w:pStyle w:val="a5"/>
        <w:shd w:val="clear" w:color="auto" w:fill="FFFFFF"/>
        <w:spacing w:beforeAutospacing="0" w:afterAutospacing="0" w:line="560" w:lineRule="exact"/>
        <w:ind w:firstLineChars="200" w:firstLine="560"/>
        <w:jc w:val="both"/>
        <w:rPr>
          <w:sz w:val="28"/>
          <w:szCs w:val="28"/>
        </w:rPr>
      </w:pPr>
      <w:r>
        <w:rPr>
          <w:rFonts w:ascii="仿宋_GB2312" w:eastAsia="仿宋_GB2312" w:hAnsi="仿宋_GB2312" w:cs="仿宋_GB2312" w:hint="eastAsia"/>
          <w:bCs/>
          <w:sz w:val="28"/>
          <w:szCs w:val="28"/>
          <w:shd w:val="clear" w:color="auto" w:fill="FFFFFF"/>
        </w:rPr>
        <w:t>中</w:t>
      </w:r>
      <w:r>
        <w:rPr>
          <w:rFonts w:ascii="Times New Roman" w:eastAsia="方正仿宋_GBK" w:hAnsi="Times New Roman" w:cs="Times New Roman" w:hint="eastAsia"/>
          <w:sz w:val="32"/>
          <w:szCs w:val="32"/>
          <w:lang w:bidi="ar"/>
        </w:rPr>
        <w:t>心内设行政办公室、疾病预防控制科、健康教育科、卫生科、检验科、财务科、结核防治科、预防接种科等</w:t>
      </w:r>
      <w:r>
        <w:rPr>
          <w:rFonts w:ascii="Times New Roman" w:eastAsia="方正仿宋_GBK" w:hAnsi="Times New Roman" w:cs="Times New Roman" w:hint="eastAsia"/>
          <w:sz w:val="32"/>
          <w:szCs w:val="32"/>
          <w:lang w:bidi="ar"/>
        </w:rPr>
        <w:t>7</w:t>
      </w:r>
      <w:r>
        <w:rPr>
          <w:rFonts w:ascii="Times New Roman" w:eastAsia="方正仿宋_GBK" w:hAnsi="Times New Roman" w:cs="Times New Roman" w:hint="eastAsia"/>
          <w:sz w:val="32"/>
          <w:szCs w:val="32"/>
          <w:lang w:bidi="ar"/>
        </w:rPr>
        <w:t>科</w:t>
      </w:r>
      <w:r>
        <w:rPr>
          <w:rFonts w:ascii="Times New Roman" w:eastAsia="方正仿宋_GBK" w:hAnsi="Times New Roman" w:cs="Times New Roman" w:hint="eastAsia"/>
          <w:sz w:val="32"/>
          <w:szCs w:val="32"/>
          <w:lang w:bidi="ar"/>
        </w:rPr>
        <w:t>1</w:t>
      </w:r>
      <w:r>
        <w:rPr>
          <w:rFonts w:ascii="Times New Roman" w:eastAsia="方正仿宋_GBK" w:hAnsi="Times New Roman" w:cs="Times New Roman" w:hint="eastAsia"/>
          <w:sz w:val="32"/>
          <w:szCs w:val="32"/>
          <w:lang w:bidi="ar"/>
        </w:rPr>
        <w:t>室。</w:t>
      </w:r>
    </w:p>
    <w:p w:rsidR="00BB2470" w:rsidRDefault="00B02293">
      <w:pPr>
        <w:pStyle w:val="a7"/>
        <w:tabs>
          <w:tab w:val="center" w:pos="4153"/>
          <w:tab w:val="left" w:pos="7275"/>
        </w:tabs>
        <w:spacing w:line="596" w:lineRule="exact"/>
        <w:ind w:firstLine="640"/>
        <w:rPr>
          <w:rFonts w:ascii="方正黑体_GBK" w:eastAsia="方正黑体_GBK" w:hAnsi="Times New Roman"/>
          <w:sz w:val="32"/>
          <w:szCs w:val="32"/>
        </w:rPr>
      </w:pPr>
      <w:r>
        <w:rPr>
          <w:rFonts w:ascii="方正黑体_GBK" w:eastAsia="方正黑体_GBK" w:hAnsi="Times New Roman" w:hint="eastAsia"/>
          <w:sz w:val="32"/>
          <w:szCs w:val="32"/>
        </w:rPr>
        <w:t>二、部门决算情况说明</w:t>
      </w:r>
    </w:p>
    <w:p w:rsidR="00BB2470" w:rsidRDefault="00B02293">
      <w:pPr>
        <w:pStyle w:val="a5"/>
        <w:shd w:val="clear" w:color="auto" w:fill="FFFFFF"/>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 xml:space="preserve"> </w:t>
      </w:r>
      <w:r>
        <w:rPr>
          <w:rFonts w:ascii="方正仿宋_GBK" w:eastAsia="方正仿宋_GBK" w:hAnsi="Times New Roman" w:cs="Times New Roman" w:hint="eastAsia"/>
          <w:b/>
          <w:color w:val="333333"/>
          <w:kern w:val="2"/>
          <w:sz w:val="32"/>
          <w:szCs w:val="32"/>
        </w:rPr>
        <w:t>（一）收入支出决算总体情况说明</w:t>
      </w:r>
    </w:p>
    <w:p w:rsidR="00BB2470" w:rsidRDefault="00B02293">
      <w:pPr>
        <w:pStyle w:val="a5"/>
        <w:shd w:val="clear" w:color="auto" w:fill="FFFFFF"/>
        <w:ind w:firstLineChars="200" w:firstLine="562"/>
        <w:rPr>
          <w:rFonts w:ascii="Times New Roman" w:eastAsia="方正仿宋_GBK" w:hAnsi="Times New Roman" w:cs="Times New Roman"/>
          <w:sz w:val="32"/>
          <w:szCs w:val="32"/>
          <w:lang w:bidi="ar"/>
        </w:rPr>
      </w:pPr>
      <w:r>
        <w:rPr>
          <w:rStyle w:val="a6"/>
          <w:sz w:val="28"/>
          <w:szCs w:val="28"/>
        </w:rPr>
        <w:lastRenderedPageBreak/>
        <w:t>1.</w:t>
      </w:r>
      <w:r>
        <w:rPr>
          <w:rStyle w:val="a6"/>
          <w:sz w:val="28"/>
          <w:szCs w:val="28"/>
        </w:rPr>
        <w:t>总体情况。</w:t>
      </w:r>
      <w:r>
        <w:rPr>
          <w:rFonts w:ascii="Times New Roman" w:eastAsia="方正仿宋_GBK" w:hAnsi="Times New Roman" w:cs="Times New Roman" w:hint="eastAsia"/>
          <w:sz w:val="32"/>
          <w:szCs w:val="32"/>
          <w:lang w:bidi="ar"/>
        </w:rPr>
        <w:t>2022</w:t>
      </w:r>
      <w:r>
        <w:rPr>
          <w:rFonts w:ascii="Times New Roman" w:eastAsia="方正仿宋_GBK" w:hAnsi="Times New Roman" w:cs="Times New Roman" w:hint="eastAsia"/>
          <w:sz w:val="32"/>
          <w:szCs w:val="32"/>
          <w:lang w:bidi="ar"/>
        </w:rPr>
        <w:t>年度收入总计</w:t>
      </w:r>
      <w:r>
        <w:rPr>
          <w:rFonts w:ascii="Times New Roman" w:eastAsia="方正仿宋_GBK" w:hAnsi="Times New Roman" w:cs="Times New Roman" w:hint="eastAsia"/>
          <w:sz w:val="32"/>
          <w:szCs w:val="32"/>
          <w:lang w:bidi="ar"/>
        </w:rPr>
        <w:t>2,497.90</w:t>
      </w:r>
      <w:r>
        <w:rPr>
          <w:rFonts w:ascii="Times New Roman" w:eastAsia="方正仿宋_GBK" w:hAnsi="Times New Roman" w:cs="Times New Roman" w:hint="eastAsia"/>
          <w:sz w:val="32"/>
          <w:szCs w:val="32"/>
          <w:lang w:bidi="ar"/>
        </w:rPr>
        <w:t>万元，支出总计</w:t>
      </w:r>
      <w:r>
        <w:rPr>
          <w:rFonts w:ascii="Times New Roman" w:eastAsia="方正仿宋_GBK" w:hAnsi="Times New Roman" w:cs="Times New Roman" w:hint="eastAsia"/>
          <w:sz w:val="32"/>
          <w:szCs w:val="32"/>
          <w:lang w:bidi="ar"/>
        </w:rPr>
        <w:t>2,497.90</w:t>
      </w:r>
      <w:r>
        <w:rPr>
          <w:rFonts w:ascii="Times New Roman" w:eastAsia="方正仿宋_GBK" w:hAnsi="Times New Roman" w:cs="Times New Roman" w:hint="eastAsia"/>
          <w:sz w:val="32"/>
          <w:szCs w:val="32"/>
          <w:lang w:bidi="ar"/>
        </w:rPr>
        <w:t>万元。收支较上年决算数增加</w:t>
      </w:r>
      <w:r>
        <w:rPr>
          <w:rFonts w:ascii="Times New Roman" w:eastAsia="方正仿宋_GBK" w:hAnsi="Times New Roman" w:cs="Times New Roman" w:hint="eastAsia"/>
          <w:sz w:val="32"/>
          <w:szCs w:val="32"/>
          <w:lang w:bidi="ar"/>
        </w:rPr>
        <w:t>52.57</w:t>
      </w:r>
      <w:r>
        <w:rPr>
          <w:rFonts w:ascii="Times New Roman" w:eastAsia="方正仿宋_GBK" w:hAnsi="Times New Roman" w:cs="Times New Roman" w:hint="eastAsia"/>
          <w:sz w:val="32"/>
          <w:szCs w:val="32"/>
          <w:lang w:bidi="ar"/>
        </w:rPr>
        <w:t>万元</w:t>
      </w:r>
      <w:r>
        <w:rPr>
          <w:rFonts w:ascii="Times New Roman" w:eastAsia="方正仿宋_GBK" w:hAnsi="Times New Roman" w:cs="Times New Roman" w:hint="eastAsia"/>
          <w:sz w:val="32"/>
          <w:szCs w:val="32"/>
          <w:lang w:bidi="ar"/>
        </w:rPr>
        <w:t>,</w:t>
      </w:r>
      <w:r>
        <w:rPr>
          <w:rFonts w:ascii="Times New Roman" w:eastAsia="方正仿宋_GBK" w:hAnsi="Times New Roman" w:cs="Times New Roman" w:hint="eastAsia"/>
          <w:sz w:val="32"/>
          <w:szCs w:val="32"/>
          <w:lang w:bidi="ar"/>
        </w:rPr>
        <w:t>增长</w:t>
      </w:r>
      <w:r>
        <w:rPr>
          <w:rFonts w:ascii="Times New Roman" w:eastAsia="方正仿宋_GBK" w:hAnsi="Times New Roman" w:cs="Times New Roman" w:hint="eastAsia"/>
          <w:sz w:val="32"/>
          <w:szCs w:val="32"/>
          <w:lang w:bidi="ar"/>
        </w:rPr>
        <w:t>2.1%</w:t>
      </w:r>
      <w:r>
        <w:rPr>
          <w:rFonts w:ascii="Times New Roman" w:eastAsia="方正仿宋_GBK" w:hAnsi="Times New Roman" w:cs="Times New Roman" w:hint="eastAsia"/>
          <w:sz w:val="32"/>
          <w:szCs w:val="32"/>
          <w:lang w:bidi="ar"/>
        </w:rPr>
        <w:t>，主要原因是</w:t>
      </w:r>
      <w:r>
        <w:rPr>
          <w:rFonts w:ascii="Times New Roman" w:eastAsia="方正仿宋_GBK" w:hAnsi="Times New Roman" w:cs="Times New Roman" w:hint="eastAsia"/>
          <w:sz w:val="32"/>
          <w:szCs w:val="32"/>
          <w:lang w:bidi="ar"/>
        </w:rPr>
        <w:t>22</w:t>
      </w:r>
      <w:r>
        <w:rPr>
          <w:rFonts w:ascii="Times New Roman" w:eastAsia="方正仿宋_GBK" w:hAnsi="Times New Roman" w:cs="Times New Roman" w:hint="eastAsia"/>
          <w:sz w:val="32"/>
          <w:szCs w:val="32"/>
          <w:lang w:bidi="ar"/>
        </w:rPr>
        <w:t>年中心事业收入增加。</w:t>
      </w:r>
    </w:p>
    <w:p w:rsidR="00BB2470" w:rsidRDefault="00B02293">
      <w:pPr>
        <w:pStyle w:val="a5"/>
        <w:shd w:val="clear" w:color="auto" w:fill="FFFFFF"/>
        <w:ind w:firstLineChars="200" w:firstLine="562"/>
        <w:rPr>
          <w:rFonts w:ascii="Times New Roman" w:eastAsia="方正仿宋_GBK" w:hAnsi="Times New Roman" w:cs="Times New Roman"/>
          <w:sz w:val="32"/>
          <w:szCs w:val="32"/>
          <w:lang w:bidi="ar"/>
        </w:rPr>
      </w:pPr>
      <w:r>
        <w:rPr>
          <w:rStyle w:val="a6"/>
          <w:sz w:val="28"/>
          <w:szCs w:val="28"/>
        </w:rPr>
        <w:t>2.</w:t>
      </w:r>
      <w:r>
        <w:rPr>
          <w:rStyle w:val="a6"/>
          <w:sz w:val="28"/>
          <w:szCs w:val="28"/>
        </w:rPr>
        <w:t>收入情况。</w:t>
      </w:r>
      <w:r>
        <w:rPr>
          <w:rFonts w:ascii="Times New Roman" w:eastAsia="方正仿宋_GBK" w:hAnsi="Times New Roman" w:cs="Times New Roman" w:hint="eastAsia"/>
          <w:sz w:val="32"/>
          <w:szCs w:val="32"/>
          <w:lang w:bidi="ar"/>
        </w:rPr>
        <w:t>2022</w:t>
      </w:r>
      <w:r>
        <w:rPr>
          <w:rFonts w:ascii="Times New Roman" w:eastAsia="方正仿宋_GBK" w:hAnsi="Times New Roman" w:cs="Times New Roman" w:hint="eastAsia"/>
          <w:sz w:val="32"/>
          <w:szCs w:val="32"/>
          <w:lang w:bidi="ar"/>
        </w:rPr>
        <w:t>年度收入合计</w:t>
      </w:r>
      <w:r>
        <w:rPr>
          <w:rFonts w:ascii="Times New Roman" w:eastAsia="方正仿宋_GBK" w:hAnsi="Times New Roman" w:cs="Times New Roman" w:hint="eastAsia"/>
          <w:sz w:val="32"/>
          <w:szCs w:val="32"/>
          <w:lang w:bidi="ar"/>
        </w:rPr>
        <w:t>2,497.90</w:t>
      </w:r>
      <w:r>
        <w:rPr>
          <w:rFonts w:ascii="Times New Roman" w:eastAsia="方正仿宋_GBK" w:hAnsi="Times New Roman" w:cs="Times New Roman" w:hint="eastAsia"/>
          <w:sz w:val="32"/>
          <w:szCs w:val="32"/>
          <w:lang w:bidi="ar"/>
        </w:rPr>
        <w:t>万元，较上年决算数增加</w:t>
      </w:r>
      <w:r>
        <w:rPr>
          <w:rFonts w:ascii="Times New Roman" w:eastAsia="方正仿宋_GBK" w:hAnsi="Times New Roman" w:cs="Times New Roman" w:hint="eastAsia"/>
          <w:sz w:val="32"/>
          <w:szCs w:val="32"/>
          <w:lang w:bidi="ar"/>
        </w:rPr>
        <w:t>89.13</w:t>
      </w:r>
      <w:r>
        <w:rPr>
          <w:rFonts w:ascii="Times New Roman" w:eastAsia="方正仿宋_GBK" w:hAnsi="Times New Roman" w:cs="Times New Roman" w:hint="eastAsia"/>
          <w:sz w:val="32"/>
          <w:szCs w:val="32"/>
          <w:lang w:bidi="ar"/>
        </w:rPr>
        <w:t>万元，增长</w:t>
      </w:r>
      <w:r>
        <w:rPr>
          <w:rFonts w:ascii="Times New Roman" w:eastAsia="方正仿宋_GBK" w:hAnsi="Times New Roman" w:cs="Times New Roman" w:hint="eastAsia"/>
          <w:sz w:val="32"/>
          <w:szCs w:val="32"/>
          <w:lang w:bidi="ar"/>
        </w:rPr>
        <w:t>3.7%</w:t>
      </w:r>
      <w:r>
        <w:rPr>
          <w:rFonts w:ascii="Times New Roman" w:eastAsia="方正仿宋_GBK" w:hAnsi="Times New Roman" w:cs="Times New Roman" w:hint="eastAsia"/>
          <w:sz w:val="32"/>
          <w:szCs w:val="32"/>
          <w:lang w:bidi="ar"/>
        </w:rPr>
        <w:t>，主要原因是</w:t>
      </w:r>
      <w:r>
        <w:rPr>
          <w:rFonts w:ascii="Times New Roman" w:eastAsia="方正仿宋_GBK" w:hAnsi="Times New Roman" w:cs="Times New Roman" w:hint="eastAsia"/>
          <w:sz w:val="32"/>
          <w:szCs w:val="32"/>
          <w:lang w:bidi="ar"/>
        </w:rPr>
        <w:t>22</w:t>
      </w:r>
      <w:r>
        <w:rPr>
          <w:rFonts w:ascii="Times New Roman" w:eastAsia="方正仿宋_GBK" w:hAnsi="Times New Roman" w:cs="Times New Roman" w:hint="eastAsia"/>
          <w:sz w:val="32"/>
          <w:szCs w:val="32"/>
          <w:lang w:bidi="ar"/>
        </w:rPr>
        <w:t>年中心事业收入增加。其中：财政拨款收入</w:t>
      </w:r>
      <w:r>
        <w:rPr>
          <w:rFonts w:ascii="Times New Roman" w:eastAsia="方正仿宋_GBK" w:hAnsi="Times New Roman" w:cs="Times New Roman" w:hint="eastAsia"/>
          <w:sz w:val="32"/>
          <w:szCs w:val="32"/>
          <w:lang w:bidi="ar"/>
        </w:rPr>
        <w:t>1,080.12</w:t>
      </w:r>
      <w:r>
        <w:rPr>
          <w:rFonts w:ascii="Times New Roman" w:eastAsia="方正仿宋_GBK" w:hAnsi="Times New Roman" w:cs="Times New Roman" w:hint="eastAsia"/>
          <w:sz w:val="32"/>
          <w:szCs w:val="32"/>
          <w:lang w:bidi="ar"/>
        </w:rPr>
        <w:t>万元，占</w:t>
      </w:r>
      <w:r>
        <w:rPr>
          <w:rFonts w:ascii="Times New Roman" w:eastAsia="方正仿宋_GBK" w:hAnsi="Times New Roman" w:cs="Times New Roman" w:hint="eastAsia"/>
          <w:sz w:val="32"/>
          <w:szCs w:val="32"/>
          <w:lang w:bidi="ar"/>
        </w:rPr>
        <w:t>43.2%</w:t>
      </w:r>
      <w:r>
        <w:rPr>
          <w:rFonts w:ascii="Times New Roman" w:eastAsia="方正仿宋_GBK" w:hAnsi="Times New Roman" w:cs="Times New Roman" w:hint="eastAsia"/>
          <w:sz w:val="32"/>
          <w:szCs w:val="32"/>
          <w:lang w:bidi="ar"/>
        </w:rPr>
        <w:t>；事业收入</w:t>
      </w:r>
      <w:r>
        <w:rPr>
          <w:rFonts w:ascii="Times New Roman" w:eastAsia="方正仿宋_GBK" w:hAnsi="Times New Roman" w:cs="Times New Roman" w:hint="eastAsia"/>
          <w:sz w:val="32"/>
          <w:szCs w:val="32"/>
          <w:lang w:bidi="ar"/>
        </w:rPr>
        <w:t>1,258.49</w:t>
      </w:r>
      <w:r>
        <w:rPr>
          <w:rFonts w:ascii="Times New Roman" w:eastAsia="方正仿宋_GBK" w:hAnsi="Times New Roman" w:cs="Times New Roman" w:hint="eastAsia"/>
          <w:sz w:val="32"/>
          <w:szCs w:val="32"/>
          <w:lang w:bidi="ar"/>
        </w:rPr>
        <w:t>万元，占</w:t>
      </w:r>
      <w:r>
        <w:rPr>
          <w:rFonts w:ascii="Times New Roman" w:eastAsia="方正仿宋_GBK" w:hAnsi="Times New Roman" w:cs="Times New Roman" w:hint="eastAsia"/>
          <w:sz w:val="32"/>
          <w:szCs w:val="32"/>
          <w:lang w:bidi="ar"/>
        </w:rPr>
        <w:t>50.4%</w:t>
      </w:r>
      <w:r>
        <w:rPr>
          <w:rFonts w:ascii="Times New Roman" w:eastAsia="方正仿宋_GBK" w:hAnsi="Times New Roman" w:cs="Times New Roman" w:hint="eastAsia"/>
          <w:sz w:val="32"/>
          <w:szCs w:val="32"/>
          <w:lang w:bidi="ar"/>
        </w:rPr>
        <w:t>；经营收入</w:t>
      </w:r>
      <w:r>
        <w:rPr>
          <w:rFonts w:ascii="Times New Roman" w:eastAsia="方正仿宋_GBK" w:hAnsi="Times New Roman" w:cs="Times New Roman" w:hint="eastAsia"/>
          <w:sz w:val="32"/>
          <w:szCs w:val="32"/>
          <w:lang w:bidi="ar"/>
        </w:rPr>
        <w:t>0.00</w:t>
      </w:r>
      <w:r>
        <w:rPr>
          <w:rFonts w:ascii="Times New Roman" w:eastAsia="方正仿宋_GBK" w:hAnsi="Times New Roman" w:cs="Times New Roman" w:hint="eastAsia"/>
          <w:sz w:val="32"/>
          <w:szCs w:val="32"/>
          <w:lang w:bidi="ar"/>
        </w:rPr>
        <w:t>万元，占</w:t>
      </w:r>
      <w:r>
        <w:rPr>
          <w:rFonts w:ascii="Times New Roman" w:eastAsia="方正仿宋_GBK" w:hAnsi="Times New Roman" w:cs="Times New Roman" w:hint="eastAsia"/>
          <w:sz w:val="32"/>
          <w:szCs w:val="32"/>
          <w:lang w:bidi="ar"/>
        </w:rPr>
        <w:t>0%</w:t>
      </w:r>
      <w:r>
        <w:rPr>
          <w:rFonts w:ascii="Times New Roman" w:eastAsia="方正仿宋_GBK" w:hAnsi="Times New Roman" w:cs="Times New Roman" w:hint="eastAsia"/>
          <w:sz w:val="32"/>
          <w:szCs w:val="32"/>
          <w:lang w:bidi="ar"/>
        </w:rPr>
        <w:t>；其他收入</w:t>
      </w:r>
      <w:r>
        <w:rPr>
          <w:rFonts w:ascii="Times New Roman" w:eastAsia="方正仿宋_GBK" w:hAnsi="Times New Roman" w:cs="Times New Roman" w:hint="eastAsia"/>
          <w:sz w:val="32"/>
          <w:szCs w:val="32"/>
          <w:lang w:bidi="ar"/>
        </w:rPr>
        <w:t>159.28</w:t>
      </w:r>
      <w:r>
        <w:rPr>
          <w:rFonts w:ascii="Times New Roman" w:eastAsia="方正仿宋_GBK" w:hAnsi="Times New Roman" w:cs="Times New Roman" w:hint="eastAsia"/>
          <w:sz w:val="32"/>
          <w:szCs w:val="32"/>
          <w:lang w:bidi="ar"/>
        </w:rPr>
        <w:t>万元，占</w:t>
      </w:r>
      <w:r>
        <w:rPr>
          <w:rFonts w:ascii="Times New Roman" w:eastAsia="方正仿宋_GBK" w:hAnsi="Times New Roman" w:cs="Times New Roman" w:hint="eastAsia"/>
          <w:sz w:val="32"/>
          <w:szCs w:val="32"/>
          <w:lang w:bidi="ar"/>
        </w:rPr>
        <w:t>6.4%</w:t>
      </w:r>
      <w:r>
        <w:rPr>
          <w:rFonts w:ascii="Times New Roman" w:eastAsia="方正仿宋_GBK" w:hAnsi="Times New Roman" w:cs="Times New Roman" w:hint="eastAsia"/>
          <w:sz w:val="32"/>
          <w:szCs w:val="32"/>
          <w:lang w:bidi="ar"/>
        </w:rPr>
        <w:t>。此外，使用非财政拨款结余</w:t>
      </w:r>
      <w:r>
        <w:rPr>
          <w:rFonts w:ascii="Times New Roman" w:eastAsia="方正仿宋_GBK" w:hAnsi="Times New Roman" w:cs="Times New Roman" w:hint="eastAsia"/>
          <w:sz w:val="32"/>
          <w:szCs w:val="32"/>
          <w:lang w:bidi="ar"/>
        </w:rPr>
        <w:t>0.00</w:t>
      </w:r>
      <w:r>
        <w:rPr>
          <w:rFonts w:ascii="Times New Roman" w:eastAsia="方正仿宋_GBK" w:hAnsi="Times New Roman" w:cs="Times New Roman" w:hint="eastAsia"/>
          <w:sz w:val="32"/>
          <w:szCs w:val="32"/>
          <w:lang w:bidi="ar"/>
        </w:rPr>
        <w:t>万元，年初结转和结余</w:t>
      </w:r>
      <w:r>
        <w:rPr>
          <w:rFonts w:ascii="Times New Roman" w:eastAsia="方正仿宋_GBK" w:hAnsi="Times New Roman" w:cs="Times New Roman" w:hint="eastAsia"/>
          <w:sz w:val="32"/>
          <w:szCs w:val="32"/>
          <w:lang w:bidi="ar"/>
        </w:rPr>
        <w:t>0.00</w:t>
      </w:r>
      <w:r>
        <w:rPr>
          <w:rFonts w:ascii="Times New Roman" w:eastAsia="方正仿宋_GBK" w:hAnsi="Times New Roman" w:cs="Times New Roman" w:hint="eastAsia"/>
          <w:sz w:val="32"/>
          <w:szCs w:val="32"/>
          <w:lang w:bidi="ar"/>
        </w:rPr>
        <w:t>万元。</w:t>
      </w:r>
    </w:p>
    <w:p w:rsidR="00BB2470" w:rsidRDefault="00B02293">
      <w:pPr>
        <w:pStyle w:val="a5"/>
        <w:shd w:val="clear" w:color="auto" w:fill="FFFFFF"/>
        <w:ind w:firstLineChars="200" w:firstLine="562"/>
        <w:rPr>
          <w:rFonts w:ascii="Times New Roman" w:eastAsia="方正仿宋_GBK" w:hAnsi="Times New Roman" w:cs="Times New Roman"/>
          <w:sz w:val="32"/>
          <w:szCs w:val="32"/>
          <w:lang w:bidi="ar"/>
        </w:rPr>
      </w:pPr>
      <w:r>
        <w:rPr>
          <w:rStyle w:val="a6"/>
          <w:sz w:val="28"/>
          <w:szCs w:val="28"/>
        </w:rPr>
        <w:t>3.</w:t>
      </w:r>
      <w:r>
        <w:rPr>
          <w:rStyle w:val="a6"/>
          <w:sz w:val="28"/>
          <w:szCs w:val="28"/>
        </w:rPr>
        <w:t>支出情况。</w:t>
      </w:r>
      <w:r>
        <w:rPr>
          <w:rFonts w:ascii="Times New Roman" w:eastAsia="方正仿宋_GBK" w:hAnsi="Times New Roman" w:cs="Times New Roman" w:hint="eastAsia"/>
          <w:sz w:val="32"/>
          <w:szCs w:val="32"/>
          <w:lang w:bidi="ar"/>
        </w:rPr>
        <w:t>2022</w:t>
      </w:r>
      <w:r>
        <w:rPr>
          <w:rFonts w:ascii="Times New Roman" w:eastAsia="方正仿宋_GBK" w:hAnsi="Times New Roman" w:cs="Times New Roman" w:hint="eastAsia"/>
          <w:sz w:val="32"/>
          <w:szCs w:val="32"/>
          <w:lang w:bidi="ar"/>
        </w:rPr>
        <w:t>年度支出合计</w:t>
      </w:r>
      <w:r>
        <w:rPr>
          <w:rFonts w:ascii="Times New Roman" w:eastAsia="方正仿宋_GBK" w:hAnsi="Times New Roman" w:cs="Times New Roman" w:hint="eastAsia"/>
          <w:sz w:val="32"/>
          <w:szCs w:val="32"/>
          <w:lang w:bidi="ar"/>
        </w:rPr>
        <w:t>2,245.00</w:t>
      </w:r>
      <w:r>
        <w:rPr>
          <w:rFonts w:ascii="Times New Roman" w:eastAsia="方正仿宋_GBK" w:hAnsi="Times New Roman" w:cs="Times New Roman" w:hint="eastAsia"/>
          <w:sz w:val="32"/>
          <w:szCs w:val="32"/>
          <w:lang w:bidi="ar"/>
        </w:rPr>
        <w:t>万元，较上年决算增加</w:t>
      </w:r>
      <w:r>
        <w:rPr>
          <w:rFonts w:ascii="Times New Roman" w:eastAsia="方正仿宋_GBK" w:hAnsi="Times New Roman" w:cs="Times New Roman" w:hint="eastAsia"/>
          <w:sz w:val="32"/>
          <w:szCs w:val="32"/>
          <w:lang w:bidi="ar"/>
        </w:rPr>
        <w:t>274.96</w:t>
      </w:r>
      <w:r>
        <w:rPr>
          <w:rFonts w:ascii="Times New Roman" w:eastAsia="方正仿宋_GBK" w:hAnsi="Times New Roman" w:cs="Times New Roman" w:hint="eastAsia"/>
          <w:sz w:val="32"/>
          <w:szCs w:val="32"/>
          <w:lang w:bidi="ar"/>
        </w:rPr>
        <w:t>万元，增长</w:t>
      </w:r>
      <w:r>
        <w:rPr>
          <w:rFonts w:ascii="Times New Roman" w:eastAsia="方正仿宋_GBK" w:hAnsi="Times New Roman" w:cs="Times New Roman" w:hint="eastAsia"/>
          <w:sz w:val="32"/>
          <w:szCs w:val="32"/>
          <w:lang w:bidi="ar"/>
        </w:rPr>
        <w:t>10.9%</w:t>
      </w:r>
      <w:r>
        <w:rPr>
          <w:rFonts w:ascii="Times New Roman" w:eastAsia="方正仿宋_GBK" w:hAnsi="Times New Roman" w:cs="Times New Roman" w:hint="eastAsia"/>
          <w:sz w:val="32"/>
          <w:szCs w:val="32"/>
          <w:lang w:bidi="ar"/>
        </w:rPr>
        <w:t>，主要原因是</w:t>
      </w:r>
      <w:r>
        <w:rPr>
          <w:rFonts w:ascii="Times New Roman" w:eastAsia="方正仿宋_GBK" w:hAnsi="Times New Roman" w:cs="Times New Roman" w:hint="eastAsia"/>
          <w:sz w:val="32"/>
          <w:szCs w:val="32"/>
          <w:lang w:bidi="ar"/>
        </w:rPr>
        <w:t>22</w:t>
      </w:r>
      <w:r>
        <w:rPr>
          <w:rFonts w:ascii="Times New Roman" w:eastAsia="方正仿宋_GBK" w:hAnsi="Times New Roman" w:cs="Times New Roman" w:hint="eastAsia"/>
          <w:sz w:val="32"/>
          <w:szCs w:val="32"/>
          <w:lang w:bidi="ar"/>
        </w:rPr>
        <w:t>年人员经费支出增加。其中：基本支出</w:t>
      </w:r>
      <w:r>
        <w:rPr>
          <w:rFonts w:ascii="Times New Roman" w:eastAsia="方正仿宋_GBK" w:hAnsi="Times New Roman" w:cs="Times New Roman" w:hint="eastAsia"/>
          <w:sz w:val="32"/>
          <w:szCs w:val="32"/>
          <w:lang w:bidi="ar"/>
        </w:rPr>
        <w:t>1,552.16</w:t>
      </w:r>
      <w:r>
        <w:rPr>
          <w:rFonts w:ascii="Times New Roman" w:eastAsia="方正仿宋_GBK" w:hAnsi="Times New Roman" w:cs="Times New Roman" w:hint="eastAsia"/>
          <w:sz w:val="32"/>
          <w:szCs w:val="32"/>
          <w:lang w:bidi="ar"/>
        </w:rPr>
        <w:t>万元，占</w:t>
      </w:r>
      <w:r>
        <w:rPr>
          <w:rFonts w:ascii="Times New Roman" w:eastAsia="方正仿宋_GBK" w:hAnsi="Times New Roman" w:cs="Times New Roman" w:hint="eastAsia"/>
          <w:sz w:val="32"/>
          <w:szCs w:val="32"/>
          <w:lang w:bidi="ar"/>
        </w:rPr>
        <w:t>69.1%</w:t>
      </w:r>
      <w:r>
        <w:rPr>
          <w:rFonts w:ascii="Times New Roman" w:eastAsia="方正仿宋_GBK" w:hAnsi="Times New Roman" w:cs="Times New Roman" w:hint="eastAsia"/>
          <w:sz w:val="32"/>
          <w:szCs w:val="32"/>
          <w:lang w:bidi="ar"/>
        </w:rPr>
        <w:t>；项目支出</w:t>
      </w:r>
      <w:r>
        <w:rPr>
          <w:rFonts w:ascii="Times New Roman" w:eastAsia="方正仿宋_GBK" w:hAnsi="Times New Roman" w:cs="Times New Roman" w:hint="eastAsia"/>
          <w:sz w:val="32"/>
          <w:szCs w:val="32"/>
          <w:lang w:bidi="ar"/>
        </w:rPr>
        <w:t>692.84</w:t>
      </w:r>
      <w:r>
        <w:rPr>
          <w:rFonts w:ascii="Times New Roman" w:eastAsia="方正仿宋_GBK" w:hAnsi="Times New Roman" w:cs="Times New Roman" w:hint="eastAsia"/>
          <w:sz w:val="32"/>
          <w:szCs w:val="32"/>
          <w:lang w:bidi="ar"/>
        </w:rPr>
        <w:t>万元，占</w:t>
      </w:r>
      <w:r>
        <w:rPr>
          <w:rFonts w:ascii="Times New Roman" w:eastAsia="方正仿宋_GBK" w:hAnsi="Times New Roman" w:cs="Times New Roman" w:hint="eastAsia"/>
          <w:sz w:val="32"/>
          <w:szCs w:val="32"/>
          <w:lang w:bidi="ar"/>
        </w:rPr>
        <w:t>30.9%</w:t>
      </w:r>
      <w:r>
        <w:rPr>
          <w:rFonts w:ascii="Times New Roman" w:eastAsia="方正仿宋_GBK" w:hAnsi="Times New Roman" w:cs="Times New Roman" w:hint="eastAsia"/>
          <w:sz w:val="32"/>
          <w:szCs w:val="32"/>
          <w:lang w:bidi="ar"/>
        </w:rPr>
        <w:t>；</w:t>
      </w:r>
      <w:r>
        <w:rPr>
          <w:rFonts w:ascii="Times New Roman" w:eastAsia="方正仿宋_GBK" w:hAnsi="Times New Roman" w:cs="Times New Roman" w:hint="eastAsia"/>
          <w:sz w:val="32"/>
          <w:szCs w:val="32"/>
          <w:lang w:bidi="ar"/>
        </w:rPr>
        <w:t xml:space="preserve"> </w:t>
      </w:r>
    </w:p>
    <w:p w:rsidR="00BB2470" w:rsidRDefault="00B02293">
      <w:pPr>
        <w:pStyle w:val="a5"/>
        <w:shd w:val="clear" w:color="auto" w:fill="FFFFFF"/>
        <w:ind w:firstLineChars="200" w:firstLine="562"/>
        <w:rPr>
          <w:rStyle w:val="a6"/>
          <w:sz w:val="28"/>
          <w:szCs w:val="28"/>
        </w:rPr>
      </w:pPr>
      <w:r>
        <w:rPr>
          <w:rStyle w:val="a6"/>
          <w:sz w:val="28"/>
          <w:szCs w:val="28"/>
        </w:rPr>
        <w:t>4.</w:t>
      </w:r>
      <w:r>
        <w:rPr>
          <w:rStyle w:val="a6"/>
          <w:sz w:val="28"/>
          <w:szCs w:val="28"/>
        </w:rPr>
        <w:t>结转结余情况。</w:t>
      </w:r>
    </w:p>
    <w:p w:rsidR="00BB2470"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2022</w:t>
      </w:r>
      <w:r>
        <w:rPr>
          <w:rFonts w:ascii="Times New Roman" w:eastAsia="方正仿宋_GBK" w:hAnsi="Times New Roman" w:cs="Times New Roman" w:hint="eastAsia"/>
          <w:sz w:val="32"/>
          <w:szCs w:val="32"/>
          <w:lang w:bidi="ar"/>
        </w:rPr>
        <w:t>年度年末结转和结余</w:t>
      </w:r>
      <w:r>
        <w:rPr>
          <w:rFonts w:ascii="Times New Roman" w:eastAsia="方正仿宋_GBK" w:hAnsi="Times New Roman" w:cs="Times New Roman" w:hint="eastAsia"/>
          <w:sz w:val="32"/>
          <w:szCs w:val="32"/>
          <w:lang w:bidi="ar"/>
        </w:rPr>
        <w:t>252.89</w:t>
      </w:r>
      <w:r>
        <w:rPr>
          <w:rFonts w:ascii="Times New Roman" w:eastAsia="方正仿宋_GBK" w:hAnsi="Times New Roman" w:cs="Times New Roman" w:hint="eastAsia"/>
          <w:sz w:val="32"/>
          <w:szCs w:val="32"/>
          <w:lang w:bidi="ar"/>
        </w:rPr>
        <w:t>万元，较上年决算数增加</w:t>
      </w:r>
      <w:r>
        <w:rPr>
          <w:rFonts w:ascii="Times New Roman" w:eastAsia="方正仿宋_GBK" w:hAnsi="Times New Roman" w:cs="Times New Roman" w:hint="eastAsia"/>
          <w:sz w:val="32"/>
          <w:szCs w:val="32"/>
          <w:lang w:bidi="ar"/>
        </w:rPr>
        <w:t>252.89</w:t>
      </w:r>
      <w:r>
        <w:rPr>
          <w:rFonts w:ascii="Times New Roman" w:eastAsia="方正仿宋_GBK" w:hAnsi="Times New Roman" w:cs="Times New Roman" w:hint="eastAsia"/>
          <w:sz w:val="32"/>
          <w:szCs w:val="32"/>
          <w:lang w:bidi="ar"/>
        </w:rPr>
        <w:t>万元，增长</w:t>
      </w:r>
      <w:r>
        <w:rPr>
          <w:rFonts w:ascii="Times New Roman" w:eastAsia="方正仿宋_GBK" w:hAnsi="Times New Roman" w:cs="Times New Roman" w:hint="eastAsia"/>
          <w:sz w:val="32"/>
          <w:szCs w:val="32"/>
          <w:lang w:bidi="ar"/>
        </w:rPr>
        <w:t>%</w:t>
      </w:r>
      <w:r>
        <w:rPr>
          <w:rFonts w:ascii="Times New Roman" w:eastAsia="方正仿宋_GBK" w:hAnsi="Times New Roman" w:cs="Times New Roman" w:hint="eastAsia"/>
          <w:sz w:val="32"/>
          <w:szCs w:val="32"/>
          <w:lang w:bidi="ar"/>
        </w:rPr>
        <w:t>，主要原因是</w:t>
      </w:r>
      <w:proofErr w:type="gramStart"/>
      <w:r>
        <w:rPr>
          <w:rFonts w:ascii="Times New Roman" w:eastAsia="方正仿宋_GBK" w:hAnsi="Times New Roman" w:cs="Times New Roman" w:hint="eastAsia"/>
          <w:sz w:val="32"/>
          <w:szCs w:val="32"/>
          <w:lang w:bidi="ar"/>
        </w:rPr>
        <w:t>22</w:t>
      </w:r>
      <w:proofErr w:type="gramEnd"/>
      <w:r>
        <w:rPr>
          <w:rFonts w:ascii="Times New Roman" w:eastAsia="方正仿宋_GBK" w:hAnsi="Times New Roman" w:cs="Times New Roman" w:hint="eastAsia"/>
          <w:sz w:val="32"/>
          <w:szCs w:val="32"/>
          <w:lang w:bidi="ar"/>
        </w:rPr>
        <w:t>年度中心事业收入增加。</w:t>
      </w:r>
    </w:p>
    <w:p w:rsidR="00BB2470" w:rsidRDefault="00B02293">
      <w:pPr>
        <w:pStyle w:val="a5"/>
        <w:shd w:val="clear" w:color="auto" w:fill="FFFFFF"/>
        <w:spacing w:beforeAutospacing="0" w:afterAutospacing="0" w:line="560" w:lineRule="exact"/>
        <w:ind w:firstLineChars="200" w:firstLine="643"/>
        <w:jc w:val="both"/>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（二）财政拨款收入支出决算总体情况说明</w:t>
      </w:r>
    </w:p>
    <w:p w:rsidR="00BB2470"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2022</w:t>
      </w:r>
      <w:r>
        <w:rPr>
          <w:rFonts w:ascii="Times New Roman" w:eastAsia="方正仿宋_GBK" w:hAnsi="Times New Roman" w:cs="Times New Roman" w:hint="eastAsia"/>
          <w:sz w:val="32"/>
          <w:szCs w:val="32"/>
          <w:lang w:bidi="ar"/>
        </w:rPr>
        <w:t>年度财政拨款收、支总计</w:t>
      </w:r>
      <w:r>
        <w:rPr>
          <w:rFonts w:ascii="Times New Roman" w:eastAsia="方正仿宋_GBK" w:hAnsi="Times New Roman" w:cs="Times New Roman" w:hint="eastAsia"/>
          <w:sz w:val="32"/>
          <w:szCs w:val="32"/>
          <w:lang w:bidi="ar"/>
        </w:rPr>
        <w:t>1,080.12</w:t>
      </w:r>
      <w:r>
        <w:rPr>
          <w:rFonts w:ascii="Times New Roman" w:eastAsia="方正仿宋_GBK" w:hAnsi="Times New Roman" w:cs="Times New Roman" w:hint="eastAsia"/>
          <w:sz w:val="32"/>
          <w:szCs w:val="32"/>
          <w:lang w:bidi="ar"/>
        </w:rPr>
        <w:t>万元。与</w:t>
      </w:r>
      <w:r>
        <w:rPr>
          <w:rFonts w:ascii="Times New Roman" w:eastAsia="方正仿宋_GBK" w:hAnsi="Times New Roman" w:cs="Times New Roman" w:hint="eastAsia"/>
          <w:sz w:val="32"/>
          <w:szCs w:val="32"/>
          <w:lang w:bidi="ar"/>
        </w:rPr>
        <w:t>2021</w:t>
      </w:r>
      <w:r>
        <w:rPr>
          <w:rFonts w:ascii="Times New Roman" w:eastAsia="方正仿宋_GBK" w:hAnsi="Times New Roman" w:cs="Times New Roman" w:hint="eastAsia"/>
          <w:sz w:val="32"/>
          <w:szCs w:val="32"/>
          <w:lang w:bidi="ar"/>
        </w:rPr>
        <w:t>年相比，财政拨款收、支总计各增加</w:t>
      </w:r>
      <w:r>
        <w:rPr>
          <w:rFonts w:ascii="Times New Roman" w:eastAsia="方正仿宋_GBK" w:hAnsi="Times New Roman" w:cs="Times New Roman" w:hint="eastAsia"/>
          <w:sz w:val="32"/>
          <w:szCs w:val="32"/>
          <w:lang w:bidi="ar"/>
        </w:rPr>
        <w:t>796.86</w:t>
      </w:r>
      <w:r>
        <w:rPr>
          <w:rFonts w:ascii="Times New Roman" w:eastAsia="方正仿宋_GBK" w:hAnsi="Times New Roman" w:cs="Times New Roman" w:hint="eastAsia"/>
          <w:sz w:val="32"/>
          <w:szCs w:val="32"/>
          <w:lang w:bidi="ar"/>
        </w:rPr>
        <w:t>万元</w:t>
      </w:r>
      <w:r>
        <w:rPr>
          <w:rFonts w:ascii="Times New Roman" w:eastAsia="方正仿宋_GBK" w:hAnsi="Times New Roman" w:cs="Times New Roman" w:hint="eastAsia"/>
          <w:sz w:val="32"/>
          <w:szCs w:val="32"/>
          <w:lang w:bidi="ar"/>
        </w:rPr>
        <w:t>，增长</w:t>
      </w:r>
      <w:r>
        <w:rPr>
          <w:rFonts w:ascii="Times New Roman" w:eastAsia="方正仿宋_GBK" w:hAnsi="Times New Roman" w:cs="Times New Roman" w:hint="eastAsia"/>
          <w:sz w:val="32"/>
          <w:szCs w:val="32"/>
          <w:lang w:bidi="ar"/>
        </w:rPr>
        <w:lastRenderedPageBreak/>
        <w:t>42.5%</w:t>
      </w:r>
      <w:r>
        <w:rPr>
          <w:rFonts w:ascii="Times New Roman" w:eastAsia="方正仿宋_GBK" w:hAnsi="Times New Roman" w:cs="Times New Roman" w:hint="eastAsia"/>
          <w:sz w:val="32"/>
          <w:szCs w:val="32"/>
          <w:lang w:bidi="ar"/>
        </w:rPr>
        <w:t>。主要原因是</w:t>
      </w:r>
      <w:proofErr w:type="gramStart"/>
      <w:r>
        <w:rPr>
          <w:rFonts w:ascii="Times New Roman" w:eastAsia="方正仿宋_GBK" w:hAnsi="Times New Roman" w:cs="Times New Roman" w:hint="eastAsia"/>
          <w:sz w:val="32"/>
          <w:szCs w:val="32"/>
          <w:lang w:bidi="ar"/>
        </w:rPr>
        <w:t>22</w:t>
      </w:r>
      <w:proofErr w:type="gramEnd"/>
      <w:r>
        <w:rPr>
          <w:rFonts w:ascii="Times New Roman" w:eastAsia="方正仿宋_GBK" w:hAnsi="Times New Roman" w:cs="Times New Roman" w:hint="eastAsia"/>
          <w:sz w:val="32"/>
          <w:szCs w:val="32"/>
          <w:lang w:bidi="ar"/>
        </w:rPr>
        <w:t>年度中央预算项目资金增加，财政投入加大。</w:t>
      </w:r>
      <w:r>
        <w:rPr>
          <w:rFonts w:ascii="Times New Roman" w:eastAsia="方正仿宋_GBK" w:hAnsi="Times New Roman" w:cs="Times New Roman" w:hint="eastAsia"/>
          <w:sz w:val="32"/>
          <w:szCs w:val="32"/>
          <w:lang w:bidi="ar"/>
        </w:rPr>
        <w:t xml:space="preserve"> </w:t>
      </w:r>
    </w:p>
    <w:p w:rsidR="00BB2470" w:rsidRDefault="00B02293">
      <w:pPr>
        <w:pStyle w:val="a5"/>
        <w:shd w:val="clear" w:color="auto" w:fill="FFFFFF"/>
        <w:ind w:firstLineChars="200" w:firstLine="643"/>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（三）一般公共预算财政拨款收入支出决算情况说明</w:t>
      </w:r>
    </w:p>
    <w:p w:rsidR="00BB2470" w:rsidRDefault="00B02293">
      <w:pPr>
        <w:pStyle w:val="a5"/>
        <w:shd w:val="clear" w:color="auto" w:fill="FFFFFF"/>
        <w:ind w:firstLineChars="200" w:firstLine="562"/>
        <w:rPr>
          <w:rFonts w:ascii="Times New Roman" w:eastAsia="方正仿宋_GBK" w:hAnsi="Times New Roman" w:cs="Times New Roman"/>
          <w:sz w:val="32"/>
          <w:szCs w:val="32"/>
          <w:lang w:bidi="ar"/>
        </w:rPr>
      </w:pPr>
      <w:r>
        <w:rPr>
          <w:rStyle w:val="a6"/>
          <w:sz w:val="28"/>
          <w:szCs w:val="28"/>
        </w:rPr>
        <w:t>1.</w:t>
      </w:r>
      <w:r>
        <w:rPr>
          <w:rStyle w:val="a6"/>
          <w:sz w:val="28"/>
          <w:szCs w:val="28"/>
        </w:rPr>
        <w:t>收入情况。</w:t>
      </w:r>
      <w:r>
        <w:rPr>
          <w:rFonts w:ascii="Times New Roman" w:eastAsia="方正仿宋_GBK" w:hAnsi="Times New Roman" w:cs="Times New Roman" w:hint="eastAsia"/>
          <w:sz w:val="32"/>
          <w:szCs w:val="32"/>
          <w:lang w:bidi="ar"/>
        </w:rPr>
        <w:t>2022</w:t>
      </w:r>
      <w:r>
        <w:rPr>
          <w:rFonts w:ascii="Times New Roman" w:eastAsia="方正仿宋_GBK" w:hAnsi="Times New Roman" w:cs="Times New Roman" w:hint="eastAsia"/>
          <w:sz w:val="32"/>
          <w:szCs w:val="32"/>
          <w:lang w:bidi="ar"/>
        </w:rPr>
        <w:t>年度一般公共预算财政拨款收入</w:t>
      </w:r>
      <w:r>
        <w:rPr>
          <w:rFonts w:ascii="Times New Roman" w:eastAsia="方正仿宋_GBK" w:hAnsi="Times New Roman" w:cs="Times New Roman" w:hint="eastAsia"/>
          <w:sz w:val="32"/>
          <w:szCs w:val="32"/>
          <w:lang w:bidi="ar"/>
        </w:rPr>
        <w:t>1,080.12</w:t>
      </w:r>
      <w:r>
        <w:rPr>
          <w:rFonts w:ascii="Times New Roman" w:eastAsia="方正仿宋_GBK" w:hAnsi="Times New Roman" w:cs="Times New Roman" w:hint="eastAsia"/>
          <w:sz w:val="32"/>
          <w:szCs w:val="32"/>
          <w:lang w:bidi="ar"/>
        </w:rPr>
        <w:t>万元，较上年决算数增加</w:t>
      </w:r>
      <w:r>
        <w:rPr>
          <w:rFonts w:ascii="Times New Roman" w:eastAsia="方正仿宋_GBK" w:hAnsi="Times New Roman" w:cs="Times New Roman" w:hint="eastAsia"/>
          <w:sz w:val="32"/>
          <w:szCs w:val="32"/>
          <w:lang w:bidi="ar"/>
        </w:rPr>
        <w:t>655.16</w:t>
      </w:r>
      <w:r>
        <w:rPr>
          <w:rFonts w:ascii="Times New Roman" w:eastAsia="方正仿宋_GBK" w:hAnsi="Times New Roman" w:cs="Times New Roman" w:hint="eastAsia"/>
          <w:sz w:val="32"/>
          <w:szCs w:val="32"/>
          <w:lang w:bidi="ar"/>
        </w:rPr>
        <w:t>万元，增长</w:t>
      </w:r>
      <w:r>
        <w:rPr>
          <w:rFonts w:ascii="Times New Roman" w:eastAsia="方正仿宋_GBK" w:hAnsi="Times New Roman" w:cs="Times New Roman" w:hint="eastAsia"/>
          <w:sz w:val="32"/>
          <w:szCs w:val="32"/>
          <w:lang w:bidi="ar"/>
        </w:rPr>
        <w:t>37.8%</w:t>
      </w:r>
      <w:r>
        <w:rPr>
          <w:rFonts w:ascii="Times New Roman" w:eastAsia="方正仿宋_GBK" w:hAnsi="Times New Roman" w:cs="Times New Roman" w:hint="eastAsia"/>
          <w:sz w:val="32"/>
          <w:szCs w:val="32"/>
          <w:lang w:bidi="ar"/>
        </w:rPr>
        <w:t>。主要原因是</w:t>
      </w:r>
      <w:proofErr w:type="gramStart"/>
      <w:r>
        <w:rPr>
          <w:rFonts w:ascii="Times New Roman" w:eastAsia="方正仿宋_GBK" w:hAnsi="Times New Roman" w:cs="Times New Roman" w:hint="eastAsia"/>
          <w:sz w:val="32"/>
          <w:szCs w:val="32"/>
          <w:lang w:bidi="ar"/>
        </w:rPr>
        <w:t>22</w:t>
      </w:r>
      <w:proofErr w:type="gramEnd"/>
      <w:r>
        <w:rPr>
          <w:rFonts w:ascii="Times New Roman" w:eastAsia="方正仿宋_GBK" w:hAnsi="Times New Roman" w:cs="Times New Roman" w:hint="eastAsia"/>
          <w:sz w:val="32"/>
          <w:szCs w:val="32"/>
          <w:lang w:bidi="ar"/>
        </w:rPr>
        <w:t>年度中央预算项目资金增加，财政投入加大。较年初预算数增加</w:t>
      </w:r>
      <w:r>
        <w:rPr>
          <w:rFonts w:ascii="Times New Roman" w:eastAsia="方正仿宋_GBK" w:hAnsi="Times New Roman" w:cs="Times New Roman" w:hint="eastAsia"/>
          <w:sz w:val="32"/>
          <w:szCs w:val="32"/>
          <w:lang w:bidi="ar"/>
        </w:rPr>
        <w:t>145.05</w:t>
      </w:r>
      <w:r>
        <w:rPr>
          <w:rFonts w:ascii="Times New Roman" w:eastAsia="方正仿宋_GBK" w:hAnsi="Times New Roman" w:cs="Times New Roman" w:hint="eastAsia"/>
          <w:sz w:val="32"/>
          <w:szCs w:val="32"/>
          <w:lang w:bidi="ar"/>
        </w:rPr>
        <w:t>万元，增长</w:t>
      </w:r>
      <w:r>
        <w:rPr>
          <w:rFonts w:ascii="Times New Roman" w:eastAsia="方正仿宋_GBK" w:hAnsi="Times New Roman" w:cs="Times New Roman" w:hint="eastAsia"/>
          <w:sz w:val="32"/>
          <w:szCs w:val="32"/>
          <w:lang w:bidi="ar"/>
        </w:rPr>
        <w:t>15.5%</w:t>
      </w:r>
      <w:r>
        <w:rPr>
          <w:rFonts w:ascii="Times New Roman" w:eastAsia="方正仿宋_GBK" w:hAnsi="Times New Roman" w:cs="Times New Roman" w:hint="eastAsia"/>
          <w:sz w:val="32"/>
          <w:szCs w:val="32"/>
          <w:lang w:bidi="ar"/>
        </w:rPr>
        <w:t>。主要原因是中央及市级相关项目工作经费为年中到位使用。</w:t>
      </w:r>
    </w:p>
    <w:p w:rsidR="00BB2470" w:rsidRDefault="00B02293">
      <w:pPr>
        <w:pStyle w:val="a5"/>
        <w:shd w:val="clear" w:color="auto" w:fill="FFFFFF"/>
        <w:ind w:firstLineChars="200" w:firstLine="562"/>
        <w:rPr>
          <w:rFonts w:ascii="Times New Roman" w:eastAsia="方正仿宋_GBK" w:hAnsi="Times New Roman" w:cs="Times New Roman"/>
          <w:sz w:val="32"/>
          <w:szCs w:val="32"/>
          <w:lang w:bidi="ar"/>
        </w:rPr>
      </w:pPr>
      <w:r>
        <w:rPr>
          <w:rStyle w:val="a6"/>
          <w:sz w:val="28"/>
          <w:szCs w:val="28"/>
        </w:rPr>
        <w:t>2.</w:t>
      </w:r>
      <w:r>
        <w:rPr>
          <w:rStyle w:val="a6"/>
          <w:sz w:val="28"/>
          <w:szCs w:val="28"/>
        </w:rPr>
        <w:t>支出情况。</w:t>
      </w:r>
      <w:r>
        <w:rPr>
          <w:rFonts w:ascii="Times New Roman" w:eastAsia="方正仿宋_GBK" w:hAnsi="Times New Roman" w:cs="Times New Roman" w:hint="eastAsia"/>
          <w:sz w:val="32"/>
          <w:szCs w:val="32"/>
          <w:lang w:bidi="ar"/>
        </w:rPr>
        <w:t>2022</w:t>
      </w:r>
      <w:r>
        <w:rPr>
          <w:rFonts w:ascii="Times New Roman" w:eastAsia="方正仿宋_GBK" w:hAnsi="Times New Roman" w:cs="Times New Roman" w:hint="eastAsia"/>
          <w:sz w:val="32"/>
          <w:szCs w:val="32"/>
          <w:lang w:bidi="ar"/>
        </w:rPr>
        <w:t>年度一般公共预算财政拨款支出</w:t>
      </w:r>
      <w:r>
        <w:rPr>
          <w:rFonts w:ascii="Times New Roman" w:eastAsia="方正仿宋_GBK" w:hAnsi="Times New Roman" w:cs="Times New Roman" w:hint="eastAsia"/>
          <w:sz w:val="32"/>
          <w:szCs w:val="32"/>
          <w:lang w:bidi="ar"/>
        </w:rPr>
        <w:t>1,080.12</w:t>
      </w:r>
      <w:r>
        <w:rPr>
          <w:rFonts w:ascii="Times New Roman" w:eastAsia="方正仿宋_GBK" w:hAnsi="Times New Roman" w:cs="Times New Roman" w:hint="eastAsia"/>
          <w:sz w:val="32"/>
          <w:szCs w:val="32"/>
          <w:lang w:bidi="ar"/>
        </w:rPr>
        <w:t>万元，较上年决算数增加</w:t>
      </w:r>
      <w:r>
        <w:rPr>
          <w:rFonts w:ascii="Times New Roman" w:eastAsia="方正仿宋_GBK" w:hAnsi="Times New Roman" w:cs="Times New Roman" w:hint="eastAsia"/>
          <w:sz w:val="32"/>
          <w:szCs w:val="32"/>
          <w:lang w:bidi="ar"/>
        </w:rPr>
        <w:t>676.86</w:t>
      </w:r>
      <w:r>
        <w:rPr>
          <w:rFonts w:ascii="Times New Roman" w:eastAsia="方正仿宋_GBK" w:hAnsi="Times New Roman" w:cs="Times New Roman" w:hint="eastAsia"/>
          <w:sz w:val="32"/>
          <w:szCs w:val="32"/>
          <w:lang w:bidi="ar"/>
        </w:rPr>
        <w:t>万元，增</w:t>
      </w:r>
      <w:r>
        <w:rPr>
          <w:rFonts w:ascii="Times New Roman" w:eastAsia="方正仿宋_GBK" w:hAnsi="Times New Roman" w:cs="Times New Roman" w:hint="eastAsia"/>
          <w:sz w:val="32"/>
          <w:szCs w:val="32"/>
          <w:lang w:bidi="ar"/>
        </w:rPr>
        <w:t>长</w:t>
      </w:r>
      <w:r>
        <w:rPr>
          <w:rFonts w:ascii="Times New Roman" w:eastAsia="方正仿宋_GBK" w:hAnsi="Times New Roman" w:cs="Times New Roman" w:hint="eastAsia"/>
          <w:sz w:val="32"/>
          <w:szCs w:val="32"/>
          <w:lang w:bidi="ar"/>
        </w:rPr>
        <w:t>38.5%</w:t>
      </w:r>
      <w:r>
        <w:rPr>
          <w:rFonts w:ascii="Times New Roman" w:eastAsia="方正仿宋_GBK" w:hAnsi="Times New Roman" w:cs="Times New Roman" w:hint="eastAsia"/>
          <w:sz w:val="32"/>
          <w:szCs w:val="32"/>
          <w:lang w:bidi="ar"/>
        </w:rPr>
        <w:t>。主要原因是</w:t>
      </w:r>
      <w:proofErr w:type="gramStart"/>
      <w:r>
        <w:rPr>
          <w:rFonts w:ascii="Times New Roman" w:eastAsia="方正仿宋_GBK" w:hAnsi="Times New Roman" w:cs="Times New Roman" w:hint="eastAsia"/>
          <w:sz w:val="32"/>
          <w:szCs w:val="32"/>
          <w:lang w:bidi="ar"/>
        </w:rPr>
        <w:t>22</w:t>
      </w:r>
      <w:proofErr w:type="gramEnd"/>
      <w:r>
        <w:rPr>
          <w:rFonts w:ascii="Times New Roman" w:eastAsia="方正仿宋_GBK" w:hAnsi="Times New Roman" w:cs="Times New Roman" w:hint="eastAsia"/>
          <w:sz w:val="32"/>
          <w:szCs w:val="32"/>
          <w:lang w:bidi="ar"/>
        </w:rPr>
        <w:t>年度中央预算项目资金增加，财政投入加大。较年初预算数增加</w:t>
      </w:r>
      <w:r>
        <w:rPr>
          <w:rFonts w:ascii="Times New Roman" w:eastAsia="方正仿宋_GBK" w:hAnsi="Times New Roman" w:cs="Times New Roman" w:hint="eastAsia"/>
          <w:sz w:val="32"/>
          <w:szCs w:val="32"/>
          <w:lang w:bidi="ar"/>
        </w:rPr>
        <w:t>145.05</w:t>
      </w:r>
      <w:r>
        <w:rPr>
          <w:rFonts w:ascii="Times New Roman" w:eastAsia="方正仿宋_GBK" w:hAnsi="Times New Roman" w:cs="Times New Roman" w:hint="eastAsia"/>
          <w:sz w:val="32"/>
          <w:szCs w:val="32"/>
          <w:lang w:bidi="ar"/>
        </w:rPr>
        <w:t>万元，增长</w:t>
      </w:r>
      <w:r>
        <w:rPr>
          <w:rFonts w:ascii="Times New Roman" w:eastAsia="方正仿宋_GBK" w:hAnsi="Times New Roman" w:cs="Times New Roman" w:hint="eastAsia"/>
          <w:sz w:val="32"/>
          <w:szCs w:val="32"/>
          <w:lang w:bidi="ar"/>
        </w:rPr>
        <w:t>15.5%</w:t>
      </w:r>
      <w:r>
        <w:rPr>
          <w:rFonts w:ascii="Times New Roman" w:eastAsia="方正仿宋_GBK" w:hAnsi="Times New Roman" w:cs="Times New Roman" w:hint="eastAsia"/>
          <w:sz w:val="32"/>
          <w:szCs w:val="32"/>
          <w:lang w:bidi="ar"/>
        </w:rPr>
        <w:t>。主要原因是</w:t>
      </w:r>
      <w:proofErr w:type="gramStart"/>
      <w:r>
        <w:rPr>
          <w:rFonts w:ascii="Times New Roman" w:eastAsia="方正仿宋_GBK" w:hAnsi="Times New Roman" w:cs="Times New Roman" w:hint="eastAsia"/>
          <w:sz w:val="32"/>
          <w:szCs w:val="32"/>
          <w:lang w:bidi="ar"/>
        </w:rPr>
        <w:t>22</w:t>
      </w:r>
      <w:proofErr w:type="gramEnd"/>
      <w:r>
        <w:rPr>
          <w:rFonts w:ascii="Times New Roman" w:eastAsia="方正仿宋_GBK" w:hAnsi="Times New Roman" w:cs="Times New Roman" w:hint="eastAsia"/>
          <w:sz w:val="32"/>
          <w:szCs w:val="32"/>
          <w:lang w:bidi="ar"/>
        </w:rPr>
        <w:t>年度中央预算项目资金增加，财政投入加大。</w:t>
      </w:r>
    </w:p>
    <w:p w:rsidR="00BB2470" w:rsidRDefault="00B02293">
      <w:pPr>
        <w:pStyle w:val="a5"/>
        <w:shd w:val="clear" w:color="auto" w:fill="FFFFFF"/>
        <w:ind w:firstLineChars="200" w:firstLine="562"/>
        <w:rPr>
          <w:rFonts w:ascii="Times New Roman" w:eastAsia="方正仿宋_GBK" w:hAnsi="Times New Roman" w:cs="Times New Roman"/>
          <w:sz w:val="32"/>
          <w:szCs w:val="32"/>
          <w:lang w:bidi="ar"/>
        </w:rPr>
      </w:pPr>
      <w:r>
        <w:rPr>
          <w:rStyle w:val="a6"/>
          <w:sz w:val="28"/>
          <w:szCs w:val="28"/>
        </w:rPr>
        <w:t>3.</w:t>
      </w:r>
      <w:r>
        <w:rPr>
          <w:rStyle w:val="a6"/>
          <w:sz w:val="28"/>
          <w:szCs w:val="28"/>
        </w:rPr>
        <w:t>结转结余情况。</w:t>
      </w:r>
      <w:r>
        <w:rPr>
          <w:rFonts w:ascii="Times New Roman" w:eastAsia="方正仿宋_GBK" w:hAnsi="Times New Roman" w:cs="Times New Roman" w:hint="eastAsia"/>
          <w:sz w:val="32"/>
          <w:szCs w:val="32"/>
          <w:lang w:bidi="ar"/>
        </w:rPr>
        <w:t>2022</w:t>
      </w:r>
      <w:r>
        <w:rPr>
          <w:rFonts w:ascii="Times New Roman" w:eastAsia="方正仿宋_GBK" w:hAnsi="Times New Roman" w:cs="Times New Roman" w:hint="eastAsia"/>
          <w:sz w:val="32"/>
          <w:szCs w:val="32"/>
          <w:lang w:bidi="ar"/>
        </w:rPr>
        <w:t>年度年末一般公共预算财政拨款结转和结余</w:t>
      </w:r>
      <w:r>
        <w:rPr>
          <w:rFonts w:ascii="Times New Roman" w:eastAsia="方正仿宋_GBK" w:hAnsi="Times New Roman" w:cs="Times New Roman" w:hint="eastAsia"/>
          <w:sz w:val="32"/>
          <w:szCs w:val="32"/>
          <w:lang w:bidi="ar"/>
        </w:rPr>
        <w:t>0.00</w:t>
      </w:r>
      <w:r>
        <w:rPr>
          <w:rFonts w:ascii="Times New Roman" w:eastAsia="方正仿宋_GBK" w:hAnsi="Times New Roman" w:cs="Times New Roman" w:hint="eastAsia"/>
          <w:sz w:val="32"/>
          <w:szCs w:val="32"/>
          <w:lang w:bidi="ar"/>
        </w:rPr>
        <w:t>万元，较上年决算数增加</w:t>
      </w:r>
      <w:r>
        <w:rPr>
          <w:rFonts w:ascii="Times New Roman" w:eastAsia="方正仿宋_GBK" w:hAnsi="Times New Roman" w:cs="Times New Roman" w:hint="eastAsia"/>
          <w:sz w:val="32"/>
          <w:szCs w:val="32"/>
          <w:lang w:bidi="ar"/>
        </w:rPr>
        <w:t>0.00</w:t>
      </w:r>
      <w:r>
        <w:rPr>
          <w:rFonts w:ascii="Times New Roman" w:eastAsia="方正仿宋_GBK" w:hAnsi="Times New Roman" w:cs="Times New Roman" w:hint="eastAsia"/>
          <w:sz w:val="32"/>
          <w:szCs w:val="32"/>
          <w:lang w:bidi="ar"/>
        </w:rPr>
        <w:t>万元。</w:t>
      </w:r>
    </w:p>
    <w:p w:rsidR="00BB2470" w:rsidRDefault="00B02293">
      <w:pPr>
        <w:pStyle w:val="a5"/>
        <w:shd w:val="clear" w:color="auto" w:fill="FFFFFF"/>
        <w:ind w:firstLineChars="200" w:firstLine="562"/>
        <w:rPr>
          <w:sz w:val="28"/>
          <w:szCs w:val="28"/>
          <w:shd w:val="clear" w:color="auto" w:fill="FFFF00"/>
        </w:rPr>
      </w:pPr>
      <w:r>
        <w:rPr>
          <w:rStyle w:val="a6"/>
          <w:sz w:val="28"/>
          <w:szCs w:val="28"/>
        </w:rPr>
        <w:t>4.</w:t>
      </w:r>
      <w:r>
        <w:rPr>
          <w:rStyle w:val="a6"/>
          <w:sz w:val="28"/>
          <w:szCs w:val="28"/>
        </w:rPr>
        <w:t>比较情况。</w:t>
      </w:r>
      <w:r>
        <w:rPr>
          <w:rFonts w:ascii="Times New Roman" w:eastAsia="方正仿宋_GBK" w:hAnsi="Times New Roman" w:cs="Times New Roman" w:hint="eastAsia"/>
          <w:sz w:val="32"/>
          <w:szCs w:val="32"/>
          <w:lang w:bidi="ar"/>
        </w:rPr>
        <w:t>本单位</w:t>
      </w:r>
      <w:r>
        <w:rPr>
          <w:rFonts w:ascii="Times New Roman" w:eastAsia="方正仿宋_GBK" w:hAnsi="Times New Roman" w:cs="Times New Roman" w:hint="eastAsia"/>
          <w:sz w:val="32"/>
          <w:szCs w:val="32"/>
          <w:lang w:bidi="ar"/>
        </w:rPr>
        <w:t>2022</w:t>
      </w:r>
      <w:r>
        <w:rPr>
          <w:rFonts w:ascii="Times New Roman" w:eastAsia="方正仿宋_GBK" w:hAnsi="Times New Roman" w:cs="Times New Roman" w:hint="eastAsia"/>
          <w:sz w:val="32"/>
          <w:szCs w:val="32"/>
          <w:lang w:bidi="ar"/>
        </w:rPr>
        <w:t>年度一般公共预算财政拨款支出主要用于以下几个方面：</w:t>
      </w:r>
      <w:r>
        <w:rPr>
          <w:rFonts w:ascii="Times New Roman" w:eastAsia="方正仿宋_GBK" w:hAnsi="Times New Roman" w:cs="Times New Roman" w:hint="eastAsia"/>
          <w:sz w:val="32"/>
          <w:szCs w:val="32"/>
          <w:lang w:bidi="ar"/>
        </w:rPr>
        <w:t xml:space="preserve"> </w:t>
      </w:r>
    </w:p>
    <w:p w:rsidR="00BB2470"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w:t>
      </w:r>
      <w:r>
        <w:rPr>
          <w:rFonts w:ascii="Times New Roman" w:eastAsia="方正仿宋_GBK" w:hAnsi="Times New Roman" w:cs="Times New Roman" w:hint="eastAsia"/>
          <w:sz w:val="32"/>
          <w:szCs w:val="32"/>
          <w:lang w:bidi="ar"/>
        </w:rPr>
        <w:t>1</w:t>
      </w:r>
      <w:r>
        <w:rPr>
          <w:rFonts w:ascii="Times New Roman" w:eastAsia="方正仿宋_GBK" w:hAnsi="Times New Roman" w:cs="Times New Roman" w:hint="eastAsia"/>
          <w:sz w:val="32"/>
          <w:szCs w:val="32"/>
          <w:lang w:bidi="ar"/>
        </w:rPr>
        <w:t>）一般公共服务支出</w:t>
      </w:r>
      <w:r>
        <w:rPr>
          <w:rFonts w:ascii="Times New Roman" w:eastAsia="方正仿宋_GBK" w:hAnsi="Times New Roman" w:cs="Times New Roman" w:hint="eastAsia"/>
          <w:sz w:val="32"/>
          <w:szCs w:val="32"/>
          <w:lang w:bidi="ar"/>
        </w:rPr>
        <w:t>9.71</w:t>
      </w:r>
      <w:r>
        <w:rPr>
          <w:rFonts w:ascii="Times New Roman" w:eastAsia="方正仿宋_GBK" w:hAnsi="Times New Roman" w:cs="Times New Roman" w:hint="eastAsia"/>
          <w:sz w:val="32"/>
          <w:szCs w:val="32"/>
          <w:lang w:bidi="ar"/>
        </w:rPr>
        <w:t>万元，占</w:t>
      </w:r>
      <w:r>
        <w:rPr>
          <w:rFonts w:ascii="Times New Roman" w:eastAsia="方正仿宋_GBK" w:hAnsi="Times New Roman" w:cs="Times New Roman" w:hint="eastAsia"/>
          <w:sz w:val="32"/>
          <w:szCs w:val="32"/>
          <w:lang w:bidi="ar"/>
        </w:rPr>
        <w:t>0.9%</w:t>
      </w:r>
      <w:r>
        <w:rPr>
          <w:rFonts w:ascii="Times New Roman" w:eastAsia="方正仿宋_GBK" w:hAnsi="Times New Roman" w:cs="Times New Roman" w:hint="eastAsia"/>
          <w:sz w:val="32"/>
          <w:szCs w:val="32"/>
          <w:lang w:bidi="ar"/>
        </w:rPr>
        <w:t>，较年初预算数减少</w:t>
      </w:r>
      <w:r>
        <w:rPr>
          <w:rFonts w:ascii="Times New Roman" w:eastAsia="方正仿宋_GBK" w:hAnsi="Times New Roman" w:cs="Times New Roman" w:hint="eastAsia"/>
          <w:sz w:val="32"/>
          <w:szCs w:val="32"/>
          <w:lang w:bidi="ar"/>
        </w:rPr>
        <w:t>4.76</w:t>
      </w:r>
      <w:r>
        <w:rPr>
          <w:rFonts w:ascii="Times New Roman" w:eastAsia="方正仿宋_GBK" w:hAnsi="Times New Roman" w:cs="Times New Roman" w:hint="eastAsia"/>
          <w:sz w:val="32"/>
          <w:szCs w:val="32"/>
          <w:lang w:bidi="ar"/>
        </w:rPr>
        <w:t>万元，下降</w:t>
      </w:r>
      <w:r>
        <w:rPr>
          <w:rFonts w:ascii="Times New Roman" w:eastAsia="方正仿宋_GBK" w:hAnsi="Times New Roman" w:cs="Times New Roman" w:hint="eastAsia"/>
          <w:sz w:val="32"/>
          <w:szCs w:val="32"/>
          <w:lang w:bidi="ar"/>
        </w:rPr>
        <w:t>32.9%</w:t>
      </w:r>
      <w:r>
        <w:rPr>
          <w:rFonts w:ascii="Times New Roman" w:eastAsia="方正仿宋_GBK" w:hAnsi="Times New Roman" w:cs="Times New Roman" w:hint="eastAsia"/>
          <w:sz w:val="32"/>
          <w:szCs w:val="32"/>
          <w:lang w:bidi="ar"/>
        </w:rPr>
        <w:t>。</w:t>
      </w:r>
    </w:p>
    <w:p w:rsidR="00BB2470"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lastRenderedPageBreak/>
        <w:t>（</w:t>
      </w:r>
      <w:r>
        <w:rPr>
          <w:rFonts w:ascii="Times New Roman" w:eastAsia="方正仿宋_GBK" w:hAnsi="Times New Roman" w:cs="Times New Roman" w:hint="eastAsia"/>
          <w:sz w:val="32"/>
          <w:szCs w:val="32"/>
          <w:lang w:bidi="ar"/>
        </w:rPr>
        <w:t>2</w:t>
      </w:r>
      <w:r>
        <w:rPr>
          <w:rFonts w:ascii="Times New Roman" w:eastAsia="方正仿宋_GBK" w:hAnsi="Times New Roman" w:cs="Times New Roman" w:hint="eastAsia"/>
          <w:sz w:val="32"/>
          <w:szCs w:val="32"/>
          <w:lang w:bidi="ar"/>
        </w:rPr>
        <w:t>）社会保障与就业支出</w:t>
      </w:r>
      <w:r>
        <w:rPr>
          <w:rFonts w:ascii="Times New Roman" w:eastAsia="方正仿宋_GBK" w:hAnsi="Times New Roman" w:cs="Times New Roman" w:hint="eastAsia"/>
          <w:sz w:val="32"/>
          <w:szCs w:val="32"/>
          <w:lang w:bidi="ar"/>
        </w:rPr>
        <w:t>83.50</w:t>
      </w:r>
      <w:r>
        <w:rPr>
          <w:rFonts w:ascii="Times New Roman" w:eastAsia="方正仿宋_GBK" w:hAnsi="Times New Roman" w:cs="Times New Roman" w:hint="eastAsia"/>
          <w:sz w:val="32"/>
          <w:szCs w:val="32"/>
          <w:lang w:bidi="ar"/>
        </w:rPr>
        <w:t>万元，占</w:t>
      </w:r>
      <w:r>
        <w:rPr>
          <w:rFonts w:ascii="Times New Roman" w:eastAsia="方正仿宋_GBK" w:hAnsi="Times New Roman" w:cs="Times New Roman" w:hint="eastAsia"/>
          <w:sz w:val="32"/>
          <w:szCs w:val="32"/>
          <w:lang w:bidi="ar"/>
        </w:rPr>
        <w:t>7.7%</w:t>
      </w:r>
      <w:r>
        <w:rPr>
          <w:rFonts w:ascii="Times New Roman" w:eastAsia="方正仿宋_GBK" w:hAnsi="Times New Roman" w:cs="Times New Roman" w:hint="eastAsia"/>
          <w:sz w:val="32"/>
          <w:szCs w:val="32"/>
          <w:lang w:bidi="ar"/>
        </w:rPr>
        <w:t>，较年初预算数增加</w:t>
      </w:r>
      <w:r>
        <w:rPr>
          <w:rFonts w:ascii="Times New Roman" w:eastAsia="方正仿宋_GBK" w:hAnsi="Times New Roman" w:cs="Times New Roman" w:hint="eastAsia"/>
          <w:sz w:val="32"/>
          <w:szCs w:val="32"/>
          <w:lang w:bidi="ar"/>
        </w:rPr>
        <w:t>12.68</w:t>
      </w:r>
      <w:r>
        <w:rPr>
          <w:rFonts w:ascii="Times New Roman" w:eastAsia="方正仿宋_GBK" w:hAnsi="Times New Roman" w:cs="Times New Roman" w:hint="eastAsia"/>
          <w:sz w:val="32"/>
          <w:szCs w:val="32"/>
          <w:lang w:bidi="ar"/>
        </w:rPr>
        <w:t>万元，增长</w:t>
      </w:r>
      <w:r>
        <w:rPr>
          <w:rFonts w:ascii="Times New Roman" w:eastAsia="方正仿宋_GBK" w:hAnsi="Times New Roman" w:cs="Times New Roman" w:hint="eastAsia"/>
          <w:sz w:val="32"/>
          <w:szCs w:val="32"/>
          <w:lang w:bidi="ar"/>
        </w:rPr>
        <w:t>17.9%</w:t>
      </w:r>
      <w:r>
        <w:rPr>
          <w:rFonts w:ascii="Times New Roman" w:eastAsia="方正仿宋_GBK" w:hAnsi="Times New Roman" w:cs="Times New Roman" w:hint="eastAsia"/>
          <w:sz w:val="32"/>
          <w:szCs w:val="32"/>
          <w:lang w:bidi="ar"/>
        </w:rPr>
        <w:t>，主要原因是单位今年有新进人员，人员经费增加。</w:t>
      </w:r>
    </w:p>
    <w:p w:rsidR="00BB2470"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hint="eastAsia"/>
          <w:sz w:val="32"/>
          <w:szCs w:val="32"/>
          <w:lang w:bidi="ar"/>
        </w:rPr>
      </w:pPr>
      <w:r>
        <w:rPr>
          <w:rFonts w:ascii="Times New Roman" w:eastAsia="方正仿宋_GBK" w:hAnsi="Times New Roman" w:cs="Times New Roman" w:hint="eastAsia"/>
          <w:sz w:val="32"/>
          <w:szCs w:val="32"/>
          <w:lang w:bidi="ar"/>
        </w:rPr>
        <w:t>（</w:t>
      </w:r>
      <w:r>
        <w:rPr>
          <w:rFonts w:ascii="Times New Roman" w:eastAsia="方正仿宋_GBK" w:hAnsi="Times New Roman" w:cs="Times New Roman" w:hint="eastAsia"/>
          <w:sz w:val="32"/>
          <w:szCs w:val="32"/>
          <w:lang w:bidi="ar"/>
        </w:rPr>
        <w:t>3</w:t>
      </w:r>
      <w:r>
        <w:rPr>
          <w:rFonts w:ascii="Times New Roman" w:eastAsia="方正仿宋_GBK" w:hAnsi="Times New Roman" w:cs="Times New Roman" w:hint="eastAsia"/>
          <w:sz w:val="32"/>
          <w:szCs w:val="32"/>
          <w:lang w:bidi="ar"/>
        </w:rPr>
        <w:t>）卫生健康支出</w:t>
      </w:r>
      <w:r>
        <w:rPr>
          <w:rFonts w:ascii="Times New Roman" w:eastAsia="方正仿宋_GBK" w:hAnsi="Times New Roman" w:cs="Times New Roman" w:hint="eastAsia"/>
          <w:sz w:val="32"/>
          <w:szCs w:val="32"/>
          <w:lang w:bidi="ar"/>
        </w:rPr>
        <w:t>962.13</w:t>
      </w:r>
      <w:r>
        <w:rPr>
          <w:rFonts w:ascii="Times New Roman" w:eastAsia="方正仿宋_GBK" w:hAnsi="Times New Roman" w:cs="Times New Roman" w:hint="eastAsia"/>
          <w:sz w:val="32"/>
          <w:szCs w:val="32"/>
          <w:lang w:bidi="ar"/>
        </w:rPr>
        <w:t>万元，占</w:t>
      </w:r>
      <w:r>
        <w:rPr>
          <w:rFonts w:ascii="Times New Roman" w:eastAsia="方正仿宋_GBK" w:hAnsi="Times New Roman" w:cs="Times New Roman" w:hint="eastAsia"/>
          <w:sz w:val="32"/>
          <w:szCs w:val="32"/>
          <w:lang w:bidi="ar"/>
        </w:rPr>
        <w:t>89.1%</w:t>
      </w:r>
      <w:r>
        <w:rPr>
          <w:rFonts w:ascii="Times New Roman" w:eastAsia="方正仿宋_GBK" w:hAnsi="Times New Roman" w:cs="Times New Roman" w:hint="eastAsia"/>
          <w:sz w:val="32"/>
          <w:szCs w:val="32"/>
          <w:lang w:bidi="ar"/>
        </w:rPr>
        <w:t>，较年初预算数增加</w:t>
      </w:r>
      <w:r>
        <w:rPr>
          <w:rFonts w:ascii="Times New Roman" w:eastAsia="方正仿宋_GBK" w:hAnsi="Times New Roman" w:cs="Times New Roman" w:hint="eastAsia"/>
          <w:sz w:val="32"/>
          <w:szCs w:val="32"/>
          <w:lang w:bidi="ar"/>
        </w:rPr>
        <w:t>137.13</w:t>
      </w:r>
      <w:r>
        <w:rPr>
          <w:rFonts w:ascii="Times New Roman" w:eastAsia="方正仿宋_GBK" w:hAnsi="Times New Roman" w:cs="Times New Roman" w:hint="eastAsia"/>
          <w:sz w:val="32"/>
          <w:szCs w:val="32"/>
          <w:lang w:bidi="ar"/>
        </w:rPr>
        <w:t>万元，增长</w:t>
      </w:r>
      <w:r>
        <w:rPr>
          <w:rFonts w:ascii="Times New Roman" w:eastAsia="方正仿宋_GBK" w:hAnsi="Times New Roman" w:cs="Times New Roman" w:hint="eastAsia"/>
          <w:sz w:val="32"/>
          <w:szCs w:val="32"/>
          <w:lang w:bidi="ar"/>
        </w:rPr>
        <w:t>16.6%</w:t>
      </w:r>
      <w:r>
        <w:rPr>
          <w:rFonts w:ascii="Times New Roman" w:eastAsia="方正仿宋_GBK" w:hAnsi="Times New Roman" w:cs="Times New Roman" w:hint="eastAsia"/>
          <w:sz w:val="32"/>
          <w:szCs w:val="32"/>
          <w:lang w:bidi="ar"/>
        </w:rPr>
        <w:t>，主要原因是单位今年有新进人员，人员经费增加。</w:t>
      </w:r>
    </w:p>
    <w:p w:rsidR="00B02293"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w:t>
      </w:r>
      <w:r>
        <w:rPr>
          <w:rFonts w:ascii="Times New Roman" w:eastAsia="方正仿宋_GBK" w:hAnsi="Times New Roman" w:cs="Times New Roman" w:hint="eastAsia"/>
          <w:sz w:val="32"/>
          <w:szCs w:val="32"/>
          <w:lang w:bidi="ar"/>
        </w:rPr>
        <w:t>4</w:t>
      </w:r>
      <w:r>
        <w:rPr>
          <w:rFonts w:ascii="Times New Roman" w:eastAsia="方正仿宋_GBK" w:hAnsi="Times New Roman" w:cs="Times New Roman" w:hint="eastAsia"/>
          <w:sz w:val="32"/>
          <w:szCs w:val="32"/>
          <w:lang w:bidi="ar"/>
        </w:rPr>
        <w:t>）住房保障支出</w:t>
      </w:r>
      <w:r>
        <w:rPr>
          <w:rFonts w:ascii="Times New Roman" w:eastAsia="方正仿宋_GBK" w:hAnsi="Times New Roman" w:cs="Times New Roman" w:hint="eastAsia"/>
          <w:sz w:val="32"/>
          <w:szCs w:val="32"/>
          <w:lang w:bidi="ar"/>
        </w:rPr>
        <w:t>24.78</w:t>
      </w:r>
      <w:r>
        <w:rPr>
          <w:rFonts w:ascii="Times New Roman" w:eastAsia="方正仿宋_GBK" w:hAnsi="Times New Roman" w:cs="Times New Roman" w:hint="eastAsia"/>
          <w:sz w:val="32"/>
          <w:szCs w:val="32"/>
          <w:lang w:bidi="ar"/>
        </w:rPr>
        <w:t>万元，</w:t>
      </w:r>
      <w:r>
        <w:rPr>
          <w:rFonts w:ascii="Times New Roman" w:eastAsia="方正仿宋_GBK" w:hAnsi="Times New Roman" w:cs="Times New Roman" w:hint="eastAsia"/>
          <w:sz w:val="32"/>
          <w:szCs w:val="32"/>
          <w:lang w:bidi="ar"/>
        </w:rPr>
        <w:t>较年初预算数增加</w:t>
      </w:r>
      <w:r>
        <w:rPr>
          <w:rFonts w:ascii="Times New Roman" w:eastAsia="方正仿宋_GBK" w:hAnsi="Times New Roman" w:cs="Times New Roman" w:hint="eastAsia"/>
          <w:sz w:val="32"/>
          <w:szCs w:val="32"/>
          <w:lang w:bidi="ar"/>
        </w:rPr>
        <w:t>0</w:t>
      </w:r>
      <w:r>
        <w:rPr>
          <w:rFonts w:ascii="Times New Roman" w:eastAsia="方正仿宋_GBK" w:hAnsi="Times New Roman" w:cs="Times New Roman" w:hint="eastAsia"/>
          <w:sz w:val="32"/>
          <w:szCs w:val="32"/>
          <w:lang w:bidi="ar"/>
        </w:rPr>
        <w:t>万元</w:t>
      </w:r>
      <w:r>
        <w:rPr>
          <w:rFonts w:ascii="Times New Roman" w:eastAsia="方正仿宋_GBK" w:hAnsi="Times New Roman" w:cs="Times New Roman" w:hint="eastAsia"/>
          <w:sz w:val="32"/>
          <w:szCs w:val="32"/>
          <w:lang w:bidi="ar"/>
        </w:rPr>
        <w:t>。</w:t>
      </w:r>
    </w:p>
    <w:p w:rsidR="00BB2470" w:rsidRDefault="00B02293">
      <w:pPr>
        <w:pStyle w:val="a5"/>
        <w:shd w:val="clear" w:color="auto" w:fill="FFFFFF"/>
        <w:ind w:firstLineChars="200" w:firstLine="643"/>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（四）一般公共预算财政拨款基本支出决算情况说明</w:t>
      </w:r>
    </w:p>
    <w:p w:rsidR="00BB2470"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2022</w:t>
      </w:r>
      <w:r>
        <w:rPr>
          <w:rFonts w:ascii="Times New Roman" w:eastAsia="方正仿宋_GBK" w:hAnsi="Times New Roman" w:cs="Times New Roman" w:hint="eastAsia"/>
          <w:sz w:val="32"/>
          <w:szCs w:val="32"/>
          <w:lang w:bidi="ar"/>
        </w:rPr>
        <w:t>年度一般公共预算财政拨款基本支出</w:t>
      </w:r>
      <w:r>
        <w:rPr>
          <w:rFonts w:ascii="Times New Roman" w:eastAsia="方正仿宋_GBK" w:hAnsi="Times New Roman" w:cs="Times New Roman" w:hint="eastAsia"/>
          <w:sz w:val="32"/>
          <w:szCs w:val="32"/>
          <w:lang w:bidi="ar"/>
        </w:rPr>
        <w:t>387.28</w:t>
      </w:r>
      <w:r>
        <w:rPr>
          <w:rFonts w:ascii="Times New Roman" w:eastAsia="方正仿宋_GBK" w:hAnsi="Times New Roman" w:cs="Times New Roman" w:hint="eastAsia"/>
          <w:sz w:val="32"/>
          <w:szCs w:val="32"/>
          <w:lang w:bidi="ar"/>
        </w:rPr>
        <w:t>万元。其中：人员经费</w:t>
      </w:r>
      <w:r>
        <w:rPr>
          <w:rFonts w:ascii="Times New Roman" w:eastAsia="方正仿宋_GBK" w:hAnsi="Times New Roman" w:cs="Times New Roman" w:hint="eastAsia"/>
          <w:sz w:val="32"/>
          <w:szCs w:val="32"/>
          <w:lang w:bidi="ar"/>
        </w:rPr>
        <w:t>362.25</w:t>
      </w:r>
      <w:r>
        <w:rPr>
          <w:rFonts w:ascii="Times New Roman" w:eastAsia="方正仿宋_GBK" w:hAnsi="Times New Roman" w:cs="Times New Roman" w:hint="eastAsia"/>
          <w:sz w:val="32"/>
          <w:szCs w:val="32"/>
          <w:lang w:bidi="ar"/>
        </w:rPr>
        <w:t>万元，较上年决算数增加</w:t>
      </w:r>
      <w:r>
        <w:rPr>
          <w:rFonts w:ascii="Times New Roman" w:eastAsia="方正仿宋_GBK" w:hAnsi="Times New Roman" w:cs="Times New Roman" w:hint="eastAsia"/>
          <w:sz w:val="32"/>
          <w:szCs w:val="32"/>
          <w:lang w:bidi="ar"/>
        </w:rPr>
        <w:t>129.68</w:t>
      </w:r>
      <w:r>
        <w:rPr>
          <w:rFonts w:ascii="Times New Roman" w:eastAsia="方正仿宋_GBK" w:hAnsi="Times New Roman" w:cs="Times New Roman" w:hint="eastAsia"/>
          <w:sz w:val="32"/>
          <w:szCs w:val="32"/>
          <w:lang w:bidi="ar"/>
        </w:rPr>
        <w:t>万元，增长</w:t>
      </w:r>
      <w:r>
        <w:rPr>
          <w:rFonts w:ascii="Times New Roman" w:eastAsia="方正仿宋_GBK" w:hAnsi="Times New Roman" w:cs="Times New Roman" w:hint="eastAsia"/>
          <w:sz w:val="32"/>
          <w:szCs w:val="32"/>
          <w:lang w:bidi="ar"/>
        </w:rPr>
        <w:t>26.4%</w:t>
      </w:r>
      <w:r>
        <w:rPr>
          <w:rFonts w:ascii="Times New Roman" w:eastAsia="方正仿宋_GBK" w:hAnsi="Times New Roman" w:cs="Times New Roman" w:hint="eastAsia"/>
          <w:sz w:val="32"/>
          <w:szCs w:val="32"/>
          <w:lang w:bidi="ar"/>
        </w:rPr>
        <w:t>，主要原因是</w:t>
      </w:r>
      <w:proofErr w:type="gramStart"/>
      <w:r>
        <w:rPr>
          <w:rFonts w:ascii="Times New Roman" w:eastAsia="方正仿宋_GBK" w:hAnsi="Times New Roman" w:cs="Times New Roman" w:hint="eastAsia"/>
          <w:sz w:val="32"/>
          <w:szCs w:val="32"/>
          <w:lang w:bidi="ar"/>
        </w:rPr>
        <w:t>22</w:t>
      </w:r>
      <w:proofErr w:type="gramEnd"/>
      <w:r>
        <w:rPr>
          <w:rFonts w:ascii="Times New Roman" w:eastAsia="方正仿宋_GBK" w:hAnsi="Times New Roman" w:cs="Times New Roman" w:hint="eastAsia"/>
          <w:sz w:val="32"/>
          <w:szCs w:val="32"/>
          <w:lang w:bidi="ar"/>
        </w:rPr>
        <w:t>年度人员正常调资、</w:t>
      </w:r>
      <w:r>
        <w:rPr>
          <w:rFonts w:ascii="Times New Roman" w:eastAsia="方正仿宋_GBK" w:hAnsi="Times New Roman" w:cs="Times New Roman" w:hint="eastAsia"/>
          <w:sz w:val="32"/>
          <w:szCs w:val="32"/>
          <w:lang w:bidi="ar"/>
        </w:rPr>
        <w:t>22</w:t>
      </w:r>
      <w:r>
        <w:rPr>
          <w:rFonts w:ascii="Times New Roman" w:eastAsia="方正仿宋_GBK" w:hAnsi="Times New Roman" w:cs="Times New Roman" w:hint="eastAsia"/>
          <w:sz w:val="32"/>
          <w:szCs w:val="32"/>
          <w:lang w:bidi="ar"/>
        </w:rPr>
        <w:t>年中心新进人员。公用经费</w:t>
      </w:r>
      <w:r>
        <w:rPr>
          <w:rFonts w:ascii="Times New Roman" w:eastAsia="方正仿宋_GBK" w:hAnsi="Times New Roman" w:cs="Times New Roman" w:hint="eastAsia"/>
          <w:sz w:val="32"/>
          <w:szCs w:val="32"/>
          <w:lang w:bidi="ar"/>
        </w:rPr>
        <w:t>25.04</w:t>
      </w:r>
      <w:r>
        <w:rPr>
          <w:rFonts w:ascii="Times New Roman" w:eastAsia="方正仿宋_GBK" w:hAnsi="Times New Roman" w:cs="Times New Roman" w:hint="eastAsia"/>
          <w:sz w:val="32"/>
          <w:szCs w:val="32"/>
          <w:lang w:bidi="ar"/>
        </w:rPr>
        <w:t>万元，较上年</w:t>
      </w:r>
      <w:r>
        <w:rPr>
          <w:rFonts w:ascii="Times New Roman" w:eastAsia="方正仿宋_GBK" w:hAnsi="Times New Roman" w:cs="Times New Roman" w:hint="eastAsia"/>
          <w:sz w:val="32"/>
          <w:szCs w:val="32"/>
          <w:lang w:bidi="ar"/>
        </w:rPr>
        <w:t>决算数增加</w:t>
      </w:r>
      <w:r>
        <w:rPr>
          <w:rFonts w:ascii="Times New Roman" w:eastAsia="方正仿宋_GBK" w:hAnsi="Times New Roman" w:cs="Times New Roman" w:hint="eastAsia"/>
          <w:sz w:val="32"/>
          <w:szCs w:val="32"/>
          <w:lang w:bidi="ar"/>
        </w:rPr>
        <w:t>19.74</w:t>
      </w:r>
      <w:r>
        <w:rPr>
          <w:rFonts w:ascii="Times New Roman" w:eastAsia="方正仿宋_GBK" w:hAnsi="Times New Roman" w:cs="Times New Roman" w:hint="eastAsia"/>
          <w:sz w:val="32"/>
          <w:szCs w:val="32"/>
          <w:lang w:bidi="ar"/>
        </w:rPr>
        <w:t>万元，增长</w:t>
      </w:r>
      <w:r>
        <w:rPr>
          <w:rFonts w:ascii="Times New Roman" w:eastAsia="方正仿宋_GBK" w:hAnsi="Times New Roman" w:cs="Times New Roman" w:hint="eastAsia"/>
          <w:sz w:val="32"/>
          <w:szCs w:val="32"/>
          <w:lang w:bidi="ar"/>
        </w:rPr>
        <w:t>44.1%</w:t>
      </w:r>
      <w:r>
        <w:rPr>
          <w:rFonts w:ascii="Times New Roman" w:eastAsia="方正仿宋_GBK" w:hAnsi="Times New Roman" w:cs="Times New Roman" w:hint="eastAsia"/>
          <w:sz w:val="32"/>
          <w:szCs w:val="32"/>
          <w:lang w:bidi="ar"/>
        </w:rPr>
        <w:t>，主要原因是</w:t>
      </w:r>
      <w:r>
        <w:rPr>
          <w:rFonts w:ascii="Times New Roman" w:eastAsia="方正仿宋_GBK" w:hAnsi="Times New Roman" w:cs="Times New Roman" w:hint="eastAsia"/>
          <w:sz w:val="32"/>
          <w:szCs w:val="32"/>
          <w:lang w:bidi="ar"/>
        </w:rPr>
        <w:t>22</w:t>
      </w:r>
      <w:r>
        <w:rPr>
          <w:rFonts w:ascii="Times New Roman" w:eastAsia="方正仿宋_GBK" w:hAnsi="Times New Roman" w:cs="Times New Roman" w:hint="eastAsia"/>
          <w:sz w:val="32"/>
          <w:szCs w:val="32"/>
          <w:lang w:bidi="ar"/>
        </w:rPr>
        <w:t>年中心新进人员，增加相关工作经费。</w:t>
      </w:r>
    </w:p>
    <w:p w:rsidR="00BB2470" w:rsidRDefault="00B02293">
      <w:pPr>
        <w:pStyle w:val="a5"/>
        <w:shd w:val="clear" w:color="auto" w:fill="FFFFFF"/>
        <w:ind w:firstLineChars="200" w:firstLine="643"/>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（五）政府性基金预算收支决算情况说明。</w:t>
      </w:r>
    </w:p>
    <w:p w:rsidR="00BB2470"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2022</w:t>
      </w:r>
      <w:r>
        <w:rPr>
          <w:rFonts w:ascii="Times New Roman" w:eastAsia="方正仿宋_GBK" w:hAnsi="Times New Roman" w:cs="Times New Roman" w:hint="eastAsia"/>
          <w:sz w:val="32"/>
          <w:szCs w:val="32"/>
          <w:lang w:bidi="ar"/>
        </w:rPr>
        <w:t>年度本中心无政府性基金预算财政拨款收支。</w:t>
      </w:r>
    </w:p>
    <w:p w:rsidR="00BB2470" w:rsidRDefault="00B02293">
      <w:pPr>
        <w:pStyle w:val="a5"/>
        <w:shd w:val="clear" w:color="auto" w:fill="FFFFFF"/>
        <w:ind w:firstLineChars="200" w:firstLine="643"/>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（六）国有资本经营预算财政拨款支出决算情况说明。</w:t>
      </w:r>
    </w:p>
    <w:p w:rsidR="00BB2470"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2022</w:t>
      </w:r>
      <w:r>
        <w:rPr>
          <w:rFonts w:ascii="Times New Roman" w:eastAsia="方正仿宋_GBK" w:hAnsi="Times New Roman" w:cs="Times New Roman" w:hint="eastAsia"/>
          <w:sz w:val="32"/>
          <w:szCs w:val="32"/>
          <w:lang w:bidi="ar"/>
        </w:rPr>
        <w:t>年度本单位无国有资本经营预算财政拨款支出。</w:t>
      </w:r>
    </w:p>
    <w:p w:rsidR="00BB2470" w:rsidRDefault="00B02293">
      <w:pPr>
        <w:pStyle w:val="a7"/>
        <w:tabs>
          <w:tab w:val="center" w:pos="4153"/>
          <w:tab w:val="left" w:pos="7275"/>
        </w:tabs>
        <w:spacing w:line="596" w:lineRule="exact"/>
        <w:ind w:firstLine="640"/>
        <w:rPr>
          <w:rFonts w:ascii="方正黑体_GBK" w:eastAsia="方正黑体_GBK" w:hAnsi="Times New Roman"/>
          <w:sz w:val="32"/>
          <w:szCs w:val="32"/>
        </w:rPr>
      </w:pPr>
      <w:r>
        <w:rPr>
          <w:rFonts w:ascii="方正黑体_GBK" w:eastAsia="方正黑体_GBK" w:hAnsi="Times New Roman" w:hint="eastAsia"/>
          <w:sz w:val="32"/>
          <w:szCs w:val="32"/>
        </w:rPr>
        <w:t>三、“三公”经费情况说明</w:t>
      </w:r>
    </w:p>
    <w:p w:rsidR="00BB2470" w:rsidRDefault="00B02293">
      <w:pPr>
        <w:pStyle w:val="a5"/>
        <w:shd w:val="clear" w:color="auto" w:fill="FFFFFF"/>
        <w:ind w:firstLineChars="200" w:firstLine="643"/>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lastRenderedPageBreak/>
        <w:t>（一）“三公”经费支出总体情况说明</w:t>
      </w:r>
    </w:p>
    <w:p w:rsidR="00BB2470"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2022</w:t>
      </w:r>
      <w:r>
        <w:rPr>
          <w:rFonts w:ascii="Times New Roman" w:eastAsia="方正仿宋_GBK" w:hAnsi="Times New Roman" w:cs="Times New Roman" w:hint="eastAsia"/>
          <w:sz w:val="32"/>
          <w:szCs w:val="32"/>
          <w:lang w:bidi="ar"/>
        </w:rPr>
        <w:t>年度“三公”经费支出共计</w:t>
      </w:r>
      <w:r>
        <w:rPr>
          <w:rFonts w:ascii="Times New Roman" w:eastAsia="方正仿宋_GBK" w:hAnsi="Times New Roman" w:cs="Times New Roman" w:hint="eastAsia"/>
          <w:sz w:val="32"/>
          <w:szCs w:val="32"/>
          <w:lang w:bidi="ar"/>
        </w:rPr>
        <w:t>7.47</w:t>
      </w:r>
      <w:r>
        <w:rPr>
          <w:rFonts w:ascii="Times New Roman" w:eastAsia="方正仿宋_GBK" w:hAnsi="Times New Roman" w:cs="Times New Roman" w:hint="eastAsia"/>
          <w:sz w:val="32"/>
          <w:szCs w:val="32"/>
          <w:lang w:bidi="ar"/>
        </w:rPr>
        <w:t>万元，较年初预算数减少</w:t>
      </w:r>
      <w:r>
        <w:rPr>
          <w:rFonts w:ascii="Times New Roman" w:eastAsia="方正仿宋_GBK" w:hAnsi="Times New Roman" w:cs="Times New Roman" w:hint="eastAsia"/>
          <w:sz w:val="32"/>
          <w:szCs w:val="32"/>
          <w:lang w:bidi="ar"/>
        </w:rPr>
        <w:t>0.03</w:t>
      </w:r>
      <w:r>
        <w:rPr>
          <w:rFonts w:ascii="Times New Roman" w:eastAsia="方正仿宋_GBK" w:hAnsi="Times New Roman" w:cs="Times New Roman" w:hint="eastAsia"/>
          <w:sz w:val="32"/>
          <w:szCs w:val="32"/>
          <w:lang w:bidi="ar"/>
        </w:rPr>
        <w:t>万元，下降</w:t>
      </w:r>
      <w:r>
        <w:rPr>
          <w:rFonts w:ascii="Times New Roman" w:eastAsia="方正仿宋_GBK" w:hAnsi="Times New Roman" w:cs="Times New Roman" w:hint="eastAsia"/>
          <w:sz w:val="32"/>
          <w:szCs w:val="32"/>
          <w:lang w:bidi="ar"/>
        </w:rPr>
        <w:t>0.4%</w:t>
      </w:r>
      <w:r>
        <w:rPr>
          <w:rFonts w:ascii="Times New Roman" w:eastAsia="方正仿宋_GBK" w:hAnsi="Times New Roman" w:cs="Times New Roman" w:hint="eastAsia"/>
          <w:sz w:val="32"/>
          <w:szCs w:val="32"/>
          <w:lang w:bidi="ar"/>
        </w:rPr>
        <w:t>，主要原因是压缩公务用车相关支出、压缩和严格审核公务招待相关费用支出。较上年支出数增加</w:t>
      </w:r>
      <w:r>
        <w:rPr>
          <w:rFonts w:ascii="Times New Roman" w:eastAsia="方正仿宋_GBK" w:hAnsi="Times New Roman" w:cs="Times New Roman" w:hint="eastAsia"/>
          <w:sz w:val="32"/>
          <w:szCs w:val="32"/>
          <w:lang w:bidi="ar"/>
        </w:rPr>
        <w:t>2.47</w:t>
      </w:r>
      <w:r>
        <w:rPr>
          <w:rFonts w:ascii="Times New Roman" w:eastAsia="方正仿宋_GBK" w:hAnsi="Times New Roman" w:cs="Times New Roman" w:hint="eastAsia"/>
          <w:sz w:val="32"/>
          <w:szCs w:val="32"/>
          <w:lang w:bidi="ar"/>
        </w:rPr>
        <w:t>万元，增长</w:t>
      </w:r>
      <w:r>
        <w:rPr>
          <w:rFonts w:ascii="Times New Roman" w:eastAsia="方正仿宋_GBK" w:hAnsi="Times New Roman" w:cs="Times New Roman" w:hint="eastAsia"/>
          <w:sz w:val="32"/>
          <w:szCs w:val="32"/>
          <w:lang w:bidi="ar"/>
        </w:rPr>
        <w:t>49.4%</w:t>
      </w:r>
      <w:r>
        <w:rPr>
          <w:rFonts w:ascii="Times New Roman" w:eastAsia="方正仿宋_GBK" w:hAnsi="Times New Roman" w:cs="Times New Roman" w:hint="eastAsia"/>
          <w:sz w:val="32"/>
          <w:szCs w:val="32"/>
          <w:lang w:bidi="ar"/>
        </w:rPr>
        <w:t>，主要原因是公务用车随着使用年限增加、日常维修费用增加。</w:t>
      </w:r>
    </w:p>
    <w:p w:rsidR="00BB2470" w:rsidRDefault="00B02293">
      <w:pPr>
        <w:pStyle w:val="a5"/>
        <w:shd w:val="clear" w:color="auto" w:fill="FFFFFF"/>
        <w:ind w:firstLineChars="200" w:firstLine="643"/>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（二）“三公”经费分项支出情况</w:t>
      </w:r>
    </w:p>
    <w:p w:rsidR="00BB2470"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2022</w:t>
      </w:r>
      <w:r>
        <w:rPr>
          <w:rFonts w:ascii="Times New Roman" w:eastAsia="方正仿宋_GBK" w:hAnsi="Times New Roman" w:cs="Times New Roman" w:hint="eastAsia"/>
          <w:sz w:val="32"/>
          <w:szCs w:val="32"/>
          <w:lang w:bidi="ar"/>
        </w:rPr>
        <w:t>年度本单位因公出国（境）费用</w:t>
      </w:r>
      <w:r>
        <w:rPr>
          <w:rFonts w:ascii="Times New Roman" w:eastAsia="方正仿宋_GBK" w:hAnsi="Times New Roman" w:cs="Times New Roman" w:hint="eastAsia"/>
          <w:sz w:val="32"/>
          <w:szCs w:val="32"/>
          <w:lang w:bidi="ar"/>
        </w:rPr>
        <w:t>0.00</w:t>
      </w:r>
      <w:r>
        <w:rPr>
          <w:rFonts w:ascii="Times New Roman" w:eastAsia="方正仿宋_GBK" w:hAnsi="Times New Roman" w:cs="Times New Roman" w:hint="eastAsia"/>
          <w:sz w:val="32"/>
          <w:szCs w:val="32"/>
          <w:lang w:bidi="ar"/>
        </w:rPr>
        <w:t>万元。公务车购置费</w:t>
      </w:r>
      <w:r>
        <w:rPr>
          <w:rFonts w:ascii="Times New Roman" w:eastAsia="方正仿宋_GBK" w:hAnsi="Times New Roman" w:cs="Times New Roman" w:hint="eastAsia"/>
          <w:sz w:val="32"/>
          <w:szCs w:val="32"/>
          <w:lang w:bidi="ar"/>
        </w:rPr>
        <w:t>0.00</w:t>
      </w:r>
      <w:r>
        <w:rPr>
          <w:rFonts w:ascii="Times New Roman" w:eastAsia="方正仿宋_GBK" w:hAnsi="Times New Roman" w:cs="Times New Roman" w:hint="eastAsia"/>
          <w:sz w:val="32"/>
          <w:szCs w:val="32"/>
          <w:lang w:bidi="ar"/>
        </w:rPr>
        <w:t>万元。公务车运行维护费</w:t>
      </w:r>
      <w:r>
        <w:rPr>
          <w:rFonts w:ascii="Times New Roman" w:eastAsia="方正仿宋_GBK" w:hAnsi="Times New Roman" w:cs="Times New Roman" w:hint="eastAsia"/>
          <w:sz w:val="32"/>
          <w:szCs w:val="32"/>
          <w:lang w:bidi="ar"/>
        </w:rPr>
        <w:t>7.47</w:t>
      </w:r>
      <w:r>
        <w:rPr>
          <w:rFonts w:ascii="Times New Roman" w:eastAsia="方正仿宋_GBK" w:hAnsi="Times New Roman" w:cs="Times New Roman" w:hint="eastAsia"/>
          <w:sz w:val="32"/>
          <w:szCs w:val="32"/>
          <w:lang w:bidi="ar"/>
        </w:rPr>
        <w:t>万元，主要用于公务车日常维修和维护以及燃油费用支出。费用支出较年初预算数减少</w:t>
      </w:r>
      <w:r>
        <w:rPr>
          <w:rFonts w:ascii="Times New Roman" w:eastAsia="方正仿宋_GBK" w:hAnsi="Times New Roman" w:cs="Times New Roman" w:hint="eastAsia"/>
          <w:sz w:val="32"/>
          <w:szCs w:val="32"/>
          <w:lang w:bidi="ar"/>
        </w:rPr>
        <w:t>0.03</w:t>
      </w:r>
      <w:r>
        <w:rPr>
          <w:rFonts w:ascii="Times New Roman" w:eastAsia="方正仿宋_GBK" w:hAnsi="Times New Roman" w:cs="Times New Roman" w:hint="eastAsia"/>
          <w:sz w:val="32"/>
          <w:szCs w:val="32"/>
          <w:lang w:bidi="ar"/>
        </w:rPr>
        <w:t>万元，下降</w:t>
      </w:r>
      <w:r>
        <w:rPr>
          <w:rFonts w:ascii="Times New Roman" w:eastAsia="方正仿宋_GBK" w:hAnsi="Times New Roman" w:cs="Times New Roman" w:hint="eastAsia"/>
          <w:sz w:val="32"/>
          <w:szCs w:val="32"/>
          <w:lang w:bidi="ar"/>
        </w:rPr>
        <w:t>0.4%</w:t>
      </w:r>
      <w:r>
        <w:rPr>
          <w:rFonts w:ascii="Times New Roman" w:eastAsia="方正仿宋_GBK" w:hAnsi="Times New Roman" w:cs="Times New Roman" w:hint="eastAsia"/>
          <w:sz w:val="32"/>
          <w:szCs w:val="32"/>
          <w:lang w:bidi="ar"/>
        </w:rPr>
        <w:t>，主要原因是燃油费</w:t>
      </w:r>
      <w:r>
        <w:rPr>
          <w:rFonts w:ascii="Times New Roman" w:eastAsia="方正仿宋_GBK" w:hAnsi="Times New Roman" w:cs="Times New Roman" w:hint="eastAsia"/>
          <w:sz w:val="32"/>
          <w:szCs w:val="32"/>
          <w:lang w:bidi="ar"/>
        </w:rPr>
        <w:t>用支出减少。较上年支出数增加</w:t>
      </w:r>
      <w:r>
        <w:rPr>
          <w:rFonts w:ascii="Times New Roman" w:eastAsia="方正仿宋_GBK" w:hAnsi="Times New Roman" w:cs="Times New Roman" w:hint="eastAsia"/>
          <w:sz w:val="32"/>
          <w:szCs w:val="32"/>
          <w:lang w:bidi="ar"/>
        </w:rPr>
        <w:t>2.47</w:t>
      </w:r>
      <w:r>
        <w:rPr>
          <w:rFonts w:ascii="Times New Roman" w:eastAsia="方正仿宋_GBK" w:hAnsi="Times New Roman" w:cs="Times New Roman" w:hint="eastAsia"/>
          <w:sz w:val="32"/>
          <w:szCs w:val="32"/>
          <w:lang w:bidi="ar"/>
        </w:rPr>
        <w:t>万元，增长</w:t>
      </w:r>
      <w:r>
        <w:rPr>
          <w:rFonts w:ascii="Times New Roman" w:eastAsia="方正仿宋_GBK" w:hAnsi="Times New Roman" w:cs="Times New Roman" w:hint="eastAsia"/>
          <w:sz w:val="32"/>
          <w:szCs w:val="32"/>
          <w:lang w:bidi="ar"/>
        </w:rPr>
        <w:t>49.4%</w:t>
      </w:r>
      <w:r>
        <w:rPr>
          <w:rFonts w:ascii="Times New Roman" w:eastAsia="方正仿宋_GBK" w:hAnsi="Times New Roman" w:cs="Times New Roman" w:hint="eastAsia"/>
          <w:sz w:val="32"/>
          <w:szCs w:val="32"/>
          <w:lang w:bidi="ar"/>
        </w:rPr>
        <w:t>，主要原因是公务用车随着使用年限增加、日常维修费用增加。公务接待费</w:t>
      </w:r>
      <w:r>
        <w:rPr>
          <w:rFonts w:ascii="Times New Roman" w:eastAsia="方正仿宋_GBK" w:hAnsi="Times New Roman" w:cs="Times New Roman" w:hint="eastAsia"/>
          <w:sz w:val="32"/>
          <w:szCs w:val="32"/>
          <w:lang w:bidi="ar"/>
        </w:rPr>
        <w:t>0.00</w:t>
      </w:r>
      <w:r>
        <w:rPr>
          <w:rFonts w:ascii="Times New Roman" w:eastAsia="方正仿宋_GBK" w:hAnsi="Times New Roman" w:cs="Times New Roman" w:hint="eastAsia"/>
          <w:sz w:val="32"/>
          <w:szCs w:val="32"/>
          <w:lang w:bidi="ar"/>
        </w:rPr>
        <w:t>万元。</w:t>
      </w:r>
    </w:p>
    <w:p w:rsidR="00BB2470" w:rsidRDefault="00B02293">
      <w:pPr>
        <w:pStyle w:val="a5"/>
        <w:shd w:val="clear" w:color="auto" w:fill="FFFFFF"/>
        <w:ind w:firstLineChars="200" w:firstLine="643"/>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（三）“三公”经费实物量情况</w:t>
      </w:r>
    </w:p>
    <w:p w:rsidR="00BB2470"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2022</w:t>
      </w:r>
      <w:r>
        <w:rPr>
          <w:rFonts w:ascii="Times New Roman" w:eastAsia="方正仿宋_GBK" w:hAnsi="Times New Roman" w:cs="Times New Roman" w:hint="eastAsia"/>
          <w:sz w:val="32"/>
          <w:szCs w:val="32"/>
          <w:lang w:bidi="ar"/>
        </w:rPr>
        <w:t>年度本单位因公出国（境）共计</w:t>
      </w:r>
      <w:r>
        <w:rPr>
          <w:rFonts w:ascii="Times New Roman" w:eastAsia="方正仿宋_GBK" w:hAnsi="Times New Roman" w:cs="Times New Roman" w:hint="eastAsia"/>
          <w:sz w:val="32"/>
          <w:szCs w:val="32"/>
          <w:lang w:bidi="ar"/>
        </w:rPr>
        <w:t>0</w:t>
      </w:r>
      <w:r>
        <w:rPr>
          <w:rFonts w:ascii="Times New Roman" w:eastAsia="方正仿宋_GBK" w:hAnsi="Times New Roman" w:cs="Times New Roman" w:hint="eastAsia"/>
          <w:sz w:val="32"/>
          <w:szCs w:val="32"/>
          <w:lang w:bidi="ar"/>
        </w:rPr>
        <w:t>个团组，</w:t>
      </w:r>
      <w:r>
        <w:rPr>
          <w:rFonts w:ascii="Times New Roman" w:eastAsia="方正仿宋_GBK" w:hAnsi="Times New Roman" w:cs="Times New Roman" w:hint="eastAsia"/>
          <w:sz w:val="32"/>
          <w:szCs w:val="32"/>
          <w:lang w:bidi="ar"/>
        </w:rPr>
        <w:t>0</w:t>
      </w:r>
      <w:r>
        <w:rPr>
          <w:rFonts w:ascii="Times New Roman" w:eastAsia="方正仿宋_GBK" w:hAnsi="Times New Roman" w:cs="Times New Roman" w:hint="eastAsia"/>
          <w:sz w:val="32"/>
          <w:szCs w:val="32"/>
          <w:lang w:bidi="ar"/>
        </w:rPr>
        <w:t>人；公务用车购置</w:t>
      </w:r>
      <w:r>
        <w:rPr>
          <w:rFonts w:ascii="Times New Roman" w:eastAsia="方正仿宋_GBK" w:hAnsi="Times New Roman" w:cs="Times New Roman" w:hint="eastAsia"/>
          <w:sz w:val="32"/>
          <w:szCs w:val="32"/>
          <w:lang w:bidi="ar"/>
        </w:rPr>
        <w:t>0</w:t>
      </w:r>
      <w:r>
        <w:rPr>
          <w:rFonts w:ascii="Times New Roman" w:eastAsia="方正仿宋_GBK" w:hAnsi="Times New Roman" w:cs="Times New Roman" w:hint="eastAsia"/>
          <w:sz w:val="32"/>
          <w:szCs w:val="32"/>
          <w:lang w:bidi="ar"/>
        </w:rPr>
        <w:t>辆，公务车保有量为</w:t>
      </w:r>
      <w:r>
        <w:rPr>
          <w:rFonts w:ascii="Times New Roman" w:eastAsia="方正仿宋_GBK" w:hAnsi="Times New Roman" w:cs="Times New Roman" w:hint="eastAsia"/>
          <w:sz w:val="32"/>
          <w:szCs w:val="32"/>
          <w:lang w:bidi="ar"/>
        </w:rPr>
        <w:t>4</w:t>
      </w:r>
      <w:r>
        <w:rPr>
          <w:rFonts w:ascii="Times New Roman" w:eastAsia="方正仿宋_GBK" w:hAnsi="Times New Roman" w:cs="Times New Roman" w:hint="eastAsia"/>
          <w:sz w:val="32"/>
          <w:szCs w:val="32"/>
          <w:lang w:bidi="ar"/>
        </w:rPr>
        <w:t>辆；国内公务接待</w:t>
      </w:r>
      <w:r>
        <w:rPr>
          <w:rFonts w:ascii="Times New Roman" w:eastAsia="方正仿宋_GBK" w:hAnsi="Times New Roman" w:cs="Times New Roman" w:hint="eastAsia"/>
          <w:sz w:val="32"/>
          <w:szCs w:val="32"/>
          <w:lang w:bidi="ar"/>
        </w:rPr>
        <w:t>0</w:t>
      </w:r>
      <w:r>
        <w:rPr>
          <w:rFonts w:ascii="Times New Roman" w:eastAsia="方正仿宋_GBK" w:hAnsi="Times New Roman" w:cs="Times New Roman" w:hint="eastAsia"/>
          <w:sz w:val="32"/>
          <w:szCs w:val="32"/>
          <w:lang w:bidi="ar"/>
        </w:rPr>
        <w:t>批次</w:t>
      </w:r>
      <w:r>
        <w:rPr>
          <w:rFonts w:ascii="Times New Roman" w:eastAsia="方正仿宋_GBK" w:hAnsi="Times New Roman" w:cs="Times New Roman" w:hint="eastAsia"/>
          <w:sz w:val="32"/>
          <w:szCs w:val="32"/>
          <w:lang w:bidi="ar"/>
        </w:rPr>
        <w:t>0</w:t>
      </w:r>
      <w:r>
        <w:rPr>
          <w:rFonts w:ascii="Times New Roman" w:eastAsia="方正仿宋_GBK" w:hAnsi="Times New Roman" w:cs="Times New Roman" w:hint="eastAsia"/>
          <w:sz w:val="32"/>
          <w:szCs w:val="32"/>
          <w:lang w:bidi="ar"/>
        </w:rPr>
        <w:t>人，其中：国内外事接待</w:t>
      </w:r>
      <w:r>
        <w:rPr>
          <w:rFonts w:ascii="Times New Roman" w:eastAsia="方正仿宋_GBK" w:hAnsi="Times New Roman" w:cs="Times New Roman" w:hint="eastAsia"/>
          <w:sz w:val="32"/>
          <w:szCs w:val="32"/>
          <w:lang w:bidi="ar"/>
        </w:rPr>
        <w:t>0</w:t>
      </w:r>
      <w:r>
        <w:rPr>
          <w:rFonts w:ascii="Times New Roman" w:eastAsia="方正仿宋_GBK" w:hAnsi="Times New Roman" w:cs="Times New Roman" w:hint="eastAsia"/>
          <w:sz w:val="32"/>
          <w:szCs w:val="32"/>
          <w:lang w:bidi="ar"/>
        </w:rPr>
        <w:t>批次，</w:t>
      </w:r>
      <w:r>
        <w:rPr>
          <w:rFonts w:ascii="Times New Roman" w:eastAsia="方正仿宋_GBK" w:hAnsi="Times New Roman" w:cs="Times New Roman" w:hint="eastAsia"/>
          <w:sz w:val="32"/>
          <w:szCs w:val="32"/>
          <w:lang w:bidi="ar"/>
        </w:rPr>
        <w:t>0</w:t>
      </w:r>
      <w:r>
        <w:rPr>
          <w:rFonts w:ascii="Times New Roman" w:eastAsia="方正仿宋_GBK" w:hAnsi="Times New Roman" w:cs="Times New Roman" w:hint="eastAsia"/>
          <w:sz w:val="32"/>
          <w:szCs w:val="32"/>
          <w:lang w:bidi="ar"/>
        </w:rPr>
        <w:t>人；国（境）外公务接待</w:t>
      </w:r>
      <w:r>
        <w:rPr>
          <w:rFonts w:ascii="Times New Roman" w:eastAsia="方正仿宋_GBK" w:hAnsi="Times New Roman" w:cs="Times New Roman" w:hint="eastAsia"/>
          <w:sz w:val="32"/>
          <w:szCs w:val="32"/>
          <w:lang w:bidi="ar"/>
        </w:rPr>
        <w:t>0</w:t>
      </w:r>
      <w:r>
        <w:rPr>
          <w:rFonts w:ascii="Times New Roman" w:eastAsia="方正仿宋_GBK" w:hAnsi="Times New Roman" w:cs="Times New Roman" w:hint="eastAsia"/>
          <w:sz w:val="32"/>
          <w:szCs w:val="32"/>
          <w:lang w:bidi="ar"/>
        </w:rPr>
        <w:t>批次，</w:t>
      </w:r>
      <w:r>
        <w:rPr>
          <w:rFonts w:ascii="Times New Roman" w:eastAsia="方正仿宋_GBK" w:hAnsi="Times New Roman" w:cs="Times New Roman" w:hint="eastAsia"/>
          <w:sz w:val="32"/>
          <w:szCs w:val="32"/>
          <w:lang w:bidi="ar"/>
        </w:rPr>
        <w:t>0</w:t>
      </w:r>
      <w:r>
        <w:rPr>
          <w:rFonts w:ascii="Times New Roman" w:eastAsia="方正仿宋_GBK" w:hAnsi="Times New Roman" w:cs="Times New Roman" w:hint="eastAsia"/>
          <w:sz w:val="32"/>
          <w:szCs w:val="32"/>
          <w:lang w:bidi="ar"/>
        </w:rPr>
        <w:t>人。</w:t>
      </w:r>
      <w:r>
        <w:rPr>
          <w:rFonts w:ascii="Times New Roman" w:eastAsia="方正仿宋_GBK" w:hAnsi="Times New Roman" w:cs="Times New Roman" w:hint="eastAsia"/>
          <w:sz w:val="32"/>
          <w:szCs w:val="32"/>
          <w:lang w:bidi="ar"/>
        </w:rPr>
        <w:t>2022</w:t>
      </w:r>
      <w:r>
        <w:rPr>
          <w:rFonts w:ascii="Times New Roman" w:eastAsia="方正仿宋_GBK" w:hAnsi="Times New Roman" w:cs="Times New Roman" w:hint="eastAsia"/>
          <w:sz w:val="32"/>
          <w:szCs w:val="32"/>
          <w:lang w:bidi="ar"/>
        </w:rPr>
        <w:t>年本单位人均接待费</w:t>
      </w:r>
      <w:r>
        <w:rPr>
          <w:rFonts w:ascii="Times New Roman" w:eastAsia="方正仿宋_GBK" w:hAnsi="Times New Roman" w:cs="Times New Roman" w:hint="eastAsia"/>
          <w:sz w:val="32"/>
          <w:szCs w:val="32"/>
          <w:lang w:bidi="ar"/>
        </w:rPr>
        <w:t>0.00</w:t>
      </w:r>
      <w:r>
        <w:rPr>
          <w:rFonts w:ascii="Times New Roman" w:eastAsia="方正仿宋_GBK" w:hAnsi="Times New Roman" w:cs="Times New Roman" w:hint="eastAsia"/>
          <w:sz w:val="32"/>
          <w:szCs w:val="32"/>
          <w:lang w:bidi="ar"/>
        </w:rPr>
        <w:t>元，车均购置费</w:t>
      </w:r>
      <w:r>
        <w:rPr>
          <w:rFonts w:ascii="Times New Roman" w:eastAsia="方正仿宋_GBK" w:hAnsi="Times New Roman" w:cs="Times New Roman" w:hint="eastAsia"/>
          <w:sz w:val="32"/>
          <w:szCs w:val="32"/>
          <w:lang w:bidi="ar"/>
        </w:rPr>
        <w:t>0.00</w:t>
      </w:r>
      <w:r>
        <w:rPr>
          <w:rFonts w:ascii="Times New Roman" w:eastAsia="方正仿宋_GBK" w:hAnsi="Times New Roman" w:cs="Times New Roman" w:hint="eastAsia"/>
          <w:sz w:val="32"/>
          <w:szCs w:val="32"/>
          <w:lang w:bidi="ar"/>
        </w:rPr>
        <w:t>万元，车均维护费</w:t>
      </w:r>
      <w:r>
        <w:rPr>
          <w:rFonts w:ascii="Times New Roman" w:eastAsia="方正仿宋_GBK" w:hAnsi="Times New Roman" w:cs="Times New Roman" w:hint="eastAsia"/>
          <w:sz w:val="32"/>
          <w:szCs w:val="32"/>
          <w:lang w:bidi="ar"/>
        </w:rPr>
        <w:t>1.87</w:t>
      </w:r>
      <w:r>
        <w:rPr>
          <w:rFonts w:ascii="Times New Roman" w:eastAsia="方正仿宋_GBK" w:hAnsi="Times New Roman" w:cs="Times New Roman" w:hint="eastAsia"/>
          <w:sz w:val="32"/>
          <w:szCs w:val="32"/>
          <w:lang w:bidi="ar"/>
        </w:rPr>
        <w:t>万元。</w:t>
      </w:r>
    </w:p>
    <w:p w:rsidR="00BB2470" w:rsidRDefault="00B02293">
      <w:pPr>
        <w:pStyle w:val="a7"/>
        <w:tabs>
          <w:tab w:val="center" w:pos="4153"/>
          <w:tab w:val="left" w:pos="7275"/>
        </w:tabs>
        <w:spacing w:line="596" w:lineRule="exact"/>
        <w:ind w:firstLine="640"/>
        <w:rPr>
          <w:rFonts w:ascii="方正黑体_GBK" w:eastAsia="方正黑体_GBK" w:hAnsi="Times New Roman"/>
          <w:sz w:val="32"/>
          <w:szCs w:val="32"/>
        </w:rPr>
      </w:pPr>
      <w:r>
        <w:rPr>
          <w:rFonts w:ascii="方正黑体_GBK" w:eastAsia="方正黑体_GBK" w:hAnsi="Times New Roman" w:hint="eastAsia"/>
          <w:sz w:val="32"/>
          <w:szCs w:val="32"/>
        </w:rPr>
        <w:t>四、其他需要说明的事项</w:t>
      </w:r>
    </w:p>
    <w:p w:rsidR="00BB2470" w:rsidRDefault="00B02293">
      <w:pPr>
        <w:pStyle w:val="a5"/>
        <w:shd w:val="clear" w:color="auto" w:fill="FFFFFF"/>
        <w:ind w:firstLineChars="200" w:firstLine="643"/>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lastRenderedPageBreak/>
        <w:t>（一）财政拨款会议费和培训费情况说明</w:t>
      </w:r>
    </w:p>
    <w:p w:rsidR="00BB2470"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本年度会议费支出</w:t>
      </w:r>
      <w:r>
        <w:rPr>
          <w:rFonts w:ascii="Times New Roman" w:eastAsia="方正仿宋_GBK" w:hAnsi="Times New Roman" w:cs="Times New Roman" w:hint="eastAsia"/>
          <w:sz w:val="32"/>
          <w:szCs w:val="32"/>
          <w:lang w:bidi="ar"/>
        </w:rPr>
        <w:t>0.00</w:t>
      </w:r>
      <w:r>
        <w:rPr>
          <w:rFonts w:ascii="Times New Roman" w:eastAsia="方正仿宋_GBK" w:hAnsi="Times New Roman" w:cs="Times New Roman" w:hint="eastAsia"/>
          <w:sz w:val="32"/>
          <w:szCs w:val="32"/>
          <w:lang w:bidi="ar"/>
        </w:rPr>
        <w:t>万元，较上年决算数增加</w:t>
      </w:r>
      <w:r>
        <w:rPr>
          <w:rFonts w:ascii="Times New Roman" w:eastAsia="方正仿宋_GBK" w:hAnsi="Times New Roman" w:cs="Times New Roman" w:hint="eastAsia"/>
          <w:sz w:val="32"/>
          <w:szCs w:val="32"/>
          <w:lang w:bidi="ar"/>
        </w:rPr>
        <w:t>3.00</w:t>
      </w:r>
      <w:r>
        <w:rPr>
          <w:rFonts w:ascii="Times New Roman" w:eastAsia="方正仿宋_GBK" w:hAnsi="Times New Roman" w:cs="Times New Roman" w:hint="eastAsia"/>
          <w:sz w:val="32"/>
          <w:szCs w:val="32"/>
          <w:lang w:bidi="ar"/>
        </w:rPr>
        <w:t>万元，增长</w:t>
      </w:r>
      <w:r>
        <w:rPr>
          <w:rFonts w:ascii="Times New Roman" w:eastAsia="方正仿宋_GBK" w:hAnsi="Times New Roman" w:cs="Times New Roman" w:hint="eastAsia"/>
          <w:sz w:val="32"/>
          <w:szCs w:val="32"/>
          <w:lang w:bidi="ar"/>
        </w:rPr>
        <w:t>100%</w:t>
      </w:r>
      <w:r>
        <w:rPr>
          <w:rFonts w:ascii="Times New Roman" w:eastAsia="方正仿宋_GBK" w:hAnsi="Times New Roman" w:cs="Times New Roman" w:hint="eastAsia"/>
          <w:sz w:val="32"/>
          <w:szCs w:val="32"/>
          <w:lang w:bidi="ar"/>
        </w:rPr>
        <w:t>，主要原因是</w:t>
      </w:r>
      <w:proofErr w:type="gramStart"/>
      <w:r>
        <w:rPr>
          <w:rFonts w:ascii="Times New Roman" w:eastAsia="方正仿宋_GBK" w:hAnsi="Times New Roman" w:cs="Times New Roman" w:hint="eastAsia"/>
          <w:sz w:val="32"/>
          <w:szCs w:val="32"/>
          <w:lang w:bidi="ar"/>
        </w:rPr>
        <w:t>21</w:t>
      </w:r>
      <w:proofErr w:type="gramEnd"/>
      <w:r>
        <w:rPr>
          <w:rFonts w:ascii="Times New Roman" w:eastAsia="方正仿宋_GBK" w:hAnsi="Times New Roman" w:cs="Times New Roman" w:hint="eastAsia"/>
          <w:sz w:val="32"/>
          <w:szCs w:val="32"/>
          <w:lang w:bidi="ar"/>
        </w:rPr>
        <w:t>年度财政决算报表相关会议费科目填报有误。本年度培训费支出</w:t>
      </w:r>
      <w:r>
        <w:rPr>
          <w:rFonts w:ascii="Times New Roman" w:eastAsia="方正仿宋_GBK" w:hAnsi="Times New Roman" w:cs="Times New Roman" w:hint="eastAsia"/>
          <w:sz w:val="32"/>
          <w:szCs w:val="32"/>
          <w:lang w:bidi="ar"/>
        </w:rPr>
        <w:t>4.68</w:t>
      </w:r>
      <w:r>
        <w:rPr>
          <w:rFonts w:ascii="Times New Roman" w:eastAsia="方正仿宋_GBK" w:hAnsi="Times New Roman" w:cs="Times New Roman" w:hint="eastAsia"/>
          <w:sz w:val="32"/>
          <w:szCs w:val="32"/>
          <w:lang w:bidi="ar"/>
        </w:rPr>
        <w:t>万元，较上年决算数增加</w:t>
      </w:r>
      <w:r>
        <w:rPr>
          <w:rFonts w:ascii="Times New Roman" w:eastAsia="方正仿宋_GBK" w:hAnsi="Times New Roman" w:cs="Times New Roman" w:hint="eastAsia"/>
          <w:sz w:val="32"/>
          <w:szCs w:val="32"/>
          <w:lang w:bidi="ar"/>
        </w:rPr>
        <w:t>1.32</w:t>
      </w:r>
      <w:r>
        <w:rPr>
          <w:rFonts w:ascii="Times New Roman" w:eastAsia="方正仿宋_GBK" w:hAnsi="Times New Roman" w:cs="Times New Roman" w:hint="eastAsia"/>
          <w:sz w:val="32"/>
          <w:szCs w:val="32"/>
          <w:lang w:bidi="ar"/>
        </w:rPr>
        <w:t>万元，增长</w:t>
      </w:r>
      <w:r>
        <w:rPr>
          <w:rFonts w:ascii="Times New Roman" w:eastAsia="方正仿宋_GBK" w:hAnsi="Times New Roman" w:cs="Times New Roman" w:hint="eastAsia"/>
          <w:sz w:val="32"/>
          <w:szCs w:val="32"/>
          <w:lang w:bidi="ar"/>
        </w:rPr>
        <w:t>22%</w:t>
      </w:r>
      <w:r>
        <w:rPr>
          <w:rFonts w:ascii="Times New Roman" w:eastAsia="方正仿宋_GBK" w:hAnsi="Times New Roman" w:cs="Times New Roman" w:hint="eastAsia"/>
          <w:sz w:val="32"/>
          <w:szCs w:val="32"/>
          <w:lang w:bidi="ar"/>
        </w:rPr>
        <w:t>，主要原因是</w:t>
      </w:r>
      <w:r>
        <w:rPr>
          <w:rFonts w:ascii="Times New Roman" w:eastAsia="方正仿宋_GBK" w:hAnsi="Times New Roman" w:cs="Times New Roman" w:hint="eastAsia"/>
          <w:sz w:val="32"/>
          <w:szCs w:val="32"/>
          <w:lang w:bidi="ar"/>
        </w:rPr>
        <w:t>22</w:t>
      </w:r>
      <w:r>
        <w:rPr>
          <w:rFonts w:ascii="Times New Roman" w:eastAsia="方正仿宋_GBK" w:hAnsi="Times New Roman" w:cs="Times New Roman" w:hint="eastAsia"/>
          <w:sz w:val="32"/>
          <w:szCs w:val="32"/>
          <w:lang w:bidi="ar"/>
        </w:rPr>
        <w:t>年单位开展相关培训费用支出增加。</w:t>
      </w:r>
    </w:p>
    <w:p w:rsidR="00BB2470" w:rsidRDefault="00B02293">
      <w:pPr>
        <w:pStyle w:val="a5"/>
        <w:shd w:val="clear" w:color="auto" w:fill="FFFFFF"/>
        <w:ind w:firstLineChars="200" w:firstLine="643"/>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（二）机关运行经费支出情况说明</w:t>
      </w:r>
    </w:p>
    <w:p w:rsidR="00BB2470"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2022</w:t>
      </w:r>
      <w:r>
        <w:rPr>
          <w:rFonts w:ascii="Times New Roman" w:eastAsia="方正仿宋_GBK" w:hAnsi="Times New Roman" w:cs="Times New Roman" w:hint="eastAsia"/>
          <w:sz w:val="32"/>
          <w:szCs w:val="32"/>
          <w:lang w:bidi="ar"/>
        </w:rPr>
        <w:t>年度本单位机关运行经费支出</w:t>
      </w:r>
      <w:r>
        <w:rPr>
          <w:rFonts w:ascii="Times New Roman" w:eastAsia="方正仿宋_GBK" w:hAnsi="Times New Roman" w:cs="Times New Roman" w:hint="eastAsia"/>
          <w:sz w:val="32"/>
          <w:szCs w:val="32"/>
          <w:lang w:bidi="ar"/>
        </w:rPr>
        <w:t>0.00</w:t>
      </w:r>
      <w:r>
        <w:rPr>
          <w:rFonts w:ascii="Times New Roman" w:eastAsia="方正仿宋_GBK" w:hAnsi="Times New Roman" w:cs="Times New Roman" w:hint="eastAsia"/>
          <w:sz w:val="32"/>
          <w:szCs w:val="32"/>
          <w:lang w:bidi="ar"/>
        </w:rPr>
        <w:t>万元，我单位不在机关运行经费统计范围之内。</w:t>
      </w:r>
    </w:p>
    <w:p w:rsidR="00BB2470" w:rsidRDefault="00B02293">
      <w:pPr>
        <w:pStyle w:val="a5"/>
        <w:shd w:val="clear" w:color="auto" w:fill="FFFFFF"/>
        <w:ind w:firstLineChars="200" w:firstLine="643"/>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（三）国有资产占用情况说明</w:t>
      </w:r>
    </w:p>
    <w:p w:rsidR="00BB2470"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截至</w:t>
      </w:r>
      <w:r>
        <w:rPr>
          <w:rFonts w:ascii="Times New Roman" w:eastAsia="方正仿宋_GBK" w:hAnsi="Times New Roman" w:cs="Times New Roman" w:hint="eastAsia"/>
          <w:sz w:val="32"/>
          <w:szCs w:val="32"/>
          <w:lang w:bidi="ar"/>
        </w:rPr>
        <w:t>2022</w:t>
      </w:r>
      <w:r>
        <w:rPr>
          <w:rFonts w:ascii="Times New Roman" w:eastAsia="方正仿宋_GBK" w:hAnsi="Times New Roman" w:cs="Times New Roman" w:hint="eastAsia"/>
          <w:sz w:val="32"/>
          <w:szCs w:val="32"/>
          <w:lang w:bidi="ar"/>
        </w:rPr>
        <w:t>年</w:t>
      </w:r>
      <w:r>
        <w:rPr>
          <w:rFonts w:ascii="Times New Roman" w:eastAsia="方正仿宋_GBK" w:hAnsi="Times New Roman" w:cs="Times New Roman" w:hint="eastAsia"/>
          <w:sz w:val="32"/>
          <w:szCs w:val="32"/>
          <w:lang w:bidi="ar"/>
        </w:rPr>
        <w:t>12</w:t>
      </w:r>
      <w:r>
        <w:rPr>
          <w:rFonts w:ascii="Times New Roman" w:eastAsia="方正仿宋_GBK" w:hAnsi="Times New Roman" w:cs="Times New Roman" w:hint="eastAsia"/>
          <w:sz w:val="32"/>
          <w:szCs w:val="32"/>
          <w:lang w:bidi="ar"/>
        </w:rPr>
        <w:t>月</w:t>
      </w:r>
      <w:r>
        <w:rPr>
          <w:rFonts w:ascii="Times New Roman" w:eastAsia="方正仿宋_GBK" w:hAnsi="Times New Roman" w:cs="Times New Roman" w:hint="eastAsia"/>
          <w:sz w:val="32"/>
          <w:szCs w:val="32"/>
          <w:lang w:bidi="ar"/>
        </w:rPr>
        <w:t>31</w:t>
      </w:r>
      <w:r>
        <w:rPr>
          <w:rFonts w:ascii="Times New Roman" w:eastAsia="方正仿宋_GBK" w:hAnsi="Times New Roman" w:cs="Times New Roman" w:hint="eastAsia"/>
          <w:sz w:val="32"/>
          <w:szCs w:val="32"/>
          <w:lang w:bidi="ar"/>
        </w:rPr>
        <w:t>日，本单位共有车辆</w:t>
      </w:r>
      <w:r>
        <w:rPr>
          <w:rFonts w:ascii="Times New Roman" w:eastAsia="方正仿宋_GBK" w:hAnsi="Times New Roman" w:cs="Times New Roman" w:hint="eastAsia"/>
          <w:sz w:val="32"/>
          <w:szCs w:val="32"/>
          <w:lang w:bidi="ar"/>
        </w:rPr>
        <w:t>4</w:t>
      </w:r>
      <w:r>
        <w:rPr>
          <w:rFonts w:ascii="Times New Roman" w:eastAsia="方正仿宋_GBK" w:hAnsi="Times New Roman" w:cs="Times New Roman" w:hint="eastAsia"/>
          <w:sz w:val="32"/>
          <w:szCs w:val="32"/>
          <w:lang w:bidi="ar"/>
        </w:rPr>
        <w:t>辆，其中，应急保障用车</w:t>
      </w:r>
      <w:r>
        <w:rPr>
          <w:rFonts w:ascii="Times New Roman" w:eastAsia="方正仿宋_GBK" w:hAnsi="Times New Roman" w:cs="Times New Roman" w:hint="eastAsia"/>
          <w:sz w:val="32"/>
          <w:szCs w:val="32"/>
          <w:lang w:bidi="ar"/>
        </w:rPr>
        <w:t>4</w:t>
      </w:r>
      <w:r>
        <w:rPr>
          <w:rFonts w:ascii="Times New Roman" w:eastAsia="方正仿宋_GBK" w:hAnsi="Times New Roman" w:cs="Times New Roman" w:hint="eastAsia"/>
          <w:sz w:val="32"/>
          <w:szCs w:val="32"/>
          <w:lang w:bidi="ar"/>
        </w:rPr>
        <w:t>辆。</w:t>
      </w:r>
    </w:p>
    <w:p w:rsidR="00BB2470" w:rsidRDefault="00B02293">
      <w:pPr>
        <w:pStyle w:val="a5"/>
        <w:shd w:val="clear" w:color="auto" w:fill="FFFFFF"/>
        <w:ind w:firstLineChars="200" w:firstLine="643"/>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（四）政府采购支出说明</w:t>
      </w:r>
    </w:p>
    <w:p w:rsidR="00BB2470"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2022</w:t>
      </w:r>
      <w:r>
        <w:rPr>
          <w:rFonts w:ascii="Times New Roman" w:eastAsia="方正仿宋_GBK" w:hAnsi="Times New Roman" w:cs="Times New Roman" w:hint="eastAsia"/>
          <w:sz w:val="32"/>
          <w:szCs w:val="32"/>
          <w:lang w:bidi="ar"/>
        </w:rPr>
        <w:t>年度本单位政府采购支出总额</w:t>
      </w:r>
      <w:r>
        <w:rPr>
          <w:rFonts w:ascii="Times New Roman" w:eastAsia="方正仿宋_GBK" w:hAnsi="Times New Roman" w:cs="Times New Roman" w:hint="eastAsia"/>
          <w:sz w:val="32"/>
          <w:szCs w:val="32"/>
          <w:lang w:bidi="ar"/>
        </w:rPr>
        <w:t>7</w:t>
      </w:r>
      <w:r>
        <w:rPr>
          <w:rFonts w:ascii="Times New Roman" w:eastAsia="方正仿宋_GBK" w:hAnsi="Times New Roman" w:cs="Times New Roman" w:hint="eastAsia"/>
          <w:sz w:val="32"/>
          <w:szCs w:val="32"/>
          <w:lang w:bidi="ar"/>
        </w:rPr>
        <w:t>14.65</w:t>
      </w:r>
      <w:r>
        <w:rPr>
          <w:rFonts w:ascii="Times New Roman" w:eastAsia="方正仿宋_GBK" w:hAnsi="Times New Roman" w:cs="Times New Roman" w:hint="eastAsia"/>
          <w:sz w:val="32"/>
          <w:szCs w:val="32"/>
          <w:lang w:bidi="ar"/>
        </w:rPr>
        <w:t>万元，其中：政府采购货物支出</w:t>
      </w:r>
      <w:r>
        <w:rPr>
          <w:rFonts w:ascii="Times New Roman" w:eastAsia="方正仿宋_GBK" w:hAnsi="Times New Roman" w:cs="Times New Roman" w:hint="eastAsia"/>
          <w:sz w:val="32"/>
          <w:szCs w:val="32"/>
          <w:lang w:bidi="ar"/>
        </w:rPr>
        <w:t>700.65</w:t>
      </w:r>
      <w:r>
        <w:rPr>
          <w:rFonts w:ascii="Times New Roman" w:eastAsia="方正仿宋_GBK" w:hAnsi="Times New Roman" w:cs="Times New Roman" w:hint="eastAsia"/>
          <w:sz w:val="32"/>
          <w:szCs w:val="32"/>
          <w:lang w:bidi="ar"/>
        </w:rPr>
        <w:t>万元、政府采购工程支出</w:t>
      </w:r>
      <w:r>
        <w:rPr>
          <w:rFonts w:ascii="Times New Roman" w:eastAsia="方正仿宋_GBK" w:hAnsi="Times New Roman" w:cs="Times New Roman" w:hint="eastAsia"/>
          <w:sz w:val="32"/>
          <w:szCs w:val="32"/>
          <w:lang w:bidi="ar"/>
        </w:rPr>
        <w:t>0.00</w:t>
      </w:r>
      <w:r>
        <w:rPr>
          <w:rFonts w:ascii="Times New Roman" w:eastAsia="方正仿宋_GBK" w:hAnsi="Times New Roman" w:cs="Times New Roman" w:hint="eastAsia"/>
          <w:sz w:val="32"/>
          <w:szCs w:val="32"/>
          <w:lang w:bidi="ar"/>
        </w:rPr>
        <w:t>万元、政府采购服务支出</w:t>
      </w:r>
      <w:r>
        <w:rPr>
          <w:rFonts w:ascii="Times New Roman" w:eastAsia="方正仿宋_GBK" w:hAnsi="Times New Roman" w:cs="Times New Roman" w:hint="eastAsia"/>
          <w:sz w:val="32"/>
          <w:szCs w:val="32"/>
          <w:lang w:bidi="ar"/>
        </w:rPr>
        <w:t>14.00</w:t>
      </w:r>
      <w:r>
        <w:rPr>
          <w:rFonts w:ascii="Times New Roman" w:eastAsia="方正仿宋_GBK" w:hAnsi="Times New Roman" w:cs="Times New Roman" w:hint="eastAsia"/>
          <w:sz w:val="32"/>
          <w:szCs w:val="32"/>
          <w:lang w:bidi="ar"/>
        </w:rPr>
        <w:t>万元。授予中小企业合同金额</w:t>
      </w:r>
      <w:r>
        <w:rPr>
          <w:rFonts w:ascii="Times New Roman" w:eastAsia="方正仿宋_GBK" w:hAnsi="Times New Roman" w:cs="Times New Roman" w:hint="eastAsia"/>
          <w:sz w:val="32"/>
          <w:szCs w:val="32"/>
          <w:lang w:bidi="ar"/>
        </w:rPr>
        <w:t>714.65</w:t>
      </w:r>
      <w:r>
        <w:rPr>
          <w:rFonts w:ascii="Times New Roman" w:eastAsia="方正仿宋_GBK" w:hAnsi="Times New Roman" w:cs="Times New Roman" w:hint="eastAsia"/>
          <w:sz w:val="32"/>
          <w:szCs w:val="32"/>
          <w:lang w:bidi="ar"/>
        </w:rPr>
        <w:t>万元，占政府采购支出总额的</w:t>
      </w:r>
      <w:r>
        <w:rPr>
          <w:rFonts w:ascii="Times New Roman" w:eastAsia="方正仿宋_GBK" w:hAnsi="Times New Roman" w:cs="Times New Roman" w:hint="eastAsia"/>
          <w:sz w:val="32"/>
          <w:szCs w:val="32"/>
          <w:lang w:bidi="ar"/>
        </w:rPr>
        <w:t>100%</w:t>
      </w:r>
      <w:r>
        <w:rPr>
          <w:rFonts w:ascii="Times New Roman" w:eastAsia="方正仿宋_GBK" w:hAnsi="Times New Roman" w:cs="Times New Roman" w:hint="eastAsia"/>
          <w:sz w:val="32"/>
          <w:szCs w:val="32"/>
          <w:lang w:bidi="ar"/>
        </w:rPr>
        <w:t>，其中：授予小</w:t>
      </w:r>
      <w:proofErr w:type="gramStart"/>
      <w:r>
        <w:rPr>
          <w:rFonts w:ascii="Times New Roman" w:eastAsia="方正仿宋_GBK" w:hAnsi="Times New Roman" w:cs="Times New Roman" w:hint="eastAsia"/>
          <w:sz w:val="32"/>
          <w:szCs w:val="32"/>
          <w:lang w:bidi="ar"/>
        </w:rPr>
        <w:t>微企业</w:t>
      </w:r>
      <w:proofErr w:type="gramEnd"/>
      <w:r>
        <w:rPr>
          <w:rFonts w:ascii="Times New Roman" w:eastAsia="方正仿宋_GBK" w:hAnsi="Times New Roman" w:cs="Times New Roman" w:hint="eastAsia"/>
          <w:sz w:val="32"/>
          <w:szCs w:val="32"/>
          <w:lang w:bidi="ar"/>
        </w:rPr>
        <w:t>合同金额</w:t>
      </w:r>
      <w:r>
        <w:rPr>
          <w:rFonts w:ascii="Times New Roman" w:eastAsia="方正仿宋_GBK" w:hAnsi="Times New Roman" w:cs="Times New Roman" w:hint="eastAsia"/>
          <w:sz w:val="32"/>
          <w:szCs w:val="32"/>
          <w:lang w:bidi="ar"/>
        </w:rPr>
        <w:t>714.65</w:t>
      </w:r>
      <w:r>
        <w:rPr>
          <w:rFonts w:ascii="Times New Roman" w:eastAsia="方正仿宋_GBK" w:hAnsi="Times New Roman" w:cs="Times New Roman" w:hint="eastAsia"/>
          <w:sz w:val="32"/>
          <w:szCs w:val="32"/>
          <w:lang w:bidi="ar"/>
        </w:rPr>
        <w:t>万元，占政府采购支出总额的</w:t>
      </w:r>
      <w:r>
        <w:rPr>
          <w:rFonts w:ascii="Times New Roman" w:eastAsia="方正仿宋_GBK" w:hAnsi="Times New Roman" w:cs="Times New Roman" w:hint="eastAsia"/>
          <w:sz w:val="32"/>
          <w:szCs w:val="32"/>
          <w:lang w:bidi="ar"/>
        </w:rPr>
        <w:t>100%</w:t>
      </w:r>
      <w:r>
        <w:rPr>
          <w:rFonts w:ascii="Times New Roman" w:eastAsia="方正仿宋_GBK" w:hAnsi="Times New Roman" w:cs="Times New Roman" w:hint="eastAsia"/>
          <w:sz w:val="32"/>
          <w:szCs w:val="32"/>
          <w:lang w:bidi="ar"/>
        </w:rPr>
        <w:t>。主要用于采购创建“二甲”</w:t>
      </w:r>
      <w:proofErr w:type="gramStart"/>
      <w:r>
        <w:rPr>
          <w:rFonts w:ascii="Times New Roman" w:eastAsia="方正仿宋_GBK" w:hAnsi="Times New Roman" w:cs="Times New Roman" w:hint="eastAsia"/>
          <w:sz w:val="32"/>
          <w:szCs w:val="32"/>
          <w:lang w:bidi="ar"/>
        </w:rPr>
        <w:t>等级疾控中心</w:t>
      </w:r>
      <w:proofErr w:type="gramEnd"/>
      <w:r>
        <w:rPr>
          <w:rFonts w:ascii="Times New Roman" w:eastAsia="方正仿宋_GBK" w:hAnsi="Times New Roman" w:cs="Times New Roman" w:hint="eastAsia"/>
          <w:sz w:val="32"/>
          <w:szCs w:val="32"/>
          <w:lang w:bidi="ar"/>
        </w:rPr>
        <w:t>所需设备和</w:t>
      </w:r>
      <w:proofErr w:type="gramStart"/>
      <w:r>
        <w:rPr>
          <w:rFonts w:ascii="Times New Roman" w:eastAsia="方正仿宋_GBK" w:hAnsi="Times New Roman" w:cs="Times New Roman" w:hint="eastAsia"/>
          <w:sz w:val="32"/>
          <w:szCs w:val="32"/>
          <w:lang w:bidi="ar"/>
        </w:rPr>
        <w:t>提升县疾控</w:t>
      </w:r>
      <w:proofErr w:type="gramEnd"/>
      <w:r>
        <w:rPr>
          <w:rFonts w:ascii="Times New Roman" w:eastAsia="方正仿宋_GBK" w:hAnsi="Times New Roman" w:cs="Times New Roman" w:hint="eastAsia"/>
          <w:sz w:val="32"/>
          <w:szCs w:val="32"/>
          <w:lang w:bidi="ar"/>
        </w:rPr>
        <w:t>中心能力建设所需要设备设施。</w:t>
      </w:r>
    </w:p>
    <w:p w:rsidR="00BB2470" w:rsidRDefault="00B02293">
      <w:pPr>
        <w:pStyle w:val="a7"/>
        <w:tabs>
          <w:tab w:val="center" w:pos="4153"/>
          <w:tab w:val="left" w:pos="7275"/>
        </w:tabs>
        <w:spacing w:line="596" w:lineRule="exact"/>
        <w:ind w:firstLine="640"/>
        <w:rPr>
          <w:rFonts w:ascii="方正黑体_GBK" w:eastAsia="方正黑体_GBK" w:hAnsi="Times New Roman"/>
          <w:sz w:val="32"/>
          <w:szCs w:val="32"/>
        </w:rPr>
      </w:pPr>
      <w:r>
        <w:rPr>
          <w:rFonts w:ascii="方正黑体_GBK" w:eastAsia="方正黑体_GBK" w:hAnsi="Times New Roman" w:hint="eastAsia"/>
          <w:sz w:val="32"/>
          <w:szCs w:val="32"/>
        </w:rPr>
        <w:lastRenderedPageBreak/>
        <w:t>五、预算绩效管理情况说明</w:t>
      </w:r>
    </w:p>
    <w:p w:rsidR="00BB2470"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严格按照县财政相关要求对单位财政资金进行了绩效管理与绩效自评。</w:t>
      </w:r>
    </w:p>
    <w:p w:rsidR="00BB2470" w:rsidRDefault="00B02293">
      <w:pPr>
        <w:pStyle w:val="a5"/>
        <w:shd w:val="clear" w:color="auto" w:fill="FFFFFF"/>
        <w:ind w:firstLineChars="200" w:firstLine="643"/>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（一）预算绩效管理工作开展情况</w:t>
      </w:r>
    </w:p>
    <w:p w:rsidR="00BB2470"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根据预算绩效管理要求，我中心对部门整体和</w:t>
      </w:r>
      <w:r>
        <w:rPr>
          <w:rFonts w:ascii="Times New Roman" w:eastAsia="方正仿宋_GBK" w:hAnsi="Times New Roman" w:cs="Times New Roman" w:hint="eastAsia"/>
          <w:sz w:val="32"/>
          <w:szCs w:val="32"/>
          <w:lang w:bidi="ar"/>
        </w:rPr>
        <w:t>3</w:t>
      </w:r>
      <w:r>
        <w:rPr>
          <w:rFonts w:ascii="Times New Roman" w:eastAsia="方正仿宋_GBK" w:hAnsi="Times New Roman" w:cs="Times New Roman" w:hint="eastAsia"/>
          <w:sz w:val="32"/>
          <w:szCs w:val="32"/>
          <w:lang w:bidi="ar"/>
        </w:rPr>
        <w:t>个</w:t>
      </w:r>
      <w:r>
        <w:rPr>
          <w:rFonts w:ascii="Times New Roman" w:eastAsia="方正仿宋_GBK" w:hAnsi="Times New Roman" w:cs="Times New Roman" w:hint="eastAsia"/>
          <w:sz w:val="32"/>
          <w:szCs w:val="32"/>
          <w:lang w:bidi="ar"/>
        </w:rPr>
        <w:t>项目开展了绩效自评，其中，以填报自评表形式开展自评</w:t>
      </w:r>
      <w:r>
        <w:rPr>
          <w:rFonts w:ascii="Times New Roman" w:eastAsia="方正仿宋_GBK" w:hAnsi="Times New Roman" w:cs="Times New Roman" w:hint="eastAsia"/>
          <w:sz w:val="32"/>
          <w:szCs w:val="32"/>
          <w:lang w:bidi="ar"/>
        </w:rPr>
        <w:t>2</w:t>
      </w:r>
      <w:r>
        <w:rPr>
          <w:rFonts w:ascii="Times New Roman" w:eastAsia="方正仿宋_GBK" w:hAnsi="Times New Roman" w:cs="Times New Roman" w:hint="eastAsia"/>
          <w:sz w:val="32"/>
          <w:szCs w:val="32"/>
          <w:lang w:bidi="ar"/>
        </w:rPr>
        <w:t>项，涉及资金</w:t>
      </w:r>
      <w:r>
        <w:rPr>
          <w:rFonts w:ascii="Times New Roman" w:eastAsia="方正仿宋_GBK" w:hAnsi="Times New Roman" w:cs="Times New Roman" w:hint="eastAsia"/>
          <w:sz w:val="32"/>
          <w:szCs w:val="32"/>
          <w:lang w:bidi="ar"/>
        </w:rPr>
        <w:t>85</w:t>
      </w:r>
      <w:r>
        <w:rPr>
          <w:rFonts w:ascii="Times New Roman" w:eastAsia="方正仿宋_GBK" w:hAnsi="Times New Roman" w:cs="Times New Roman" w:hint="eastAsia"/>
          <w:sz w:val="32"/>
          <w:szCs w:val="32"/>
          <w:lang w:bidi="ar"/>
        </w:rPr>
        <w:t>万元。</w:t>
      </w:r>
    </w:p>
    <w:p w:rsidR="00BB2470" w:rsidRDefault="00B02293">
      <w:pPr>
        <w:pStyle w:val="a5"/>
        <w:shd w:val="clear" w:color="auto" w:fill="FFFFFF"/>
        <w:ind w:firstLineChars="200" w:firstLine="643"/>
        <w:rPr>
          <w:rFonts w:ascii="方正仿宋_GBK" w:eastAsia="方正仿宋_GBK" w:hAnsi="Times New Roman" w:cs="Times New Roman"/>
          <w:b/>
          <w:color w:val="333333"/>
          <w:kern w:val="2"/>
          <w:sz w:val="32"/>
          <w:szCs w:val="32"/>
        </w:rPr>
      </w:pPr>
      <w:r>
        <w:rPr>
          <w:rFonts w:ascii="方正仿宋_GBK" w:eastAsia="方正仿宋_GBK" w:hAnsi="Times New Roman" w:cs="Times New Roman" w:hint="eastAsia"/>
          <w:b/>
          <w:color w:val="333333"/>
          <w:kern w:val="2"/>
          <w:sz w:val="32"/>
          <w:szCs w:val="32"/>
        </w:rPr>
        <w:t>（二）绩效自评结果。</w:t>
      </w:r>
    </w:p>
    <w:p w:rsidR="00BB2470" w:rsidRDefault="00B02293">
      <w:pPr>
        <w:pStyle w:val="a5"/>
        <w:shd w:val="clear" w:color="auto" w:fill="FFFFFF"/>
        <w:tabs>
          <w:tab w:val="left" w:pos="2710"/>
        </w:tabs>
        <w:rPr>
          <w:rStyle w:val="a6"/>
          <w:sz w:val="28"/>
          <w:szCs w:val="28"/>
        </w:rPr>
      </w:pPr>
      <w:r>
        <w:rPr>
          <w:rStyle w:val="a6"/>
          <w:sz w:val="28"/>
          <w:szCs w:val="28"/>
        </w:rPr>
        <w:t>1.</w:t>
      </w:r>
      <w:r>
        <w:rPr>
          <w:rStyle w:val="a6"/>
          <w:sz w:val="28"/>
          <w:szCs w:val="28"/>
        </w:rPr>
        <w:t>绩效目标自评表。</w:t>
      </w:r>
      <w:r>
        <w:rPr>
          <w:rStyle w:val="a6"/>
          <w:sz w:val="28"/>
          <w:szCs w:val="28"/>
        </w:rPr>
        <w:tab/>
      </w:r>
    </w:p>
    <w:p w:rsidR="00BB2470" w:rsidRDefault="00BB2470">
      <w:pPr>
        <w:pStyle w:val="a5"/>
        <w:shd w:val="clear" w:color="auto" w:fill="FFFFFF"/>
        <w:tabs>
          <w:tab w:val="left" w:pos="2710"/>
        </w:tabs>
        <w:rPr>
          <w:rStyle w:val="a6"/>
        </w:rPr>
      </w:pPr>
    </w:p>
    <w:p w:rsidR="00BB2470" w:rsidRDefault="00B02293">
      <w:pPr>
        <w:pStyle w:val="a7"/>
        <w:tabs>
          <w:tab w:val="center" w:pos="4153"/>
          <w:tab w:val="left" w:pos="7275"/>
        </w:tabs>
        <w:spacing w:line="560" w:lineRule="exact"/>
        <w:ind w:firstLineChars="0" w:firstLine="0"/>
        <w:jc w:val="center"/>
        <w:rPr>
          <w:rStyle w:val="a6"/>
          <w:rFonts w:ascii="Times New Roman" w:eastAsia="方正仿宋_GBK" w:hAnsi="Times New Roman" w:cs="宋体"/>
          <w:b w:val="0"/>
          <w:bCs w:val="0"/>
          <w:color w:val="000000" w:themeColor="text1"/>
          <w:kern w:val="0"/>
          <w:sz w:val="32"/>
          <w:szCs w:val="32"/>
        </w:rPr>
      </w:pPr>
      <w:r>
        <w:rPr>
          <w:rFonts w:ascii="Times New Roman" w:eastAsia="方正小标宋_GBK" w:hAnsi="Times New Roman" w:cs="宋体" w:hint="eastAsia"/>
          <w:color w:val="000000" w:themeColor="text1"/>
          <w:kern w:val="0"/>
          <w:sz w:val="36"/>
          <w:szCs w:val="36"/>
        </w:rPr>
        <w:t>部门整体绩效自评表</w:t>
      </w:r>
    </w:p>
    <w:tbl>
      <w:tblPr>
        <w:tblW w:w="9640" w:type="dxa"/>
        <w:tblInd w:w="-318" w:type="dxa"/>
        <w:tblLayout w:type="fixed"/>
        <w:tblLook w:val="04A0" w:firstRow="1" w:lastRow="0" w:firstColumn="1" w:lastColumn="0" w:noHBand="0" w:noVBand="1"/>
      </w:tblPr>
      <w:tblGrid>
        <w:gridCol w:w="937"/>
        <w:gridCol w:w="729"/>
        <w:gridCol w:w="347"/>
        <w:gridCol w:w="302"/>
        <w:gridCol w:w="134"/>
        <w:gridCol w:w="747"/>
        <w:gridCol w:w="704"/>
        <w:gridCol w:w="312"/>
        <w:gridCol w:w="430"/>
        <w:gridCol w:w="252"/>
        <w:gridCol w:w="451"/>
        <w:gridCol w:w="85"/>
        <w:gridCol w:w="928"/>
        <w:gridCol w:w="1387"/>
        <w:gridCol w:w="88"/>
        <w:gridCol w:w="967"/>
        <w:gridCol w:w="840"/>
      </w:tblGrid>
      <w:tr w:rsidR="00BB2470">
        <w:trPr>
          <w:trHeight w:val="575"/>
        </w:trPr>
        <w:tc>
          <w:tcPr>
            <w:tcW w:w="937" w:type="dxa"/>
            <w:vMerge w:val="restart"/>
            <w:tcBorders>
              <w:top w:val="single" w:sz="4" w:space="0" w:color="auto"/>
              <w:left w:val="single" w:sz="4" w:space="0" w:color="auto"/>
              <w:bottom w:val="single" w:sz="4" w:space="0" w:color="000000"/>
              <w:right w:val="single" w:sz="4" w:space="0" w:color="auto"/>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主管</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部门</w:t>
            </w:r>
          </w:p>
        </w:tc>
        <w:tc>
          <w:tcPr>
            <w:tcW w:w="1378" w:type="dxa"/>
            <w:gridSpan w:val="3"/>
            <w:vMerge w:val="restart"/>
            <w:tcBorders>
              <w:top w:val="single" w:sz="4" w:space="0" w:color="auto"/>
              <w:left w:val="single" w:sz="4" w:space="0" w:color="auto"/>
              <w:bottom w:val="single" w:sz="4" w:space="0" w:color="000000"/>
              <w:right w:val="single" w:sz="4" w:space="0" w:color="000000"/>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县卫生健康委</w:t>
            </w:r>
          </w:p>
        </w:tc>
        <w:tc>
          <w:tcPr>
            <w:tcW w:w="881" w:type="dxa"/>
            <w:gridSpan w:val="2"/>
            <w:vMerge w:val="restart"/>
            <w:tcBorders>
              <w:top w:val="single" w:sz="4" w:space="0" w:color="auto"/>
              <w:left w:val="single" w:sz="4" w:space="0" w:color="auto"/>
              <w:bottom w:val="single" w:sz="4" w:space="0" w:color="000000"/>
              <w:right w:val="single" w:sz="4" w:space="0" w:color="auto"/>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财政处室</w:t>
            </w:r>
          </w:p>
        </w:tc>
        <w:tc>
          <w:tcPr>
            <w:tcW w:w="1016" w:type="dxa"/>
            <w:gridSpan w:val="2"/>
            <w:vMerge w:val="restart"/>
            <w:tcBorders>
              <w:top w:val="single" w:sz="4" w:space="0" w:color="auto"/>
              <w:left w:val="single" w:sz="4" w:space="0" w:color="auto"/>
              <w:bottom w:val="single" w:sz="4" w:space="0" w:color="000000"/>
              <w:right w:val="single" w:sz="4" w:space="0" w:color="000000"/>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行社科</w:t>
            </w:r>
          </w:p>
        </w:tc>
        <w:tc>
          <w:tcPr>
            <w:tcW w:w="1133" w:type="dxa"/>
            <w:gridSpan w:val="3"/>
            <w:tcBorders>
              <w:top w:val="single" w:sz="4" w:space="0" w:color="auto"/>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自评总分（分）</w:t>
            </w:r>
          </w:p>
        </w:tc>
        <w:tc>
          <w:tcPr>
            <w:tcW w:w="4295" w:type="dxa"/>
            <w:gridSpan w:val="6"/>
            <w:tcBorders>
              <w:top w:val="single" w:sz="4" w:space="0" w:color="auto"/>
              <w:left w:val="nil"/>
              <w:bottom w:val="single" w:sz="4" w:space="0" w:color="auto"/>
              <w:right w:val="single" w:sz="4" w:space="0" w:color="000000"/>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95</w:t>
            </w:r>
          </w:p>
        </w:tc>
      </w:tr>
      <w:tr w:rsidR="00BB2470">
        <w:trPr>
          <w:trHeight w:val="575"/>
        </w:trPr>
        <w:tc>
          <w:tcPr>
            <w:tcW w:w="937" w:type="dxa"/>
            <w:vMerge/>
            <w:tcBorders>
              <w:top w:val="single" w:sz="4" w:space="0" w:color="auto"/>
              <w:left w:val="single" w:sz="4" w:space="0" w:color="auto"/>
              <w:bottom w:val="single" w:sz="4" w:space="0" w:color="000000"/>
              <w:right w:val="single" w:sz="4" w:space="0" w:color="auto"/>
            </w:tcBorders>
            <w:vAlign w:val="center"/>
          </w:tcPr>
          <w:p w:rsidR="00BB2470" w:rsidRDefault="00BB2470">
            <w:pPr>
              <w:spacing w:line="300" w:lineRule="exact"/>
              <w:jc w:val="center"/>
              <w:rPr>
                <w:rFonts w:ascii="Times New Roman" w:eastAsia="方正仿宋_GBK" w:hAnsi="Times New Roman"/>
                <w:color w:val="000000" w:themeColor="text1"/>
                <w:sz w:val="22"/>
              </w:rPr>
            </w:pPr>
          </w:p>
        </w:tc>
        <w:tc>
          <w:tcPr>
            <w:tcW w:w="1378" w:type="dxa"/>
            <w:gridSpan w:val="3"/>
            <w:vMerge/>
            <w:tcBorders>
              <w:top w:val="single" w:sz="4" w:space="0" w:color="auto"/>
              <w:left w:val="single" w:sz="4" w:space="0" w:color="auto"/>
              <w:bottom w:val="single" w:sz="4" w:space="0" w:color="000000"/>
              <w:right w:val="single" w:sz="4" w:space="0" w:color="000000"/>
            </w:tcBorders>
            <w:vAlign w:val="center"/>
          </w:tcPr>
          <w:p w:rsidR="00BB2470" w:rsidRDefault="00BB2470">
            <w:pPr>
              <w:spacing w:line="300" w:lineRule="exact"/>
              <w:jc w:val="center"/>
              <w:rPr>
                <w:rFonts w:ascii="Times New Roman" w:eastAsia="方正仿宋_GBK" w:hAnsi="Times New Roman"/>
                <w:color w:val="000000" w:themeColor="text1"/>
                <w:sz w:val="22"/>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tcPr>
          <w:p w:rsidR="00BB2470" w:rsidRDefault="00BB2470">
            <w:pPr>
              <w:spacing w:line="300" w:lineRule="exact"/>
              <w:jc w:val="center"/>
              <w:rPr>
                <w:rFonts w:ascii="Times New Roman" w:eastAsia="方正仿宋_GBK" w:hAnsi="Times New Roman"/>
                <w:color w:val="000000" w:themeColor="text1"/>
                <w:sz w:val="22"/>
              </w:rPr>
            </w:pPr>
          </w:p>
        </w:tc>
        <w:tc>
          <w:tcPr>
            <w:tcW w:w="1016" w:type="dxa"/>
            <w:gridSpan w:val="2"/>
            <w:vMerge/>
            <w:tcBorders>
              <w:top w:val="single" w:sz="4" w:space="0" w:color="auto"/>
              <w:left w:val="single" w:sz="4" w:space="0" w:color="auto"/>
              <w:bottom w:val="single" w:sz="4" w:space="0" w:color="000000"/>
              <w:right w:val="single" w:sz="4" w:space="0" w:color="000000"/>
            </w:tcBorders>
            <w:vAlign w:val="center"/>
          </w:tcPr>
          <w:p w:rsidR="00BB2470" w:rsidRDefault="00BB2470">
            <w:pPr>
              <w:spacing w:line="300" w:lineRule="exact"/>
              <w:jc w:val="center"/>
              <w:rPr>
                <w:rFonts w:ascii="Times New Roman" w:eastAsia="方正仿宋_GBK" w:hAnsi="Times New Roman"/>
                <w:color w:val="000000" w:themeColor="text1"/>
                <w:sz w:val="22"/>
              </w:rPr>
            </w:pPr>
          </w:p>
        </w:tc>
        <w:tc>
          <w:tcPr>
            <w:tcW w:w="1133" w:type="dxa"/>
            <w:gridSpan w:val="3"/>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部门</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联系人</w:t>
            </w:r>
          </w:p>
        </w:tc>
        <w:tc>
          <w:tcPr>
            <w:tcW w:w="1013" w:type="dxa"/>
            <w:gridSpan w:val="2"/>
            <w:tcBorders>
              <w:top w:val="nil"/>
              <w:left w:val="nil"/>
              <w:bottom w:val="single" w:sz="4" w:space="0" w:color="auto"/>
              <w:right w:val="single" w:sz="4" w:space="0" w:color="auto"/>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刘杰</w:t>
            </w:r>
          </w:p>
        </w:tc>
        <w:tc>
          <w:tcPr>
            <w:tcW w:w="1387" w:type="dxa"/>
            <w:tcBorders>
              <w:top w:val="nil"/>
              <w:left w:val="nil"/>
              <w:bottom w:val="single" w:sz="4" w:space="0" w:color="auto"/>
              <w:right w:val="single" w:sz="4" w:space="0" w:color="auto"/>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联系电话</w:t>
            </w:r>
          </w:p>
        </w:tc>
        <w:tc>
          <w:tcPr>
            <w:tcW w:w="1895" w:type="dxa"/>
            <w:gridSpan w:val="3"/>
            <w:tcBorders>
              <w:top w:val="single" w:sz="4" w:space="0" w:color="auto"/>
              <w:left w:val="nil"/>
              <w:bottom w:val="single" w:sz="4" w:space="0" w:color="auto"/>
              <w:right w:val="single" w:sz="4" w:space="0" w:color="000000"/>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19922038900</w:t>
            </w:r>
          </w:p>
        </w:tc>
      </w:tr>
      <w:tr w:rsidR="00BB2470">
        <w:trPr>
          <w:trHeight w:val="575"/>
        </w:trPr>
        <w:tc>
          <w:tcPr>
            <w:tcW w:w="937" w:type="dxa"/>
            <w:vMerge w:val="restart"/>
            <w:tcBorders>
              <w:top w:val="nil"/>
              <w:left w:val="single" w:sz="4" w:space="0" w:color="auto"/>
              <w:bottom w:val="single" w:sz="4" w:space="0" w:color="auto"/>
              <w:right w:val="single" w:sz="4" w:space="0" w:color="auto"/>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部门预算执行情况</w:t>
            </w:r>
          </w:p>
        </w:tc>
        <w:tc>
          <w:tcPr>
            <w:tcW w:w="1076" w:type="dxa"/>
            <w:gridSpan w:val="2"/>
            <w:vMerge w:val="restart"/>
            <w:tcBorders>
              <w:top w:val="nil"/>
              <w:left w:val="nil"/>
              <w:right w:val="nil"/>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预算</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资金</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（万元）</w:t>
            </w:r>
          </w:p>
        </w:tc>
        <w:tc>
          <w:tcPr>
            <w:tcW w:w="1183" w:type="dxa"/>
            <w:gridSpan w:val="3"/>
            <w:tcBorders>
              <w:top w:val="single" w:sz="4" w:space="0" w:color="auto"/>
              <w:left w:val="single" w:sz="4" w:space="0" w:color="auto"/>
              <w:bottom w:val="single" w:sz="4" w:space="0" w:color="auto"/>
              <w:right w:val="single" w:sz="4" w:space="0" w:color="000000"/>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年初</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预算数</w:t>
            </w:r>
          </w:p>
        </w:tc>
        <w:tc>
          <w:tcPr>
            <w:tcW w:w="1698" w:type="dxa"/>
            <w:gridSpan w:val="4"/>
            <w:tcBorders>
              <w:top w:val="single" w:sz="4" w:space="0" w:color="auto"/>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全年（调整）</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预算数</w:t>
            </w:r>
          </w:p>
        </w:tc>
        <w:tc>
          <w:tcPr>
            <w:tcW w:w="1464" w:type="dxa"/>
            <w:gridSpan w:val="3"/>
            <w:tcBorders>
              <w:top w:val="single" w:sz="4" w:space="0" w:color="auto"/>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全年执行数</w:t>
            </w:r>
          </w:p>
        </w:tc>
        <w:tc>
          <w:tcPr>
            <w:tcW w:w="1387" w:type="dxa"/>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执行率</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w:t>
            </w:r>
            <w:r>
              <w:rPr>
                <w:rFonts w:ascii="Times New Roman" w:eastAsia="方正仿宋_GBK" w:hAnsi="Times New Roman" w:hint="eastAsia"/>
                <w:color w:val="000000" w:themeColor="text1"/>
                <w:sz w:val="22"/>
              </w:rPr>
              <w:t>%</w:t>
            </w:r>
            <w:r>
              <w:rPr>
                <w:rFonts w:ascii="Times New Roman" w:eastAsia="方正仿宋_GBK" w:hAnsi="Times New Roman" w:hint="eastAsia"/>
                <w:color w:val="000000" w:themeColor="text1"/>
                <w:sz w:val="22"/>
              </w:rPr>
              <w:t>）</w:t>
            </w:r>
          </w:p>
        </w:tc>
        <w:tc>
          <w:tcPr>
            <w:tcW w:w="1055" w:type="dxa"/>
            <w:gridSpan w:val="2"/>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执行率</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权重</w:t>
            </w:r>
          </w:p>
        </w:tc>
        <w:tc>
          <w:tcPr>
            <w:tcW w:w="840" w:type="dxa"/>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themeColor="text1"/>
              </w:rPr>
            </w:pPr>
            <w:r>
              <w:rPr>
                <w:rFonts w:ascii="Times New Roman" w:eastAsia="方正仿宋_GBK" w:hAnsi="Times New Roman" w:hint="eastAsia"/>
                <w:color w:val="000000" w:themeColor="text1"/>
              </w:rPr>
              <w:t>执行率</w:t>
            </w:r>
          </w:p>
          <w:p w:rsidR="00BB2470" w:rsidRDefault="00B02293">
            <w:pPr>
              <w:spacing w:line="300" w:lineRule="exact"/>
              <w:jc w:val="center"/>
              <w:rPr>
                <w:rFonts w:ascii="Times New Roman" w:eastAsia="方正仿宋_GBK" w:hAnsi="Times New Roman"/>
                <w:color w:val="000000" w:themeColor="text1"/>
              </w:rPr>
            </w:pPr>
            <w:r>
              <w:rPr>
                <w:rFonts w:ascii="Times New Roman" w:eastAsia="方正仿宋_GBK" w:hAnsi="Times New Roman" w:hint="eastAsia"/>
                <w:color w:val="000000" w:themeColor="text1"/>
              </w:rPr>
              <w:t>得分</w:t>
            </w:r>
          </w:p>
          <w:p w:rsidR="00BB2470" w:rsidRDefault="00B02293">
            <w:pPr>
              <w:spacing w:line="300" w:lineRule="exact"/>
              <w:jc w:val="center"/>
              <w:rPr>
                <w:rFonts w:ascii="Times New Roman" w:eastAsia="方正仿宋_GBK" w:hAnsi="Times New Roman"/>
                <w:color w:val="000000" w:themeColor="text1"/>
              </w:rPr>
            </w:pPr>
            <w:r>
              <w:rPr>
                <w:rFonts w:ascii="Times New Roman" w:eastAsia="方正仿宋_GBK" w:hAnsi="Times New Roman" w:hint="eastAsia"/>
                <w:color w:val="000000" w:themeColor="text1"/>
              </w:rPr>
              <w:t>（分）</w:t>
            </w:r>
          </w:p>
        </w:tc>
      </w:tr>
      <w:tr w:rsidR="00BB2470">
        <w:trPr>
          <w:trHeight w:val="575"/>
        </w:trPr>
        <w:tc>
          <w:tcPr>
            <w:tcW w:w="937" w:type="dxa"/>
            <w:vMerge/>
            <w:tcBorders>
              <w:top w:val="nil"/>
              <w:left w:val="single" w:sz="4" w:space="0" w:color="auto"/>
              <w:bottom w:val="single" w:sz="4" w:space="0" w:color="auto"/>
              <w:right w:val="single" w:sz="4" w:space="0" w:color="auto"/>
            </w:tcBorders>
            <w:vAlign w:val="center"/>
          </w:tcPr>
          <w:p w:rsidR="00BB2470" w:rsidRDefault="00BB2470">
            <w:pPr>
              <w:spacing w:line="300" w:lineRule="exact"/>
              <w:rPr>
                <w:rFonts w:ascii="Times New Roman" w:eastAsia="方正仿宋_GBK" w:hAnsi="Times New Roman"/>
                <w:color w:val="000000" w:themeColor="text1"/>
                <w:sz w:val="22"/>
              </w:rPr>
            </w:pPr>
          </w:p>
        </w:tc>
        <w:tc>
          <w:tcPr>
            <w:tcW w:w="1076" w:type="dxa"/>
            <w:gridSpan w:val="2"/>
            <w:vMerge/>
            <w:tcBorders>
              <w:left w:val="nil"/>
              <w:bottom w:val="single" w:sz="4" w:space="0" w:color="auto"/>
              <w:right w:val="nil"/>
            </w:tcBorders>
            <w:vAlign w:val="center"/>
          </w:tcPr>
          <w:p w:rsidR="00BB2470" w:rsidRDefault="00BB2470">
            <w:pPr>
              <w:spacing w:line="300" w:lineRule="exact"/>
              <w:jc w:val="center"/>
              <w:rPr>
                <w:rFonts w:ascii="Times New Roman" w:eastAsia="方正仿宋_GBK" w:hAnsi="Times New Roman"/>
                <w:color w:val="000000" w:themeColor="text1"/>
                <w:sz w:val="22"/>
              </w:rPr>
            </w:pPr>
          </w:p>
        </w:tc>
        <w:tc>
          <w:tcPr>
            <w:tcW w:w="1183" w:type="dxa"/>
            <w:gridSpan w:val="3"/>
            <w:tcBorders>
              <w:top w:val="single" w:sz="4" w:space="0" w:color="auto"/>
              <w:left w:val="single" w:sz="4" w:space="0" w:color="auto"/>
              <w:bottom w:val="single" w:sz="4" w:space="0" w:color="auto"/>
              <w:right w:val="single" w:sz="4" w:space="0" w:color="000000"/>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935.06</w:t>
            </w:r>
          </w:p>
        </w:tc>
        <w:tc>
          <w:tcPr>
            <w:tcW w:w="1698" w:type="dxa"/>
            <w:gridSpan w:val="4"/>
            <w:tcBorders>
              <w:top w:val="single" w:sz="4" w:space="0" w:color="auto"/>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145.06</w:t>
            </w:r>
          </w:p>
        </w:tc>
        <w:tc>
          <w:tcPr>
            <w:tcW w:w="1464" w:type="dxa"/>
            <w:gridSpan w:val="3"/>
            <w:tcBorders>
              <w:top w:val="single" w:sz="4" w:space="0" w:color="auto"/>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1080.12</w:t>
            </w:r>
          </w:p>
        </w:tc>
        <w:tc>
          <w:tcPr>
            <w:tcW w:w="1387" w:type="dxa"/>
            <w:tcBorders>
              <w:top w:val="nil"/>
              <w:left w:val="nil"/>
              <w:bottom w:val="single" w:sz="4" w:space="0" w:color="auto"/>
              <w:right w:val="single" w:sz="4" w:space="0" w:color="auto"/>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100</w:t>
            </w:r>
          </w:p>
        </w:tc>
        <w:tc>
          <w:tcPr>
            <w:tcW w:w="1055" w:type="dxa"/>
            <w:gridSpan w:val="2"/>
            <w:tcBorders>
              <w:top w:val="nil"/>
              <w:left w:val="nil"/>
              <w:bottom w:val="single" w:sz="4" w:space="0" w:color="auto"/>
              <w:right w:val="single" w:sz="4" w:space="0" w:color="auto"/>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20</w:t>
            </w:r>
          </w:p>
        </w:tc>
        <w:tc>
          <w:tcPr>
            <w:tcW w:w="840" w:type="dxa"/>
            <w:tcBorders>
              <w:top w:val="nil"/>
              <w:left w:val="nil"/>
              <w:bottom w:val="single" w:sz="4" w:space="0" w:color="auto"/>
              <w:right w:val="single" w:sz="4" w:space="0" w:color="auto"/>
            </w:tcBorders>
            <w:vAlign w:val="center"/>
          </w:tcPr>
          <w:p w:rsidR="00BB2470" w:rsidRDefault="00B02293">
            <w:pPr>
              <w:spacing w:line="300" w:lineRule="exact"/>
              <w:rPr>
                <w:rFonts w:ascii="Times New Roman" w:eastAsia="方正仿宋_GBK" w:hAnsi="Times New Roman"/>
                <w:color w:val="000000" w:themeColor="text1"/>
              </w:rPr>
            </w:pPr>
            <w:r>
              <w:rPr>
                <w:rFonts w:ascii="Times New Roman" w:eastAsia="方正仿宋_GBK" w:hAnsi="Times New Roman" w:hint="eastAsia"/>
                <w:color w:val="000000" w:themeColor="text1"/>
              </w:rPr>
              <w:t>20</w:t>
            </w:r>
          </w:p>
        </w:tc>
      </w:tr>
      <w:tr w:rsidR="00BB2470">
        <w:trPr>
          <w:trHeight w:val="575"/>
        </w:trPr>
        <w:tc>
          <w:tcPr>
            <w:tcW w:w="937" w:type="dxa"/>
            <w:vMerge w:val="restart"/>
            <w:tcBorders>
              <w:top w:val="nil"/>
              <w:left w:val="single" w:sz="4" w:space="0" w:color="auto"/>
              <w:bottom w:val="single" w:sz="4" w:space="0" w:color="auto"/>
              <w:right w:val="single" w:sz="4" w:space="0" w:color="auto"/>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当年绩效目标</w:t>
            </w:r>
          </w:p>
        </w:tc>
        <w:tc>
          <w:tcPr>
            <w:tcW w:w="2259" w:type="dxa"/>
            <w:gridSpan w:val="5"/>
            <w:tcBorders>
              <w:top w:val="single" w:sz="4" w:space="0" w:color="auto"/>
              <w:left w:val="nil"/>
              <w:bottom w:val="single" w:sz="4" w:space="0" w:color="auto"/>
              <w:right w:val="single" w:sz="4" w:space="0" w:color="000000"/>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年初绩效目标</w:t>
            </w:r>
          </w:p>
        </w:tc>
        <w:tc>
          <w:tcPr>
            <w:tcW w:w="3162" w:type="dxa"/>
            <w:gridSpan w:val="7"/>
            <w:tcBorders>
              <w:top w:val="single" w:sz="4" w:space="0" w:color="auto"/>
              <w:left w:val="nil"/>
              <w:bottom w:val="single" w:sz="4" w:space="0" w:color="auto"/>
              <w:right w:val="single" w:sz="4" w:space="0" w:color="000000"/>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全年（调整）绩效目标</w:t>
            </w:r>
          </w:p>
        </w:tc>
        <w:tc>
          <w:tcPr>
            <w:tcW w:w="3282" w:type="dxa"/>
            <w:gridSpan w:val="4"/>
            <w:tcBorders>
              <w:top w:val="single" w:sz="4" w:space="0" w:color="auto"/>
              <w:left w:val="nil"/>
              <w:bottom w:val="single" w:sz="4" w:space="0" w:color="auto"/>
              <w:right w:val="single" w:sz="4" w:space="0" w:color="000000"/>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全年目标实际完成情况</w:t>
            </w:r>
          </w:p>
        </w:tc>
      </w:tr>
      <w:tr w:rsidR="00BB2470">
        <w:trPr>
          <w:trHeight w:val="712"/>
        </w:trPr>
        <w:tc>
          <w:tcPr>
            <w:tcW w:w="937" w:type="dxa"/>
            <w:vMerge/>
            <w:tcBorders>
              <w:top w:val="nil"/>
              <w:left w:val="single" w:sz="4" w:space="0" w:color="auto"/>
              <w:bottom w:val="single" w:sz="4" w:space="0" w:color="auto"/>
              <w:right w:val="single" w:sz="4" w:space="0" w:color="auto"/>
            </w:tcBorders>
            <w:vAlign w:val="center"/>
          </w:tcPr>
          <w:p w:rsidR="00BB2470" w:rsidRDefault="00BB2470">
            <w:pPr>
              <w:spacing w:line="300" w:lineRule="exact"/>
              <w:rPr>
                <w:rFonts w:ascii="Times New Roman" w:eastAsia="方正仿宋_GBK" w:hAnsi="Times New Roman"/>
                <w:color w:val="000000" w:themeColor="text1"/>
                <w:sz w:val="22"/>
              </w:rPr>
            </w:pPr>
          </w:p>
        </w:tc>
        <w:tc>
          <w:tcPr>
            <w:tcW w:w="2259" w:type="dxa"/>
            <w:gridSpan w:val="5"/>
            <w:tcBorders>
              <w:top w:val="single" w:sz="4" w:space="0" w:color="auto"/>
              <w:left w:val="nil"/>
              <w:bottom w:val="single" w:sz="4" w:space="0" w:color="auto"/>
              <w:right w:val="single" w:sz="4" w:space="0" w:color="000000"/>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完成全年（调整）预算</w:t>
            </w:r>
          </w:p>
        </w:tc>
        <w:tc>
          <w:tcPr>
            <w:tcW w:w="3162" w:type="dxa"/>
            <w:gridSpan w:val="7"/>
            <w:tcBorders>
              <w:top w:val="single" w:sz="4" w:space="0" w:color="auto"/>
              <w:left w:val="nil"/>
              <w:bottom w:val="single" w:sz="4" w:space="0" w:color="auto"/>
              <w:right w:val="single" w:sz="4" w:space="0" w:color="000000"/>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完成</w:t>
            </w:r>
          </w:p>
        </w:tc>
        <w:tc>
          <w:tcPr>
            <w:tcW w:w="3282" w:type="dxa"/>
            <w:gridSpan w:val="4"/>
            <w:tcBorders>
              <w:top w:val="single" w:sz="4" w:space="0" w:color="auto"/>
              <w:left w:val="nil"/>
              <w:bottom w:val="single" w:sz="4" w:space="0" w:color="auto"/>
              <w:right w:val="single" w:sz="4" w:space="0" w:color="000000"/>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全部完成</w:t>
            </w:r>
          </w:p>
        </w:tc>
      </w:tr>
      <w:tr w:rsidR="00BB2470">
        <w:trPr>
          <w:trHeight w:val="575"/>
        </w:trPr>
        <w:tc>
          <w:tcPr>
            <w:tcW w:w="937" w:type="dxa"/>
            <w:vMerge w:val="restart"/>
            <w:tcBorders>
              <w:top w:val="nil"/>
              <w:left w:val="single" w:sz="4" w:space="0" w:color="auto"/>
              <w:right w:val="single" w:sz="4" w:space="0" w:color="auto"/>
            </w:tcBorders>
            <w:textDirection w:val="tbRlV"/>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绩效指标</w:t>
            </w:r>
          </w:p>
        </w:tc>
        <w:tc>
          <w:tcPr>
            <w:tcW w:w="729" w:type="dxa"/>
            <w:tcBorders>
              <w:top w:val="nil"/>
              <w:left w:val="nil"/>
              <w:bottom w:val="single" w:sz="4" w:space="0" w:color="auto"/>
              <w:right w:val="nil"/>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指标</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名称</w:t>
            </w:r>
          </w:p>
        </w:tc>
        <w:tc>
          <w:tcPr>
            <w:tcW w:w="783" w:type="dxa"/>
            <w:gridSpan w:val="3"/>
            <w:tcBorders>
              <w:top w:val="nil"/>
              <w:left w:val="single" w:sz="4" w:space="0" w:color="auto"/>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计量</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单位</w:t>
            </w:r>
          </w:p>
        </w:tc>
        <w:tc>
          <w:tcPr>
            <w:tcW w:w="747" w:type="dxa"/>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指标</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性质</w:t>
            </w:r>
          </w:p>
        </w:tc>
        <w:tc>
          <w:tcPr>
            <w:tcW w:w="704" w:type="dxa"/>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年初</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指标</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值</w:t>
            </w:r>
          </w:p>
        </w:tc>
        <w:tc>
          <w:tcPr>
            <w:tcW w:w="742" w:type="dxa"/>
            <w:gridSpan w:val="2"/>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调整</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指标</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值</w:t>
            </w:r>
          </w:p>
        </w:tc>
        <w:tc>
          <w:tcPr>
            <w:tcW w:w="788" w:type="dxa"/>
            <w:gridSpan w:val="3"/>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全年</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完成</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值</w:t>
            </w:r>
          </w:p>
        </w:tc>
        <w:tc>
          <w:tcPr>
            <w:tcW w:w="928" w:type="dxa"/>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得分</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系数</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w:t>
            </w:r>
            <w:r>
              <w:rPr>
                <w:rFonts w:ascii="Times New Roman" w:eastAsia="方正仿宋_GBK" w:hAnsi="Times New Roman" w:hint="eastAsia"/>
                <w:color w:val="000000" w:themeColor="text1"/>
                <w:sz w:val="22"/>
              </w:rPr>
              <w:t>%</w:t>
            </w:r>
            <w:r>
              <w:rPr>
                <w:rFonts w:ascii="Times New Roman" w:eastAsia="方正仿宋_GBK" w:hAnsi="Times New Roman" w:hint="eastAsia"/>
                <w:color w:val="000000" w:themeColor="text1"/>
                <w:sz w:val="22"/>
              </w:rPr>
              <w:t>）</w:t>
            </w:r>
          </w:p>
        </w:tc>
        <w:tc>
          <w:tcPr>
            <w:tcW w:w="1475" w:type="dxa"/>
            <w:gridSpan w:val="2"/>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指标权重</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（分）</w:t>
            </w:r>
          </w:p>
        </w:tc>
        <w:tc>
          <w:tcPr>
            <w:tcW w:w="967" w:type="dxa"/>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指标</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得分</w:t>
            </w:r>
          </w:p>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（分）</w:t>
            </w:r>
          </w:p>
        </w:tc>
        <w:tc>
          <w:tcPr>
            <w:tcW w:w="840" w:type="dxa"/>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themeColor="text1"/>
              </w:rPr>
            </w:pPr>
            <w:r>
              <w:rPr>
                <w:rFonts w:ascii="Times New Roman" w:eastAsia="方正仿宋_GBK" w:hAnsi="Times New Roman" w:hint="eastAsia"/>
                <w:color w:val="000000" w:themeColor="text1"/>
              </w:rPr>
              <w:t>是否核心</w:t>
            </w:r>
          </w:p>
          <w:p w:rsidR="00BB2470" w:rsidRDefault="00B02293">
            <w:pPr>
              <w:spacing w:line="300" w:lineRule="exact"/>
              <w:jc w:val="center"/>
              <w:rPr>
                <w:rFonts w:ascii="Times New Roman" w:eastAsia="方正仿宋_GBK" w:hAnsi="Times New Roman"/>
                <w:color w:val="000000" w:themeColor="text1"/>
              </w:rPr>
            </w:pPr>
            <w:r>
              <w:rPr>
                <w:rFonts w:ascii="Times New Roman" w:eastAsia="方正仿宋_GBK" w:hAnsi="Times New Roman" w:hint="eastAsia"/>
                <w:color w:val="000000" w:themeColor="text1"/>
              </w:rPr>
              <w:t>指标</w:t>
            </w:r>
          </w:p>
        </w:tc>
      </w:tr>
      <w:tr w:rsidR="00BB2470">
        <w:trPr>
          <w:trHeight w:val="500"/>
        </w:trPr>
        <w:tc>
          <w:tcPr>
            <w:tcW w:w="937" w:type="dxa"/>
            <w:vMerge/>
            <w:tcBorders>
              <w:left w:val="single" w:sz="4" w:space="0" w:color="auto"/>
              <w:right w:val="single" w:sz="4" w:space="0" w:color="auto"/>
            </w:tcBorders>
            <w:vAlign w:val="center"/>
          </w:tcPr>
          <w:p w:rsidR="00BB2470" w:rsidRDefault="00BB2470">
            <w:pPr>
              <w:spacing w:line="300" w:lineRule="exact"/>
              <w:rPr>
                <w:rFonts w:ascii="Times New Roman" w:eastAsia="方正仿宋_GBK" w:hAnsi="Times New Roman"/>
                <w:color w:val="000000" w:themeColor="text1"/>
                <w:sz w:val="22"/>
              </w:rPr>
            </w:pPr>
          </w:p>
        </w:tc>
        <w:tc>
          <w:tcPr>
            <w:tcW w:w="729" w:type="dxa"/>
            <w:tcBorders>
              <w:top w:val="nil"/>
              <w:left w:val="nil"/>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新冠肺炎疫情防控</w:t>
            </w:r>
          </w:p>
        </w:tc>
        <w:tc>
          <w:tcPr>
            <w:tcW w:w="783" w:type="dxa"/>
            <w:gridSpan w:val="3"/>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是</w:t>
            </w:r>
            <w:r>
              <w:rPr>
                <w:rFonts w:ascii="Times New Roman" w:eastAsia="方正仿宋_GBK" w:hAnsi="Times New Roman" w:hint="eastAsia"/>
                <w:color w:val="000000" w:themeColor="text1"/>
                <w:sz w:val="22"/>
              </w:rPr>
              <w:t>/</w:t>
            </w:r>
            <w:r>
              <w:rPr>
                <w:rFonts w:ascii="Times New Roman" w:eastAsia="方正仿宋_GBK" w:hAnsi="Times New Roman" w:hint="eastAsia"/>
                <w:color w:val="000000" w:themeColor="text1"/>
                <w:sz w:val="22"/>
              </w:rPr>
              <w:t>否</w:t>
            </w:r>
          </w:p>
        </w:tc>
        <w:tc>
          <w:tcPr>
            <w:tcW w:w="747"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定性</w:t>
            </w:r>
          </w:p>
        </w:tc>
        <w:tc>
          <w:tcPr>
            <w:tcW w:w="704"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有效控制</w:t>
            </w:r>
          </w:p>
        </w:tc>
        <w:tc>
          <w:tcPr>
            <w:tcW w:w="742" w:type="dxa"/>
            <w:gridSpan w:val="2"/>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有效控制</w:t>
            </w:r>
          </w:p>
        </w:tc>
        <w:tc>
          <w:tcPr>
            <w:tcW w:w="788" w:type="dxa"/>
            <w:gridSpan w:val="3"/>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有效控制</w:t>
            </w:r>
          </w:p>
        </w:tc>
        <w:tc>
          <w:tcPr>
            <w:tcW w:w="928"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color w:val="000000" w:themeColor="text1"/>
                <w:sz w:val="22"/>
              </w:rPr>
              <w:t>100</w:t>
            </w:r>
          </w:p>
        </w:tc>
        <w:tc>
          <w:tcPr>
            <w:tcW w:w="1475" w:type="dxa"/>
            <w:gridSpan w:val="2"/>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color w:val="000000" w:themeColor="text1"/>
                <w:sz w:val="22"/>
              </w:rPr>
              <w:t>40</w:t>
            </w:r>
          </w:p>
        </w:tc>
        <w:tc>
          <w:tcPr>
            <w:tcW w:w="967"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color w:val="000000" w:themeColor="text1"/>
                <w:sz w:val="22"/>
              </w:rPr>
              <w:t>40</w:t>
            </w:r>
          </w:p>
        </w:tc>
        <w:tc>
          <w:tcPr>
            <w:tcW w:w="840" w:type="dxa"/>
            <w:tcBorders>
              <w:top w:val="nil"/>
              <w:left w:val="single" w:sz="4" w:space="0" w:color="auto"/>
              <w:bottom w:val="single" w:sz="4" w:space="0" w:color="auto"/>
              <w:right w:val="single" w:sz="4" w:space="0" w:color="auto"/>
            </w:tcBorders>
            <w:vAlign w:val="center"/>
          </w:tcPr>
          <w:p w:rsidR="00BB2470" w:rsidRDefault="00B02293">
            <w:pPr>
              <w:spacing w:line="300" w:lineRule="exact"/>
              <w:rPr>
                <w:rFonts w:ascii="Times New Roman" w:eastAsia="方正仿宋_GBK" w:hAnsi="Times New Roman"/>
                <w:color w:val="000000" w:themeColor="text1"/>
              </w:rPr>
            </w:pPr>
            <w:r>
              <w:rPr>
                <w:rFonts w:ascii="Times New Roman" w:eastAsia="方正仿宋_GBK" w:hAnsi="Times New Roman" w:hint="eastAsia"/>
                <w:color w:val="000000" w:themeColor="text1"/>
              </w:rPr>
              <w:t>是</w:t>
            </w:r>
          </w:p>
        </w:tc>
      </w:tr>
      <w:tr w:rsidR="00BB2470">
        <w:trPr>
          <w:trHeight w:val="500"/>
        </w:trPr>
        <w:tc>
          <w:tcPr>
            <w:tcW w:w="937" w:type="dxa"/>
            <w:vMerge/>
            <w:tcBorders>
              <w:left w:val="single" w:sz="4" w:space="0" w:color="auto"/>
              <w:right w:val="single" w:sz="4" w:space="0" w:color="auto"/>
            </w:tcBorders>
            <w:vAlign w:val="center"/>
          </w:tcPr>
          <w:p w:rsidR="00BB2470" w:rsidRDefault="00BB2470">
            <w:pPr>
              <w:spacing w:line="300" w:lineRule="exact"/>
              <w:rPr>
                <w:rFonts w:ascii="Times New Roman" w:eastAsia="方正仿宋_GBK" w:hAnsi="Times New Roman"/>
                <w:color w:val="000000" w:themeColor="text1"/>
                <w:sz w:val="22"/>
              </w:rPr>
            </w:pPr>
          </w:p>
        </w:tc>
        <w:tc>
          <w:tcPr>
            <w:tcW w:w="729" w:type="dxa"/>
            <w:tcBorders>
              <w:top w:val="nil"/>
              <w:left w:val="nil"/>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预防接种</w:t>
            </w:r>
          </w:p>
        </w:tc>
        <w:tc>
          <w:tcPr>
            <w:tcW w:w="783" w:type="dxa"/>
            <w:gridSpan w:val="3"/>
            <w:tcBorders>
              <w:top w:val="nil"/>
              <w:left w:val="single" w:sz="4" w:space="0" w:color="auto"/>
              <w:bottom w:val="single" w:sz="4" w:space="0" w:color="auto"/>
              <w:right w:val="nil"/>
            </w:tcBorders>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1</w:t>
            </w:r>
            <w:r>
              <w:rPr>
                <w:rFonts w:ascii="Times New Roman" w:eastAsia="方正仿宋_GBK" w:hAnsi="Times New Roman"/>
                <w:color w:val="000000" w:themeColor="text1"/>
                <w:sz w:val="22"/>
              </w:rPr>
              <w:t>00</w:t>
            </w:r>
            <w:r>
              <w:rPr>
                <w:rFonts w:ascii="Times New Roman" w:eastAsia="方正仿宋_GBK" w:hAnsi="Times New Roman" w:hint="eastAsia"/>
                <w:color w:val="000000" w:themeColor="text1"/>
                <w:sz w:val="22"/>
              </w:rPr>
              <w:t>%</w:t>
            </w:r>
          </w:p>
        </w:tc>
        <w:tc>
          <w:tcPr>
            <w:tcW w:w="747"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定量</w:t>
            </w:r>
          </w:p>
        </w:tc>
        <w:tc>
          <w:tcPr>
            <w:tcW w:w="704"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9</w:t>
            </w:r>
            <w:r>
              <w:rPr>
                <w:rFonts w:ascii="Times New Roman" w:eastAsia="方正仿宋_GBK" w:hAnsi="Times New Roman"/>
                <w:color w:val="000000" w:themeColor="text1"/>
                <w:sz w:val="22"/>
              </w:rPr>
              <w:t>5</w:t>
            </w:r>
            <w:r>
              <w:rPr>
                <w:rFonts w:ascii="Times New Roman" w:eastAsia="方正仿宋_GBK" w:hAnsi="Times New Roman" w:hint="eastAsia"/>
                <w:color w:val="000000" w:themeColor="text1"/>
                <w:sz w:val="22"/>
              </w:rPr>
              <w:t>%</w:t>
            </w:r>
          </w:p>
        </w:tc>
        <w:tc>
          <w:tcPr>
            <w:tcW w:w="742" w:type="dxa"/>
            <w:gridSpan w:val="2"/>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9</w:t>
            </w:r>
            <w:r>
              <w:rPr>
                <w:rFonts w:ascii="Times New Roman" w:eastAsia="方正仿宋_GBK" w:hAnsi="Times New Roman"/>
                <w:color w:val="000000" w:themeColor="text1"/>
                <w:sz w:val="22"/>
              </w:rPr>
              <w:t>5</w:t>
            </w:r>
            <w:r>
              <w:rPr>
                <w:rFonts w:ascii="Times New Roman" w:eastAsia="方正仿宋_GBK" w:hAnsi="Times New Roman" w:hint="eastAsia"/>
                <w:color w:val="000000" w:themeColor="text1"/>
                <w:sz w:val="22"/>
              </w:rPr>
              <w:t>%</w:t>
            </w:r>
          </w:p>
        </w:tc>
        <w:tc>
          <w:tcPr>
            <w:tcW w:w="788" w:type="dxa"/>
            <w:gridSpan w:val="3"/>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9</w:t>
            </w:r>
            <w:r>
              <w:rPr>
                <w:rFonts w:ascii="Times New Roman" w:eastAsia="方正仿宋_GBK" w:hAnsi="Times New Roman"/>
                <w:color w:val="000000" w:themeColor="text1"/>
                <w:sz w:val="22"/>
              </w:rPr>
              <w:t>5</w:t>
            </w:r>
            <w:r>
              <w:rPr>
                <w:rFonts w:ascii="Times New Roman" w:eastAsia="方正仿宋_GBK" w:hAnsi="Times New Roman" w:hint="eastAsia"/>
                <w:color w:val="000000" w:themeColor="text1"/>
                <w:sz w:val="22"/>
              </w:rPr>
              <w:t>%</w:t>
            </w:r>
          </w:p>
        </w:tc>
        <w:tc>
          <w:tcPr>
            <w:tcW w:w="928"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color w:val="000000" w:themeColor="text1"/>
                <w:sz w:val="22"/>
              </w:rPr>
              <w:t>100</w:t>
            </w:r>
          </w:p>
        </w:tc>
        <w:tc>
          <w:tcPr>
            <w:tcW w:w="1475" w:type="dxa"/>
            <w:gridSpan w:val="2"/>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2</w:t>
            </w:r>
            <w:r>
              <w:rPr>
                <w:rFonts w:ascii="Times New Roman" w:eastAsia="方正仿宋_GBK" w:hAnsi="Times New Roman"/>
                <w:color w:val="000000" w:themeColor="text1"/>
                <w:sz w:val="22"/>
              </w:rPr>
              <w:t>0</w:t>
            </w:r>
          </w:p>
        </w:tc>
        <w:tc>
          <w:tcPr>
            <w:tcW w:w="967"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17</w:t>
            </w:r>
          </w:p>
        </w:tc>
        <w:tc>
          <w:tcPr>
            <w:tcW w:w="840" w:type="dxa"/>
            <w:tcBorders>
              <w:top w:val="nil"/>
              <w:left w:val="single" w:sz="4" w:space="0" w:color="auto"/>
              <w:bottom w:val="single" w:sz="4" w:space="0" w:color="auto"/>
              <w:right w:val="single" w:sz="4" w:space="0" w:color="auto"/>
            </w:tcBorders>
            <w:vAlign w:val="center"/>
          </w:tcPr>
          <w:p w:rsidR="00BB2470" w:rsidRDefault="00B02293">
            <w:pPr>
              <w:spacing w:line="300" w:lineRule="exact"/>
              <w:rPr>
                <w:rFonts w:ascii="Times New Roman" w:eastAsia="方正仿宋_GBK" w:hAnsi="Times New Roman"/>
                <w:color w:val="000000" w:themeColor="text1"/>
              </w:rPr>
            </w:pPr>
            <w:r>
              <w:rPr>
                <w:rFonts w:ascii="Times New Roman" w:eastAsia="方正仿宋_GBK" w:hAnsi="Times New Roman" w:hint="eastAsia"/>
                <w:color w:val="000000" w:themeColor="text1"/>
              </w:rPr>
              <w:t>是</w:t>
            </w:r>
          </w:p>
        </w:tc>
      </w:tr>
      <w:tr w:rsidR="00BB2470">
        <w:trPr>
          <w:trHeight w:val="500"/>
        </w:trPr>
        <w:tc>
          <w:tcPr>
            <w:tcW w:w="937" w:type="dxa"/>
            <w:vMerge/>
            <w:tcBorders>
              <w:left w:val="single" w:sz="4" w:space="0" w:color="auto"/>
              <w:right w:val="single" w:sz="4" w:space="0" w:color="auto"/>
            </w:tcBorders>
            <w:vAlign w:val="center"/>
          </w:tcPr>
          <w:p w:rsidR="00BB2470" w:rsidRDefault="00BB2470">
            <w:pPr>
              <w:spacing w:line="300" w:lineRule="exact"/>
              <w:rPr>
                <w:rFonts w:ascii="Times New Roman" w:eastAsia="方正仿宋_GBK" w:hAnsi="Times New Roman"/>
                <w:color w:val="000000" w:themeColor="text1"/>
                <w:sz w:val="22"/>
              </w:rPr>
            </w:pPr>
          </w:p>
        </w:tc>
        <w:tc>
          <w:tcPr>
            <w:tcW w:w="729" w:type="dxa"/>
            <w:tcBorders>
              <w:top w:val="nil"/>
              <w:left w:val="nil"/>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健康素养</w:t>
            </w:r>
          </w:p>
        </w:tc>
        <w:tc>
          <w:tcPr>
            <w:tcW w:w="783" w:type="dxa"/>
            <w:gridSpan w:val="3"/>
            <w:tcBorders>
              <w:top w:val="nil"/>
              <w:left w:val="single" w:sz="4" w:space="0" w:color="auto"/>
              <w:bottom w:val="single" w:sz="4" w:space="0" w:color="auto"/>
              <w:right w:val="nil"/>
            </w:tcBorders>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是</w:t>
            </w:r>
            <w:r>
              <w:rPr>
                <w:rFonts w:ascii="Times New Roman" w:eastAsia="方正仿宋_GBK" w:hAnsi="Times New Roman" w:hint="eastAsia"/>
                <w:color w:val="000000" w:themeColor="text1"/>
                <w:sz w:val="22"/>
              </w:rPr>
              <w:t>/</w:t>
            </w:r>
            <w:r>
              <w:rPr>
                <w:rFonts w:ascii="Times New Roman" w:eastAsia="方正仿宋_GBK" w:hAnsi="Times New Roman" w:hint="eastAsia"/>
                <w:color w:val="000000" w:themeColor="text1"/>
                <w:sz w:val="22"/>
              </w:rPr>
              <w:t>否</w:t>
            </w:r>
          </w:p>
        </w:tc>
        <w:tc>
          <w:tcPr>
            <w:tcW w:w="747"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定性</w:t>
            </w:r>
          </w:p>
        </w:tc>
        <w:tc>
          <w:tcPr>
            <w:tcW w:w="704"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提高</w:t>
            </w:r>
          </w:p>
        </w:tc>
        <w:tc>
          <w:tcPr>
            <w:tcW w:w="742" w:type="dxa"/>
            <w:gridSpan w:val="2"/>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提高</w:t>
            </w:r>
          </w:p>
        </w:tc>
        <w:tc>
          <w:tcPr>
            <w:tcW w:w="788" w:type="dxa"/>
            <w:gridSpan w:val="3"/>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持平</w:t>
            </w:r>
          </w:p>
        </w:tc>
        <w:tc>
          <w:tcPr>
            <w:tcW w:w="928"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color w:val="000000" w:themeColor="text1"/>
                <w:sz w:val="22"/>
              </w:rPr>
              <w:t>90</w:t>
            </w:r>
          </w:p>
        </w:tc>
        <w:tc>
          <w:tcPr>
            <w:tcW w:w="1475" w:type="dxa"/>
            <w:gridSpan w:val="2"/>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color w:val="000000" w:themeColor="text1"/>
                <w:sz w:val="22"/>
              </w:rPr>
              <w:t>20</w:t>
            </w:r>
          </w:p>
        </w:tc>
        <w:tc>
          <w:tcPr>
            <w:tcW w:w="967"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themeColor="text1"/>
                <w:sz w:val="22"/>
              </w:rPr>
            </w:pPr>
            <w:r>
              <w:rPr>
                <w:rFonts w:ascii="Times New Roman" w:eastAsia="方正仿宋_GBK" w:hAnsi="Times New Roman"/>
                <w:color w:val="000000" w:themeColor="text1"/>
                <w:sz w:val="22"/>
              </w:rPr>
              <w:t>18</w:t>
            </w:r>
          </w:p>
        </w:tc>
        <w:tc>
          <w:tcPr>
            <w:tcW w:w="840" w:type="dxa"/>
            <w:tcBorders>
              <w:top w:val="nil"/>
              <w:left w:val="single" w:sz="4" w:space="0" w:color="auto"/>
              <w:bottom w:val="single" w:sz="4" w:space="0" w:color="auto"/>
              <w:right w:val="single" w:sz="4" w:space="0" w:color="auto"/>
            </w:tcBorders>
            <w:vAlign w:val="center"/>
          </w:tcPr>
          <w:p w:rsidR="00BB2470" w:rsidRDefault="00B02293">
            <w:pPr>
              <w:spacing w:line="300" w:lineRule="exact"/>
              <w:rPr>
                <w:rFonts w:ascii="Times New Roman" w:eastAsia="方正仿宋_GBK" w:hAnsi="Times New Roman"/>
                <w:color w:val="000000" w:themeColor="text1"/>
              </w:rPr>
            </w:pPr>
            <w:r>
              <w:rPr>
                <w:rFonts w:ascii="Times New Roman" w:eastAsia="方正仿宋_GBK" w:hAnsi="Times New Roman" w:hint="eastAsia"/>
                <w:color w:val="000000" w:themeColor="text1"/>
              </w:rPr>
              <w:t>是</w:t>
            </w:r>
          </w:p>
        </w:tc>
      </w:tr>
      <w:tr w:rsidR="00BB2470">
        <w:trPr>
          <w:trHeight w:val="500"/>
        </w:trPr>
        <w:tc>
          <w:tcPr>
            <w:tcW w:w="937" w:type="dxa"/>
            <w:vMerge/>
            <w:tcBorders>
              <w:left w:val="single" w:sz="4" w:space="0" w:color="auto"/>
              <w:right w:val="single" w:sz="4" w:space="0" w:color="auto"/>
            </w:tcBorders>
            <w:vAlign w:val="center"/>
          </w:tcPr>
          <w:p w:rsidR="00BB2470" w:rsidRDefault="00BB2470">
            <w:pPr>
              <w:spacing w:line="300" w:lineRule="exact"/>
              <w:rPr>
                <w:rFonts w:ascii="Times New Roman" w:eastAsia="方正仿宋_GBK" w:hAnsi="Times New Roman"/>
                <w:color w:val="000000" w:themeColor="text1"/>
                <w:sz w:val="22"/>
              </w:rPr>
            </w:pPr>
          </w:p>
        </w:tc>
        <w:tc>
          <w:tcPr>
            <w:tcW w:w="729" w:type="dxa"/>
            <w:tcBorders>
              <w:top w:val="nil"/>
              <w:left w:val="nil"/>
              <w:bottom w:val="single" w:sz="4" w:space="0" w:color="auto"/>
              <w:right w:val="nil"/>
            </w:tcBorders>
            <w:vAlign w:val="center"/>
          </w:tcPr>
          <w:p w:rsidR="00BB2470" w:rsidRDefault="00BB2470">
            <w:pPr>
              <w:spacing w:line="300" w:lineRule="exact"/>
              <w:rPr>
                <w:rFonts w:ascii="Times New Roman" w:eastAsia="方正仿宋_GBK" w:hAnsi="Times New Roman"/>
                <w:color w:val="000000" w:themeColor="text1"/>
                <w:sz w:val="22"/>
              </w:rPr>
            </w:pPr>
          </w:p>
        </w:tc>
        <w:tc>
          <w:tcPr>
            <w:tcW w:w="783" w:type="dxa"/>
            <w:gridSpan w:val="3"/>
            <w:tcBorders>
              <w:top w:val="nil"/>
              <w:left w:val="single" w:sz="4" w:space="0" w:color="auto"/>
              <w:bottom w:val="single" w:sz="4" w:space="0" w:color="auto"/>
              <w:right w:val="nil"/>
            </w:tcBorders>
            <w:vAlign w:val="center"/>
          </w:tcPr>
          <w:p w:rsidR="00BB2470" w:rsidRDefault="00BB2470">
            <w:pPr>
              <w:spacing w:line="300" w:lineRule="exact"/>
              <w:rPr>
                <w:rFonts w:ascii="Times New Roman" w:eastAsia="方正仿宋_GBK" w:hAnsi="Times New Roman"/>
                <w:color w:val="000000" w:themeColor="text1"/>
                <w:sz w:val="22"/>
              </w:rPr>
            </w:pPr>
          </w:p>
        </w:tc>
        <w:tc>
          <w:tcPr>
            <w:tcW w:w="747" w:type="dxa"/>
            <w:tcBorders>
              <w:top w:val="nil"/>
              <w:left w:val="single" w:sz="4" w:space="0" w:color="auto"/>
              <w:bottom w:val="single" w:sz="4" w:space="0" w:color="auto"/>
              <w:right w:val="nil"/>
            </w:tcBorders>
            <w:vAlign w:val="center"/>
          </w:tcPr>
          <w:p w:rsidR="00BB2470" w:rsidRDefault="00BB2470">
            <w:pPr>
              <w:spacing w:line="300" w:lineRule="exact"/>
              <w:rPr>
                <w:rFonts w:ascii="Times New Roman" w:eastAsia="方正仿宋_GBK" w:hAnsi="Times New Roman"/>
                <w:color w:val="000000" w:themeColor="text1"/>
                <w:sz w:val="22"/>
              </w:rPr>
            </w:pPr>
          </w:p>
        </w:tc>
        <w:tc>
          <w:tcPr>
            <w:tcW w:w="704" w:type="dxa"/>
            <w:tcBorders>
              <w:top w:val="nil"/>
              <w:left w:val="single" w:sz="4" w:space="0" w:color="auto"/>
              <w:bottom w:val="single" w:sz="4" w:space="0" w:color="auto"/>
              <w:right w:val="nil"/>
            </w:tcBorders>
            <w:vAlign w:val="center"/>
          </w:tcPr>
          <w:p w:rsidR="00BB2470" w:rsidRDefault="00BB2470">
            <w:pPr>
              <w:spacing w:line="300" w:lineRule="exact"/>
              <w:rPr>
                <w:rFonts w:ascii="Times New Roman" w:eastAsia="方正仿宋_GBK" w:hAnsi="Times New Roman"/>
                <w:color w:val="000000" w:themeColor="text1"/>
                <w:sz w:val="22"/>
              </w:rPr>
            </w:pPr>
          </w:p>
        </w:tc>
        <w:tc>
          <w:tcPr>
            <w:tcW w:w="742" w:type="dxa"/>
            <w:gridSpan w:val="2"/>
            <w:tcBorders>
              <w:top w:val="nil"/>
              <w:left w:val="single" w:sz="4" w:space="0" w:color="auto"/>
              <w:bottom w:val="single" w:sz="4" w:space="0" w:color="auto"/>
              <w:right w:val="nil"/>
            </w:tcBorders>
            <w:vAlign w:val="center"/>
          </w:tcPr>
          <w:p w:rsidR="00BB2470" w:rsidRDefault="00BB2470">
            <w:pPr>
              <w:spacing w:line="300" w:lineRule="exact"/>
              <w:rPr>
                <w:rFonts w:ascii="Times New Roman" w:eastAsia="方正仿宋_GBK" w:hAnsi="Times New Roman"/>
                <w:color w:val="000000" w:themeColor="text1"/>
                <w:sz w:val="22"/>
              </w:rPr>
            </w:pPr>
          </w:p>
        </w:tc>
        <w:tc>
          <w:tcPr>
            <w:tcW w:w="788" w:type="dxa"/>
            <w:gridSpan w:val="3"/>
            <w:tcBorders>
              <w:top w:val="nil"/>
              <w:left w:val="single" w:sz="4" w:space="0" w:color="auto"/>
              <w:bottom w:val="single" w:sz="4" w:space="0" w:color="auto"/>
              <w:right w:val="nil"/>
            </w:tcBorders>
            <w:vAlign w:val="center"/>
          </w:tcPr>
          <w:p w:rsidR="00BB2470" w:rsidRDefault="00BB2470">
            <w:pPr>
              <w:spacing w:line="300" w:lineRule="exact"/>
              <w:rPr>
                <w:rFonts w:ascii="Times New Roman" w:eastAsia="方正仿宋_GBK" w:hAnsi="Times New Roman"/>
                <w:color w:val="000000" w:themeColor="text1"/>
                <w:sz w:val="22"/>
              </w:rPr>
            </w:pPr>
          </w:p>
        </w:tc>
        <w:tc>
          <w:tcPr>
            <w:tcW w:w="928" w:type="dxa"/>
            <w:tcBorders>
              <w:top w:val="nil"/>
              <w:left w:val="single" w:sz="4" w:space="0" w:color="auto"/>
              <w:bottom w:val="single" w:sz="4" w:space="0" w:color="auto"/>
              <w:right w:val="nil"/>
            </w:tcBorders>
            <w:vAlign w:val="center"/>
          </w:tcPr>
          <w:p w:rsidR="00BB2470" w:rsidRDefault="00BB2470">
            <w:pPr>
              <w:spacing w:line="300" w:lineRule="exact"/>
              <w:rPr>
                <w:rFonts w:ascii="Times New Roman" w:eastAsia="方正仿宋_GBK" w:hAnsi="Times New Roman"/>
                <w:color w:val="000000" w:themeColor="text1"/>
                <w:sz w:val="22"/>
              </w:rPr>
            </w:pPr>
          </w:p>
        </w:tc>
        <w:tc>
          <w:tcPr>
            <w:tcW w:w="1475" w:type="dxa"/>
            <w:gridSpan w:val="2"/>
            <w:tcBorders>
              <w:top w:val="nil"/>
              <w:left w:val="single" w:sz="4" w:space="0" w:color="auto"/>
              <w:bottom w:val="single" w:sz="4" w:space="0" w:color="auto"/>
              <w:right w:val="nil"/>
            </w:tcBorders>
            <w:vAlign w:val="center"/>
          </w:tcPr>
          <w:p w:rsidR="00BB2470" w:rsidRDefault="00BB2470">
            <w:pPr>
              <w:spacing w:line="300" w:lineRule="exact"/>
              <w:rPr>
                <w:rFonts w:ascii="Times New Roman" w:eastAsia="方正仿宋_GBK" w:hAnsi="Times New Roman"/>
                <w:color w:val="000000" w:themeColor="text1"/>
                <w:sz w:val="22"/>
              </w:rPr>
            </w:pPr>
          </w:p>
        </w:tc>
        <w:tc>
          <w:tcPr>
            <w:tcW w:w="967" w:type="dxa"/>
            <w:tcBorders>
              <w:top w:val="nil"/>
              <w:left w:val="single" w:sz="4" w:space="0" w:color="auto"/>
              <w:bottom w:val="single" w:sz="4" w:space="0" w:color="auto"/>
              <w:right w:val="nil"/>
            </w:tcBorders>
            <w:vAlign w:val="center"/>
          </w:tcPr>
          <w:p w:rsidR="00BB2470" w:rsidRDefault="00BB2470">
            <w:pPr>
              <w:spacing w:line="300" w:lineRule="exact"/>
              <w:rPr>
                <w:rFonts w:ascii="Times New Roman" w:eastAsia="方正仿宋_GBK" w:hAnsi="Times New Roman"/>
                <w:color w:val="000000" w:themeColor="text1"/>
                <w:sz w:val="22"/>
              </w:rPr>
            </w:pPr>
          </w:p>
        </w:tc>
        <w:tc>
          <w:tcPr>
            <w:tcW w:w="840" w:type="dxa"/>
            <w:tcBorders>
              <w:top w:val="nil"/>
              <w:left w:val="single" w:sz="4" w:space="0" w:color="auto"/>
              <w:bottom w:val="single" w:sz="4" w:space="0" w:color="auto"/>
              <w:right w:val="single" w:sz="4" w:space="0" w:color="auto"/>
            </w:tcBorders>
            <w:vAlign w:val="center"/>
          </w:tcPr>
          <w:p w:rsidR="00BB2470" w:rsidRDefault="00BB2470">
            <w:pPr>
              <w:spacing w:line="300" w:lineRule="exact"/>
              <w:rPr>
                <w:rFonts w:ascii="Times New Roman" w:eastAsia="方正仿宋_GBK" w:hAnsi="Times New Roman"/>
                <w:color w:val="000000" w:themeColor="text1"/>
              </w:rPr>
            </w:pPr>
          </w:p>
        </w:tc>
      </w:tr>
      <w:tr w:rsidR="00BB2470">
        <w:trPr>
          <w:trHeight w:val="500"/>
        </w:trPr>
        <w:tc>
          <w:tcPr>
            <w:tcW w:w="937" w:type="dxa"/>
            <w:vMerge/>
            <w:tcBorders>
              <w:left w:val="single" w:sz="4" w:space="0" w:color="auto"/>
              <w:bottom w:val="single" w:sz="4" w:space="0" w:color="auto"/>
              <w:right w:val="single" w:sz="4" w:space="0" w:color="auto"/>
            </w:tcBorders>
            <w:vAlign w:val="center"/>
          </w:tcPr>
          <w:p w:rsidR="00BB2470" w:rsidRDefault="00BB2470">
            <w:pPr>
              <w:spacing w:line="300" w:lineRule="exact"/>
              <w:rPr>
                <w:rFonts w:ascii="Times New Roman" w:eastAsia="方正仿宋_GBK" w:hAnsi="Times New Roman"/>
                <w:color w:val="000000" w:themeColor="text1"/>
                <w:sz w:val="22"/>
              </w:rPr>
            </w:pPr>
          </w:p>
        </w:tc>
        <w:tc>
          <w:tcPr>
            <w:tcW w:w="729" w:type="dxa"/>
            <w:tcBorders>
              <w:top w:val="nil"/>
              <w:left w:val="nil"/>
              <w:bottom w:val="single" w:sz="4" w:space="0" w:color="auto"/>
              <w:right w:val="nil"/>
            </w:tcBorders>
            <w:vAlign w:val="center"/>
          </w:tcPr>
          <w:p w:rsidR="00BB2470" w:rsidRDefault="00BB2470">
            <w:pPr>
              <w:spacing w:line="300" w:lineRule="exact"/>
              <w:rPr>
                <w:rFonts w:ascii="Times New Roman" w:eastAsia="方正仿宋_GBK" w:hAnsi="Times New Roman"/>
                <w:color w:val="000000" w:themeColor="text1"/>
                <w:sz w:val="22"/>
              </w:rPr>
            </w:pPr>
          </w:p>
        </w:tc>
        <w:tc>
          <w:tcPr>
            <w:tcW w:w="783" w:type="dxa"/>
            <w:gridSpan w:val="3"/>
            <w:tcBorders>
              <w:top w:val="nil"/>
              <w:left w:val="single" w:sz="4" w:space="0" w:color="auto"/>
              <w:bottom w:val="single" w:sz="4" w:space="0" w:color="auto"/>
              <w:right w:val="nil"/>
            </w:tcBorders>
            <w:vAlign w:val="center"/>
          </w:tcPr>
          <w:p w:rsidR="00BB2470" w:rsidRDefault="00BB2470">
            <w:pPr>
              <w:spacing w:line="300" w:lineRule="exact"/>
              <w:rPr>
                <w:rFonts w:ascii="Times New Roman" w:eastAsia="方正仿宋_GBK" w:hAnsi="Times New Roman"/>
                <w:color w:val="000000" w:themeColor="text1"/>
                <w:sz w:val="22"/>
              </w:rPr>
            </w:pPr>
          </w:p>
        </w:tc>
        <w:tc>
          <w:tcPr>
            <w:tcW w:w="747" w:type="dxa"/>
            <w:tcBorders>
              <w:top w:val="nil"/>
              <w:left w:val="single" w:sz="4" w:space="0" w:color="auto"/>
              <w:bottom w:val="single" w:sz="4" w:space="0" w:color="auto"/>
              <w:right w:val="nil"/>
            </w:tcBorders>
            <w:vAlign w:val="center"/>
          </w:tcPr>
          <w:p w:rsidR="00BB2470" w:rsidRDefault="00BB2470">
            <w:pPr>
              <w:spacing w:line="300" w:lineRule="exact"/>
              <w:rPr>
                <w:rFonts w:ascii="Times New Roman" w:eastAsia="方正仿宋_GBK" w:hAnsi="Times New Roman"/>
                <w:color w:val="000000" w:themeColor="text1"/>
                <w:sz w:val="22"/>
              </w:rPr>
            </w:pPr>
          </w:p>
        </w:tc>
        <w:tc>
          <w:tcPr>
            <w:tcW w:w="704" w:type="dxa"/>
            <w:tcBorders>
              <w:top w:val="nil"/>
              <w:left w:val="single" w:sz="4" w:space="0" w:color="auto"/>
              <w:bottom w:val="single" w:sz="4" w:space="0" w:color="auto"/>
              <w:right w:val="nil"/>
            </w:tcBorders>
            <w:vAlign w:val="center"/>
          </w:tcPr>
          <w:p w:rsidR="00BB2470" w:rsidRDefault="00BB2470">
            <w:pPr>
              <w:spacing w:line="300" w:lineRule="exact"/>
              <w:rPr>
                <w:rFonts w:ascii="Times New Roman" w:eastAsia="方正仿宋_GBK" w:hAnsi="Times New Roman"/>
                <w:color w:val="000000" w:themeColor="text1"/>
                <w:sz w:val="22"/>
              </w:rPr>
            </w:pPr>
          </w:p>
        </w:tc>
        <w:tc>
          <w:tcPr>
            <w:tcW w:w="742" w:type="dxa"/>
            <w:gridSpan w:val="2"/>
            <w:tcBorders>
              <w:top w:val="nil"/>
              <w:left w:val="single" w:sz="4" w:space="0" w:color="auto"/>
              <w:bottom w:val="single" w:sz="4" w:space="0" w:color="auto"/>
              <w:right w:val="nil"/>
            </w:tcBorders>
            <w:vAlign w:val="center"/>
          </w:tcPr>
          <w:p w:rsidR="00BB2470" w:rsidRDefault="00BB2470">
            <w:pPr>
              <w:spacing w:line="300" w:lineRule="exact"/>
              <w:rPr>
                <w:rFonts w:ascii="Times New Roman" w:eastAsia="方正仿宋_GBK" w:hAnsi="Times New Roman"/>
                <w:color w:val="000000" w:themeColor="text1"/>
                <w:sz w:val="22"/>
              </w:rPr>
            </w:pPr>
          </w:p>
        </w:tc>
        <w:tc>
          <w:tcPr>
            <w:tcW w:w="788" w:type="dxa"/>
            <w:gridSpan w:val="3"/>
            <w:tcBorders>
              <w:top w:val="nil"/>
              <w:left w:val="single" w:sz="4" w:space="0" w:color="auto"/>
              <w:bottom w:val="single" w:sz="4" w:space="0" w:color="auto"/>
              <w:right w:val="nil"/>
            </w:tcBorders>
            <w:vAlign w:val="center"/>
          </w:tcPr>
          <w:p w:rsidR="00BB2470" w:rsidRDefault="00BB2470">
            <w:pPr>
              <w:spacing w:line="300" w:lineRule="exact"/>
              <w:rPr>
                <w:rFonts w:ascii="Times New Roman" w:eastAsia="方正仿宋_GBK" w:hAnsi="Times New Roman"/>
                <w:color w:val="000000" w:themeColor="text1"/>
                <w:sz w:val="22"/>
              </w:rPr>
            </w:pPr>
          </w:p>
        </w:tc>
        <w:tc>
          <w:tcPr>
            <w:tcW w:w="928" w:type="dxa"/>
            <w:tcBorders>
              <w:top w:val="nil"/>
              <w:left w:val="single" w:sz="4" w:space="0" w:color="auto"/>
              <w:bottom w:val="single" w:sz="4" w:space="0" w:color="auto"/>
              <w:right w:val="nil"/>
            </w:tcBorders>
            <w:vAlign w:val="center"/>
          </w:tcPr>
          <w:p w:rsidR="00BB2470" w:rsidRDefault="00BB2470">
            <w:pPr>
              <w:spacing w:line="300" w:lineRule="exact"/>
              <w:rPr>
                <w:rFonts w:ascii="Times New Roman" w:eastAsia="方正仿宋_GBK" w:hAnsi="Times New Roman"/>
                <w:color w:val="000000" w:themeColor="text1"/>
                <w:sz w:val="22"/>
              </w:rPr>
            </w:pPr>
          </w:p>
        </w:tc>
        <w:tc>
          <w:tcPr>
            <w:tcW w:w="1475" w:type="dxa"/>
            <w:gridSpan w:val="2"/>
            <w:tcBorders>
              <w:top w:val="nil"/>
              <w:left w:val="single" w:sz="4" w:space="0" w:color="auto"/>
              <w:bottom w:val="single" w:sz="4" w:space="0" w:color="auto"/>
              <w:right w:val="nil"/>
            </w:tcBorders>
            <w:vAlign w:val="center"/>
          </w:tcPr>
          <w:p w:rsidR="00BB2470" w:rsidRDefault="00BB2470">
            <w:pPr>
              <w:spacing w:line="300" w:lineRule="exact"/>
              <w:rPr>
                <w:rFonts w:ascii="Times New Roman" w:eastAsia="方正仿宋_GBK" w:hAnsi="Times New Roman"/>
                <w:color w:val="000000" w:themeColor="text1"/>
                <w:sz w:val="22"/>
              </w:rPr>
            </w:pPr>
          </w:p>
        </w:tc>
        <w:tc>
          <w:tcPr>
            <w:tcW w:w="967" w:type="dxa"/>
            <w:tcBorders>
              <w:top w:val="nil"/>
              <w:left w:val="single" w:sz="4" w:space="0" w:color="auto"/>
              <w:bottom w:val="single" w:sz="4" w:space="0" w:color="auto"/>
              <w:right w:val="nil"/>
            </w:tcBorders>
            <w:vAlign w:val="center"/>
          </w:tcPr>
          <w:p w:rsidR="00BB2470" w:rsidRDefault="00BB2470">
            <w:pPr>
              <w:spacing w:line="300" w:lineRule="exact"/>
              <w:rPr>
                <w:rFonts w:ascii="Times New Roman" w:eastAsia="方正仿宋_GBK" w:hAnsi="Times New Roman"/>
                <w:color w:val="000000" w:themeColor="text1"/>
                <w:sz w:val="22"/>
              </w:rPr>
            </w:pPr>
          </w:p>
        </w:tc>
        <w:tc>
          <w:tcPr>
            <w:tcW w:w="840" w:type="dxa"/>
            <w:tcBorders>
              <w:top w:val="nil"/>
              <w:left w:val="single" w:sz="4" w:space="0" w:color="auto"/>
              <w:bottom w:val="single" w:sz="4" w:space="0" w:color="auto"/>
              <w:right w:val="single" w:sz="4" w:space="0" w:color="auto"/>
            </w:tcBorders>
            <w:vAlign w:val="center"/>
          </w:tcPr>
          <w:p w:rsidR="00BB2470" w:rsidRDefault="00BB2470">
            <w:pPr>
              <w:spacing w:line="300" w:lineRule="exact"/>
              <w:rPr>
                <w:rFonts w:ascii="Times New Roman" w:eastAsia="方正仿宋_GBK" w:hAnsi="Times New Roman"/>
                <w:color w:val="000000" w:themeColor="text1"/>
              </w:rPr>
            </w:pPr>
          </w:p>
        </w:tc>
      </w:tr>
      <w:tr w:rsidR="00BB2470">
        <w:trPr>
          <w:trHeight w:val="415"/>
        </w:trPr>
        <w:tc>
          <w:tcPr>
            <w:tcW w:w="937" w:type="dxa"/>
            <w:tcBorders>
              <w:top w:val="nil"/>
              <w:left w:val="single" w:sz="4" w:space="0" w:color="auto"/>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themeColor="text1"/>
                <w:sz w:val="22"/>
              </w:rPr>
            </w:pPr>
            <w:r>
              <w:rPr>
                <w:rFonts w:ascii="Times New Roman" w:eastAsia="方正仿宋_GBK" w:hAnsi="Times New Roman" w:hint="eastAsia"/>
                <w:color w:val="000000" w:themeColor="text1"/>
                <w:sz w:val="22"/>
              </w:rPr>
              <w:t>说明</w:t>
            </w:r>
          </w:p>
        </w:tc>
        <w:tc>
          <w:tcPr>
            <w:tcW w:w="8703" w:type="dxa"/>
            <w:gridSpan w:val="16"/>
            <w:tcBorders>
              <w:top w:val="single" w:sz="4" w:space="0" w:color="auto"/>
              <w:left w:val="nil"/>
              <w:bottom w:val="single" w:sz="4" w:space="0" w:color="auto"/>
              <w:right w:val="single" w:sz="4" w:space="0" w:color="000000"/>
            </w:tcBorders>
            <w:vAlign w:val="center"/>
          </w:tcPr>
          <w:p w:rsidR="00BB2470" w:rsidRDefault="00BB2470">
            <w:pPr>
              <w:spacing w:line="300" w:lineRule="exact"/>
              <w:rPr>
                <w:rFonts w:ascii="Times New Roman" w:eastAsia="方正仿宋_GBK" w:hAnsi="Times New Roman"/>
                <w:color w:val="000000" w:themeColor="text1"/>
                <w:sz w:val="22"/>
              </w:rPr>
            </w:pPr>
          </w:p>
        </w:tc>
      </w:tr>
    </w:tbl>
    <w:p w:rsidR="00BB2470" w:rsidRDefault="00BB2470">
      <w:pPr>
        <w:pStyle w:val="a7"/>
        <w:tabs>
          <w:tab w:val="center" w:pos="4153"/>
          <w:tab w:val="left" w:pos="7275"/>
        </w:tabs>
        <w:spacing w:line="560" w:lineRule="exact"/>
        <w:ind w:firstLineChars="0" w:firstLine="0"/>
        <w:jc w:val="center"/>
        <w:rPr>
          <w:rFonts w:ascii="Times New Roman" w:eastAsia="方正小标宋_GBK" w:hAnsi="Times New Roman" w:cs="宋体"/>
          <w:color w:val="000000" w:themeColor="text1"/>
          <w:kern w:val="0"/>
          <w:sz w:val="36"/>
          <w:szCs w:val="36"/>
        </w:rPr>
      </w:pPr>
    </w:p>
    <w:p w:rsidR="00BB2470" w:rsidRDefault="00B02293">
      <w:pPr>
        <w:pStyle w:val="a7"/>
        <w:tabs>
          <w:tab w:val="center" w:pos="4153"/>
          <w:tab w:val="left" w:pos="7275"/>
        </w:tabs>
        <w:spacing w:line="560" w:lineRule="exact"/>
        <w:ind w:firstLineChars="0" w:firstLine="0"/>
        <w:jc w:val="center"/>
        <w:rPr>
          <w:rStyle w:val="15"/>
          <w:rFonts w:eastAsia="方正仿宋_GBK" w:cs="宋体"/>
          <w:b w:val="0"/>
          <w:color w:val="000000" w:themeColor="text1"/>
          <w:kern w:val="0"/>
          <w:sz w:val="32"/>
          <w:szCs w:val="32"/>
        </w:rPr>
      </w:pPr>
      <w:proofErr w:type="gramStart"/>
      <w:r>
        <w:rPr>
          <w:rFonts w:ascii="Times New Roman" w:eastAsia="方正小标宋_GBK" w:hAnsi="Times New Roman" w:cs="宋体" w:hint="eastAsia"/>
          <w:color w:val="000000" w:themeColor="text1"/>
          <w:kern w:val="0"/>
          <w:sz w:val="36"/>
          <w:szCs w:val="36"/>
        </w:rPr>
        <w:t>一级项目</w:t>
      </w:r>
      <w:proofErr w:type="gramEnd"/>
      <w:r>
        <w:rPr>
          <w:rFonts w:ascii="Times New Roman" w:eastAsia="方正小标宋_GBK" w:hAnsi="Times New Roman" w:cs="宋体" w:hint="eastAsia"/>
          <w:color w:val="000000" w:themeColor="text1"/>
          <w:kern w:val="0"/>
          <w:sz w:val="36"/>
          <w:szCs w:val="36"/>
        </w:rPr>
        <w:t>整体绩效自评表</w:t>
      </w:r>
    </w:p>
    <w:tbl>
      <w:tblPr>
        <w:tblW w:w="10061" w:type="dxa"/>
        <w:tblInd w:w="-877" w:type="dxa"/>
        <w:tblLayout w:type="fixed"/>
        <w:tblLook w:val="04A0" w:firstRow="1" w:lastRow="0" w:firstColumn="1" w:lastColumn="0" w:noHBand="0" w:noVBand="1"/>
      </w:tblPr>
      <w:tblGrid>
        <w:gridCol w:w="713"/>
        <w:gridCol w:w="1117"/>
        <w:gridCol w:w="217"/>
        <w:gridCol w:w="73"/>
        <w:gridCol w:w="417"/>
        <w:gridCol w:w="148"/>
        <w:gridCol w:w="178"/>
        <w:gridCol w:w="380"/>
        <w:gridCol w:w="792"/>
        <w:gridCol w:w="636"/>
        <w:gridCol w:w="1092"/>
        <w:gridCol w:w="1012"/>
        <w:gridCol w:w="936"/>
        <w:gridCol w:w="294"/>
        <w:gridCol w:w="918"/>
        <w:gridCol w:w="1138"/>
      </w:tblGrid>
      <w:tr w:rsidR="00BB2470">
        <w:trPr>
          <w:trHeight w:val="479"/>
        </w:trPr>
        <w:tc>
          <w:tcPr>
            <w:tcW w:w="713" w:type="dxa"/>
            <w:tcBorders>
              <w:top w:val="single" w:sz="4" w:space="0" w:color="auto"/>
              <w:left w:val="single" w:sz="4" w:space="0" w:color="auto"/>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项目</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名称</w:t>
            </w:r>
          </w:p>
        </w:tc>
        <w:tc>
          <w:tcPr>
            <w:tcW w:w="1407" w:type="dxa"/>
            <w:gridSpan w:val="3"/>
            <w:tcBorders>
              <w:top w:val="single" w:sz="4" w:space="0" w:color="auto"/>
              <w:left w:val="nil"/>
              <w:bottom w:val="single" w:sz="4" w:space="0" w:color="auto"/>
              <w:right w:val="single" w:sz="4" w:space="0" w:color="000000"/>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县级补助专项资金</w:t>
            </w:r>
          </w:p>
        </w:tc>
        <w:tc>
          <w:tcPr>
            <w:tcW w:w="743" w:type="dxa"/>
            <w:gridSpan w:val="3"/>
            <w:tcBorders>
              <w:top w:val="single" w:sz="4" w:space="0" w:color="auto"/>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项目</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编码</w:t>
            </w:r>
          </w:p>
        </w:tc>
        <w:tc>
          <w:tcPr>
            <w:tcW w:w="1808" w:type="dxa"/>
            <w:gridSpan w:val="3"/>
            <w:tcBorders>
              <w:top w:val="single" w:sz="4" w:space="0" w:color="auto"/>
              <w:left w:val="nil"/>
              <w:bottom w:val="single" w:sz="4" w:space="0" w:color="auto"/>
              <w:right w:val="single" w:sz="4" w:space="0" w:color="000000"/>
            </w:tcBorders>
            <w:vAlign w:val="center"/>
          </w:tcPr>
          <w:p w:rsidR="00BB2470" w:rsidRDefault="00BB2470">
            <w:pPr>
              <w:spacing w:line="300" w:lineRule="exact"/>
              <w:jc w:val="center"/>
              <w:rPr>
                <w:rFonts w:ascii="Times New Roman" w:eastAsia="方正仿宋_GBK" w:hAnsi="Times New Roman"/>
                <w:color w:val="000000"/>
              </w:rPr>
            </w:pPr>
          </w:p>
        </w:tc>
        <w:tc>
          <w:tcPr>
            <w:tcW w:w="1092" w:type="dxa"/>
            <w:tcBorders>
              <w:top w:val="single" w:sz="4" w:space="0" w:color="auto"/>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自评</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总分</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（分）</w:t>
            </w:r>
          </w:p>
        </w:tc>
        <w:tc>
          <w:tcPr>
            <w:tcW w:w="4298" w:type="dxa"/>
            <w:gridSpan w:val="5"/>
            <w:tcBorders>
              <w:top w:val="single" w:sz="4" w:space="0" w:color="auto"/>
              <w:left w:val="nil"/>
              <w:bottom w:val="single" w:sz="4" w:space="0" w:color="auto"/>
              <w:right w:val="single" w:sz="4" w:space="0" w:color="000000"/>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hint="eastAsia"/>
                <w:color w:val="000000"/>
              </w:rPr>
              <w:t>95</w:t>
            </w:r>
          </w:p>
        </w:tc>
      </w:tr>
      <w:tr w:rsidR="00BB2470">
        <w:trPr>
          <w:trHeight w:val="479"/>
        </w:trPr>
        <w:tc>
          <w:tcPr>
            <w:tcW w:w="713" w:type="dxa"/>
            <w:tcBorders>
              <w:top w:val="nil"/>
              <w:left w:val="single" w:sz="4" w:space="0" w:color="auto"/>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主管</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部门</w:t>
            </w:r>
          </w:p>
        </w:tc>
        <w:tc>
          <w:tcPr>
            <w:tcW w:w="1407" w:type="dxa"/>
            <w:gridSpan w:val="3"/>
            <w:tcBorders>
              <w:top w:val="single" w:sz="4" w:space="0" w:color="auto"/>
              <w:left w:val="nil"/>
              <w:bottom w:val="single" w:sz="4" w:space="0" w:color="auto"/>
              <w:right w:val="single" w:sz="4" w:space="0" w:color="000000"/>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城口县卫生健康委员会</w:t>
            </w:r>
          </w:p>
        </w:tc>
        <w:tc>
          <w:tcPr>
            <w:tcW w:w="743" w:type="dxa"/>
            <w:gridSpan w:val="3"/>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财政</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处室</w:t>
            </w:r>
          </w:p>
        </w:tc>
        <w:tc>
          <w:tcPr>
            <w:tcW w:w="1808" w:type="dxa"/>
            <w:gridSpan w:val="3"/>
            <w:tcBorders>
              <w:top w:val="single" w:sz="4" w:space="0" w:color="auto"/>
              <w:left w:val="nil"/>
              <w:bottom w:val="single" w:sz="4" w:space="0" w:color="auto"/>
              <w:right w:val="single" w:sz="4" w:space="0" w:color="000000"/>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行社科</w:t>
            </w:r>
          </w:p>
        </w:tc>
        <w:tc>
          <w:tcPr>
            <w:tcW w:w="1092" w:type="dxa"/>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项目</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联系人</w:t>
            </w:r>
          </w:p>
        </w:tc>
        <w:tc>
          <w:tcPr>
            <w:tcW w:w="1012" w:type="dxa"/>
            <w:tcBorders>
              <w:top w:val="nil"/>
              <w:left w:val="nil"/>
              <w:bottom w:val="single" w:sz="4" w:space="0" w:color="auto"/>
              <w:right w:val="single" w:sz="4" w:space="0" w:color="auto"/>
            </w:tcBorders>
            <w:vAlign w:val="center"/>
          </w:tcPr>
          <w:p w:rsidR="00BB2470" w:rsidRDefault="00BB2470">
            <w:pPr>
              <w:spacing w:line="300" w:lineRule="exact"/>
              <w:jc w:val="center"/>
              <w:rPr>
                <w:rFonts w:ascii="Times New Roman" w:eastAsia="方正仿宋_GBK" w:hAnsi="Times New Roman"/>
                <w:color w:val="000000"/>
              </w:rPr>
            </w:pPr>
          </w:p>
        </w:tc>
        <w:tc>
          <w:tcPr>
            <w:tcW w:w="1230" w:type="dxa"/>
            <w:gridSpan w:val="2"/>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联系电话</w:t>
            </w:r>
          </w:p>
        </w:tc>
        <w:tc>
          <w:tcPr>
            <w:tcW w:w="2056" w:type="dxa"/>
            <w:gridSpan w:val="2"/>
            <w:tcBorders>
              <w:top w:val="single" w:sz="4" w:space="0" w:color="auto"/>
              <w:left w:val="nil"/>
              <w:bottom w:val="single" w:sz="4" w:space="0" w:color="auto"/>
              <w:right w:val="single" w:sz="4" w:space="0" w:color="000000"/>
            </w:tcBorders>
            <w:vAlign w:val="center"/>
          </w:tcPr>
          <w:p w:rsidR="00BB2470" w:rsidRDefault="00BB2470">
            <w:pPr>
              <w:spacing w:line="300" w:lineRule="exact"/>
              <w:rPr>
                <w:rFonts w:ascii="Times New Roman" w:eastAsia="方正仿宋_GBK" w:hAnsi="Times New Roman"/>
                <w:color w:val="000000"/>
              </w:rPr>
            </w:pPr>
          </w:p>
        </w:tc>
      </w:tr>
      <w:tr w:rsidR="00BB2470">
        <w:trPr>
          <w:trHeight w:val="479"/>
        </w:trPr>
        <w:tc>
          <w:tcPr>
            <w:tcW w:w="713" w:type="dxa"/>
            <w:vMerge w:val="restart"/>
            <w:tcBorders>
              <w:top w:val="nil"/>
              <w:left w:val="single" w:sz="4" w:space="0" w:color="auto"/>
              <w:bottom w:val="single" w:sz="4" w:space="0" w:color="auto"/>
              <w:right w:val="single" w:sz="4" w:space="0" w:color="auto"/>
            </w:tcBorders>
            <w:textDirection w:val="tbRlV"/>
            <w:vAlign w:val="center"/>
          </w:tcPr>
          <w:p w:rsidR="00BB2470" w:rsidRDefault="00B02293">
            <w:pPr>
              <w:spacing w:line="300" w:lineRule="exact"/>
              <w:ind w:left="113" w:right="113"/>
              <w:jc w:val="center"/>
              <w:rPr>
                <w:rFonts w:ascii="Times New Roman" w:eastAsia="方正仿宋_GBK" w:hAnsi="Times New Roman"/>
                <w:color w:val="000000"/>
              </w:rPr>
            </w:pPr>
            <w:r>
              <w:rPr>
                <w:rFonts w:ascii="Times New Roman" w:eastAsia="方正仿宋_GBK" w:hAnsi="Times New Roman" w:cs="方正仿宋_GBK" w:hint="eastAsia"/>
                <w:color w:val="000000"/>
              </w:rPr>
              <w:t>项目资金（万元）</w:t>
            </w:r>
          </w:p>
        </w:tc>
        <w:tc>
          <w:tcPr>
            <w:tcW w:w="1117" w:type="dxa"/>
            <w:vMerge w:val="restart"/>
            <w:tcBorders>
              <w:top w:val="nil"/>
              <w:left w:val="nil"/>
              <w:bottom w:val="single" w:sz="4" w:space="0" w:color="auto"/>
              <w:right w:val="nil"/>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年度</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总金额</w:t>
            </w:r>
          </w:p>
        </w:tc>
        <w:tc>
          <w:tcPr>
            <w:tcW w:w="855" w:type="dxa"/>
            <w:gridSpan w:val="4"/>
            <w:tcBorders>
              <w:top w:val="single" w:sz="4" w:space="0" w:color="auto"/>
              <w:left w:val="single" w:sz="4" w:space="0" w:color="auto"/>
              <w:bottom w:val="single" w:sz="4" w:space="0" w:color="auto"/>
              <w:right w:val="single" w:sz="4" w:space="0" w:color="000000"/>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年初</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预算数</w:t>
            </w:r>
          </w:p>
        </w:tc>
        <w:tc>
          <w:tcPr>
            <w:tcW w:w="1986" w:type="dxa"/>
            <w:gridSpan w:val="4"/>
            <w:tcBorders>
              <w:top w:val="single" w:sz="4" w:space="0" w:color="auto"/>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全年</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（调整）预算数</w:t>
            </w:r>
          </w:p>
        </w:tc>
        <w:tc>
          <w:tcPr>
            <w:tcW w:w="2104" w:type="dxa"/>
            <w:gridSpan w:val="2"/>
            <w:tcBorders>
              <w:top w:val="single" w:sz="4" w:space="0" w:color="auto"/>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全年执行数</w:t>
            </w:r>
          </w:p>
        </w:tc>
        <w:tc>
          <w:tcPr>
            <w:tcW w:w="1230" w:type="dxa"/>
            <w:gridSpan w:val="2"/>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执行率</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w:t>
            </w:r>
            <w:r>
              <w:rPr>
                <w:rFonts w:ascii="Times New Roman" w:eastAsia="方正仿宋_GBK" w:hAnsi="Times New Roman"/>
                <w:color w:val="000000"/>
              </w:rPr>
              <w:t>%</w:t>
            </w:r>
            <w:r>
              <w:rPr>
                <w:rFonts w:ascii="Times New Roman" w:eastAsia="方正仿宋_GBK" w:hAnsi="Times New Roman" w:cs="方正仿宋_GBK" w:hint="eastAsia"/>
                <w:color w:val="000000"/>
              </w:rPr>
              <w:t>）</w:t>
            </w:r>
          </w:p>
        </w:tc>
        <w:tc>
          <w:tcPr>
            <w:tcW w:w="918" w:type="dxa"/>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执行率</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权重</w:t>
            </w:r>
          </w:p>
        </w:tc>
        <w:tc>
          <w:tcPr>
            <w:tcW w:w="1138" w:type="dxa"/>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执行率</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得分</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（分）</w:t>
            </w:r>
          </w:p>
        </w:tc>
      </w:tr>
      <w:tr w:rsidR="00BB2470">
        <w:trPr>
          <w:trHeight w:val="479"/>
        </w:trPr>
        <w:tc>
          <w:tcPr>
            <w:tcW w:w="713" w:type="dxa"/>
            <w:vMerge/>
            <w:tcBorders>
              <w:top w:val="nil"/>
              <w:left w:val="single" w:sz="4" w:space="0" w:color="auto"/>
              <w:bottom w:val="single" w:sz="4" w:space="0" w:color="auto"/>
              <w:right w:val="single" w:sz="4" w:space="0" w:color="auto"/>
            </w:tcBorders>
            <w:textDirection w:val="tbRlV"/>
            <w:vAlign w:val="center"/>
          </w:tcPr>
          <w:p w:rsidR="00BB2470" w:rsidRDefault="00BB2470">
            <w:pPr>
              <w:rPr>
                <w:rFonts w:ascii="Times New Roman" w:hAnsi="Times New Roman" w:cs="Times New Roman"/>
                <w:sz w:val="20"/>
                <w:szCs w:val="20"/>
              </w:rPr>
            </w:pPr>
          </w:p>
        </w:tc>
        <w:tc>
          <w:tcPr>
            <w:tcW w:w="1117" w:type="dxa"/>
            <w:vMerge/>
            <w:tcBorders>
              <w:top w:val="nil"/>
              <w:left w:val="nil"/>
              <w:bottom w:val="single" w:sz="4" w:space="0" w:color="auto"/>
              <w:right w:val="nil"/>
            </w:tcBorders>
            <w:vAlign w:val="center"/>
          </w:tcPr>
          <w:p w:rsidR="00BB2470" w:rsidRDefault="00BB2470">
            <w:pPr>
              <w:rPr>
                <w:rFonts w:ascii="Times New Roman" w:hAnsi="Times New Roman" w:cs="Times New Roman"/>
                <w:sz w:val="20"/>
                <w:szCs w:val="20"/>
              </w:rPr>
            </w:pPr>
          </w:p>
        </w:tc>
        <w:tc>
          <w:tcPr>
            <w:tcW w:w="855" w:type="dxa"/>
            <w:gridSpan w:val="4"/>
            <w:tcBorders>
              <w:top w:val="single" w:sz="4" w:space="0" w:color="auto"/>
              <w:left w:val="single" w:sz="4" w:space="0" w:color="auto"/>
              <w:bottom w:val="single" w:sz="4" w:space="0" w:color="auto"/>
              <w:right w:val="single" w:sz="4" w:space="0" w:color="000000"/>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85</w:t>
            </w:r>
          </w:p>
        </w:tc>
        <w:tc>
          <w:tcPr>
            <w:tcW w:w="1986" w:type="dxa"/>
            <w:gridSpan w:val="4"/>
            <w:tcBorders>
              <w:top w:val="single" w:sz="4" w:space="0" w:color="auto"/>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85</w:t>
            </w:r>
          </w:p>
        </w:tc>
        <w:tc>
          <w:tcPr>
            <w:tcW w:w="2104" w:type="dxa"/>
            <w:gridSpan w:val="2"/>
            <w:tcBorders>
              <w:top w:val="single" w:sz="4" w:space="0" w:color="auto"/>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85</w:t>
            </w:r>
          </w:p>
        </w:tc>
        <w:tc>
          <w:tcPr>
            <w:tcW w:w="1230" w:type="dxa"/>
            <w:gridSpan w:val="2"/>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100</w:t>
            </w:r>
          </w:p>
        </w:tc>
        <w:tc>
          <w:tcPr>
            <w:tcW w:w="918" w:type="dxa"/>
            <w:tcBorders>
              <w:top w:val="nil"/>
              <w:left w:val="nil"/>
              <w:bottom w:val="single" w:sz="4" w:space="0" w:color="auto"/>
              <w:right w:val="single" w:sz="4" w:space="0" w:color="auto"/>
            </w:tcBorders>
            <w:vAlign w:val="center"/>
          </w:tcPr>
          <w:p w:rsidR="00BB2470" w:rsidRDefault="00BB2470">
            <w:pPr>
              <w:spacing w:line="300" w:lineRule="exact"/>
              <w:jc w:val="center"/>
              <w:rPr>
                <w:rFonts w:ascii="Times New Roman" w:eastAsia="方正仿宋_GBK" w:hAnsi="Times New Roman"/>
              </w:rPr>
            </w:pPr>
          </w:p>
        </w:tc>
        <w:tc>
          <w:tcPr>
            <w:tcW w:w="1138" w:type="dxa"/>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100</w:t>
            </w:r>
          </w:p>
        </w:tc>
      </w:tr>
      <w:tr w:rsidR="00BB2470">
        <w:trPr>
          <w:trHeight w:val="479"/>
        </w:trPr>
        <w:tc>
          <w:tcPr>
            <w:tcW w:w="713" w:type="dxa"/>
            <w:vMerge/>
            <w:tcBorders>
              <w:top w:val="nil"/>
              <w:left w:val="single" w:sz="4" w:space="0" w:color="auto"/>
              <w:bottom w:val="single" w:sz="4" w:space="0" w:color="auto"/>
              <w:right w:val="single" w:sz="4" w:space="0" w:color="auto"/>
            </w:tcBorders>
            <w:textDirection w:val="tbRlV"/>
            <w:vAlign w:val="center"/>
          </w:tcPr>
          <w:p w:rsidR="00BB2470" w:rsidRDefault="00BB2470">
            <w:pPr>
              <w:rPr>
                <w:rFonts w:ascii="Times New Roman" w:hAnsi="Times New Roman" w:cs="Times New Roman"/>
                <w:sz w:val="20"/>
                <w:szCs w:val="20"/>
              </w:rPr>
            </w:pPr>
          </w:p>
        </w:tc>
        <w:tc>
          <w:tcPr>
            <w:tcW w:w="1117" w:type="dxa"/>
            <w:tcBorders>
              <w:top w:val="nil"/>
              <w:left w:val="nil"/>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其中：</w:t>
            </w:r>
          </w:p>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县级支出</w:t>
            </w:r>
          </w:p>
        </w:tc>
        <w:tc>
          <w:tcPr>
            <w:tcW w:w="855" w:type="dxa"/>
            <w:gridSpan w:val="4"/>
            <w:tcBorders>
              <w:top w:val="single" w:sz="4" w:space="0" w:color="auto"/>
              <w:left w:val="single" w:sz="4" w:space="0" w:color="auto"/>
              <w:bottom w:val="single" w:sz="4" w:space="0" w:color="auto"/>
              <w:right w:val="single" w:sz="4" w:space="0" w:color="000000"/>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85</w:t>
            </w:r>
          </w:p>
        </w:tc>
        <w:tc>
          <w:tcPr>
            <w:tcW w:w="1986" w:type="dxa"/>
            <w:gridSpan w:val="4"/>
            <w:tcBorders>
              <w:top w:val="single" w:sz="4" w:space="0" w:color="auto"/>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85</w:t>
            </w:r>
          </w:p>
        </w:tc>
        <w:tc>
          <w:tcPr>
            <w:tcW w:w="2104" w:type="dxa"/>
            <w:gridSpan w:val="2"/>
            <w:tcBorders>
              <w:top w:val="single" w:sz="4" w:space="0" w:color="auto"/>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85</w:t>
            </w:r>
          </w:p>
        </w:tc>
        <w:tc>
          <w:tcPr>
            <w:tcW w:w="1230" w:type="dxa"/>
            <w:gridSpan w:val="2"/>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100</w:t>
            </w:r>
          </w:p>
        </w:tc>
        <w:tc>
          <w:tcPr>
            <w:tcW w:w="918" w:type="dxa"/>
            <w:tcBorders>
              <w:top w:val="nil"/>
              <w:left w:val="nil"/>
              <w:bottom w:val="single" w:sz="4" w:space="0" w:color="auto"/>
              <w:right w:val="single" w:sz="4" w:space="0" w:color="auto"/>
            </w:tcBorders>
            <w:vAlign w:val="center"/>
          </w:tcPr>
          <w:p w:rsidR="00BB2470" w:rsidRDefault="00BB2470">
            <w:pPr>
              <w:spacing w:line="300" w:lineRule="exact"/>
              <w:jc w:val="center"/>
              <w:rPr>
                <w:rFonts w:ascii="Times New Roman" w:eastAsia="方正仿宋_GBK" w:hAnsi="Times New Roman"/>
                <w:color w:val="000000"/>
              </w:rPr>
            </w:pPr>
          </w:p>
        </w:tc>
        <w:tc>
          <w:tcPr>
            <w:tcW w:w="1138" w:type="dxa"/>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100</w:t>
            </w:r>
          </w:p>
        </w:tc>
      </w:tr>
      <w:tr w:rsidR="00BB2470">
        <w:trPr>
          <w:trHeight w:val="479"/>
        </w:trPr>
        <w:tc>
          <w:tcPr>
            <w:tcW w:w="713" w:type="dxa"/>
            <w:vMerge/>
            <w:tcBorders>
              <w:top w:val="nil"/>
              <w:left w:val="single" w:sz="4" w:space="0" w:color="auto"/>
              <w:bottom w:val="single" w:sz="4" w:space="0" w:color="auto"/>
              <w:right w:val="single" w:sz="4" w:space="0" w:color="auto"/>
            </w:tcBorders>
            <w:textDirection w:val="tbRlV"/>
            <w:vAlign w:val="center"/>
          </w:tcPr>
          <w:p w:rsidR="00BB2470" w:rsidRDefault="00BB2470">
            <w:pPr>
              <w:rPr>
                <w:rFonts w:ascii="Times New Roman" w:hAnsi="Times New Roman" w:cs="Times New Roman"/>
                <w:sz w:val="20"/>
                <w:szCs w:val="20"/>
              </w:rPr>
            </w:pPr>
          </w:p>
        </w:tc>
        <w:tc>
          <w:tcPr>
            <w:tcW w:w="1117" w:type="dxa"/>
            <w:tcBorders>
              <w:top w:val="nil"/>
              <w:left w:val="nil"/>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补助区县</w:t>
            </w:r>
          </w:p>
        </w:tc>
        <w:tc>
          <w:tcPr>
            <w:tcW w:w="855" w:type="dxa"/>
            <w:gridSpan w:val="4"/>
            <w:tcBorders>
              <w:top w:val="single" w:sz="4" w:space="0" w:color="auto"/>
              <w:left w:val="single" w:sz="4" w:space="0" w:color="auto"/>
              <w:bottom w:val="single" w:sz="4" w:space="0" w:color="auto"/>
              <w:right w:val="single" w:sz="4" w:space="0" w:color="000000"/>
            </w:tcBorders>
            <w:vAlign w:val="center"/>
          </w:tcPr>
          <w:p w:rsidR="00BB2470" w:rsidRDefault="00BB2470">
            <w:pPr>
              <w:spacing w:line="300" w:lineRule="exact"/>
              <w:jc w:val="center"/>
              <w:rPr>
                <w:rFonts w:ascii="Times New Roman" w:eastAsia="方正仿宋_GBK" w:hAnsi="Times New Roman"/>
                <w:color w:val="000000"/>
              </w:rPr>
            </w:pPr>
          </w:p>
        </w:tc>
        <w:tc>
          <w:tcPr>
            <w:tcW w:w="1986" w:type="dxa"/>
            <w:gridSpan w:val="4"/>
            <w:tcBorders>
              <w:top w:val="single" w:sz="4" w:space="0" w:color="auto"/>
              <w:left w:val="nil"/>
              <w:bottom w:val="single" w:sz="4" w:space="0" w:color="auto"/>
              <w:right w:val="single" w:sz="4" w:space="0" w:color="auto"/>
            </w:tcBorders>
            <w:vAlign w:val="center"/>
          </w:tcPr>
          <w:p w:rsidR="00BB2470" w:rsidRDefault="00BB2470">
            <w:pPr>
              <w:spacing w:line="300" w:lineRule="exact"/>
              <w:jc w:val="center"/>
              <w:rPr>
                <w:rFonts w:ascii="Times New Roman" w:eastAsia="方正仿宋_GBK" w:hAnsi="Times New Roman"/>
                <w:color w:val="000000"/>
              </w:rPr>
            </w:pPr>
          </w:p>
        </w:tc>
        <w:tc>
          <w:tcPr>
            <w:tcW w:w="2104" w:type="dxa"/>
            <w:gridSpan w:val="2"/>
            <w:tcBorders>
              <w:top w:val="single" w:sz="4" w:space="0" w:color="auto"/>
              <w:left w:val="nil"/>
              <w:bottom w:val="single" w:sz="4" w:space="0" w:color="auto"/>
              <w:right w:val="single" w:sz="4" w:space="0" w:color="auto"/>
            </w:tcBorders>
            <w:vAlign w:val="center"/>
          </w:tcPr>
          <w:p w:rsidR="00BB2470" w:rsidRDefault="00BB2470">
            <w:pPr>
              <w:spacing w:line="300" w:lineRule="exact"/>
              <w:jc w:val="center"/>
              <w:rPr>
                <w:rFonts w:ascii="Times New Roman" w:eastAsia="方正仿宋_GBK" w:hAnsi="Times New Roman"/>
                <w:color w:val="000000"/>
              </w:rPr>
            </w:pPr>
          </w:p>
        </w:tc>
        <w:tc>
          <w:tcPr>
            <w:tcW w:w="1230" w:type="dxa"/>
            <w:gridSpan w:val="2"/>
            <w:tcBorders>
              <w:top w:val="nil"/>
              <w:left w:val="nil"/>
              <w:bottom w:val="single" w:sz="4" w:space="0" w:color="auto"/>
              <w:right w:val="single" w:sz="4" w:space="0" w:color="auto"/>
            </w:tcBorders>
            <w:vAlign w:val="center"/>
          </w:tcPr>
          <w:p w:rsidR="00BB2470" w:rsidRDefault="00BB2470">
            <w:pPr>
              <w:spacing w:line="300" w:lineRule="exact"/>
              <w:jc w:val="center"/>
              <w:rPr>
                <w:rFonts w:ascii="Times New Roman" w:eastAsia="方正仿宋_GBK" w:hAnsi="Times New Roman"/>
                <w:color w:val="000000"/>
              </w:rPr>
            </w:pPr>
          </w:p>
        </w:tc>
        <w:tc>
          <w:tcPr>
            <w:tcW w:w="918" w:type="dxa"/>
            <w:tcBorders>
              <w:top w:val="nil"/>
              <w:left w:val="nil"/>
              <w:bottom w:val="single" w:sz="4" w:space="0" w:color="auto"/>
              <w:right w:val="single" w:sz="4" w:space="0" w:color="auto"/>
            </w:tcBorders>
            <w:vAlign w:val="center"/>
          </w:tcPr>
          <w:p w:rsidR="00BB2470" w:rsidRDefault="00BB2470">
            <w:pPr>
              <w:spacing w:line="300" w:lineRule="exact"/>
              <w:jc w:val="center"/>
              <w:rPr>
                <w:rFonts w:ascii="Times New Roman" w:eastAsia="方正仿宋_GBK" w:hAnsi="Times New Roman"/>
                <w:color w:val="000000"/>
              </w:rPr>
            </w:pPr>
          </w:p>
        </w:tc>
        <w:tc>
          <w:tcPr>
            <w:tcW w:w="1138" w:type="dxa"/>
            <w:tcBorders>
              <w:top w:val="nil"/>
              <w:left w:val="nil"/>
              <w:bottom w:val="single" w:sz="4" w:space="0" w:color="auto"/>
              <w:right w:val="single" w:sz="4" w:space="0" w:color="auto"/>
            </w:tcBorders>
            <w:vAlign w:val="center"/>
          </w:tcPr>
          <w:p w:rsidR="00BB2470" w:rsidRDefault="00BB2470">
            <w:pPr>
              <w:spacing w:line="300" w:lineRule="exact"/>
              <w:jc w:val="center"/>
              <w:rPr>
                <w:rFonts w:ascii="Times New Roman" w:eastAsia="方正仿宋_GBK" w:hAnsi="Times New Roman"/>
                <w:color w:val="000000"/>
              </w:rPr>
            </w:pPr>
          </w:p>
        </w:tc>
      </w:tr>
      <w:tr w:rsidR="00BB2470">
        <w:trPr>
          <w:trHeight w:val="479"/>
        </w:trPr>
        <w:tc>
          <w:tcPr>
            <w:tcW w:w="713" w:type="dxa"/>
            <w:vMerge w:val="restart"/>
            <w:tcBorders>
              <w:top w:val="nil"/>
              <w:left w:val="single" w:sz="4" w:space="0" w:color="auto"/>
              <w:bottom w:val="single" w:sz="4" w:space="0" w:color="auto"/>
              <w:right w:val="single" w:sz="4" w:space="0" w:color="auto"/>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当年绩效目标</w:t>
            </w:r>
          </w:p>
        </w:tc>
        <w:tc>
          <w:tcPr>
            <w:tcW w:w="2150" w:type="dxa"/>
            <w:gridSpan w:val="6"/>
            <w:tcBorders>
              <w:top w:val="single" w:sz="4" w:space="0" w:color="auto"/>
              <w:left w:val="nil"/>
              <w:bottom w:val="single" w:sz="4" w:space="0" w:color="auto"/>
              <w:right w:val="single" w:sz="4" w:space="0" w:color="000000"/>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年初绩效目标</w:t>
            </w:r>
          </w:p>
        </w:tc>
        <w:tc>
          <w:tcPr>
            <w:tcW w:w="3912" w:type="dxa"/>
            <w:gridSpan w:val="5"/>
            <w:tcBorders>
              <w:top w:val="single" w:sz="4" w:space="0" w:color="auto"/>
              <w:left w:val="nil"/>
              <w:bottom w:val="single" w:sz="4" w:space="0" w:color="auto"/>
              <w:right w:val="single" w:sz="4" w:space="0" w:color="000000"/>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全年（调整）绩效目标</w:t>
            </w:r>
          </w:p>
        </w:tc>
        <w:tc>
          <w:tcPr>
            <w:tcW w:w="3286" w:type="dxa"/>
            <w:gridSpan w:val="4"/>
            <w:tcBorders>
              <w:top w:val="single" w:sz="4" w:space="0" w:color="auto"/>
              <w:left w:val="nil"/>
              <w:bottom w:val="single" w:sz="4" w:space="0" w:color="auto"/>
              <w:right w:val="single" w:sz="4" w:space="0" w:color="000000"/>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全年目标实际完成情况</w:t>
            </w:r>
          </w:p>
        </w:tc>
      </w:tr>
      <w:tr w:rsidR="00BB2470">
        <w:trPr>
          <w:trHeight w:val="1078"/>
        </w:trPr>
        <w:tc>
          <w:tcPr>
            <w:tcW w:w="713" w:type="dxa"/>
            <w:vMerge/>
            <w:tcBorders>
              <w:top w:val="nil"/>
              <w:left w:val="single" w:sz="4" w:space="0" w:color="auto"/>
              <w:bottom w:val="single" w:sz="4" w:space="0" w:color="auto"/>
              <w:right w:val="single" w:sz="4" w:space="0" w:color="auto"/>
            </w:tcBorders>
            <w:vAlign w:val="center"/>
          </w:tcPr>
          <w:p w:rsidR="00BB2470" w:rsidRDefault="00BB2470">
            <w:pPr>
              <w:rPr>
                <w:rFonts w:ascii="Times New Roman" w:hAnsi="Times New Roman" w:cs="Times New Roman"/>
                <w:sz w:val="20"/>
                <w:szCs w:val="20"/>
              </w:rPr>
            </w:pPr>
          </w:p>
        </w:tc>
        <w:tc>
          <w:tcPr>
            <w:tcW w:w="2150" w:type="dxa"/>
            <w:gridSpan w:val="6"/>
            <w:tcBorders>
              <w:top w:val="single" w:sz="4" w:space="0" w:color="auto"/>
              <w:left w:val="nil"/>
              <w:bottom w:val="single" w:sz="4" w:space="0" w:color="auto"/>
              <w:right w:val="single" w:sz="4" w:space="0" w:color="000000"/>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hint="eastAsia"/>
                <w:color w:val="000000"/>
              </w:rPr>
              <w:t>完善传染病监测系统，加强传染病监测与疫情处置</w:t>
            </w:r>
          </w:p>
        </w:tc>
        <w:tc>
          <w:tcPr>
            <w:tcW w:w="3912" w:type="dxa"/>
            <w:gridSpan w:val="5"/>
            <w:tcBorders>
              <w:top w:val="single" w:sz="4" w:space="0" w:color="auto"/>
              <w:left w:val="nil"/>
              <w:bottom w:val="single" w:sz="4" w:space="0" w:color="auto"/>
              <w:right w:val="single" w:sz="4" w:space="0" w:color="000000"/>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强化部门协调，重点抓好霍乱、人感染</w:t>
            </w:r>
            <w:r>
              <w:rPr>
                <w:rFonts w:ascii="Times New Roman" w:eastAsia="方正仿宋_GBK" w:hAnsi="Times New Roman" w:cs="方正仿宋_GBK" w:hint="eastAsia"/>
                <w:color w:val="000000"/>
              </w:rPr>
              <w:t>H7N9</w:t>
            </w:r>
            <w:r>
              <w:rPr>
                <w:rFonts w:ascii="Times New Roman" w:eastAsia="方正仿宋_GBK" w:hAnsi="Times New Roman" w:cs="方正仿宋_GBK" w:hint="eastAsia"/>
                <w:color w:val="000000"/>
              </w:rPr>
              <w:t>流感、手足口病、流感、麻疹、登革热等重点传染病及新发传染病防控工作</w:t>
            </w:r>
          </w:p>
        </w:tc>
        <w:tc>
          <w:tcPr>
            <w:tcW w:w="3286" w:type="dxa"/>
            <w:gridSpan w:val="4"/>
            <w:tcBorders>
              <w:top w:val="single" w:sz="4" w:space="0" w:color="auto"/>
              <w:left w:val="nil"/>
              <w:bottom w:val="single" w:sz="4" w:space="0" w:color="auto"/>
              <w:right w:val="single" w:sz="4" w:space="0" w:color="000000"/>
            </w:tcBorders>
            <w:vAlign w:val="center"/>
          </w:tcPr>
          <w:p w:rsidR="00BB2470" w:rsidRDefault="00BB2470">
            <w:pPr>
              <w:spacing w:line="300" w:lineRule="exact"/>
              <w:rPr>
                <w:rFonts w:ascii="Times New Roman" w:eastAsia="方正仿宋_GBK" w:hAnsi="Times New Roman"/>
                <w:color w:val="000000"/>
              </w:rPr>
            </w:pPr>
          </w:p>
        </w:tc>
      </w:tr>
      <w:tr w:rsidR="00BB2470">
        <w:trPr>
          <w:trHeight w:val="479"/>
        </w:trPr>
        <w:tc>
          <w:tcPr>
            <w:tcW w:w="713" w:type="dxa"/>
            <w:vMerge w:val="restart"/>
            <w:tcBorders>
              <w:top w:val="nil"/>
              <w:left w:val="single" w:sz="4" w:space="0" w:color="auto"/>
              <w:bottom w:val="single" w:sz="4" w:space="0" w:color="auto"/>
              <w:right w:val="single" w:sz="4" w:space="0" w:color="auto"/>
            </w:tcBorders>
            <w:textDirection w:val="tbRlV"/>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绩效指标</w:t>
            </w:r>
          </w:p>
        </w:tc>
        <w:tc>
          <w:tcPr>
            <w:tcW w:w="1334" w:type="dxa"/>
            <w:gridSpan w:val="2"/>
            <w:tcBorders>
              <w:top w:val="nil"/>
              <w:left w:val="nil"/>
              <w:bottom w:val="single" w:sz="4" w:space="0" w:color="auto"/>
              <w:right w:val="nil"/>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指标</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名称</w:t>
            </w:r>
          </w:p>
        </w:tc>
        <w:tc>
          <w:tcPr>
            <w:tcW w:w="490" w:type="dxa"/>
            <w:gridSpan w:val="2"/>
            <w:tcBorders>
              <w:top w:val="nil"/>
              <w:left w:val="single" w:sz="4" w:space="0" w:color="auto"/>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计量</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单位</w:t>
            </w:r>
          </w:p>
        </w:tc>
        <w:tc>
          <w:tcPr>
            <w:tcW w:w="706" w:type="dxa"/>
            <w:gridSpan w:val="3"/>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指标</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性质</w:t>
            </w:r>
          </w:p>
        </w:tc>
        <w:tc>
          <w:tcPr>
            <w:tcW w:w="792" w:type="dxa"/>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年初</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指标</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值</w:t>
            </w:r>
          </w:p>
        </w:tc>
        <w:tc>
          <w:tcPr>
            <w:tcW w:w="636" w:type="dxa"/>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调整</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指标</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值</w:t>
            </w:r>
          </w:p>
        </w:tc>
        <w:tc>
          <w:tcPr>
            <w:tcW w:w="1092" w:type="dxa"/>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全年</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完成值</w:t>
            </w:r>
          </w:p>
        </w:tc>
        <w:tc>
          <w:tcPr>
            <w:tcW w:w="1012" w:type="dxa"/>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得分</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系数</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w:t>
            </w:r>
            <w:r>
              <w:rPr>
                <w:rFonts w:ascii="Times New Roman" w:eastAsia="方正仿宋_GBK" w:hAnsi="Times New Roman"/>
                <w:color w:val="000000"/>
              </w:rPr>
              <w:t>%</w:t>
            </w:r>
            <w:r>
              <w:rPr>
                <w:rFonts w:ascii="Times New Roman" w:eastAsia="方正仿宋_GBK" w:hAnsi="Times New Roman" w:cs="方正仿宋_GBK" w:hint="eastAsia"/>
                <w:color w:val="000000"/>
              </w:rPr>
              <w:t>）</w:t>
            </w:r>
          </w:p>
        </w:tc>
        <w:tc>
          <w:tcPr>
            <w:tcW w:w="936" w:type="dxa"/>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指标</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权重</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（分）</w:t>
            </w:r>
          </w:p>
        </w:tc>
        <w:tc>
          <w:tcPr>
            <w:tcW w:w="1212" w:type="dxa"/>
            <w:gridSpan w:val="2"/>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指标得分</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（分）</w:t>
            </w:r>
          </w:p>
        </w:tc>
        <w:tc>
          <w:tcPr>
            <w:tcW w:w="1138" w:type="dxa"/>
            <w:tcBorders>
              <w:top w:val="nil"/>
              <w:left w:val="nil"/>
              <w:bottom w:val="single" w:sz="4" w:space="0" w:color="auto"/>
              <w:right w:val="single" w:sz="4" w:space="0" w:color="auto"/>
            </w:tcBorders>
            <w:vAlign w:val="center"/>
          </w:tcPr>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是否核心</w:t>
            </w:r>
          </w:p>
          <w:p w:rsidR="00BB2470" w:rsidRDefault="00B02293">
            <w:pPr>
              <w:spacing w:line="300" w:lineRule="exact"/>
              <w:jc w:val="center"/>
              <w:rPr>
                <w:rFonts w:ascii="Times New Roman" w:eastAsia="方正仿宋_GBK" w:hAnsi="Times New Roman"/>
                <w:color w:val="000000"/>
              </w:rPr>
            </w:pPr>
            <w:r>
              <w:rPr>
                <w:rFonts w:ascii="Times New Roman" w:eastAsia="方正仿宋_GBK" w:hAnsi="Times New Roman" w:cs="方正仿宋_GBK" w:hint="eastAsia"/>
                <w:color w:val="000000"/>
              </w:rPr>
              <w:t>指标</w:t>
            </w:r>
          </w:p>
        </w:tc>
      </w:tr>
      <w:tr w:rsidR="00BB2470">
        <w:trPr>
          <w:trHeight w:val="417"/>
        </w:trPr>
        <w:tc>
          <w:tcPr>
            <w:tcW w:w="713" w:type="dxa"/>
            <w:vMerge/>
            <w:tcBorders>
              <w:top w:val="nil"/>
              <w:left w:val="single" w:sz="4" w:space="0" w:color="auto"/>
              <w:bottom w:val="single" w:sz="4" w:space="0" w:color="auto"/>
              <w:right w:val="single" w:sz="4" w:space="0" w:color="auto"/>
            </w:tcBorders>
            <w:textDirection w:val="tbRlV"/>
            <w:vAlign w:val="center"/>
          </w:tcPr>
          <w:p w:rsidR="00BB2470" w:rsidRDefault="00BB2470">
            <w:pPr>
              <w:rPr>
                <w:rFonts w:ascii="Times New Roman" w:hAnsi="Times New Roman" w:cs="Times New Roman"/>
                <w:sz w:val="20"/>
                <w:szCs w:val="20"/>
              </w:rPr>
            </w:pPr>
          </w:p>
        </w:tc>
        <w:tc>
          <w:tcPr>
            <w:tcW w:w="1334" w:type="dxa"/>
            <w:gridSpan w:val="2"/>
            <w:tcBorders>
              <w:top w:val="nil"/>
              <w:left w:val="nil"/>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法定传染病报告率</w:t>
            </w:r>
          </w:p>
        </w:tc>
        <w:tc>
          <w:tcPr>
            <w:tcW w:w="490" w:type="dxa"/>
            <w:gridSpan w:val="2"/>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项</w:t>
            </w:r>
          </w:p>
        </w:tc>
        <w:tc>
          <w:tcPr>
            <w:tcW w:w="706" w:type="dxa"/>
            <w:gridSpan w:val="3"/>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数量指标</w:t>
            </w:r>
          </w:p>
        </w:tc>
        <w:tc>
          <w:tcPr>
            <w:tcW w:w="792"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&gt;</w:t>
            </w:r>
            <w:r>
              <w:rPr>
                <w:rFonts w:ascii="Times New Roman" w:eastAsia="方正仿宋_GBK" w:hAnsi="Times New Roman" w:hint="eastAsia"/>
                <w:color w:val="000000"/>
              </w:rPr>
              <w:t>100</w:t>
            </w:r>
          </w:p>
        </w:tc>
        <w:tc>
          <w:tcPr>
            <w:tcW w:w="636"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&gt;</w:t>
            </w:r>
            <w:r>
              <w:rPr>
                <w:rFonts w:ascii="Times New Roman" w:eastAsia="方正仿宋_GBK" w:hAnsi="Times New Roman" w:hint="eastAsia"/>
                <w:color w:val="000000"/>
              </w:rPr>
              <w:t>100</w:t>
            </w:r>
          </w:p>
        </w:tc>
        <w:tc>
          <w:tcPr>
            <w:tcW w:w="1092"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&gt;</w:t>
            </w:r>
            <w:r>
              <w:rPr>
                <w:rFonts w:ascii="Times New Roman" w:eastAsia="方正仿宋_GBK" w:hAnsi="Times New Roman" w:hint="eastAsia"/>
                <w:color w:val="000000"/>
              </w:rPr>
              <w:t>100</w:t>
            </w:r>
          </w:p>
        </w:tc>
        <w:tc>
          <w:tcPr>
            <w:tcW w:w="1012"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100</w:t>
            </w:r>
          </w:p>
        </w:tc>
        <w:tc>
          <w:tcPr>
            <w:tcW w:w="936"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20</w:t>
            </w:r>
          </w:p>
        </w:tc>
        <w:tc>
          <w:tcPr>
            <w:tcW w:w="1212" w:type="dxa"/>
            <w:gridSpan w:val="2"/>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20</w:t>
            </w:r>
          </w:p>
        </w:tc>
        <w:tc>
          <w:tcPr>
            <w:tcW w:w="1138" w:type="dxa"/>
            <w:tcBorders>
              <w:top w:val="nil"/>
              <w:left w:val="single" w:sz="4" w:space="0" w:color="auto"/>
              <w:bottom w:val="single" w:sz="4" w:space="0" w:color="auto"/>
              <w:right w:val="single" w:sz="4" w:space="0" w:color="auto"/>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是</w:t>
            </w:r>
          </w:p>
        </w:tc>
      </w:tr>
      <w:tr w:rsidR="00BB2470">
        <w:trPr>
          <w:trHeight w:val="417"/>
        </w:trPr>
        <w:tc>
          <w:tcPr>
            <w:tcW w:w="713" w:type="dxa"/>
            <w:vMerge/>
            <w:tcBorders>
              <w:top w:val="nil"/>
              <w:left w:val="single" w:sz="4" w:space="0" w:color="auto"/>
              <w:bottom w:val="single" w:sz="4" w:space="0" w:color="auto"/>
              <w:right w:val="single" w:sz="4" w:space="0" w:color="auto"/>
            </w:tcBorders>
            <w:textDirection w:val="tbRlV"/>
            <w:vAlign w:val="center"/>
          </w:tcPr>
          <w:p w:rsidR="00BB2470" w:rsidRDefault="00BB2470">
            <w:pPr>
              <w:rPr>
                <w:rFonts w:ascii="Times New Roman" w:hAnsi="Times New Roman" w:cs="Times New Roman"/>
                <w:sz w:val="20"/>
                <w:szCs w:val="20"/>
              </w:rPr>
            </w:pPr>
          </w:p>
        </w:tc>
        <w:tc>
          <w:tcPr>
            <w:tcW w:w="1334" w:type="dxa"/>
            <w:gridSpan w:val="2"/>
            <w:tcBorders>
              <w:top w:val="nil"/>
              <w:left w:val="nil"/>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proofErr w:type="gramStart"/>
            <w:r>
              <w:rPr>
                <w:rFonts w:ascii="Times New Roman" w:eastAsia="方正仿宋_GBK" w:hAnsi="Times New Roman" w:cs="方正仿宋_GBK" w:hint="eastAsia"/>
                <w:color w:val="000000"/>
              </w:rPr>
              <w:t>推报告</w:t>
            </w:r>
            <w:proofErr w:type="gramEnd"/>
            <w:r>
              <w:rPr>
                <w:rFonts w:ascii="Times New Roman" w:eastAsia="方正仿宋_GBK" w:hAnsi="Times New Roman" w:cs="方正仿宋_GBK" w:hint="eastAsia"/>
                <w:color w:val="000000"/>
              </w:rPr>
              <w:t>及时率、完整率、准确率</w:t>
            </w:r>
          </w:p>
        </w:tc>
        <w:tc>
          <w:tcPr>
            <w:tcW w:w="490" w:type="dxa"/>
            <w:gridSpan w:val="2"/>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项</w:t>
            </w:r>
          </w:p>
        </w:tc>
        <w:tc>
          <w:tcPr>
            <w:tcW w:w="706" w:type="dxa"/>
            <w:gridSpan w:val="3"/>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数量指标</w:t>
            </w:r>
          </w:p>
        </w:tc>
        <w:tc>
          <w:tcPr>
            <w:tcW w:w="792"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&gt;</w:t>
            </w:r>
            <w:r>
              <w:rPr>
                <w:rFonts w:ascii="Times New Roman" w:eastAsia="方正仿宋_GBK" w:hAnsi="Times New Roman" w:hint="eastAsia"/>
                <w:color w:val="000000"/>
              </w:rPr>
              <w:t>98</w:t>
            </w:r>
          </w:p>
        </w:tc>
        <w:tc>
          <w:tcPr>
            <w:tcW w:w="636"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&gt;</w:t>
            </w:r>
            <w:r>
              <w:rPr>
                <w:rFonts w:ascii="Times New Roman" w:eastAsia="方正仿宋_GBK" w:hAnsi="Times New Roman" w:hint="eastAsia"/>
                <w:color w:val="000000"/>
              </w:rPr>
              <w:t>98</w:t>
            </w:r>
          </w:p>
        </w:tc>
        <w:tc>
          <w:tcPr>
            <w:tcW w:w="1092"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&gt;</w:t>
            </w:r>
            <w:r>
              <w:rPr>
                <w:rFonts w:ascii="Times New Roman" w:eastAsia="方正仿宋_GBK" w:hAnsi="Times New Roman" w:hint="eastAsia"/>
                <w:color w:val="000000"/>
              </w:rPr>
              <w:t>98</w:t>
            </w:r>
          </w:p>
        </w:tc>
        <w:tc>
          <w:tcPr>
            <w:tcW w:w="1012"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100</w:t>
            </w:r>
          </w:p>
        </w:tc>
        <w:tc>
          <w:tcPr>
            <w:tcW w:w="936"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20</w:t>
            </w:r>
          </w:p>
        </w:tc>
        <w:tc>
          <w:tcPr>
            <w:tcW w:w="1212" w:type="dxa"/>
            <w:gridSpan w:val="2"/>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20</w:t>
            </w:r>
          </w:p>
        </w:tc>
        <w:tc>
          <w:tcPr>
            <w:tcW w:w="1138" w:type="dxa"/>
            <w:tcBorders>
              <w:top w:val="nil"/>
              <w:left w:val="single" w:sz="4" w:space="0" w:color="auto"/>
              <w:bottom w:val="single" w:sz="4" w:space="0" w:color="auto"/>
              <w:right w:val="single" w:sz="4" w:space="0" w:color="auto"/>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是</w:t>
            </w:r>
          </w:p>
        </w:tc>
      </w:tr>
      <w:tr w:rsidR="00BB2470">
        <w:trPr>
          <w:trHeight w:val="417"/>
        </w:trPr>
        <w:tc>
          <w:tcPr>
            <w:tcW w:w="713" w:type="dxa"/>
            <w:vMerge/>
            <w:tcBorders>
              <w:top w:val="nil"/>
              <w:left w:val="single" w:sz="4" w:space="0" w:color="auto"/>
              <w:bottom w:val="single" w:sz="4" w:space="0" w:color="auto"/>
              <w:right w:val="single" w:sz="4" w:space="0" w:color="auto"/>
            </w:tcBorders>
            <w:textDirection w:val="tbRlV"/>
            <w:vAlign w:val="center"/>
          </w:tcPr>
          <w:p w:rsidR="00BB2470" w:rsidRDefault="00BB2470">
            <w:pPr>
              <w:rPr>
                <w:rFonts w:ascii="Times New Roman" w:hAnsi="Times New Roman" w:cs="Times New Roman"/>
                <w:sz w:val="20"/>
                <w:szCs w:val="20"/>
              </w:rPr>
            </w:pPr>
          </w:p>
        </w:tc>
        <w:tc>
          <w:tcPr>
            <w:tcW w:w="1334" w:type="dxa"/>
            <w:gridSpan w:val="2"/>
            <w:tcBorders>
              <w:top w:val="nil"/>
              <w:left w:val="nil"/>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培训人员合格率</w:t>
            </w:r>
          </w:p>
        </w:tc>
        <w:tc>
          <w:tcPr>
            <w:tcW w:w="490" w:type="dxa"/>
            <w:gridSpan w:val="2"/>
            <w:tcBorders>
              <w:top w:val="nil"/>
              <w:left w:val="single" w:sz="4" w:space="0" w:color="auto"/>
              <w:bottom w:val="single" w:sz="4" w:space="0" w:color="auto"/>
              <w:right w:val="nil"/>
            </w:tcBorders>
            <w:vAlign w:val="center"/>
          </w:tcPr>
          <w:p w:rsidR="00BB2470" w:rsidRDefault="00BB2470">
            <w:pPr>
              <w:spacing w:line="300" w:lineRule="exact"/>
              <w:rPr>
                <w:rFonts w:ascii="Times New Roman" w:eastAsia="方正仿宋_GBK" w:hAnsi="Times New Roman"/>
                <w:color w:val="000000"/>
              </w:rPr>
            </w:pPr>
          </w:p>
        </w:tc>
        <w:tc>
          <w:tcPr>
            <w:tcW w:w="706" w:type="dxa"/>
            <w:gridSpan w:val="3"/>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定性指标</w:t>
            </w:r>
          </w:p>
        </w:tc>
        <w:tc>
          <w:tcPr>
            <w:tcW w:w="792"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&gt;</w:t>
            </w:r>
            <w:r>
              <w:rPr>
                <w:rFonts w:ascii="Times New Roman" w:eastAsia="方正仿宋_GBK" w:hAnsi="Times New Roman" w:hint="eastAsia"/>
                <w:color w:val="000000"/>
              </w:rPr>
              <w:t>98</w:t>
            </w:r>
          </w:p>
        </w:tc>
        <w:tc>
          <w:tcPr>
            <w:tcW w:w="636"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&gt;</w:t>
            </w:r>
            <w:r>
              <w:rPr>
                <w:rFonts w:ascii="Times New Roman" w:eastAsia="方正仿宋_GBK" w:hAnsi="Times New Roman" w:hint="eastAsia"/>
                <w:color w:val="000000"/>
              </w:rPr>
              <w:t>98</w:t>
            </w:r>
          </w:p>
        </w:tc>
        <w:tc>
          <w:tcPr>
            <w:tcW w:w="1092"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&gt;</w:t>
            </w:r>
            <w:r>
              <w:rPr>
                <w:rFonts w:ascii="Times New Roman" w:eastAsia="方正仿宋_GBK" w:hAnsi="Times New Roman" w:hint="eastAsia"/>
                <w:color w:val="000000"/>
              </w:rPr>
              <w:t>98</w:t>
            </w:r>
          </w:p>
        </w:tc>
        <w:tc>
          <w:tcPr>
            <w:tcW w:w="1012"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100</w:t>
            </w:r>
          </w:p>
        </w:tc>
        <w:tc>
          <w:tcPr>
            <w:tcW w:w="936"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20</w:t>
            </w:r>
          </w:p>
        </w:tc>
        <w:tc>
          <w:tcPr>
            <w:tcW w:w="1212" w:type="dxa"/>
            <w:gridSpan w:val="2"/>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20</w:t>
            </w:r>
          </w:p>
        </w:tc>
        <w:tc>
          <w:tcPr>
            <w:tcW w:w="1138" w:type="dxa"/>
            <w:tcBorders>
              <w:top w:val="nil"/>
              <w:left w:val="single" w:sz="4" w:space="0" w:color="auto"/>
              <w:bottom w:val="single" w:sz="4" w:space="0" w:color="auto"/>
              <w:right w:val="single" w:sz="4" w:space="0" w:color="auto"/>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是</w:t>
            </w:r>
          </w:p>
        </w:tc>
      </w:tr>
      <w:tr w:rsidR="00BB2470">
        <w:trPr>
          <w:trHeight w:val="417"/>
        </w:trPr>
        <w:tc>
          <w:tcPr>
            <w:tcW w:w="713" w:type="dxa"/>
            <w:vMerge/>
            <w:tcBorders>
              <w:top w:val="nil"/>
              <w:left w:val="single" w:sz="4" w:space="0" w:color="auto"/>
              <w:bottom w:val="single" w:sz="4" w:space="0" w:color="auto"/>
              <w:right w:val="single" w:sz="4" w:space="0" w:color="auto"/>
            </w:tcBorders>
            <w:textDirection w:val="tbRlV"/>
            <w:vAlign w:val="center"/>
          </w:tcPr>
          <w:p w:rsidR="00BB2470" w:rsidRDefault="00BB2470">
            <w:pPr>
              <w:rPr>
                <w:rFonts w:ascii="Times New Roman" w:hAnsi="Times New Roman" w:cs="Times New Roman"/>
                <w:sz w:val="20"/>
                <w:szCs w:val="20"/>
              </w:rPr>
            </w:pPr>
          </w:p>
        </w:tc>
        <w:tc>
          <w:tcPr>
            <w:tcW w:w="1334" w:type="dxa"/>
            <w:gridSpan w:val="2"/>
            <w:tcBorders>
              <w:top w:val="nil"/>
              <w:left w:val="nil"/>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问题整改落实率</w:t>
            </w:r>
          </w:p>
        </w:tc>
        <w:tc>
          <w:tcPr>
            <w:tcW w:w="490" w:type="dxa"/>
            <w:gridSpan w:val="2"/>
            <w:tcBorders>
              <w:top w:val="nil"/>
              <w:left w:val="single" w:sz="4" w:space="0" w:color="auto"/>
              <w:bottom w:val="single" w:sz="4" w:space="0" w:color="auto"/>
              <w:right w:val="nil"/>
            </w:tcBorders>
            <w:vAlign w:val="center"/>
          </w:tcPr>
          <w:p w:rsidR="00BB2470" w:rsidRDefault="00BB2470">
            <w:pPr>
              <w:spacing w:line="300" w:lineRule="exact"/>
              <w:rPr>
                <w:rFonts w:ascii="Times New Roman" w:eastAsia="方正仿宋_GBK" w:hAnsi="Times New Roman"/>
                <w:color w:val="000000"/>
              </w:rPr>
            </w:pPr>
          </w:p>
        </w:tc>
        <w:tc>
          <w:tcPr>
            <w:tcW w:w="706" w:type="dxa"/>
            <w:gridSpan w:val="3"/>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定性指标</w:t>
            </w:r>
          </w:p>
        </w:tc>
        <w:tc>
          <w:tcPr>
            <w:tcW w:w="792"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&gt;</w:t>
            </w:r>
            <w:r>
              <w:rPr>
                <w:rFonts w:ascii="Times New Roman" w:eastAsia="方正仿宋_GBK" w:hAnsi="Times New Roman" w:hint="eastAsia"/>
                <w:color w:val="000000"/>
              </w:rPr>
              <w:t>98</w:t>
            </w:r>
          </w:p>
        </w:tc>
        <w:tc>
          <w:tcPr>
            <w:tcW w:w="636"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&gt;</w:t>
            </w:r>
            <w:r>
              <w:rPr>
                <w:rFonts w:ascii="Times New Roman" w:eastAsia="方正仿宋_GBK" w:hAnsi="Times New Roman" w:hint="eastAsia"/>
                <w:color w:val="000000"/>
              </w:rPr>
              <w:t>98</w:t>
            </w:r>
          </w:p>
        </w:tc>
        <w:tc>
          <w:tcPr>
            <w:tcW w:w="1092"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&gt;</w:t>
            </w:r>
            <w:r>
              <w:rPr>
                <w:rFonts w:ascii="Times New Roman" w:eastAsia="方正仿宋_GBK" w:hAnsi="Times New Roman" w:hint="eastAsia"/>
                <w:color w:val="000000"/>
              </w:rPr>
              <w:t>98</w:t>
            </w:r>
          </w:p>
        </w:tc>
        <w:tc>
          <w:tcPr>
            <w:tcW w:w="1012"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100</w:t>
            </w:r>
          </w:p>
        </w:tc>
        <w:tc>
          <w:tcPr>
            <w:tcW w:w="936" w:type="dxa"/>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20</w:t>
            </w:r>
          </w:p>
        </w:tc>
        <w:tc>
          <w:tcPr>
            <w:tcW w:w="1212" w:type="dxa"/>
            <w:gridSpan w:val="2"/>
            <w:tcBorders>
              <w:top w:val="nil"/>
              <w:left w:val="single" w:sz="4" w:space="0" w:color="auto"/>
              <w:bottom w:val="single" w:sz="4" w:space="0" w:color="auto"/>
              <w:right w:val="nil"/>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olor w:val="000000"/>
              </w:rPr>
              <w:t>19</w:t>
            </w:r>
          </w:p>
        </w:tc>
        <w:tc>
          <w:tcPr>
            <w:tcW w:w="1138" w:type="dxa"/>
            <w:tcBorders>
              <w:top w:val="nil"/>
              <w:left w:val="single" w:sz="4" w:space="0" w:color="auto"/>
              <w:bottom w:val="single" w:sz="4" w:space="0" w:color="auto"/>
              <w:right w:val="single" w:sz="4" w:space="0" w:color="auto"/>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是</w:t>
            </w:r>
          </w:p>
        </w:tc>
      </w:tr>
      <w:tr w:rsidR="00BB2470">
        <w:trPr>
          <w:trHeight w:val="602"/>
        </w:trPr>
        <w:tc>
          <w:tcPr>
            <w:tcW w:w="713" w:type="dxa"/>
            <w:tcBorders>
              <w:top w:val="nil"/>
              <w:left w:val="single" w:sz="4" w:space="0" w:color="auto"/>
              <w:bottom w:val="single" w:sz="4" w:space="0" w:color="auto"/>
              <w:right w:val="single" w:sz="4" w:space="0" w:color="auto"/>
            </w:tcBorders>
            <w:vAlign w:val="center"/>
          </w:tcPr>
          <w:p w:rsidR="00BB2470" w:rsidRDefault="00B02293">
            <w:pPr>
              <w:spacing w:line="300" w:lineRule="exact"/>
              <w:rPr>
                <w:rFonts w:ascii="Times New Roman" w:eastAsia="方正仿宋_GBK" w:hAnsi="Times New Roman"/>
                <w:color w:val="000000"/>
              </w:rPr>
            </w:pPr>
            <w:r>
              <w:rPr>
                <w:rFonts w:ascii="Times New Roman" w:eastAsia="方正仿宋_GBK" w:hAnsi="Times New Roman" w:cs="方正仿宋_GBK" w:hint="eastAsia"/>
                <w:color w:val="000000"/>
              </w:rPr>
              <w:t>说明</w:t>
            </w:r>
          </w:p>
        </w:tc>
        <w:tc>
          <w:tcPr>
            <w:tcW w:w="9348" w:type="dxa"/>
            <w:gridSpan w:val="15"/>
            <w:tcBorders>
              <w:top w:val="single" w:sz="4" w:space="0" w:color="auto"/>
              <w:left w:val="nil"/>
              <w:bottom w:val="single" w:sz="4" w:space="0" w:color="auto"/>
              <w:right w:val="single" w:sz="4" w:space="0" w:color="auto"/>
            </w:tcBorders>
            <w:vAlign w:val="center"/>
          </w:tcPr>
          <w:p w:rsidR="00BB2470" w:rsidRDefault="00BB2470">
            <w:pPr>
              <w:spacing w:line="300" w:lineRule="exact"/>
              <w:rPr>
                <w:rFonts w:ascii="Times New Roman" w:eastAsia="方正仿宋_GBK" w:hAnsi="Times New Roman"/>
                <w:color w:val="000000"/>
              </w:rPr>
            </w:pPr>
          </w:p>
        </w:tc>
      </w:tr>
    </w:tbl>
    <w:p w:rsidR="00B02293" w:rsidRDefault="00B02293" w:rsidP="00B02293">
      <w:pPr>
        <w:pStyle w:val="a7"/>
        <w:tabs>
          <w:tab w:val="center" w:pos="4153"/>
          <w:tab w:val="left" w:pos="7275"/>
        </w:tabs>
        <w:spacing w:line="596" w:lineRule="exact"/>
        <w:ind w:firstLine="643"/>
        <w:rPr>
          <w:rFonts w:ascii="方正仿宋_GBK" w:eastAsia="方正仿宋_GBK" w:hAnsi="宋体" w:cs="宋体" w:hint="eastAsia"/>
          <w:b/>
          <w:kern w:val="0"/>
          <w:sz w:val="32"/>
          <w:szCs w:val="32"/>
        </w:rPr>
      </w:pPr>
      <w:r>
        <w:rPr>
          <w:rFonts w:ascii="方正仿宋_GBK" w:eastAsia="方正仿宋_GBK" w:hAnsi="宋体" w:cs="宋体" w:hint="eastAsia"/>
          <w:b/>
          <w:kern w:val="0"/>
          <w:sz w:val="32"/>
          <w:szCs w:val="32"/>
        </w:rPr>
        <w:t>（</w:t>
      </w:r>
      <w:r>
        <w:rPr>
          <w:rFonts w:ascii="方正仿宋_GBK" w:eastAsia="方正仿宋_GBK" w:hAnsi="宋体" w:cs="宋体" w:hint="eastAsia"/>
          <w:b/>
          <w:kern w:val="0"/>
          <w:sz w:val="32"/>
          <w:szCs w:val="32"/>
        </w:rPr>
        <w:t>三</w:t>
      </w:r>
      <w:r>
        <w:rPr>
          <w:rFonts w:ascii="方正仿宋_GBK" w:eastAsia="方正仿宋_GBK" w:hAnsi="宋体" w:cs="宋体" w:hint="eastAsia"/>
          <w:b/>
          <w:kern w:val="0"/>
          <w:sz w:val="32"/>
          <w:szCs w:val="32"/>
        </w:rPr>
        <w:t>）部门绩效评价情况</w:t>
      </w:r>
    </w:p>
    <w:p w:rsidR="00B02293" w:rsidRDefault="00B02293" w:rsidP="00B02293">
      <w:pPr>
        <w:pStyle w:val="a7"/>
        <w:tabs>
          <w:tab w:val="center" w:pos="4153"/>
          <w:tab w:val="left" w:pos="7275"/>
        </w:tabs>
        <w:spacing w:line="600" w:lineRule="exact"/>
        <w:ind w:firstLine="640"/>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我</w:t>
      </w:r>
      <w:r>
        <w:rPr>
          <w:rFonts w:ascii="方正仿宋_GBK" w:eastAsia="方正仿宋_GBK" w:hAnsi="宋体" w:cs="宋体" w:hint="eastAsia"/>
          <w:kern w:val="0"/>
          <w:sz w:val="32"/>
          <w:szCs w:val="32"/>
        </w:rPr>
        <w:t>单位</w:t>
      </w:r>
      <w:r>
        <w:rPr>
          <w:rFonts w:ascii="方正仿宋_GBK" w:eastAsia="方正仿宋_GBK" w:hAnsi="宋体" w:cs="宋体" w:hint="eastAsia"/>
          <w:kern w:val="0"/>
          <w:sz w:val="32"/>
          <w:szCs w:val="32"/>
        </w:rPr>
        <w:t>对</w:t>
      </w:r>
      <w:r>
        <w:rPr>
          <w:rFonts w:ascii="方正仿宋_GBK" w:eastAsia="方正仿宋_GBK" w:hAnsi="宋体" w:cs="宋体" w:hint="eastAsia"/>
          <w:kern w:val="0"/>
          <w:sz w:val="32"/>
          <w:szCs w:val="32"/>
        </w:rPr>
        <w:t>2022年县级补助规划项目</w:t>
      </w:r>
      <w:r>
        <w:rPr>
          <w:rFonts w:ascii="方正仿宋_GBK" w:eastAsia="方正仿宋_GBK" w:hAnsi="宋体" w:cs="宋体" w:hint="eastAsia"/>
          <w:kern w:val="0"/>
          <w:sz w:val="32"/>
          <w:szCs w:val="32"/>
        </w:rPr>
        <w:t>开展了绩效评价，涉及财政拨款项目资金</w:t>
      </w:r>
      <w:r>
        <w:rPr>
          <w:rFonts w:ascii="方正仿宋_GBK" w:eastAsia="方正仿宋_GBK" w:hAnsi="宋体" w:cs="宋体" w:hint="eastAsia"/>
          <w:kern w:val="0"/>
          <w:sz w:val="32"/>
          <w:szCs w:val="32"/>
        </w:rPr>
        <w:t>40</w:t>
      </w:r>
      <w:r>
        <w:rPr>
          <w:rFonts w:ascii="方正仿宋_GBK" w:eastAsia="方正仿宋_GBK" w:hAnsi="宋体" w:cs="宋体" w:hint="eastAsia"/>
          <w:kern w:val="0"/>
          <w:sz w:val="32"/>
          <w:szCs w:val="32"/>
        </w:rPr>
        <w:t>万元，评价得分</w:t>
      </w:r>
      <w:r>
        <w:rPr>
          <w:rFonts w:ascii="方正仿宋_GBK" w:eastAsia="方正仿宋_GBK" w:hAnsi="宋体" w:cs="宋体" w:hint="eastAsia"/>
          <w:kern w:val="0"/>
          <w:sz w:val="32"/>
          <w:szCs w:val="32"/>
        </w:rPr>
        <w:t>95</w:t>
      </w:r>
      <w:r>
        <w:rPr>
          <w:rFonts w:ascii="方正仿宋_GBK" w:eastAsia="方正仿宋_GBK" w:hAnsi="宋体" w:cs="宋体" w:hint="eastAsia"/>
          <w:kern w:val="0"/>
          <w:sz w:val="32"/>
          <w:szCs w:val="32"/>
        </w:rPr>
        <w:t>分，评价等次为</w:t>
      </w:r>
      <w:r>
        <w:rPr>
          <w:rFonts w:ascii="方正仿宋_GBK" w:eastAsia="方正仿宋_GBK" w:hAnsi="宋体" w:cs="宋体" w:hint="eastAsia"/>
          <w:kern w:val="0"/>
          <w:sz w:val="32"/>
          <w:szCs w:val="32"/>
        </w:rPr>
        <w:t>A。</w:t>
      </w:r>
    </w:p>
    <w:p w:rsidR="00B02293" w:rsidRDefault="00B02293" w:rsidP="00B02293">
      <w:pPr>
        <w:pStyle w:val="a7"/>
        <w:tabs>
          <w:tab w:val="center" w:pos="4153"/>
          <w:tab w:val="left" w:pos="7275"/>
        </w:tabs>
        <w:spacing w:line="600" w:lineRule="exact"/>
        <w:ind w:firstLine="643"/>
        <w:rPr>
          <w:rFonts w:ascii="方正仿宋_GBK" w:eastAsia="方正仿宋_GBK" w:hAnsi="宋体" w:cs="宋体" w:hint="eastAsia"/>
          <w:b/>
          <w:kern w:val="0"/>
          <w:sz w:val="32"/>
          <w:szCs w:val="32"/>
        </w:rPr>
      </w:pPr>
      <w:r>
        <w:rPr>
          <w:rFonts w:ascii="方正仿宋_GBK" w:eastAsia="方正仿宋_GBK" w:hAnsi="宋体" w:cs="宋体" w:hint="eastAsia"/>
          <w:b/>
          <w:kern w:val="0"/>
          <w:sz w:val="32"/>
          <w:szCs w:val="32"/>
        </w:rPr>
        <w:t>（三）财政绩效评价情况</w:t>
      </w:r>
    </w:p>
    <w:p w:rsidR="00B02293" w:rsidRDefault="00B02293" w:rsidP="00B02293">
      <w:pPr>
        <w:pStyle w:val="a7"/>
        <w:tabs>
          <w:tab w:val="center" w:pos="4153"/>
          <w:tab w:val="left" w:pos="7275"/>
        </w:tabs>
        <w:spacing w:line="600" w:lineRule="exact"/>
        <w:ind w:firstLine="640"/>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2022年单位无</w:t>
      </w:r>
      <w:r>
        <w:rPr>
          <w:rFonts w:ascii="方正仿宋_GBK" w:eastAsia="方正仿宋_GBK" w:hAnsi="宋体" w:cs="宋体" w:hint="eastAsia"/>
          <w:kern w:val="0"/>
          <w:sz w:val="32"/>
          <w:szCs w:val="32"/>
        </w:rPr>
        <w:t>县财政局委托第三方</w:t>
      </w:r>
      <w:r>
        <w:rPr>
          <w:rFonts w:ascii="方正仿宋_GBK" w:eastAsia="方正仿宋_GBK" w:hAnsi="宋体" w:cs="宋体" w:hint="eastAsia"/>
          <w:kern w:val="0"/>
          <w:sz w:val="32"/>
          <w:szCs w:val="32"/>
        </w:rPr>
        <w:t>项目</w:t>
      </w:r>
      <w:r>
        <w:rPr>
          <w:rFonts w:ascii="方正仿宋_GBK" w:eastAsia="方正仿宋_GBK" w:hAnsi="宋体" w:cs="宋体" w:hint="eastAsia"/>
          <w:kern w:val="0"/>
          <w:sz w:val="32"/>
          <w:szCs w:val="32"/>
        </w:rPr>
        <w:t>绩效评价</w:t>
      </w:r>
      <w:r>
        <w:rPr>
          <w:rFonts w:ascii="方正仿宋_GBK" w:eastAsia="方正仿宋_GBK" w:hAnsi="宋体" w:cs="宋体" w:hint="eastAsia"/>
          <w:kern w:val="0"/>
          <w:sz w:val="32"/>
          <w:szCs w:val="32"/>
        </w:rPr>
        <w:t>。</w:t>
      </w:r>
      <w:bookmarkStart w:id="0" w:name="_GoBack"/>
      <w:bookmarkEnd w:id="0"/>
    </w:p>
    <w:p w:rsidR="00BB2470" w:rsidRPr="00B02293" w:rsidRDefault="00BB2470">
      <w:pPr>
        <w:pStyle w:val="a7"/>
        <w:tabs>
          <w:tab w:val="center" w:pos="4153"/>
          <w:tab w:val="left" w:pos="7275"/>
        </w:tabs>
        <w:spacing w:line="596" w:lineRule="exact"/>
        <w:ind w:firstLine="640"/>
        <w:rPr>
          <w:rFonts w:ascii="方正黑体_GBK" w:eastAsia="方正黑体_GBK" w:hAnsi="Times New Roman"/>
          <w:sz w:val="32"/>
          <w:szCs w:val="32"/>
        </w:rPr>
      </w:pPr>
    </w:p>
    <w:p w:rsidR="00BB2470" w:rsidRDefault="00B02293">
      <w:pPr>
        <w:pStyle w:val="a7"/>
        <w:tabs>
          <w:tab w:val="center" w:pos="4153"/>
          <w:tab w:val="left" w:pos="7275"/>
        </w:tabs>
        <w:spacing w:line="596" w:lineRule="exact"/>
        <w:ind w:firstLine="640"/>
        <w:rPr>
          <w:rFonts w:ascii="方正黑体_GBK" w:eastAsia="方正黑体_GBK" w:hAnsi="Times New Roman"/>
          <w:sz w:val="32"/>
          <w:szCs w:val="32"/>
        </w:rPr>
      </w:pPr>
      <w:r>
        <w:rPr>
          <w:rFonts w:ascii="方正黑体_GBK" w:eastAsia="方正黑体_GBK" w:hAnsi="Times New Roman" w:hint="eastAsia"/>
          <w:sz w:val="32"/>
          <w:szCs w:val="32"/>
        </w:rPr>
        <w:t>六、专业名词解释</w:t>
      </w:r>
    </w:p>
    <w:p w:rsidR="00BB2470" w:rsidRDefault="00B02293">
      <w:pPr>
        <w:pStyle w:val="a5"/>
        <w:shd w:val="clear" w:color="auto" w:fill="FFFFFF"/>
        <w:spacing w:beforeAutospacing="0" w:afterAutospacing="0" w:line="560" w:lineRule="exact"/>
        <w:ind w:firstLineChars="200" w:firstLine="643"/>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b/>
          <w:bCs/>
          <w:sz w:val="32"/>
          <w:szCs w:val="32"/>
          <w:lang w:bidi="ar"/>
        </w:rPr>
        <w:t>（一）财政拨款收入：</w:t>
      </w:r>
      <w:r>
        <w:rPr>
          <w:rFonts w:ascii="Times New Roman" w:eastAsia="方正仿宋_GBK" w:hAnsi="Times New Roman" w:cs="Times New Roman" w:hint="eastAsia"/>
          <w:sz w:val="32"/>
          <w:szCs w:val="32"/>
          <w:lang w:bidi="ar"/>
        </w:rPr>
        <w:t>指本年度从本级财政部门取得的财政拨款，包括一般公共预算财政拨款和政府性基金预算财政拨款。</w:t>
      </w:r>
    </w:p>
    <w:p w:rsidR="00BB2470" w:rsidRDefault="00B02293">
      <w:pPr>
        <w:pStyle w:val="a5"/>
        <w:shd w:val="clear" w:color="auto" w:fill="FFFFFF"/>
        <w:spacing w:beforeAutospacing="0" w:afterAutospacing="0" w:line="560" w:lineRule="exact"/>
        <w:ind w:firstLineChars="200" w:firstLine="643"/>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b/>
          <w:bCs/>
          <w:sz w:val="32"/>
          <w:szCs w:val="32"/>
          <w:lang w:bidi="ar"/>
        </w:rPr>
        <w:t>（二）事业收入：</w:t>
      </w:r>
      <w:r>
        <w:rPr>
          <w:rFonts w:ascii="Times New Roman" w:eastAsia="方正仿宋_GBK" w:hAnsi="Times New Roman" w:cs="Times New Roman" w:hint="eastAsia"/>
          <w:sz w:val="32"/>
          <w:szCs w:val="32"/>
          <w:lang w:bidi="ar"/>
        </w:rPr>
        <w:t>指事业单位开展专业业务活动及其辅助活动取得的现金流入；事业单位收到的财政专户实际核拨的教育收费等资金在此反映。</w:t>
      </w:r>
    </w:p>
    <w:p w:rsidR="00BB2470" w:rsidRDefault="00B02293">
      <w:pPr>
        <w:pStyle w:val="a5"/>
        <w:shd w:val="clear" w:color="auto" w:fill="FFFFFF"/>
        <w:spacing w:beforeAutospacing="0" w:afterAutospacing="0" w:line="560" w:lineRule="exact"/>
        <w:ind w:firstLineChars="200" w:firstLine="643"/>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b/>
          <w:bCs/>
          <w:sz w:val="32"/>
          <w:szCs w:val="32"/>
          <w:lang w:bidi="ar"/>
        </w:rPr>
        <w:t>（三）经营收入：</w:t>
      </w:r>
      <w:r>
        <w:rPr>
          <w:rFonts w:ascii="Times New Roman" w:eastAsia="方正仿宋_GBK" w:hAnsi="Times New Roman" w:cs="Times New Roman" w:hint="eastAsia"/>
          <w:sz w:val="32"/>
          <w:szCs w:val="32"/>
          <w:lang w:bidi="ar"/>
        </w:rPr>
        <w:t>指事业单位在专业业务活动及其辅助活动之外开展非独立核算经营活动取得的现金流入。</w:t>
      </w:r>
    </w:p>
    <w:p w:rsidR="00BB2470" w:rsidRDefault="00B02293">
      <w:pPr>
        <w:pStyle w:val="a5"/>
        <w:shd w:val="clear" w:color="auto" w:fill="FFFFFF"/>
        <w:spacing w:beforeAutospacing="0" w:afterAutospacing="0" w:line="560" w:lineRule="exact"/>
        <w:ind w:firstLineChars="200" w:firstLine="643"/>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b/>
          <w:bCs/>
          <w:sz w:val="32"/>
          <w:szCs w:val="32"/>
          <w:lang w:bidi="ar"/>
        </w:rPr>
        <w:t>（四）其他收入：</w:t>
      </w:r>
      <w:r>
        <w:rPr>
          <w:rFonts w:ascii="Times New Roman" w:eastAsia="方正仿宋_GBK" w:hAnsi="Times New Roman" w:cs="Times New Roman" w:hint="eastAsia"/>
          <w:sz w:val="32"/>
          <w:szCs w:val="32"/>
          <w:lang w:bidi="ar"/>
        </w:rPr>
        <w:t>指单位取得的除“财政拨款收入”、“事业收入”、“经营收入”等以外的收入，包括未纳入</w:t>
      </w:r>
      <w:r>
        <w:rPr>
          <w:rFonts w:ascii="Times New Roman" w:eastAsia="方正仿宋_GBK" w:hAnsi="Times New Roman" w:cs="Times New Roman" w:hint="eastAsia"/>
          <w:sz w:val="32"/>
          <w:szCs w:val="32"/>
          <w:lang w:bidi="ar"/>
        </w:rPr>
        <w:lastRenderedPageBreak/>
        <w:t>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BB2470" w:rsidRDefault="00B02293">
      <w:pPr>
        <w:pStyle w:val="a5"/>
        <w:shd w:val="clear" w:color="auto" w:fill="FFFFFF"/>
        <w:spacing w:beforeAutospacing="0" w:afterAutospacing="0" w:line="560" w:lineRule="exact"/>
        <w:ind w:firstLineChars="200" w:firstLine="643"/>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b/>
          <w:bCs/>
          <w:sz w:val="32"/>
          <w:szCs w:val="32"/>
          <w:lang w:bidi="ar"/>
        </w:rPr>
        <w:t>（五）使用非财政拨款结余：</w:t>
      </w:r>
      <w:r>
        <w:rPr>
          <w:rFonts w:ascii="Times New Roman" w:eastAsia="方正仿宋_GBK" w:hAnsi="Times New Roman" w:cs="Times New Roman" w:hint="eastAsia"/>
          <w:sz w:val="32"/>
          <w:szCs w:val="32"/>
          <w:lang w:bidi="ar"/>
        </w:rPr>
        <w:t>指单位在当年的“财政拨款收入</w:t>
      </w:r>
      <w:r>
        <w:rPr>
          <w:rFonts w:ascii="Times New Roman" w:eastAsia="方正仿宋_GBK" w:hAnsi="Times New Roman" w:cs="Times New Roman" w:hint="eastAsia"/>
          <w:sz w:val="32"/>
          <w:szCs w:val="32"/>
          <w:lang w:bidi="ar"/>
        </w:rPr>
        <w:t>”、“事业收入”、“经营收入”、“其他收入”等不足以安排当年支出的情况下，使用以前年度积累的非财政拨款结余弥补本年度收支缺口的资金。</w:t>
      </w:r>
    </w:p>
    <w:p w:rsidR="00BB2470" w:rsidRDefault="00B02293">
      <w:pPr>
        <w:pStyle w:val="a5"/>
        <w:shd w:val="clear" w:color="auto" w:fill="FFFFFF"/>
        <w:spacing w:beforeAutospacing="0" w:afterAutospacing="0" w:line="560" w:lineRule="exact"/>
        <w:ind w:firstLineChars="200" w:firstLine="643"/>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b/>
          <w:bCs/>
          <w:sz w:val="32"/>
          <w:szCs w:val="32"/>
          <w:lang w:bidi="ar"/>
        </w:rPr>
        <w:t>（六）年初结转和结余：</w:t>
      </w:r>
      <w:r>
        <w:rPr>
          <w:rFonts w:ascii="Times New Roman" w:eastAsia="方正仿宋_GBK" w:hAnsi="Times New Roman" w:cs="Times New Roman" w:hint="eastAsia"/>
          <w:sz w:val="32"/>
          <w:szCs w:val="32"/>
          <w:lang w:bidi="ar"/>
        </w:rPr>
        <w:t>指单位上年结转本年使用的基本支出结转、项目支出结转和结余、经营结余。</w:t>
      </w:r>
    </w:p>
    <w:p w:rsidR="00BB2470" w:rsidRDefault="00B02293">
      <w:pPr>
        <w:pStyle w:val="a5"/>
        <w:shd w:val="clear" w:color="auto" w:fill="FFFFFF"/>
        <w:spacing w:beforeAutospacing="0" w:afterAutospacing="0" w:line="560" w:lineRule="exact"/>
        <w:ind w:firstLineChars="200" w:firstLine="643"/>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b/>
          <w:bCs/>
          <w:sz w:val="32"/>
          <w:szCs w:val="32"/>
          <w:lang w:bidi="ar"/>
        </w:rPr>
        <w:t>（七）结余分配：</w:t>
      </w:r>
      <w:r>
        <w:rPr>
          <w:rFonts w:ascii="Times New Roman" w:eastAsia="方正仿宋_GBK" w:hAnsi="Times New Roman" w:cs="Times New Roman" w:hint="eastAsia"/>
          <w:sz w:val="32"/>
          <w:szCs w:val="32"/>
          <w:lang w:bidi="ar"/>
        </w:rPr>
        <w:t>指单位按照国家有关规定，缴纳所得税、提取专用基金、转入非财政拨款结余等当年结余的分配情况。</w:t>
      </w:r>
    </w:p>
    <w:p w:rsidR="00BB2470" w:rsidRDefault="00B02293">
      <w:pPr>
        <w:pStyle w:val="a5"/>
        <w:shd w:val="clear" w:color="auto" w:fill="FFFFFF"/>
        <w:spacing w:beforeAutospacing="0" w:afterAutospacing="0" w:line="560" w:lineRule="exact"/>
        <w:ind w:firstLineChars="200" w:firstLine="643"/>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b/>
          <w:bCs/>
          <w:sz w:val="32"/>
          <w:szCs w:val="32"/>
          <w:lang w:bidi="ar"/>
        </w:rPr>
        <w:t>（八）年末结转和结余：</w:t>
      </w:r>
      <w:r>
        <w:rPr>
          <w:rFonts w:ascii="Times New Roman" w:eastAsia="方正仿宋_GBK" w:hAnsi="Times New Roman" w:cs="Times New Roman" w:hint="eastAsia"/>
          <w:sz w:val="32"/>
          <w:szCs w:val="32"/>
          <w:lang w:bidi="ar"/>
        </w:rPr>
        <w:t>指单位结转下年的基本支出结转、项目支出结转和结余、经营结余。</w:t>
      </w:r>
    </w:p>
    <w:p w:rsidR="00BB2470" w:rsidRDefault="00B02293">
      <w:pPr>
        <w:pStyle w:val="a5"/>
        <w:shd w:val="clear" w:color="auto" w:fill="FFFFFF"/>
        <w:spacing w:beforeAutospacing="0" w:afterAutospacing="0" w:line="560" w:lineRule="exact"/>
        <w:ind w:firstLineChars="200" w:firstLine="643"/>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b/>
          <w:bCs/>
          <w:sz w:val="32"/>
          <w:szCs w:val="32"/>
          <w:lang w:bidi="ar"/>
        </w:rPr>
        <w:t>（九）基本支出：</w:t>
      </w:r>
      <w:r>
        <w:rPr>
          <w:rFonts w:ascii="Times New Roman" w:eastAsia="方正仿宋_GBK" w:hAnsi="Times New Roman" w:cs="Times New Roman" w:hint="eastAsia"/>
          <w:sz w:val="32"/>
          <w:szCs w:val="32"/>
          <w:lang w:bidi="ar"/>
        </w:rPr>
        <w:t>指为保障机构正常运转、完成日常工作任务而发生的人员经费和公用经费。其中：人员经</w:t>
      </w:r>
      <w:r>
        <w:rPr>
          <w:rFonts w:ascii="Times New Roman" w:eastAsia="方正仿宋_GBK" w:hAnsi="Times New Roman" w:cs="Times New Roman" w:hint="eastAsia"/>
          <w:sz w:val="32"/>
          <w:szCs w:val="32"/>
          <w:lang w:bidi="ar"/>
        </w:rPr>
        <w:t>费指政府收支分类经济科目中的“工资福利支出”和“对个人和家庭的补助”；公用经费指政府收支分类经济科目中除“工资福利支出”和“对个人和家庭的补助”外的其他支出。</w:t>
      </w:r>
    </w:p>
    <w:p w:rsidR="00BB2470" w:rsidRDefault="00B02293">
      <w:pPr>
        <w:pStyle w:val="a5"/>
        <w:shd w:val="clear" w:color="auto" w:fill="FFFFFF"/>
        <w:spacing w:beforeAutospacing="0" w:afterAutospacing="0" w:line="560" w:lineRule="exact"/>
        <w:ind w:firstLineChars="200" w:firstLine="643"/>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b/>
          <w:bCs/>
          <w:sz w:val="32"/>
          <w:szCs w:val="32"/>
          <w:lang w:bidi="ar"/>
        </w:rPr>
        <w:lastRenderedPageBreak/>
        <w:t>（十）项目支出：</w:t>
      </w:r>
      <w:r>
        <w:rPr>
          <w:rFonts w:ascii="Times New Roman" w:eastAsia="方正仿宋_GBK" w:hAnsi="Times New Roman" w:cs="Times New Roman" w:hint="eastAsia"/>
          <w:sz w:val="32"/>
          <w:szCs w:val="32"/>
          <w:lang w:bidi="ar"/>
        </w:rPr>
        <w:t>指在基本支出之外为完成特定行政任务和事业发展目标所发生的支出。</w:t>
      </w:r>
    </w:p>
    <w:p w:rsidR="00BB2470" w:rsidRDefault="00B02293">
      <w:pPr>
        <w:pStyle w:val="a5"/>
        <w:shd w:val="clear" w:color="auto" w:fill="FFFFFF"/>
        <w:spacing w:beforeAutospacing="0" w:afterAutospacing="0" w:line="560" w:lineRule="exact"/>
        <w:ind w:firstLineChars="200" w:firstLine="643"/>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b/>
          <w:bCs/>
          <w:sz w:val="32"/>
          <w:szCs w:val="32"/>
          <w:lang w:bidi="ar"/>
        </w:rPr>
        <w:t>（十一）经营支出：</w:t>
      </w:r>
      <w:r>
        <w:rPr>
          <w:rFonts w:ascii="Times New Roman" w:eastAsia="方正仿宋_GBK" w:hAnsi="Times New Roman" w:cs="Times New Roman" w:hint="eastAsia"/>
          <w:sz w:val="32"/>
          <w:szCs w:val="32"/>
          <w:lang w:bidi="ar"/>
        </w:rPr>
        <w:t>指事业单位在专业业务活动及其辅助活动之外开展非独立核算经营活动发生的支出。</w:t>
      </w:r>
    </w:p>
    <w:p w:rsidR="00BB2470" w:rsidRDefault="00B02293">
      <w:pPr>
        <w:pStyle w:val="a5"/>
        <w:shd w:val="clear" w:color="auto" w:fill="FFFFFF"/>
        <w:spacing w:beforeAutospacing="0" w:afterAutospacing="0" w:line="560" w:lineRule="exact"/>
        <w:ind w:firstLineChars="200" w:firstLine="643"/>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b/>
          <w:bCs/>
          <w:sz w:val="32"/>
          <w:szCs w:val="32"/>
          <w:lang w:bidi="ar"/>
        </w:rPr>
        <w:t>（十二）“三公”经费：</w:t>
      </w:r>
      <w:r>
        <w:rPr>
          <w:rFonts w:ascii="Times New Roman" w:eastAsia="方正仿宋_GBK" w:hAnsi="Times New Roman" w:cs="Times New Roman" w:hint="eastAsia"/>
          <w:sz w:val="32"/>
          <w:szCs w:val="32"/>
          <w:lang w:bidi="ar"/>
        </w:rPr>
        <w:t>指用一般公共预算财政拨款安排的因公出国（境）费、公务用车购置及运行维护费、公务接待费。其中，因公出国（境）</w:t>
      </w:r>
      <w:proofErr w:type="gramStart"/>
      <w:r>
        <w:rPr>
          <w:rFonts w:ascii="Times New Roman" w:eastAsia="方正仿宋_GBK" w:hAnsi="Times New Roman" w:cs="Times New Roman" w:hint="eastAsia"/>
          <w:sz w:val="32"/>
          <w:szCs w:val="32"/>
          <w:lang w:bidi="ar"/>
        </w:rPr>
        <w:t>费反映</w:t>
      </w:r>
      <w:proofErr w:type="gramEnd"/>
      <w:r>
        <w:rPr>
          <w:rFonts w:ascii="Times New Roman" w:eastAsia="方正仿宋_GBK" w:hAnsi="Times New Roman" w:cs="Times New Roman" w:hint="eastAsia"/>
          <w:sz w:val="32"/>
          <w:szCs w:val="32"/>
          <w:lang w:bidi="ar"/>
        </w:rPr>
        <w:t>单位公务出国（境）的国际旅费、国外城市间交通</w:t>
      </w:r>
      <w:r>
        <w:rPr>
          <w:rFonts w:ascii="Times New Roman" w:eastAsia="方正仿宋_GBK" w:hAnsi="Times New Roman" w:cs="Times New Roman" w:hint="eastAsia"/>
          <w:sz w:val="32"/>
          <w:szCs w:val="32"/>
          <w:lang w:bidi="ar"/>
        </w:rPr>
        <w:t>费、住宿费、伙食费、培训费、公杂费等支出；公务用车购置</w:t>
      </w:r>
      <w:proofErr w:type="gramStart"/>
      <w:r>
        <w:rPr>
          <w:rFonts w:ascii="Times New Roman" w:eastAsia="方正仿宋_GBK" w:hAnsi="Times New Roman" w:cs="Times New Roman" w:hint="eastAsia"/>
          <w:sz w:val="32"/>
          <w:szCs w:val="32"/>
          <w:lang w:bidi="ar"/>
        </w:rPr>
        <w:t>费反映</w:t>
      </w:r>
      <w:proofErr w:type="gramEnd"/>
      <w:r>
        <w:rPr>
          <w:rFonts w:ascii="Times New Roman" w:eastAsia="方正仿宋_GBK" w:hAnsi="Times New Roman" w:cs="Times New Roman" w:hint="eastAsia"/>
          <w:sz w:val="32"/>
          <w:szCs w:val="32"/>
          <w:lang w:bidi="ar"/>
        </w:rPr>
        <w:t>单位公务用车购置支出（</w:t>
      </w:r>
      <w:proofErr w:type="gramStart"/>
      <w:r>
        <w:rPr>
          <w:rFonts w:ascii="Times New Roman" w:eastAsia="方正仿宋_GBK" w:hAnsi="Times New Roman" w:cs="Times New Roman" w:hint="eastAsia"/>
          <w:sz w:val="32"/>
          <w:szCs w:val="32"/>
          <w:lang w:bidi="ar"/>
        </w:rPr>
        <w:t>含车辆</w:t>
      </w:r>
      <w:proofErr w:type="gramEnd"/>
      <w:r>
        <w:rPr>
          <w:rFonts w:ascii="Times New Roman" w:eastAsia="方正仿宋_GBK" w:hAnsi="Times New Roman" w:cs="Times New Roman" w:hint="eastAsia"/>
          <w:sz w:val="32"/>
          <w:szCs w:val="32"/>
          <w:lang w:bidi="ar"/>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Times New Roman" w:hint="eastAsia"/>
          <w:sz w:val="32"/>
          <w:szCs w:val="32"/>
          <w:lang w:bidi="ar"/>
        </w:rPr>
        <w:t>费反映</w:t>
      </w:r>
      <w:proofErr w:type="gramEnd"/>
      <w:r>
        <w:rPr>
          <w:rFonts w:ascii="Times New Roman" w:eastAsia="方正仿宋_GBK" w:hAnsi="Times New Roman" w:cs="Times New Roman" w:hint="eastAsia"/>
          <w:sz w:val="32"/>
          <w:szCs w:val="32"/>
          <w:lang w:bidi="ar"/>
        </w:rPr>
        <w:t>单位按规定开支的各类公务接待（含外宾接待）支出。</w:t>
      </w:r>
    </w:p>
    <w:p w:rsidR="00BB2470" w:rsidRDefault="00B02293">
      <w:pPr>
        <w:pStyle w:val="a5"/>
        <w:shd w:val="clear" w:color="auto" w:fill="FFFFFF"/>
        <w:spacing w:beforeAutospacing="0" w:afterAutospacing="0" w:line="560" w:lineRule="exact"/>
        <w:ind w:firstLineChars="200" w:firstLine="643"/>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b/>
          <w:bCs/>
          <w:sz w:val="32"/>
          <w:szCs w:val="32"/>
          <w:lang w:bidi="ar"/>
        </w:rPr>
        <w:t>（十三）机关运行经费：</w:t>
      </w:r>
      <w:r>
        <w:rPr>
          <w:rFonts w:ascii="Times New Roman" w:eastAsia="方正仿宋_GBK" w:hAnsi="Times New Roman" w:cs="Times New Roman" w:hint="eastAsia"/>
          <w:sz w:val="32"/>
          <w:szCs w:val="32"/>
          <w:lang w:bidi="ar"/>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w:t>
      </w:r>
      <w:r>
        <w:rPr>
          <w:rFonts w:ascii="Times New Roman" w:eastAsia="方正仿宋_GBK" w:hAnsi="Times New Roman" w:cs="Times New Roman" w:hint="eastAsia"/>
          <w:sz w:val="32"/>
          <w:szCs w:val="32"/>
          <w:lang w:bidi="ar"/>
        </w:rPr>
        <w:t>公务用车运行维护费以及其他费用。</w:t>
      </w:r>
    </w:p>
    <w:p w:rsidR="00BB2470" w:rsidRDefault="00B02293">
      <w:pPr>
        <w:pStyle w:val="a5"/>
        <w:shd w:val="clear" w:color="auto" w:fill="FFFFFF"/>
        <w:spacing w:beforeAutospacing="0" w:afterAutospacing="0" w:line="560" w:lineRule="exact"/>
        <w:ind w:firstLineChars="200" w:firstLine="643"/>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b/>
          <w:bCs/>
          <w:sz w:val="32"/>
          <w:szCs w:val="32"/>
          <w:lang w:bidi="ar"/>
        </w:rPr>
        <w:t>（十四）工资福利支出（支出经济分类科目类级）：</w:t>
      </w:r>
      <w:r>
        <w:rPr>
          <w:rFonts w:ascii="Times New Roman" w:eastAsia="方正仿宋_GBK" w:hAnsi="Times New Roman" w:cs="Times New Roman" w:hint="eastAsia"/>
          <w:sz w:val="32"/>
          <w:szCs w:val="32"/>
          <w:lang w:bidi="ar"/>
        </w:rPr>
        <w:t>反映单位开支的在职职工和编制</w:t>
      </w:r>
      <w:proofErr w:type="gramStart"/>
      <w:r>
        <w:rPr>
          <w:rFonts w:ascii="Times New Roman" w:eastAsia="方正仿宋_GBK" w:hAnsi="Times New Roman" w:cs="Times New Roman" w:hint="eastAsia"/>
          <w:sz w:val="32"/>
          <w:szCs w:val="32"/>
          <w:lang w:bidi="ar"/>
        </w:rPr>
        <w:t>外长期</w:t>
      </w:r>
      <w:proofErr w:type="gramEnd"/>
      <w:r>
        <w:rPr>
          <w:rFonts w:ascii="Times New Roman" w:eastAsia="方正仿宋_GBK" w:hAnsi="Times New Roman" w:cs="Times New Roman" w:hint="eastAsia"/>
          <w:sz w:val="32"/>
          <w:szCs w:val="32"/>
          <w:lang w:bidi="ar"/>
        </w:rPr>
        <w:t>聘用人员的各类劳动报酬，以及为上述人员缴纳的各项社会保险费等。</w:t>
      </w:r>
    </w:p>
    <w:p w:rsidR="00BB2470" w:rsidRDefault="00B02293">
      <w:pPr>
        <w:pStyle w:val="a5"/>
        <w:shd w:val="clear" w:color="auto" w:fill="FFFFFF"/>
        <w:spacing w:beforeAutospacing="0" w:afterAutospacing="0" w:line="560" w:lineRule="exact"/>
        <w:ind w:firstLineChars="200" w:firstLine="643"/>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b/>
          <w:bCs/>
          <w:sz w:val="32"/>
          <w:szCs w:val="32"/>
          <w:lang w:bidi="ar"/>
        </w:rPr>
        <w:lastRenderedPageBreak/>
        <w:t>（十五）商品和服务支出（支出经济分类科目类级）：</w:t>
      </w:r>
      <w:r>
        <w:rPr>
          <w:rFonts w:ascii="Times New Roman" w:eastAsia="方正仿宋_GBK" w:hAnsi="Times New Roman" w:cs="Times New Roman" w:hint="eastAsia"/>
          <w:sz w:val="32"/>
          <w:szCs w:val="32"/>
          <w:lang w:bidi="ar"/>
        </w:rPr>
        <w:t>反映单位购买商品和服务的支出（不包括用于购置固定资产的支出、战略性和应急储备支出）。</w:t>
      </w:r>
    </w:p>
    <w:p w:rsidR="00BB2470" w:rsidRDefault="00B02293">
      <w:pPr>
        <w:pStyle w:val="a5"/>
        <w:shd w:val="clear" w:color="auto" w:fill="FFFFFF"/>
        <w:spacing w:beforeAutospacing="0" w:afterAutospacing="0" w:line="560" w:lineRule="exact"/>
        <w:ind w:firstLineChars="200" w:firstLine="643"/>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b/>
          <w:bCs/>
          <w:sz w:val="32"/>
          <w:szCs w:val="32"/>
          <w:lang w:bidi="ar"/>
        </w:rPr>
        <w:t>（十六）对个人和家庭的补助（支出经济分类科目类级）：</w:t>
      </w:r>
      <w:r>
        <w:rPr>
          <w:rFonts w:ascii="Times New Roman" w:eastAsia="方正仿宋_GBK" w:hAnsi="Times New Roman" w:cs="Times New Roman" w:hint="eastAsia"/>
          <w:sz w:val="32"/>
          <w:szCs w:val="32"/>
          <w:lang w:bidi="ar"/>
        </w:rPr>
        <w:t>反映用于对个人和家庭的补助支出。</w:t>
      </w:r>
    </w:p>
    <w:p w:rsidR="00BB2470" w:rsidRDefault="00B02293">
      <w:pPr>
        <w:pStyle w:val="a5"/>
        <w:shd w:val="clear" w:color="auto" w:fill="FFFFFF"/>
        <w:spacing w:beforeAutospacing="0" w:afterAutospacing="0" w:line="560" w:lineRule="exact"/>
        <w:ind w:firstLineChars="200" w:firstLine="643"/>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b/>
          <w:bCs/>
          <w:sz w:val="32"/>
          <w:szCs w:val="32"/>
          <w:lang w:bidi="ar"/>
        </w:rPr>
        <w:t>（十七）其他资本性支出（支出经济分类科目类级）：</w:t>
      </w:r>
      <w:r>
        <w:rPr>
          <w:rFonts w:ascii="Times New Roman" w:eastAsia="方正仿宋_GBK" w:hAnsi="Times New Roman" w:cs="Times New Roman" w:hint="eastAsia"/>
          <w:sz w:val="32"/>
          <w:szCs w:val="32"/>
          <w:lang w:bidi="ar"/>
        </w:rPr>
        <w:t>反映</w:t>
      </w:r>
      <w:proofErr w:type="gramStart"/>
      <w:r>
        <w:rPr>
          <w:rFonts w:ascii="Times New Roman" w:eastAsia="方正仿宋_GBK" w:hAnsi="Times New Roman" w:cs="Times New Roman" w:hint="eastAsia"/>
          <w:sz w:val="32"/>
          <w:szCs w:val="32"/>
          <w:lang w:bidi="ar"/>
        </w:rPr>
        <w:t>非各级</w:t>
      </w:r>
      <w:proofErr w:type="gramEnd"/>
      <w:r>
        <w:rPr>
          <w:rFonts w:ascii="Times New Roman" w:eastAsia="方正仿宋_GBK" w:hAnsi="Times New Roman" w:cs="Times New Roman" w:hint="eastAsia"/>
          <w:sz w:val="32"/>
          <w:szCs w:val="32"/>
          <w:lang w:bidi="ar"/>
        </w:rPr>
        <w:t>发展与改革部门集中安排的用于购置固定资产、战略性和应急性储备、土地和无形资产，以及构建基础设施、大型修缮和财政支持企业更新改造所发生的支出。</w:t>
      </w:r>
    </w:p>
    <w:p w:rsidR="00BB2470" w:rsidRDefault="00B02293">
      <w:pPr>
        <w:pStyle w:val="a7"/>
        <w:tabs>
          <w:tab w:val="center" w:pos="4153"/>
          <w:tab w:val="left" w:pos="7275"/>
        </w:tabs>
        <w:spacing w:line="596" w:lineRule="exact"/>
        <w:ind w:firstLine="640"/>
        <w:rPr>
          <w:rFonts w:ascii="方正黑体_GBK" w:eastAsia="方正黑体_GBK" w:hAnsi="Times New Roman"/>
          <w:sz w:val="32"/>
          <w:szCs w:val="32"/>
        </w:rPr>
      </w:pPr>
      <w:r>
        <w:rPr>
          <w:rFonts w:ascii="方正黑体_GBK" w:eastAsia="方正黑体_GBK" w:hAnsi="Times New Roman" w:hint="eastAsia"/>
          <w:sz w:val="32"/>
          <w:szCs w:val="32"/>
        </w:rPr>
        <w:t>七、决算公开联系方式及信息反馈渠道</w:t>
      </w:r>
    </w:p>
    <w:p w:rsidR="00BB2470" w:rsidRDefault="00B02293">
      <w:pPr>
        <w:pStyle w:val="a5"/>
        <w:shd w:val="clear" w:color="auto" w:fill="FFFFFF"/>
        <w:spacing w:beforeAutospacing="0" w:afterAutospacing="0" w:line="560" w:lineRule="exac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本单位决算公开信息反馈和联系方式：</w:t>
      </w:r>
      <w:r>
        <w:rPr>
          <w:rFonts w:ascii="Times New Roman" w:eastAsia="方正仿宋_GBK" w:hAnsi="Times New Roman" w:cs="Times New Roman" w:hint="eastAsia"/>
          <w:sz w:val="32"/>
          <w:szCs w:val="32"/>
          <w:lang w:bidi="ar"/>
        </w:rPr>
        <w:t xml:space="preserve">13996664266  </w:t>
      </w:r>
    </w:p>
    <w:sectPr w:rsidR="00BB2470">
      <w:pgSz w:w="11907"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AF"/>
    <w:rsid w:val="002D05AF"/>
    <w:rsid w:val="00436359"/>
    <w:rsid w:val="004A3109"/>
    <w:rsid w:val="00551F11"/>
    <w:rsid w:val="00894E56"/>
    <w:rsid w:val="009109BC"/>
    <w:rsid w:val="00A866DF"/>
    <w:rsid w:val="00B02293"/>
    <w:rsid w:val="00B145F7"/>
    <w:rsid w:val="00BB2470"/>
    <w:rsid w:val="00C35BA3"/>
    <w:rsid w:val="00C73190"/>
    <w:rsid w:val="00E430C3"/>
    <w:rsid w:val="00FB2CBE"/>
    <w:rsid w:val="4D9D51FE"/>
    <w:rsid w:val="7EAA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100" w:beforeAutospacing="1" w:after="100" w:afterAutospacing="1"/>
    </w:pPr>
  </w:style>
  <w:style w:type="character" w:styleId="a6">
    <w:name w:val="Strong"/>
    <w:basedOn w:val="a0"/>
    <w:uiPriority w:val="22"/>
    <w:qFormat/>
    <w:rPr>
      <w:b/>
      <w:bCs/>
    </w:rPr>
  </w:style>
  <w:style w:type="character" w:customStyle="1" w:styleId="Char0">
    <w:name w:val="页眉 Char"/>
    <w:basedOn w:val="a0"/>
    <w:link w:val="a4"/>
    <w:uiPriority w:val="99"/>
    <w:qFormat/>
    <w:rPr>
      <w:rFonts w:ascii="宋体" w:eastAsia="宋体" w:hAnsi="宋体" w:cs="宋体"/>
      <w:sz w:val="18"/>
      <w:szCs w:val="18"/>
    </w:rPr>
  </w:style>
  <w:style w:type="character" w:customStyle="1" w:styleId="Char">
    <w:name w:val="页脚 Char"/>
    <w:basedOn w:val="a0"/>
    <w:link w:val="a3"/>
    <w:uiPriority w:val="99"/>
    <w:qFormat/>
    <w:rPr>
      <w:rFonts w:ascii="宋体" w:eastAsia="宋体" w:hAnsi="宋体" w:cs="宋体"/>
      <w:sz w:val="18"/>
      <w:szCs w:val="18"/>
    </w:rPr>
  </w:style>
  <w:style w:type="character" w:customStyle="1" w:styleId="15">
    <w:name w:val="15"/>
    <w:basedOn w:val="a0"/>
    <w:qFormat/>
    <w:rPr>
      <w:rFonts w:ascii="Times New Roman" w:hAnsi="Times New Roman" w:cs="Times New Roman" w:hint="default"/>
      <w:b/>
    </w:rPr>
  </w:style>
  <w:style w:type="paragraph" w:styleId="a7">
    <w:name w:val="List Paragraph"/>
    <w:basedOn w:val="a"/>
    <w:uiPriority w:val="34"/>
    <w:qFormat/>
    <w:pPr>
      <w:widowControl w:val="0"/>
      <w:ind w:firstLineChars="200" w:firstLine="420"/>
      <w:jc w:val="both"/>
    </w:pPr>
    <w:rPr>
      <w:rFonts w:ascii="Calibri"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100" w:beforeAutospacing="1" w:after="100" w:afterAutospacing="1"/>
    </w:pPr>
  </w:style>
  <w:style w:type="character" w:styleId="a6">
    <w:name w:val="Strong"/>
    <w:basedOn w:val="a0"/>
    <w:uiPriority w:val="22"/>
    <w:qFormat/>
    <w:rPr>
      <w:b/>
      <w:bCs/>
    </w:rPr>
  </w:style>
  <w:style w:type="character" w:customStyle="1" w:styleId="Char0">
    <w:name w:val="页眉 Char"/>
    <w:basedOn w:val="a0"/>
    <w:link w:val="a4"/>
    <w:uiPriority w:val="99"/>
    <w:qFormat/>
    <w:rPr>
      <w:rFonts w:ascii="宋体" w:eastAsia="宋体" w:hAnsi="宋体" w:cs="宋体"/>
      <w:sz w:val="18"/>
      <w:szCs w:val="18"/>
    </w:rPr>
  </w:style>
  <w:style w:type="character" w:customStyle="1" w:styleId="Char">
    <w:name w:val="页脚 Char"/>
    <w:basedOn w:val="a0"/>
    <w:link w:val="a3"/>
    <w:uiPriority w:val="99"/>
    <w:qFormat/>
    <w:rPr>
      <w:rFonts w:ascii="宋体" w:eastAsia="宋体" w:hAnsi="宋体" w:cs="宋体"/>
      <w:sz w:val="18"/>
      <w:szCs w:val="18"/>
    </w:rPr>
  </w:style>
  <w:style w:type="character" w:customStyle="1" w:styleId="15">
    <w:name w:val="15"/>
    <w:basedOn w:val="a0"/>
    <w:qFormat/>
    <w:rPr>
      <w:rFonts w:ascii="Times New Roman" w:hAnsi="Times New Roman" w:cs="Times New Roman" w:hint="default"/>
      <w:b/>
    </w:rPr>
  </w:style>
  <w:style w:type="paragraph" w:styleId="a7">
    <w:name w:val="List Paragraph"/>
    <w:basedOn w:val="a"/>
    <w:uiPriority w:val="34"/>
    <w:qFormat/>
    <w:pPr>
      <w:widowControl w:val="0"/>
      <w:ind w:firstLineChars="200" w:firstLine="420"/>
      <w:jc w:val="both"/>
    </w:pPr>
    <w:rPr>
      <w:rFonts w:ascii="Calibri"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845</Words>
  <Characters>4821</Characters>
  <Application>Microsoft Office Word</Application>
  <DocSecurity>0</DocSecurity>
  <Lines>40</Lines>
  <Paragraphs>11</Paragraphs>
  <ScaleCrop>false</ScaleCrop>
  <Company>http://sdwm.org</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公开报告模板</dc:title>
  <dc:creator>深度完美技术论坛</dc:creator>
  <cp:lastModifiedBy>xt</cp:lastModifiedBy>
  <cp:revision>2</cp:revision>
  <dcterms:created xsi:type="dcterms:W3CDTF">2023-11-14T00:44:00Z</dcterms:created>
  <dcterms:modified xsi:type="dcterms:W3CDTF">2023-11-14T00:44:00Z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