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hint="eastAsia" w:ascii="方正小标宋_GBK" w:eastAsia="方正小标宋_GBK"/>
          <w:sz w:val="44"/>
          <w:szCs w:val="44"/>
        </w:rPr>
      </w:pPr>
      <w:r>
        <w:rPr>
          <w:rFonts w:hint="eastAsia" w:ascii="方正小标宋_GBK" w:eastAsia="方正小标宋_GBK"/>
          <w:sz w:val="44"/>
          <w:szCs w:val="44"/>
        </w:rPr>
        <w:t>渝财教〔2018〕254号文件资金使用绩效</w:t>
      </w:r>
    </w:p>
    <w:p>
      <w:pPr>
        <w:spacing w:line="560" w:lineRule="exact"/>
        <w:jc w:val="center"/>
        <w:rPr>
          <w:rFonts w:hint="eastAsia" w:ascii="方正小标宋_GBK" w:eastAsia="方正小标宋_GBK"/>
          <w:sz w:val="44"/>
          <w:szCs w:val="44"/>
        </w:rPr>
      </w:pPr>
      <w:r>
        <w:rPr>
          <w:rFonts w:hint="eastAsia" w:ascii="方正小标宋_GBK" w:eastAsia="方正小标宋_GBK"/>
          <w:sz w:val="44"/>
          <w:szCs w:val="44"/>
        </w:rPr>
        <w:t>自评报告</w:t>
      </w:r>
    </w:p>
    <w:p>
      <w:pPr>
        <w:spacing w:line="560" w:lineRule="exact"/>
        <w:ind w:firstLine="640" w:firstLineChars="200"/>
        <w:rPr>
          <w:rFonts w:hint="eastAsia" w:ascii="方正仿宋_GBK" w:eastAsia="方正仿宋_GBK"/>
          <w:sz w:val="32"/>
          <w:szCs w:val="32"/>
        </w:rPr>
      </w:pPr>
    </w:p>
    <w:p>
      <w:pPr>
        <w:spacing w:line="560" w:lineRule="exact"/>
        <w:ind w:firstLine="630"/>
        <w:jc w:val="left"/>
        <w:rPr>
          <w:rFonts w:hint="eastAsia" w:ascii="Times New Roman" w:hAnsi="方正仿宋_GBK" w:eastAsia="方正仿宋_GBK" w:cs="方正仿宋_GBK"/>
          <w:color w:val="000000"/>
          <w:sz w:val="32"/>
          <w:szCs w:val="32"/>
        </w:rPr>
      </w:pPr>
      <w:r>
        <w:rPr>
          <w:rFonts w:hint="eastAsia" w:ascii="Times New Roman" w:hAnsi="方正仿宋_GBK" w:eastAsia="方正仿宋_GBK" w:cs="方正仿宋_GBK"/>
          <w:color w:val="000000"/>
          <w:sz w:val="32"/>
          <w:szCs w:val="32"/>
        </w:rPr>
        <w:t xml:space="preserve">根据文件要求，现将渝财教〔2018〕254号文件资金使用绩效自评情况报告如下：  </w:t>
      </w: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hint="eastAsia" w:ascii="方正黑体_GBK" w:hAnsi="方正仿宋_GBK" w:eastAsia="方正黑体_GBK" w:cs="方正仿宋_GBK"/>
          <w:color w:val="000000"/>
          <w:sz w:val="32"/>
          <w:szCs w:val="32"/>
        </w:rPr>
      </w:pPr>
      <w:r>
        <w:rPr>
          <w:rFonts w:hint="eastAsia" w:ascii="方正黑体_GBK" w:hAnsi="方正仿宋_GBK" w:eastAsia="方正黑体_GBK" w:cs="方正仿宋_GBK"/>
          <w:color w:val="000000"/>
          <w:sz w:val="32"/>
          <w:szCs w:val="32"/>
        </w:rPr>
        <w:t>一、项目基本情况</w:t>
      </w: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hint="eastAsia" w:ascii="Times New Roman" w:hAnsi="方正仿宋_GBK" w:eastAsia="方正仿宋_GBK" w:cs="方正仿宋_GBK"/>
          <w:color w:val="000000"/>
          <w:sz w:val="32"/>
          <w:szCs w:val="32"/>
        </w:rPr>
      </w:pPr>
      <w:r>
        <w:rPr>
          <w:rFonts w:hint="eastAsia" w:ascii="Times New Roman" w:hAnsi="方正仿宋_GBK" w:eastAsia="方正仿宋_GBK" w:cs="方正仿宋_GBK"/>
          <w:color w:val="000000"/>
          <w:sz w:val="32"/>
          <w:szCs w:val="32"/>
        </w:rPr>
        <w:t>根据《重庆市体育局关于进一步加强社区健身点建设的通知》（渝体〔2018〕502号）文件要求，结合我县实际，需对13个社区进行社区健身点建设。根据县文化旅游委党组2019年第8次会议研究，决定举办老区运动会。项目涉及范围包括基础设施建设以及群众活动举办，主要内容为建设13个社区健身点，以及开展老区运动会活动，用途包括括改善我县群众健身条件，提高我县群众身体素质，增加我县知名度。</w:t>
      </w: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hint="eastAsia" w:ascii="方正黑体_GBK" w:hAnsi="方正仿宋_GBK" w:eastAsia="方正黑体_GBK" w:cs="方正仿宋_GBK"/>
          <w:color w:val="000000"/>
          <w:sz w:val="32"/>
          <w:szCs w:val="32"/>
        </w:rPr>
      </w:pPr>
      <w:r>
        <w:rPr>
          <w:rFonts w:hint="eastAsia" w:ascii="方正黑体_GBK" w:hAnsi="方正仿宋_GBK" w:eastAsia="方正黑体_GBK" w:cs="方正仿宋_GBK"/>
          <w:color w:val="000000"/>
          <w:sz w:val="32"/>
          <w:szCs w:val="32"/>
        </w:rPr>
        <w:t>二、项目执行情况</w:t>
      </w: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hint="eastAsia" w:ascii="方正楷体_GBK" w:hAnsi="方正仿宋_GBK" w:eastAsia="方正楷体_GBK" w:cs="方正仿宋_GBK"/>
          <w:color w:val="000000"/>
          <w:sz w:val="32"/>
          <w:szCs w:val="32"/>
        </w:rPr>
      </w:pPr>
      <w:r>
        <w:rPr>
          <w:rFonts w:hint="eastAsia" w:ascii="方正楷体_GBK" w:hAnsi="方正仿宋_GBK" w:eastAsia="方正楷体_GBK" w:cs="方正仿宋_GBK"/>
          <w:color w:val="000000"/>
          <w:sz w:val="32"/>
          <w:szCs w:val="32"/>
        </w:rPr>
        <w:t>（一）项目立项情况</w:t>
      </w:r>
    </w:p>
    <w:p>
      <w:pPr>
        <w:widowControl/>
        <w:adjustRightInd w:val="0"/>
        <w:snapToGrid w:val="0"/>
        <w:spacing w:line="560" w:lineRule="exact"/>
        <w:ind w:firstLine="555"/>
        <w:jc w:val="left"/>
        <w:rPr>
          <w:rFonts w:hint="eastAsia" w:ascii="Times New Roman" w:hAnsi="方正仿宋_GBK" w:eastAsia="方正仿宋_GBK" w:cs="方正仿宋_GBK"/>
          <w:color w:val="000000"/>
          <w:sz w:val="32"/>
          <w:szCs w:val="32"/>
        </w:rPr>
      </w:pPr>
      <w:r>
        <w:rPr>
          <w:rFonts w:hint="eastAsia" w:ascii="Times New Roman" w:hAnsi="方正仿宋_GBK" w:eastAsia="方正仿宋_GBK" w:cs="方正仿宋_GBK"/>
          <w:color w:val="000000"/>
          <w:sz w:val="32"/>
          <w:szCs w:val="32"/>
        </w:rPr>
        <w:t>社区健身点创建包含健身器材购买、维修，及群众性体育活动费举办，经查阅相关规定，无需立项。</w:t>
      </w: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hint="eastAsia" w:ascii="方正楷体_GBK" w:hAnsi="方正仿宋_GBK" w:eastAsia="方正楷体_GBK" w:cs="方正仿宋_GBK"/>
          <w:color w:val="000000"/>
          <w:sz w:val="32"/>
          <w:szCs w:val="32"/>
        </w:rPr>
      </w:pPr>
      <w:r>
        <w:rPr>
          <w:rFonts w:hint="eastAsia" w:ascii="方正楷体_GBK" w:hAnsi="方正仿宋_GBK" w:eastAsia="方正楷体_GBK" w:cs="方正仿宋_GBK"/>
          <w:color w:val="000000"/>
          <w:sz w:val="32"/>
          <w:szCs w:val="32"/>
        </w:rPr>
        <w:t>（二）项目调整情况</w:t>
      </w:r>
    </w:p>
    <w:p>
      <w:pPr>
        <w:widowControl/>
        <w:adjustRightInd w:val="0"/>
        <w:snapToGrid w:val="0"/>
        <w:spacing w:line="560" w:lineRule="exact"/>
        <w:ind w:firstLine="555"/>
        <w:jc w:val="left"/>
        <w:rPr>
          <w:rFonts w:hint="eastAsia" w:ascii="Times New Roman" w:hAnsi="方正仿宋_GBK" w:eastAsia="方正仿宋_GBK" w:cs="方正仿宋_GBK"/>
          <w:color w:val="000000"/>
          <w:sz w:val="32"/>
          <w:szCs w:val="32"/>
        </w:rPr>
      </w:pPr>
      <w:r>
        <w:rPr>
          <w:rFonts w:hint="eastAsia" w:ascii="Times New Roman" w:hAnsi="方正仿宋_GBK" w:eastAsia="方正仿宋_GBK" w:cs="方正仿宋_GBK"/>
          <w:color w:val="000000"/>
          <w:sz w:val="32"/>
          <w:szCs w:val="32"/>
        </w:rPr>
        <w:t>渝财教〔2018〕254号文件资金涉及的项目未在执行过程中进行调整。</w:t>
      </w: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hint="eastAsia" w:ascii="方正楷体_GBK" w:hAnsi="方正仿宋_GBK" w:eastAsia="方正楷体_GBK" w:cs="方正仿宋_GBK"/>
          <w:color w:val="000000"/>
          <w:sz w:val="32"/>
          <w:szCs w:val="32"/>
        </w:rPr>
      </w:pPr>
      <w:r>
        <w:rPr>
          <w:rFonts w:hint="eastAsia" w:ascii="方正楷体_GBK" w:hAnsi="方正仿宋_GBK" w:eastAsia="方正楷体_GBK" w:cs="方正仿宋_GBK"/>
          <w:color w:val="000000"/>
          <w:sz w:val="32"/>
          <w:szCs w:val="32"/>
        </w:rPr>
        <w:t>（三）项目监督检查情况</w:t>
      </w:r>
    </w:p>
    <w:p>
      <w:pPr>
        <w:widowControl/>
        <w:adjustRightInd w:val="0"/>
        <w:snapToGrid w:val="0"/>
        <w:spacing w:line="560" w:lineRule="exact"/>
        <w:ind w:firstLine="555"/>
        <w:jc w:val="left"/>
        <w:rPr>
          <w:rFonts w:hint="eastAsia" w:ascii="Times New Roman" w:hAnsi="方正仿宋_GBK" w:eastAsia="方正仿宋_GBK" w:cs="方正仿宋_GBK"/>
          <w:color w:val="auto"/>
          <w:sz w:val="32"/>
          <w:szCs w:val="32"/>
        </w:rPr>
      </w:pPr>
      <w:r>
        <w:rPr>
          <w:rFonts w:hint="eastAsia" w:ascii="Times New Roman" w:hAnsi="方正仿宋_GBK" w:eastAsia="方正仿宋_GBK" w:cs="方正仿宋_GBK"/>
          <w:color w:val="auto"/>
          <w:sz w:val="32"/>
          <w:szCs w:val="32"/>
        </w:rPr>
        <w:t>社区健身点健身器材购买，由交易中心进行公开招标选择，安装过程由体育局工作人员及各健身点工作人员全程监督。</w:t>
      </w: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hint="eastAsia" w:ascii="方正楷体_GBK" w:hAnsi="方正仿宋_GBK" w:eastAsia="方正楷体_GBK" w:cs="方正仿宋_GBK"/>
          <w:color w:val="auto"/>
          <w:sz w:val="32"/>
          <w:szCs w:val="32"/>
        </w:rPr>
      </w:pPr>
      <w:r>
        <w:rPr>
          <w:rFonts w:hint="eastAsia" w:ascii="方正楷体_GBK" w:hAnsi="方正仿宋_GBK" w:eastAsia="方正楷体_GBK" w:cs="方正仿宋_GBK"/>
          <w:color w:val="auto"/>
          <w:sz w:val="32"/>
          <w:szCs w:val="32"/>
        </w:rPr>
        <w:t>（四）项目完成情况</w:t>
      </w:r>
    </w:p>
    <w:p>
      <w:pPr>
        <w:widowControl/>
        <w:adjustRightInd w:val="0"/>
        <w:snapToGrid w:val="0"/>
        <w:spacing w:line="560" w:lineRule="exact"/>
        <w:ind w:firstLine="555"/>
        <w:jc w:val="left"/>
        <w:rPr>
          <w:rFonts w:hint="eastAsia" w:ascii="Times New Roman" w:hAnsi="方正仿宋_GBK" w:eastAsia="方正仿宋_GBK" w:cs="方正仿宋_GBK"/>
          <w:color w:val="auto"/>
          <w:sz w:val="32"/>
          <w:szCs w:val="32"/>
        </w:rPr>
      </w:pPr>
      <w:r>
        <w:rPr>
          <w:rFonts w:hint="eastAsia" w:ascii="Times New Roman" w:hAnsi="方正仿宋_GBK" w:eastAsia="方正仿宋_GBK" w:cs="方正仿宋_GBK"/>
          <w:color w:val="auto"/>
          <w:sz w:val="32"/>
          <w:szCs w:val="32"/>
        </w:rPr>
        <w:t>2019年社区健身点项目创建部分以及老区运动会已于2019年完成， 并由体育局组织各乡镇进行社区健身点验收。</w:t>
      </w:r>
    </w:p>
    <w:p>
      <w:pPr>
        <w:widowControl/>
        <w:numPr>
          <w:ilvl w:val="0"/>
          <w:numId w:val="1"/>
        </w:numPr>
        <w:adjustRightInd w:val="0"/>
        <w:snapToGrid w:val="0"/>
        <w:spacing w:line="560" w:lineRule="exact"/>
        <w:ind w:firstLine="640" w:firstLineChars="200"/>
        <w:jc w:val="left"/>
        <w:rPr>
          <w:rFonts w:hint="eastAsia" w:ascii="方正楷体_GBK" w:hAnsi="方正仿宋_GBK" w:eastAsia="方正楷体_GBK" w:cs="方正仿宋_GBK"/>
          <w:color w:val="auto"/>
          <w:sz w:val="32"/>
          <w:szCs w:val="32"/>
        </w:rPr>
      </w:pPr>
      <w:r>
        <w:rPr>
          <w:rFonts w:hint="eastAsia" w:ascii="方正楷体_GBK" w:hAnsi="方正仿宋_GBK" w:eastAsia="方正楷体_GBK" w:cs="方正仿宋_GBK"/>
          <w:color w:val="auto"/>
          <w:sz w:val="32"/>
          <w:szCs w:val="32"/>
        </w:rPr>
        <w:t>项目资金安排与使用情况</w:t>
      </w:r>
    </w:p>
    <w:p>
      <w:pPr>
        <w:widowControl/>
        <w:numPr>
          <w:ilvl w:val="0"/>
          <w:numId w:val="0"/>
        </w:numPr>
        <w:adjustRightInd w:val="0"/>
        <w:snapToGrid w:val="0"/>
        <w:spacing w:line="560" w:lineRule="exact"/>
        <w:jc w:val="left"/>
        <w:rPr>
          <w:rFonts w:hint="default" w:ascii="方正楷体_GBK" w:hAnsi="方正仿宋_GBK" w:eastAsia="方正楷体_GBK" w:cs="方正仿宋_GBK"/>
          <w:color w:val="auto"/>
          <w:sz w:val="32"/>
          <w:szCs w:val="32"/>
          <w:lang w:val="en-US" w:eastAsia="zh-CN"/>
        </w:rPr>
      </w:pPr>
      <w:r>
        <w:rPr>
          <w:rFonts w:hint="eastAsia" w:ascii="方正楷体_GBK" w:hAnsi="方正仿宋_GBK" w:eastAsia="方正楷体_GBK" w:cs="方正仿宋_GBK"/>
          <w:color w:val="auto"/>
          <w:sz w:val="32"/>
          <w:szCs w:val="32"/>
          <w:lang w:val="en-US" w:eastAsia="zh-CN"/>
        </w:rPr>
        <w:t xml:space="preserve">    资</w:t>
      </w:r>
      <w:r>
        <w:rPr>
          <w:rFonts w:hint="eastAsia" w:ascii="Times New Roman" w:hAnsi="方正仿宋_GBK" w:eastAsia="方正仿宋_GBK" w:cs="方正仿宋_GBK"/>
          <w:color w:val="auto"/>
          <w:sz w:val="32"/>
          <w:szCs w:val="32"/>
          <w:lang w:val="en-US" w:eastAsia="zh-CN"/>
        </w:rPr>
        <w:t>金性质为基金，预算金额为85万元，支出63.2万元</w:t>
      </w:r>
      <w:r>
        <w:rPr>
          <w:rFonts w:hint="eastAsia" w:ascii="方正楷体_GBK" w:hAnsi="方正仿宋_GBK" w:eastAsia="方正楷体_GBK" w:cs="方正仿宋_GBK"/>
          <w:color w:val="auto"/>
          <w:sz w:val="32"/>
          <w:szCs w:val="32"/>
          <w:lang w:val="en-US" w:eastAsia="zh-CN"/>
        </w:rPr>
        <w:t>。</w:t>
      </w:r>
    </w:p>
    <w:p>
      <w:pPr>
        <w:widowControl/>
        <w:numPr>
          <w:ilvl w:val="0"/>
          <w:numId w:val="1"/>
        </w:numPr>
        <w:adjustRightInd w:val="0"/>
        <w:snapToGrid w:val="0"/>
        <w:spacing w:line="560" w:lineRule="exact"/>
        <w:ind w:left="0" w:leftChars="0" w:firstLine="640" w:firstLineChars="200"/>
        <w:jc w:val="left"/>
        <w:rPr>
          <w:rFonts w:hint="eastAsia" w:ascii="方正楷体_GBK" w:hAnsi="方正仿宋_GBK" w:eastAsia="方正楷体_GBK" w:cs="方正仿宋_GBK"/>
          <w:color w:val="auto"/>
          <w:sz w:val="32"/>
          <w:szCs w:val="32"/>
          <w:lang w:val="en-US" w:eastAsia="zh-CN"/>
        </w:rPr>
      </w:pPr>
      <w:r>
        <w:rPr>
          <w:rFonts w:hint="eastAsia" w:ascii="方正楷体_GBK" w:hAnsi="方正仿宋_GBK" w:eastAsia="方正楷体_GBK" w:cs="方正仿宋_GBK"/>
          <w:color w:val="auto"/>
          <w:sz w:val="32"/>
          <w:szCs w:val="32"/>
        </w:rPr>
        <w:t>项目财务管理状况、管理制度及执行情况</w:t>
      </w:r>
    </w:p>
    <w:p>
      <w:pPr>
        <w:widowControl/>
        <w:numPr>
          <w:ilvl w:val="0"/>
          <w:numId w:val="0"/>
        </w:numPr>
        <w:adjustRightInd w:val="0"/>
        <w:snapToGrid w:val="0"/>
        <w:spacing w:line="560" w:lineRule="exact"/>
        <w:jc w:val="left"/>
        <w:rPr>
          <w:rFonts w:hint="eastAsia" w:ascii="Times New Roman" w:hAnsi="方正仿宋_GBK" w:eastAsia="方正仿宋_GBK" w:cs="方正仿宋_GBK"/>
          <w:color w:val="auto"/>
          <w:sz w:val="32"/>
          <w:szCs w:val="32"/>
          <w:lang w:val="en-US" w:eastAsia="zh-CN"/>
        </w:rPr>
      </w:pPr>
      <w:r>
        <w:rPr>
          <w:rFonts w:hint="eastAsia" w:ascii="方正楷体_GBK" w:hAnsi="方正仿宋_GBK" w:eastAsia="方正楷体_GBK" w:cs="方正仿宋_GBK"/>
          <w:color w:val="auto"/>
          <w:sz w:val="32"/>
          <w:szCs w:val="32"/>
          <w:lang w:val="en-US" w:eastAsia="zh-CN"/>
        </w:rPr>
        <w:t xml:space="preserve"> </w:t>
      </w:r>
      <w:r>
        <w:rPr>
          <w:rFonts w:hint="eastAsia" w:ascii="Times New Roman" w:hAnsi="方正仿宋_GBK" w:eastAsia="方正仿宋_GBK" w:cs="方正仿宋_GBK"/>
          <w:color w:val="auto"/>
          <w:sz w:val="32"/>
          <w:szCs w:val="32"/>
          <w:lang w:val="en-US" w:eastAsia="zh-CN"/>
        </w:rPr>
        <w:t xml:space="preserve">   </w:t>
      </w:r>
      <w:bookmarkStart w:id="0" w:name="_GoBack"/>
      <w:bookmarkEnd w:id="0"/>
      <w:r>
        <w:rPr>
          <w:rFonts w:hint="eastAsia" w:ascii="Times New Roman" w:hAnsi="方正仿宋_GBK" w:eastAsia="方正仿宋_GBK" w:cs="方正仿宋_GBK"/>
          <w:color w:val="auto"/>
          <w:sz w:val="32"/>
          <w:szCs w:val="32"/>
          <w:lang w:val="en-US" w:eastAsia="zh-CN"/>
        </w:rPr>
        <w:t>我单位严格按照政府会计准则的要求，组织会计对项目核算记账，做到手续完备账目清楚。按期报账，登记账簿、及时上报相关报表。</w:t>
      </w:r>
    </w:p>
    <w:p>
      <w:pPr>
        <w:widowControl/>
        <w:numPr>
          <w:ilvl w:val="0"/>
          <w:numId w:val="0"/>
        </w:numPr>
        <w:adjustRightInd w:val="0"/>
        <w:snapToGrid w:val="0"/>
        <w:spacing w:line="560" w:lineRule="exact"/>
        <w:jc w:val="left"/>
        <w:rPr>
          <w:rFonts w:hint="default" w:ascii="Times New Roman" w:hAnsi="方正仿宋_GBK" w:eastAsia="方正仿宋_GBK" w:cs="方正仿宋_GBK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方正仿宋_GBK" w:eastAsia="方正仿宋_GBK" w:cs="方正仿宋_GBK"/>
          <w:color w:val="auto"/>
          <w:sz w:val="32"/>
          <w:szCs w:val="32"/>
          <w:lang w:val="en-US" w:eastAsia="zh-CN"/>
        </w:rPr>
        <w:t xml:space="preserve">   及时收集、整理、分析相关会计资料，实施事前控制事中监督，协助相关项目科室严把成本关。审核各种原始凭证的真实性、合理性和有效性，对于不真实不合规的原始凭证拒绝报销。所有项目支出必须由财务领导与分管领导审批后报销。资金严格按照立项文件和批复要求列支。</w:t>
      </w: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hint="eastAsia" w:ascii="方正黑体_GBK" w:hAnsi="方正仿宋_GBK" w:eastAsia="方正黑体_GBK" w:cs="方正仿宋_GBK"/>
          <w:color w:val="auto"/>
          <w:sz w:val="32"/>
          <w:szCs w:val="32"/>
        </w:rPr>
      </w:pPr>
      <w:r>
        <w:rPr>
          <w:rFonts w:hint="eastAsia" w:ascii="方正黑体_GBK" w:hAnsi="方正仿宋_GBK" w:eastAsia="方正黑体_GBK" w:cs="方正仿宋_GBK"/>
          <w:color w:val="auto"/>
          <w:sz w:val="32"/>
          <w:szCs w:val="32"/>
        </w:rPr>
        <w:t>三、项目绩效目标</w:t>
      </w: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hint="eastAsia" w:ascii="方正楷体_GBK" w:hAnsi="方正仿宋_GBK" w:eastAsia="方正楷体_GBK" w:cs="方正仿宋_GBK"/>
          <w:color w:val="000000"/>
          <w:sz w:val="32"/>
          <w:szCs w:val="32"/>
        </w:rPr>
      </w:pPr>
      <w:r>
        <w:rPr>
          <w:rFonts w:hint="eastAsia" w:ascii="方正楷体_GBK" w:hAnsi="方正仿宋_GBK" w:eastAsia="方正楷体_GBK" w:cs="方正仿宋_GBK"/>
          <w:color w:val="000000"/>
          <w:sz w:val="32"/>
          <w:szCs w:val="32"/>
        </w:rPr>
        <w:t>（一）项目申报的预期目标</w:t>
      </w:r>
    </w:p>
    <w:p>
      <w:pPr>
        <w:widowControl/>
        <w:adjustRightInd w:val="0"/>
        <w:snapToGrid w:val="0"/>
        <w:spacing w:line="560" w:lineRule="exact"/>
        <w:ind w:firstLine="555"/>
        <w:jc w:val="left"/>
        <w:rPr>
          <w:rFonts w:hint="eastAsia" w:ascii="Times New Roman" w:hAnsi="方正仿宋_GBK" w:eastAsia="方正仿宋_GBK" w:cs="方正仿宋_GBK"/>
          <w:color w:val="000000"/>
          <w:sz w:val="32"/>
          <w:szCs w:val="32"/>
        </w:rPr>
      </w:pPr>
      <w:r>
        <w:rPr>
          <w:rFonts w:hint="eastAsia" w:ascii="Times New Roman" w:hAnsi="方正仿宋_GBK" w:eastAsia="方正仿宋_GBK" w:cs="方正仿宋_GBK"/>
          <w:color w:val="000000"/>
          <w:sz w:val="32"/>
          <w:szCs w:val="32"/>
        </w:rPr>
        <w:t>圆满完成2019年老区运动会，开拓加强全国门球技术交流，提高我县门球水平。顺利建成13社区健身点，改善我县群众健身条件。</w:t>
      </w: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hint="eastAsia" w:ascii="方正楷体_GBK" w:hAnsi="方正仿宋_GBK" w:eastAsia="方正楷体_GBK" w:cs="方正仿宋_GBK"/>
          <w:color w:val="000000"/>
          <w:sz w:val="32"/>
          <w:szCs w:val="32"/>
        </w:rPr>
      </w:pPr>
      <w:r>
        <w:rPr>
          <w:rFonts w:hint="eastAsia" w:ascii="方正楷体_GBK" w:hAnsi="方正仿宋_GBK" w:eastAsia="方正楷体_GBK" w:cs="方正仿宋_GBK"/>
          <w:color w:val="000000"/>
          <w:sz w:val="32"/>
          <w:szCs w:val="32"/>
        </w:rPr>
        <w:t>（二）绩效指标分析</w:t>
      </w:r>
    </w:p>
    <w:p>
      <w:pPr>
        <w:widowControl/>
        <w:tabs>
          <w:tab w:val="left" w:pos="1230"/>
        </w:tabs>
        <w:adjustRightInd w:val="0"/>
        <w:snapToGrid w:val="0"/>
        <w:spacing w:line="560" w:lineRule="exact"/>
        <w:ind w:firstLine="555"/>
        <w:jc w:val="left"/>
        <w:rPr>
          <w:rFonts w:hint="eastAsia" w:ascii="Times New Roman" w:hAnsi="方正仿宋_GBK" w:eastAsia="方正仿宋_GBK" w:cs="方正仿宋_GBK"/>
          <w:color w:val="000000"/>
          <w:sz w:val="32"/>
          <w:szCs w:val="32"/>
        </w:rPr>
      </w:pPr>
      <w:r>
        <w:rPr>
          <w:rFonts w:ascii="Times New Roman" w:hAnsi="方正仿宋_GBK" w:eastAsia="方正仿宋_GBK" w:cs="方正仿宋_GBK"/>
          <w:color w:val="000000"/>
          <w:sz w:val="32"/>
          <w:szCs w:val="32"/>
        </w:rPr>
        <w:tab/>
      </w:r>
      <w:r>
        <w:rPr>
          <w:rFonts w:hint="eastAsia" w:ascii="Times New Roman" w:hAnsi="方正仿宋_GBK" w:eastAsia="方正仿宋_GBK" w:cs="方正仿宋_GBK"/>
          <w:color w:val="000000"/>
          <w:sz w:val="32"/>
          <w:szCs w:val="32"/>
        </w:rPr>
        <w:t>项目取得的绩效状况超于申报目标绩效，2019年老区运动会·全国门球邀请赛汇聚各省市优秀门球队，为我县的旅游、经济都有一定程度上的刺激。13个社区健身点创建完成，为我县群众提供了更健全的公共体育服务体系和更科学的健身场地。</w:t>
      </w: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hint="eastAsia" w:ascii="方正楷体_GBK" w:hAnsi="方正仿宋_GBK" w:eastAsia="方正楷体_GBK" w:cs="方正仿宋_GBK"/>
          <w:color w:val="000000"/>
          <w:sz w:val="32"/>
          <w:szCs w:val="32"/>
        </w:rPr>
      </w:pPr>
      <w:r>
        <w:rPr>
          <w:rFonts w:hint="eastAsia" w:ascii="方正楷体_GBK" w:hAnsi="方正仿宋_GBK" w:eastAsia="方正楷体_GBK" w:cs="方正仿宋_GBK"/>
          <w:color w:val="000000"/>
          <w:sz w:val="32"/>
          <w:szCs w:val="32"/>
        </w:rPr>
        <w:t>（三）项目实施后主要绩效的具体体现。</w:t>
      </w:r>
    </w:p>
    <w:p>
      <w:pPr>
        <w:pStyle w:val="2"/>
        <w:adjustRightInd w:val="0"/>
        <w:spacing w:line="560" w:lineRule="exact"/>
        <w:ind w:firstLine="640" w:firstLineChars="200"/>
        <w:rPr>
          <w:rFonts w:hint="eastAsia"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2019年老区运动会全国门球邀请赛，吸引全国各个省市的40 支队伍，400余人参赛，历时5天，完成96场团体、80场双打共计176场比赛。通过餐饮业、住宿、体育器材、交通、服装等刺激带动县内消费，并通过比赛提升了我县“三大球”中篮球、足球的技术水平，门球邀请赛的举办为我县文体旅融合发展打下了基础。社区健身点的建成，为群众提供更好的活动场地，更安全的健身器材，更科学的健身方式，为提高我县群众身体素质添砖加瓦。</w:t>
      </w:r>
    </w:p>
    <w:p>
      <w:pPr>
        <w:widowControl/>
        <w:tabs>
          <w:tab w:val="left" w:pos="1230"/>
        </w:tabs>
        <w:adjustRightInd w:val="0"/>
        <w:snapToGrid w:val="0"/>
        <w:spacing w:line="360" w:lineRule="auto"/>
        <w:ind w:firstLine="555"/>
        <w:jc w:val="left"/>
        <w:rPr>
          <w:rFonts w:hint="eastAsia" w:ascii="方正仿宋_GBK" w:hAnsi="方正仿宋_GBK" w:eastAsia="方正仿宋_GBK" w:cs="方正仿宋_GBK"/>
          <w:sz w:val="28"/>
          <w:szCs w:val="28"/>
        </w:rPr>
      </w:pPr>
    </w:p>
    <w:p>
      <w:pPr>
        <w:widowControl/>
        <w:tabs>
          <w:tab w:val="left" w:pos="1230"/>
        </w:tabs>
        <w:adjustRightInd w:val="0"/>
        <w:snapToGrid w:val="0"/>
        <w:spacing w:line="360" w:lineRule="auto"/>
        <w:ind w:firstLine="555"/>
        <w:jc w:val="left"/>
        <w:rPr>
          <w:rFonts w:hint="eastAsia" w:ascii="方正仿宋_GBK" w:hAnsi="方正仿宋_GBK" w:eastAsia="方正仿宋_GBK" w:cs="方正仿宋_GBK"/>
          <w:sz w:val="28"/>
          <w:szCs w:val="28"/>
        </w:rPr>
      </w:pPr>
    </w:p>
    <w:p>
      <w:pPr>
        <w:widowControl/>
        <w:tabs>
          <w:tab w:val="left" w:pos="1230"/>
        </w:tabs>
        <w:adjustRightInd w:val="0"/>
        <w:snapToGrid w:val="0"/>
        <w:spacing w:line="360" w:lineRule="auto"/>
        <w:ind w:firstLine="2880" w:firstLineChars="900"/>
        <w:jc w:val="left"/>
        <w:rPr>
          <w:rFonts w:hint="eastAsia" w:ascii="Times New Roman" w:hAnsi="方正仿宋_GBK" w:eastAsia="方正仿宋_GBK" w:cs="方正仿宋_GBK"/>
          <w:color w:val="000000"/>
          <w:sz w:val="32"/>
          <w:szCs w:val="32"/>
        </w:rPr>
      </w:pPr>
      <w:r>
        <w:rPr>
          <w:rFonts w:hint="eastAsia" w:ascii="Times New Roman" w:hAnsi="方正仿宋_GBK" w:eastAsia="方正仿宋_GBK" w:cs="方正仿宋_GBK"/>
          <w:color w:val="000000"/>
          <w:sz w:val="32"/>
          <w:szCs w:val="32"/>
        </w:rPr>
        <w:t>城口县文件和旅游发展委员会（体育局）</w:t>
      </w:r>
    </w:p>
    <w:p>
      <w:pPr>
        <w:widowControl/>
        <w:tabs>
          <w:tab w:val="left" w:pos="1230"/>
        </w:tabs>
        <w:adjustRightInd w:val="0"/>
        <w:snapToGrid w:val="0"/>
        <w:spacing w:line="360" w:lineRule="auto"/>
        <w:ind w:firstLine="3680" w:firstLineChars="1150"/>
        <w:jc w:val="left"/>
        <w:rPr>
          <w:rFonts w:hint="eastAsia" w:ascii="Times New Roman" w:hAnsi="方正仿宋_GBK" w:eastAsia="方正仿宋_GBK" w:cs="方正仿宋_GBK"/>
          <w:color w:val="000000"/>
          <w:sz w:val="32"/>
          <w:szCs w:val="32"/>
        </w:rPr>
      </w:pPr>
      <w:r>
        <w:rPr>
          <w:rFonts w:hint="eastAsia" w:ascii="Times New Roman" w:hAnsi="方正仿宋_GBK" w:eastAsia="方正仿宋_GBK" w:cs="方正仿宋_GBK"/>
          <w:color w:val="000000"/>
          <w:sz w:val="32"/>
          <w:szCs w:val="32"/>
        </w:rPr>
        <w:t>2020年4月13日</w:t>
      </w:r>
    </w:p>
    <w:sectPr>
      <w:footerReference r:id="rId3" w:type="default"/>
      <w:footerReference r:id="rId4" w:type="even"/>
      <w:pgSz w:w="11906" w:h="16838"/>
      <w:pgMar w:top="2098" w:right="1474" w:bottom="1985" w:left="1588" w:header="851" w:footer="992" w:gutter="0"/>
      <w:pgNumType w:chapStyle="1" w:chapSep="em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outside" w:y="1"/>
      <w:rPr>
        <w:rStyle w:val="7"/>
        <w:rFonts w:ascii="宋体" w:hAnsi="宋体" w:eastAsia="宋体"/>
        <w:sz w:val="28"/>
        <w:szCs w:val="28"/>
      </w:rPr>
    </w:pPr>
    <w:r>
      <w:rPr>
        <w:rStyle w:val="7"/>
        <w:rFonts w:hint="eastAsia" w:ascii="宋体" w:hAnsi="宋体" w:eastAsia="宋体"/>
        <w:sz w:val="28"/>
        <w:szCs w:val="28"/>
      </w:rPr>
      <w:t xml:space="preserve">— </w:t>
    </w:r>
    <w:r>
      <w:rPr>
        <w:rStyle w:val="7"/>
        <w:rFonts w:ascii="宋体" w:hAnsi="宋体" w:eastAsia="宋体"/>
        <w:sz w:val="28"/>
        <w:szCs w:val="28"/>
      </w:rPr>
      <w:fldChar w:fldCharType="begin"/>
    </w:r>
    <w:r>
      <w:rPr>
        <w:rStyle w:val="7"/>
        <w:rFonts w:ascii="宋体" w:hAnsi="宋体" w:eastAsia="宋体"/>
        <w:sz w:val="28"/>
        <w:szCs w:val="28"/>
      </w:rPr>
      <w:instrText xml:space="preserve">PAGE  </w:instrText>
    </w:r>
    <w:r>
      <w:rPr>
        <w:rStyle w:val="7"/>
        <w:rFonts w:ascii="宋体" w:hAnsi="宋体" w:eastAsia="宋体"/>
        <w:sz w:val="28"/>
        <w:szCs w:val="28"/>
      </w:rPr>
      <w:fldChar w:fldCharType="separate"/>
    </w:r>
    <w:r>
      <w:rPr>
        <w:rStyle w:val="7"/>
        <w:rFonts w:ascii="宋体" w:hAnsi="宋体" w:eastAsia="宋体"/>
        <w:sz w:val="28"/>
        <w:szCs w:val="28"/>
      </w:rPr>
      <w:t>1</w:t>
    </w:r>
    <w:r>
      <w:rPr>
        <w:rStyle w:val="7"/>
        <w:rFonts w:ascii="宋体" w:hAnsi="宋体" w:eastAsia="宋体"/>
        <w:sz w:val="28"/>
        <w:szCs w:val="28"/>
      </w:rPr>
      <w:fldChar w:fldCharType="end"/>
    </w:r>
    <w:r>
      <w:rPr>
        <w:rStyle w:val="7"/>
        <w:rFonts w:hint="eastAsia" w:ascii="宋体" w:hAnsi="宋体" w:eastAsia="宋体"/>
        <w:sz w:val="28"/>
        <w:szCs w:val="28"/>
      </w:rPr>
      <w:t xml:space="preserve"> —</w:t>
    </w:r>
  </w:p>
  <w:p>
    <w:pPr>
      <w:pStyle w:val="3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outside" w:y="1"/>
      <w:rPr>
        <w:rStyle w:val="7"/>
      </w:rPr>
    </w:pPr>
    <w:r>
      <w:rPr>
        <w:rStyle w:val="7"/>
      </w:rPr>
      <w:fldChar w:fldCharType="begin"/>
    </w:r>
    <w:r>
      <w:rPr>
        <w:rStyle w:val="7"/>
      </w:rPr>
      <w:instrText xml:space="preserve">PAGE  </w:instrText>
    </w:r>
    <w:r>
      <w:rPr>
        <w:rStyle w:val="7"/>
      </w:rPr>
      <w:fldChar w:fldCharType="end"/>
    </w:r>
  </w:p>
  <w:p>
    <w:pPr>
      <w:pStyle w:val="3"/>
      <w:ind w:right="360" w:firstLine="36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EE2140D"/>
    <w:multiLevelType w:val="singleLevel"/>
    <w:tmpl w:val="DEE2140D"/>
    <w:lvl w:ilvl="0" w:tentative="0">
      <w:start w:val="5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2194C"/>
    <w:rsid w:val="0002194C"/>
    <w:rsid w:val="000A1E4A"/>
    <w:rsid w:val="000D0C6C"/>
    <w:rsid w:val="002C5B75"/>
    <w:rsid w:val="00492627"/>
    <w:rsid w:val="005C3B75"/>
    <w:rsid w:val="0073031F"/>
    <w:rsid w:val="009C5D99"/>
    <w:rsid w:val="009E76ED"/>
    <w:rsid w:val="009F724C"/>
    <w:rsid w:val="00D009BE"/>
    <w:rsid w:val="00F151EE"/>
    <w:rsid w:val="00F968EA"/>
    <w:rsid w:val="16DA3E3A"/>
    <w:rsid w:val="250303FA"/>
    <w:rsid w:val="2CC3128D"/>
    <w:rsid w:val="2CCF31E3"/>
    <w:rsid w:val="3ECF1B16"/>
    <w:rsid w:val="3FC61C9B"/>
    <w:rsid w:val="40846BA6"/>
    <w:rsid w:val="455D32C0"/>
    <w:rsid w:val="45A83051"/>
    <w:rsid w:val="469A0DEA"/>
    <w:rsid w:val="49226DA7"/>
    <w:rsid w:val="59453A45"/>
    <w:rsid w:val="59881C5A"/>
    <w:rsid w:val="5DE64DC0"/>
    <w:rsid w:val="64E514FB"/>
    <w:rsid w:val="67656645"/>
    <w:rsid w:val="68EF7F78"/>
    <w:rsid w:val="6950534D"/>
    <w:rsid w:val="697352A2"/>
    <w:rsid w:val="6AE508A8"/>
    <w:rsid w:val="6D2561A0"/>
    <w:rsid w:val="6EDF7E8F"/>
    <w:rsid w:val="74AF4D59"/>
    <w:rsid w:val="76C71231"/>
    <w:rsid w:val="79A67B02"/>
    <w:rsid w:val="79CF52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0"/>
    <w:qFormat/>
    <w:uiPriority w:val="0"/>
    <w:rPr>
      <w:rFonts w:ascii="Times New Roman" w:hAnsi="Times New Roman" w:eastAsia="仿宋_GB2312" w:cs="Times New Roman"/>
      <w:sz w:val="28"/>
      <w:szCs w:val="24"/>
    </w:rPr>
  </w:style>
  <w:style w:type="paragraph" w:styleId="3">
    <w:name w:val="footer"/>
    <w:basedOn w:val="1"/>
    <w:link w:val="8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page number"/>
    <w:basedOn w:val="6"/>
    <w:semiHidden/>
    <w:unhideWhenUsed/>
    <w:qFormat/>
    <w:uiPriority w:val="99"/>
  </w:style>
  <w:style w:type="character" w:customStyle="1" w:styleId="8">
    <w:name w:val="页脚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页眉 Char"/>
    <w:basedOn w:val="6"/>
    <w:link w:val="4"/>
    <w:semiHidden/>
    <w:uiPriority w:val="99"/>
    <w:rPr>
      <w:sz w:val="18"/>
      <w:szCs w:val="18"/>
    </w:rPr>
  </w:style>
  <w:style w:type="character" w:customStyle="1" w:styleId="10">
    <w:name w:val="正文文本 Char"/>
    <w:basedOn w:val="6"/>
    <w:link w:val="2"/>
    <w:qFormat/>
    <w:uiPriority w:val="0"/>
    <w:rPr>
      <w:rFonts w:ascii="Times New Roman" w:hAnsi="Times New Roman" w:eastAsia="仿宋_GB2312" w:cs="Times New Roman"/>
      <w:sz w:val="28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150</Words>
  <Characters>857</Characters>
  <Lines>7</Lines>
  <Paragraphs>2</Paragraphs>
  <TotalTime>1</TotalTime>
  <ScaleCrop>false</ScaleCrop>
  <LinksUpToDate>false</LinksUpToDate>
  <CharactersWithSpaces>1005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2020-04-13T03:44:00Z</dcterms:created>
  <dc:creator>hp</dc:creator>
  <cp:lastModifiedBy>Administrator</cp:lastModifiedBy>
  <dcterms:modified xsi:type="dcterms:W3CDTF">2020-04-13T10:46:35Z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