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overflowPunct/>
        <w:topLinePunct w:val="0"/>
        <w:bidi w:val="0"/>
        <w:spacing w:before="185" w:line="579" w:lineRule="exact"/>
        <w:ind w:left="0" w:leftChars="0" w:firstLine="0" w:firstLineChars="0"/>
        <w:jc w:val="center"/>
        <w:outlineLvl w:val="9"/>
        <w:rPr>
          <w:rFonts w:hint="eastAsia" w:ascii="Times New Roman" w:hAnsi="Times New Roman" w:eastAsia="方正小标宋_GBK" w:cs="Times New Roman"/>
          <w:snapToGrid/>
          <w:color w:val="000000"/>
          <w:kern w:val="2"/>
          <w:sz w:val="44"/>
          <w:szCs w:val="44"/>
          <w:lang w:val="en-US" w:eastAsia="zh-CN" w:bidi="ar-SA"/>
        </w:rPr>
      </w:pPr>
      <w:r>
        <w:rPr>
          <w:rFonts w:hint="eastAsia" w:ascii="Times New Roman" w:hAnsi="Times New Roman" w:eastAsia="方正小标宋_GBK" w:cs="Times New Roman"/>
          <w:snapToGrid/>
          <w:color w:val="000000"/>
          <w:kern w:val="2"/>
          <w:sz w:val="44"/>
          <w:szCs w:val="44"/>
          <w:lang w:val="en-US" w:eastAsia="zh-CN" w:bidi="ar-SA"/>
        </w:rPr>
        <w:t>城口县水利局</w:t>
      </w:r>
    </w:p>
    <w:p>
      <w:pPr>
        <w:pStyle w:val="3"/>
        <w:keepNext w:val="0"/>
        <w:keepLines w:val="0"/>
        <w:pageBreakBefore w:val="0"/>
        <w:overflowPunct/>
        <w:topLinePunct w:val="0"/>
        <w:bidi w:val="0"/>
        <w:spacing w:before="7" w:line="579" w:lineRule="exact"/>
        <w:jc w:val="center"/>
        <w:outlineLvl w:val="9"/>
        <w:rPr>
          <w:rFonts w:hint="eastAsia" w:ascii="Times New Roman" w:hAnsi="Times New Roman" w:eastAsia="方正小标宋_GBK" w:cs="Times New Roman"/>
          <w:snapToGrid/>
          <w:color w:val="000000"/>
          <w:kern w:val="2"/>
          <w:sz w:val="44"/>
          <w:szCs w:val="44"/>
          <w:lang w:val="en-US" w:eastAsia="zh-CN" w:bidi="ar-SA"/>
        </w:rPr>
      </w:pPr>
      <w:r>
        <w:rPr>
          <w:rFonts w:hint="eastAsia" w:ascii="Times New Roman" w:hAnsi="Times New Roman" w:eastAsia="方正小标宋_GBK" w:cs="Times New Roman"/>
          <w:snapToGrid/>
          <w:color w:val="000000"/>
          <w:kern w:val="2"/>
          <w:sz w:val="44"/>
          <w:szCs w:val="44"/>
          <w:lang w:val="en-US" w:eastAsia="zh-CN" w:bidi="ar-SA"/>
        </w:rPr>
        <w:t>关于印发《2023年度市对县考核最严格水资源</w:t>
      </w:r>
    </w:p>
    <w:p>
      <w:pPr>
        <w:keepNext w:val="0"/>
        <w:keepLines w:val="0"/>
        <w:pageBreakBefore w:val="0"/>
        <w:widowControl w:val="0"/>
        <w:kinsoku/>
        <w:overflowPunct/>
        <w:topLinePunct w:val="0"/>
        <w:autoSpaceDE/>
        <w:autoSpaceDN/>
        <w:bidi w:val="0"/>
        <w:adjustRightInd/>
        <w:snapToGrid/>
        <w:spacing w:line="579" w:lineRule="exact"/>
        <w:jc w:val="center"/>
        <w:textAlignment w:val="auto"/>
        <w:outlineLvl w:val="9"/>
        <w:rPr>
          <w:rFonts w:ascii="Times New Roman" w:hAnsi="Times New Roman" w:eastAsia="方正仿宋_GBK" w:cs="Times New Roman"/>
          <w:snapToGrid/>
          <w:kern w:val="2"/>
          <w:sz w:val="32"/>
          <w:szCs w:val="22"/>
          <w:lang w:eastAsia="zh-CN"/>
        </w:rPr>
      </w:pPr>
      <w:r>
        <w:rPr>
          <w:rFonts w:hint="eastAsia" w:ascii="Times New Roman" w:hAnsi="Times New Roman" w:eastAsia="方正小标宋_GBK" w:cs="Times New Roman"/>
          <w:snapToGrid/>
          <w:color w:val="000000"/>
          <w:kern w:val="2"/>
          <w:sz w:val="44"/>
          <w:szCs w:val="44"/>
          <w:lang w:val="en-US" w:eastAsia="zh-CN" w:bidi="ar-SA"/>
        </w:rPr>
        <w:t>管理指标任务分解》的通知</w:t>
      </w:r>
    </w:p>
    <w:p>
      <w:pPr>
        <w:keepNext w:val="0"/>
        <w:keepLines w:val="0"/>
        <w:pageBreakBefore w:val="0"/>
        <w:overflowPunct/>
        <w:topLinePunct w:val="0"/>
        <w:bidi w:val="0"/>
        <w:spacing w:line="579" w:lineRule="exact"/>
        <w:outlineLvl w:val="9"/>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2" w:line="579" w:lineRule="exact"/>
        <w:jc w:val="left"/>
        <w:textAlignment w:val="baseline"/>
        <w:outlineLvl w:val="9"/>
        <w:rPr>
          <w:rFonts w:hint="eastAsia" w:ascii="Times New Roman" w:hAnsi="Times New Roman" w:eastAsia="方正仿宋_GBK" w:cs="Times New Roman"/>
          <w:snapToGrid/>
          <w:color w:val="000000"/>
          <w:kern w:val="2"/>
          <w:sz w:val="32"/>
          <w:szCs w:val="22"/>
          <w:lang w:val="en-US" w:eastAsia="zh-CN" w:bidi="ar-SA"/>
        </w:rPr>
      </w:pPr>
      <w:r>
        <w:rPr>
          <w:rFonts w:hint="eastAsia" w:ascii="Times New Roman" w:hAnsi="Times New Roman" w:eastAsia="方正仿宋_GBK" w:cs="Times New Roman"/>
          <w:snapToGrid/>
          <w:color w:val="000000"/>
          <w:kern w:val="2"/>
          <w:sz w:val="32"/>
          <w:szCs w:val="22"/>
          <w:lang w:val="en-US" w:eastAsia="zh-CN" w:bidi="ar-SA"/>
        </w:rPr>
        <w:t>相关科室、下属事业单位：</w:t>
      </w:r>
    </w:p>
    <w:p>
      <w:pPr>
        <w:keepNext w:val="0"/>
        <w:keepLines w:val="0"/>
        <w:pageBreakBefore w:val="0"/>
        <w:overflowPunct/>
        <w:topLinePunct w:val="0"/>
        <w:bidi w:val="0"/>
        <w:adjustRightInd w:val="0"/>
        <w:snapToGrid w:val="0"/>
        <w:spacing w:line="579" w:lineRule="exact"/>
        <w:ind w:firstLine="640" w:firstLineChars="200"/>
        <w:jc w:val="both"/>
        <w:outlineLvl w:val="9"/>
        <w:rPr>
          <w:rFonts w:hint="eastAsia" w:ascii="Times New Roman" w:hAnsi="Times New Roman" w:eastAsia="方正仿宋_GBK" w:cs="Times New Roman"/>
          <w:snapToGrid/>
          <w:color w:val="000000"/>
          <w:kern w:val="2"/>
          <w:sz w:val="32"/>
          <w:szCs w:val="22"/>
          <w:lang w:val="en-US" w:eastAsia="zh-CN" w:bidi="ar-SA"/>
        </w:rPr>
      </w:pPr>
      <w:r>
        <w:rPr>
          <w:rFonts w:hint="eastAsia" w:ascii="Times New Roman" w:hAnsi="Times New Roman" w:eastAsia="方正仿宋_GBK" w:cs="Times New Roman"/>
          <w:snapToGrid/>
          <w:color w:val="000000"/>
          <w:kern w:val="2"/>
          <w:sz w:val="32"/>
          <w:szCs w:val="22"/>
          <w:lang w:val="en-US" w:eastAsia="zh-CN" w:bidi="ar-SA"/>
        </w:rPr>
        <w:t>为全面落实我县最严格水资源管理制度，强化水资源刚性约束，切实把市局下达的市对县考核最严格水资源管理指标任务落到实处，确保我县在年终考核中取得理想成绩，结合市水利局印发《2023年度重庆市最严格水资源管理达标率考核细则（暂行）》和我局领导分工以及相关科室工作职责，经局主要领导同意，将《2023年度市对县考核最严格水资源管理指标任务分解》印发给你们，请你们围绕考核指标要求，及时研判存在的问题，找准突破点，提出工作措施，同时加强与市局相关处室工作对接，确保考核指标顺利完成。</w:t>
      </w:r>
    </w:p>
    <w:p>
      <w:pPr>
        <w:pStyle w:val="3"/>
        <w:keepNext w:val="0"/>
        <w:keepLines w:val="0"/>
        <w:pageBreakBefore w:val="0"/>
        <w:widowControl/>
        <w:kinsoku w:val="0"/>
        <w:wordWrap/>
        <w:overflowPunct/>
        <w:topLinePunct w:val="0"/>
        <w:autoSpaceDE w:val="0"/>
        <w:autoSpaceDN w:val="0"/>
        <w:bidi w:val="0"/>
        <w:adjustRightInd w:val="0"/>
        <w:snapToGrid w:val="0"/>
        <w:spacing w:before="2" w:line="579" w:lineRule="exact"/>
        <w:ind w:left="1941" w:leftChars="315" w:hanging="1280" w:hangingChars="400"/>
        <w:jc w:val="both"/>
        <w:textAlignment w:val="baseline"/>
        <w:outlineLvl w:val="9"/>
        <w:rPr>
          <w:rFonts w:hint="eastAsia" w:ascii="Times New Roman" w:hAnsi="Times New Roman" w:eastAsia="方正仿宋_GBK" w:cs="Times New Roman"/>
          <w:snapToGrid/>
          <w:color w:val="000000"/>
          <w:kern w:val="2"/>
          <w:sz w:val="32"/>
          <w:szCs w:val="22"/>
          <w:lang w:val="en-US" w:eastAsia="zh-CN"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2" w:line="579" w:lineRule="exact"/>
        <w:ind w:left="1941" w:leftChars="315" w:hanging="1280" w:hangingChars="400"/>
        <w:jc w:val="both"/>
        <w:textAlignment w:val="baseline"/>
        <w:outlineLvl w:val="9"/>
        <w:rPr>
          <w:rFonts w:hint="eastAsia" w:ascii="Times New Roman" w:hAnsi="Times New Roman" w:eastAsia="方正仿宋_GBK" w:cs="Times New Roman"/>
          <w:snapToGrid/>
          <w:color w:val="000000"/>
          <w:kern w:val="2"/>
          <w:sz w:val="32"/>
          <w:szCs w:val="22"/>
          <w:lang w:val="en-US" w:eastAsia="zh-CN" w:bidi="ar-SA"/>
        </w:rPr>
      </w:pPr>
      <w:r>
        <w:rPr>
          <w:rFonts w:hint="eastAsia" w:ascii="Times New Roman" w:hAnsi="Times New Roman" w:eastAsia="方正仿宋_GBK" w:cs="Times New Roman"/>
          <w:snapToGrid/>
          <w:color w:val="000000"/>
          <w:kern w:val="2"/>
          <w:sz w:val="32"/>
          <w:szCs w:val="22"/>
          <w:lang w:val="en-US" w:eastAsia="zh-CN" w:bidi="ar-SA"/>
        </w:rPr>
        <w:t>附件：2023年度市对县考核最严格水资源管理指标任务分解表</w:t>
      </w:r>
    </w:p>
    <w:p>
      <w:pPr>
        <w:pStyle w:val="3"/>
        <w:keepNext w:val="0"/>
        <w:keepLines w:val="0"/>
        <w:pageBreakBefore w:val="0"/>
        <w:widowControl/>
        <w:kinsoku w:val="0"/>
        <w:wordWrap/>
        <w:overflowPunct/>
        <w:topLinePunct w:val="0"/>
        <w:autoSpaceDE w:val="0"/>
        <w:autoSpaceDN w:val="0"/>
        <w:bidi w:val="0"/>
        <w:adjustRightInd w:val="0"/>
        <w:snapToGrid w:val="0"/>
        <w:spacing w:before="2" w:line="579" w:lineRule="exact"/>
        <w:ind w:left="1939" w:leftChars="771" w:hanging="320" w:hangingChars="100"/>
        <w:jc w:val="left"/>
        <w:textAlignment w:val="baseline"/>
        <w:outlineLvl w:val="9"/>
        <w:rPr>
          <w:rFonts w:hint="eastAsia" w:ascii="Times New Roman" w:hAnsi="Times New Roman" w:eastAsia="方正仿宋_GBK" w:cs="Times New Roman"/>
          <w:snapToGrid/>
          <w:color w:val="000000"/>
          <w:kern w:val="2"/>
          <w:sz w:val="32"/>
          <w:szCs w:val="22"/>
          <w:lang w:val="en-US" w:eastAsia="zh-CN" w:bidi="ar-SA"/>
        </w:rPr>
      </w:pPr>
      <w:r>
        <w:rPr>
          <w:rFonts w:hint="eastAsia" w:ascii="Times New Roman" w:hAnsi="Times New Roman" w:eastAsia="方正仿宋_GBK" w:cs="Times New Roman"/>
          <w:snapToGrid/>
          <w:color w:val="000000"/>
          <w:kern w:val="2"/>
          <w:sz w:val="32"/>
          <w:szCs w:val="22"/>
          <w:lang w:val="en-US" w:eastAsia="zh-CN" w:bidi="ar-SA"/>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before="2" w:line="579" w:lineRule="exact"/>
        <w:ind w:left="1939" w:leftChars="771" w:hanging="320" w:hangingChars="100"/>
        <w:jc w:val="left"/>
        <w:textAlignment w:val="baseline"/>
        <w:outlineLvl w:val="9"/>
        <w:rPr>
          <w:rFonts w:hint="eastAsia" w:ascii="Times New Roman" w:hAnsi="Times New Roman" w:eastAsia="方正仿宋_GBK" w:cs="Times New Roman"/>
          <w:snapToGrid/>
          <w:color w:val="000000"/>
          <w:kern w:val="2"/>
          <w:sz w:val="32"/>
          <w:szCs w:val="22"/>
          <w:lang w:val="en-US" w:eastAsia="zh-CN" w:bidi="ar-SA"/>
        </w:rPr>
      </w:pPr>
    </w:p>
    <w:p>
      <w:pPr>
        <w:pStyle w:val="3"/>
        <w:keepNext w:val="0"/>
        <w:keepLines w:val="0"/>
        <w:pageBreakBefore w:val="0"/>
        <w:overflowPunct/>
        <w:topLinePunct w:val="0"/>
        <w:bidi w:val="0"/>
        <w:spacing w:before="2" w:line="579" w:lineRule="exact"/>
        <w:ind w:left="21"/>
        <w:jc w:val="left"/>
        <w:outlineLvl w:val="9"/>
        <w:rPr>
          <w:rFonts w:hint="eastAsia" w:ascii="Times New Roman" w:hAnsi="Times New Roman" w:eastAsia="方正仿宋_GBK" w:cs="Times New Roman"/>
          <w:snapToGrid/>
          <w:color w:val="000000"/>
          <w:kern w:val="2"/>
          <w:sz w:val="32"/>
          <w:szCs w:val="22"/>
          <w:lang w:val="en-US" w:eastAsia="zh-CN" w:bidi="ar-SA"/>
        </w:rPr>
      </w:pPr>
      <w:r>
        <w:rPr>
          <w:rFonts w:hint="eastAsia" w:ascii="Times New Roman" w:hAnsi="Times New Roman" w:eastAsia="方正仿宋_GBK" w:cs="Times New Roman"/>
          <w:snapToGrid/>
          <w:color w:val="000000"/>
          <w:kern w:val="2"/>
          <w:sz w:val="32"/>
          <w:szCs w:val="22"/>
          <w:lang w:val="en-US" w:eastAsia="zh-CN" w:bidi="ar-SA"/>
        </w:rPr>
        <w:t xml:space="preserve">                                                                             城口县水利局</w:t>
      </w:r>
    </w:p>
    <w:p>
      <w:pPr>
        <w:keepNext w:val="0"/>
        <w:keepLines w:val="0"/>
        <w:pageBreakBefore w:val="0"/>
        <w:widowControl w:val="0"/>
        <w:kinsoku/>
        <w:wordWrap w:val="0"/>
        <w:overflowPunct/>
        <w:topLinePunct w:val="0"/>
        <w:autoSpaceDE/>
        <w:autoSpaceDN/>
        <w:bidi w:val="0"/>
        <w:adjustRightInd/>
        <w:snapToGrid/>
        <w:spacing w:line="579" w:lineRule="exact"/>
        <w:jc w:val="left"/>
        <w:textAlignment w:val="auto"/>
        <w:outlineLvl w:val="9"/>
        <w:rPr>
          <w:rFonts w:hint="eastAsia" w:ascii="Times New Roman" w:hAnsi="Times New Roman" w:eastAsia="方正仿宋_GBK" w:cs="Times New Roman"/>
          <w:snapToGrid/>
          <w:kern w:val="2"/>
          <w:sz w:val="32"/>
          <w:szCs w:val="22"/>
          <w:lang w:val="en-US" w:eastAsia="zh-CN"/>
        </w:rPr>
      </w:pPr>
      <w:r>
        <w:rPr>
          <w:rFonts w:hint="eastAsia" w:ascii="Times New Roman" w:hAnsi="Times New Roman" w:eastAsia="方正仿宋_GBK" w:cs="Times New Roman"/>
          <w:snapToGrid/>
          <w:color w:val="000000"/>
          <w:kern w:val="2"/>
          <w:sz w:val="32"/>
          <w:szCs w:val="22"/>
          <w:lang w:val="en-US" w:eastAsia="zh-CN" w:bidi="ar-SA"/>
        </w:rPr>
        <w:t xml:space="preserve">                                                                        </w:t>
      </w:r>
      <w:r>
        <w:rPr>
          <w:rFonts w:hint="eastAsia" w:ascii="Times New Roman" w:hAnsi="Times New Roman" w:eastAsia="方正仿宋_GBK" w:cs="Times New Roman"/>
          <w:snapToGrid/>
          <w:kern w:val="2"/>
          <w:sz w:val="32"/>
          <w:szCs w:val="22"/>
          <w:lang w:eastAsia="zh-CN"/>
        </w:rPr>
        <w:t>202</w:t>
      </w:r>
      <w:r>
        <w:rPr>
          <w:rFonts w:hint="eastAsia" w:ascii="Times New Roman" w:hAnsi="Times New Roman" w:eastAsia="方正仿宋_GBK" w:cs="Times New Roman"/>
          <w:snapToGrid/>
          <w:kern w:val="2"/>
          <w:sz w:val="32"/>
          <w:szCs w:val="22"/>
          <w:lang w:val="en-US" w:eastAsia="zh-CN"/>
        </w:rPr>
        <w:t>3</w:t>
      </w:r>
      <w:r>
        <w:rPr>
          <w:rFonts w:hint="eastAsia" w:ascii="Times New Roman" w:hAnsi="Times New Roman" w:eastAsia="方正仿宋_GBK" w:cs="Times New Roman"/>
          <w:snapToGrid/>
          <w:kern w:val="2"/>
          <w:sz w:val="32"/>
          <w:szCs w:val="22"/>
          <w:lang w:eastAsia="zh-CN"/>
        </w:rPr>
        <w:t>年1</w:t>
      </w:r>
      <w:r>
        <w:rPr>
          <w:rFonts w:hint="eastAsia" w:ascii="Times New Roman" w:hAnsi="Times New Roman" w:eastAsia="方正仿宋_GBK" w:cs="Times New Roman"/>
          <w:snapToGrid/>
          <w:kern w:val="2"/>
          <w:sz w:val="32"/>
          <w:szCs w:val="22"/>
          <w:lang w:val="en-US" w:eastAsia="zh-CN"/>
        </w:rPr>
        <w:t>1</w:t>
      </w:r>
      <w:r>
        <w:rPr>
          <w:rFonts w:hint="eastAsia" w:ascii="Times New Roman" w:hAnsi="Times New Roman" w:eastAsia="方正仿宋_GBK" w:cs="Times New Roman"/>
          <w:snapToGrid/>
          <w:kern w:val="2"/>
          <w:sz w:val="32"/>
          <w:szCs w:val="22"/>
          <w:lang w:eastAsia="zh-CN"/>
        </w:rPr>
        <w:t>月</w:t>
      </w:r>
      <w:r>
        <w:rPr>
          <w:rFonts w:hint="eastAsia" w:ascii="Times New Roman" w:hAnsi="Times New Roman" w:eastAsia="方正仿宋_GBK" w:cs="Times New Roman"/>
          <w:snapToGrid/>
          <w:kern w:val="2"/>
          <w:sz w:val="32"/>
          <w:szCs w:val="22"/>
          <w:lang w:val="en-US" w:eastAsia="zh-CN"/>
        </w:rPr>
        <w:t>21</w:t>
      </w:r>
      <w:r>
        <w:rPr>
          <w:rFonts w:hint="eastAsia" w:ascii="Times New Roman" w:hAnsi="Times New Roman" w:eastAsia="方正仿宋_GBK" w:cs="Times New Roman"/>
          <w:snapToGrid/>
          <w:kern w:val="2"/>
          <w:sz w:val="32"/>
          <w:szCs w:val="22"/>
          <w:lang w:eastAsia="zh-CN"/>
        </w:rPr>
        <w:t>日</w:t>
      </w:r>
      <w:r>
        <w:rPr>
          <w:rFonts w:hint="eastAsia" w:ascii="Times New Roman" w:hAnsi="Times New Roman" w:eastAsia="方正仿宋_GBK" w:cs="Times New Roman"/>
          <w:snapToGrid/>
          <w:kern w:val="2"/>
          <w:sz w:val="32"/>
          <w:szCs w:val="22"/>
          <w:lang w:val="en-US" w:eastAsia="zh-CN"/>
        </w:rPr>
        <w:t xml:space="preserve"> </w:t>
      </w:r>
    </w:p>
    <w:p>
      <w:pPr>
        <w:pStyle w:val="2"/>
        <w:rPr>
          <w:rFonts w:hint="eastAsia" w:ascii="Times New Roman" w:hAnsi="Times New Roman" w:eastAsia="方正仿宋_GBK" w:cs="Times New Roman"/>
          <w:snapToGrid/>
          <w:kern w:val="2"/>
          <w:sz w:val="32"/>
          <w:szCs w:val="2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Times New Roman" w:hAnsi="Times New Roman" w:eastAsia="方正仿宋_GBK" w:cs="Times New Roman"/>
          <w:snapToGrid/>
          <w:kern w:val="2"/>
          <w:sz w:val="32"/>
          <w:szCs w:val="22"/>
          <w:lang w:val="en-US" w:eastAsia="zh-CN"/>
        </w:rPr>
        <w:sectPr>
          <w:footerReference r:id="rId5" w:type="default"/>
          <w:pgSz w:w="11906" w:h="16838"/>
          <w:pgMar w:top="2098" w:right="1474" w:bottom="1984" w:left="1587" w:header="0" w:footer="1389" w:gutter="0"/>
          <w:pgNumType w:fmt="numberInDash" w:start="1"/>
          <w:cols w:space="0" w:num="1"/>
          <w:rtlGutter w:val="0"/>
          <w:docGrid w:linePitch="0" w:charSpace="0"/>
        </w:sectPr>
      </w:pPr>
      <w:r>
        <w:rPr>
          <w:rFonts w:hint="eastAsia" w:ascii="Times New Roman" w:hAnsi="Times New Roman" w:cs="Times New Roman"/>
          <w:snapToGrid/>
          <w:kern w:val="2"/>
          <w:sz w:val="32"/>
          <w:szCs w:val="22"/>
          <w:lang w:val="en-US" w:eastAsia="zh-CN"/>
        </w:rPr>
        <w:t>（此件公开发布）</w:t>
      </w:r>
    </w:p>
    <w:p>
      <w:pPr>
        <w:spacing w:before="114" w:line="239" w:lineRule="auto"/>
        <w:ind w:left="146"/>
        <w:rPr>
          <w:rFonts w:ascii="方正黑体_GBK" w:hAnsi="方正黑体_GBK" w:eastAsia="方正黑体_GBK" w:cs="方正黑体_GBK"/>
          <w:sz w:val="31"/>
          <w:szCs w:val="31"/>
        </w:rPr>
      </w:pPr>
      <w:r>
        <w:rPr>
          <w:rFonts w:ascii="方正黑体_GBK" w:hAnsi="方正黑体_GBK" w:eastAsia="方正黑体_GBK" w:cs="方正黑体_GBK"/>
          <w:spacing w:val="-5"/>
          <w:sz w:val="31"/>
          <w:szCs w:val="31"/>
        </w:rPr>
        <w:t>附件</w:t>
      </w:r>
      <w:r>
        <w:rPr>
          <w:rFonts w:ascii="方正黑体_GBK" w:hAnsi="方正黑体_GBK" w:eastAsia="方正黑体_GBK" w:cs="方正黑体_GBK"/>
          <w:spacing w:val="27"/>
          <w:sz w:val="31"/>
          <w:szCs w:val="31"/>
        </w:rPr>
        <w:t xml:space="preserve"> </w:t>
      </w:r>
    </w:p>
    <w:p>
      <w:pPr>
        <w:spacing w:line="347" w:lineRule="auto"/>
        <w:rPr>
          <w:rFonts w:ascii="Arial"/>
          <w:sz w:val="21"/>
        </w:rPr>
      </w:pPr>
    </w:p>
    <w:p>
      <w:pPr>
        <w:pStyle w:val="3"/>
        <w:spacing w:before="1" w:line="196" w:lineRule="auto"/>
        <w:ind w:left="0" w:leftChars="0" w:firstLine="0" w:firstLineChars="0"/>
        <w:jc w:val="center"/>
        <w:rPr>
          <w:rFonts w:hint="eastAsia" w:ascii="黑体" w:hAnsi="黑体" w:eastAsia="黑体" w:cs="黑体"/>
          <w:b/>
          <w:bCs/>
          <w:sz w:val="35"/>
          <w:szCs w:val="35"/>
          <w:lang w:eastAsia="zh-CN"/>
        </w:rPr>
      </w:pPr>
      <w:r>
        <w:rPr>
          <w:rFonts w:hint="eastAsia" w:ascii="黑体" w:hAnsi="黑体" w:eastAsia="黑体" w:cs="黑体"/>
          <w:b/>
          <w:bCs/>
          <w:sz w:val="52"/>
          <w:szCs w:val="52"/>
        </w:rPr>
        <w:t>202</w:t>
      </w:r>
      <w:r>
        <w:rPr>
          <w:rFonts w:hint="eastAsia" w:ascii="黑体" w:hAnsi="黑体" w:eastAsia="黑体" w:cs="黑体"/>
          <w:b/>
          <w:bCs/>
          <w:sz w:val="52"/>
          <w:szCs w:val="52"/>
          <w:lang w:val="en-US" w:eastAsia="zh-CN"/>
        </w:rPr>
        <w:t>3</w:t>
      </w:r>
      <w:r>
        <w:rPr>
          <w:rFonts w:hint="eastAsia" w:ascii="黑体" w:hAnsi="黑体" w:eastAsia="黑体" w:cs="黑体"/>
          <w:b/>
          <w:bCs/>
          <w:sz w:val="52"/>
          <w:szCs w:val="52"/>
        </w:rPr>
        <w:t xml:space="preserve"> </w:t>
      </w:r>
      <w:r>
        <w:rPr>
          <w:rFonts w:hint="eastAsia" w:ascii="黑体" w:hAnsi="黑体" w:eastAsia="黑体" w:cs="黑体"/>
          <w:b/>
          <w:bCs/>
          <w:sz w:val="52"/>
          <w:szCs w:val="52"/>
          <w14:textOutline w14:w="9529" w14:cap="flat" w14:cmpd="sng">
            <w14:solidFill>
              <w14:srgbClr w14:val="000000"/>
            </w14:solidFill>
            <w14:prstDash w14:val="solid"/>
            <w14:miter w14:val="0"/>
          </w14:textOutline>
        </w:rPr>
        <w:t>年度市对县考核</w:t>
      </w:r>
      <w:r>
        <w:rPr>
          <w:rFonts w:hint="eastAsia" w:ascii="黑体" w:hAnsi="黑体" w:eastAsia="黑体" w:cs="黑体"/>
          <w:b/>
          <w:bCs/>
          <w:sz w:val="52"/>
          <w:szCs w:val="52"/>
          <w:lang w:eastAsia="zh-CN"/>
          <w14:textOutline w14:w="9529" w14:cap="flat" w14:cmpd="sng">
            <w14:solidFill>
              <w14:srgbClr w14:val="000000"/>
            </w14:solidFill>
            <w14:prstDash w14:val="solid"/>
            <w14:miter w14:val="0"/>
          </w14:textOutline>
        </w:rPr>
        <w:t>最严格水资源管理</w:t>
      </w:r>
      <w:r>
        <w:rPr>
          <w:rFonts w:hint="eastAsia" w:ascii="黑体" w:hAnsi="黑体" w:eastAsia="黑体" w:cs="黑体"/>
          <w:b/>
          <w:bCs/>
          <w:sz w:val="52"/>
          <w:szCs w:val="52"/>
          <w14:textOutline w14:w="9529" w14:cap="flat" w14:cmpd="sng">
            <w14:solidFill>
              <w14:srgbClr w14:val="000000"/>
            </w14:solidFill>
            <w14:prstDash w14:val="solid"/>
            <w14:miter w14:val="0"/>
          </w14:textOutline>
        </w:rPr>
        <w:t>指标任务分解</w:t>
      </w:r>
      <w:r>
        <w:rPr>
          <w:rFonts w:hint="eastAsia" w:ascii="黑体" w:hAnsi="黑体" w:eastAsia="黑体" w:cs="黑体"/>
          <w:b/>
          <w:bCs/>
          <w:sz w:val="52"/>
          <w:szCs w:val="52"/>
          <w:lang w:eastAsia="zh-CN"/>
          <w14:textOutline w14:w="9529" w14:cap="flat" w14:cmpd="sng">
            <w14:solidFill>
              <w14:srgbClr w14:val="000000"/>
            </w14:solidFill>
            <w14:prstDash w14:val="solid"/>
            <w14:miter w14:val="0"/>
          </w14:textOutline>
        </w:rPr>
        <w:t>表</w:t>
      </w:r>
    </w:p>
    <w:tbl>
      <w:tblPr>
        <w:tblStyle w:val="8"/>
        <w:tblpPr w:leftFromText="180" w:rightFromText="180" w:vertAnchor="text" w:horzAnchor="page" w:tblpX="1225" w:tblpY="163"/>
        <w:tblOverlap w:val="never"/>
        <w:tblW w:w="214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1120"/>
        <w:gridCol w:w="1575"/>
        <w:gridCol w:w="1230"/>
        <w:gridCol w:w="2595"/>
        <w:gridCol w:w="10125"/>
        <w:gridCol w:w="1410"/>
        <w:gridCol w:w="2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jc w:val="center"/>
        </w:trPr>
        <w:tc>
          <w:tcPr>
            <w:tcW w:w="1035" w:type="dxa"/>
            <w:tcBorders>
              <w:top w:val="single" w:color="000000" w:sz="4" w:space="0"/>
              <w:bottom w:val="single" w:color="auto" w:sz="4" w:space="0"/>
            </w:tcBorders>
            <w:vAlign w:val="center"/>
          </w:tcPr>
          <w:p>
            <w:pPr>
              <w:spacing w:before="92" w:line="197" w:lineRule="auto"/>
              <w:jc w:val="center"/>
              <w:rPr>
                <w:rFonts w:ascii="方正黑体_GBK" w:hAnsi="方正黑体_GBK" w:eastAsia="方正黑体_GBK" w:cs="方正黑体_GBK"/>
                <w:sz w:val="24"/>
                <w:szCs w:val="24"/>
              </w:rPr>
            </w:pPr>
            <w:r>
              <w:rPr>
                <w:rFonts w:ascii="方正黑体_GBK" w:hAnsi="方正黑体_GBK" w:eastAsia="方正黑体_GBK" w:cs="方正黑体_GBK"/>
                <w:spacing w:val="11"/>
                <w:sz w:val="24"/>
                <w:szCs w:val="24"/>
              </w:rPr>
              <w:t>一级</w:t>
            </w:r>
          </w:p>
          <w:p>
            <w:pPr>
              <w:jc w:val="center"/>
              <w:rPr>
                <w:rFonts w:ascii="方正黑体_GBK" w:hAnsi="方正黑体_GBK" w:eastAsia="方正黑体_GBK" w:cs="方正黑体_GBK"/>
                <w:sz w:val="24"/>
                <w:szCs w:val="24"/>
              </w:rPr>
            </w:pPr>
            <w:r>
              <w:rPr>
                <w:rFonts w:ascii="方正黑体_GBK" w:hAnsi="方正黑体_GBK" w:eastAsia="方正黑体_GBK" w:cs="方正黑体_GBK"/>
                <w:spacing w:val="14"/>
                <w:sz w:val="24"/>
                <w:szCs w:val="24"/>
              </w:rPr>
              <w:t>指标</w:t>
            </w:r>
          </w:p>
        </w:tc>
        <w:tc>
          <w:tcPr>
            <w:tcW w:w="1120" w:type="dxa"/>
            <w:tcBorders>
              <w:top w:val="single" w:color="000000" w:sz="4" w:space="0"/>
            </w:tcBorders>
            <w:vAlign w:val="center"/>
          </w:tcPr>
          <w:p>
            <w:pPr>
              <w:spacing w:before="92" w:line="197" w:lineRule="auto"/>
              <w:jc w:val="center"/>
              <w:rPr>
                <w:rFonts w:hint="eastAsia" w:ascii="方正黑体_GBK" w:hAnsi="方正黑体_GBK" w:eastAsia="方正黑体_GBK" w:cs="方正黑体_GBK"/>
                <w:sz w:val="24"/>
                <w:szCs w:val="24"/>
                <w:lang w:val="en-US" w:eastAsia="zh-CN"/>
              </w:rPr>
            </w:pPr>
            <w:r>
              <w:rPr>
                <w:rFonts w:ascii="方正黑体_GBK" w:hAnsi="方正黑体_GBK" w:eastAsia="方正黑体_GBK" w:cs="方正黑体_GBK"/>
                <w:spacing w:val="11"/>
                <w:sz w:val="24"/>
                <w:szCs w:val="24"/>
              </w:rPr>
              <w:t>一级</w:t>
            </w:r>
            <w:r>
              <w:rPr>
                <w:rFonts w:ascii="方正黑体_GBK" w:hAnsi="方正黑体_GBK" w:eastAsia="方正黑体_GBK" w:cs="方正黑体_GBK"/>
                <w:spacing w:val="14"/>
                <w:sz w:val="24"/>
                <w:szCs w:val="24"/>
              </w:rPr>
              <w:t>指标</w:t>
            </w:r>
            <w:r>
              <w:rPr>
                <w:rFonts w:hint="eastAsia" w:ascii="方正黑体_GBK" w:hAnsi="方正黑体_GBK" w:eastAsia="方正黑体_GBK" w:cs="方正黑体_GBK"/>
                <w:spacing w:val="14"/>
                <w:sz w:val="24"/>
                <w:szCs w:val="24"/>
                <w:lang w:eastAsia="zh-CN"/>
              </w:rPr>
              <w:t>权重</w:t>
            </w:r>
          </w:p>
        </w:tc>
        <w:tc>
          <w:tcPr>
            <w:tcW w:w="1575" w:type="dxa"/>
            <w:tcBorders>
              <w:top w:val="single" w:color="000000" w:sz="4" w:space="0"/>
            </w:tcBorders>
            <w:vAlign w:val="center"/>
          </w:tcPr>
          <w:p>
            <w:pPr>
              <w:spacing w:before="91" w:line="241" w:lineRule="auto"/>
              <w:jc w:val="center"/>
              <w:rPr>
                <w:rFonts w:ascii="方正黑体_GBK" w:hAnsi="方正黑体_GBK" w:eastAsia="方正黑体_GBK" w:cs="方正黑体_GBK"/>
                <w:spacing w:val="21"/>
                <w:sz w:val="24"/>
                <w:szCs w:val="24"/>
              </w:rPr>
            </w:pPr>
            <w:r>
              <w:rPr>
                <w:rFonts w:ascii="方正黑体_GBK" w:hAnsi="方正黑体_GBK" w:eastAsia="方正黑体_GBK" w:cs="方正黑体_GBK"/>
                <w:spacing w:val="21"/>
                <w:sz w:val="24"/>
                <w:szCs w:val="24"/>
              </w:rPr>
              <w:t>二级指标</w:t>
            </w:r>
          </w:p>
        </w:tc>
        <w:tc>
          <w:tcPr>
            <w:tcW w:w="1230" w:type="dxa"/>
            <w:tcBorders>
              <w:top w:val="single" w:color="000000" w:sz="4" w:space="0"/>
            </w:tcBorders>
            <w:vAlign w:val="center"/>
          </w:tcPr>
          <w:p>
            <w:pPr>
              <w:spacing w:before="92"/>
              <w:jc w:val="center"/>
              <w:rPr>
                <w:rFonts w:ascii="方正黑体_GBK" w:hAnsi="方正黑体_GBK" w:eastAsia="方正黑体_GBK" w:cs="方正黑体_GBK"/>
                <w:spacing w:val="21"/>
                <w:sz w:val="24"/>
                <w:szCs w:val="24"/>
              </w:rPr>
            </w:pPr>
            <w:r>
              <w:rPr>
                <w:rFonts w:ascii="方正黑体_GBK" w:hAnsi="方正黑体_GBK" w:eastAsia="方正黑体_GBK" w:cs="方正黑体_GBK"/>
                <w:spacing w:val="21"/>
                <w:sz w:val="24"/>
                <w:szCs w:val="24"/>
              </w:rPr>
              <w:t>二级指标</w:t>
            </w:r>
          </w:p>
          <w:p>
            <w:pPr>
              <w:spacing w:before="92"/>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pacing w:val="21"/>
                <w:sz w:val="24"/>
                <w:szCs w:val="24"/>
                <w:lang w:eastAsia="zh-CN"/>
              </w:rPr>
              <w:t>权重</w:t>
            </w:r>
          </w:p>
        </w:tc>
        <w:tc>
          <w:tcPr>
            <w:tcW w:w="2595" w:type="dxa"/>
            <w:tcBorders>
              <w:top w:val="single" w:color="000000" w:sz="4" w:space="0"/>
            </w:tcBorders>
            <w:vAlign w:val="center"/>
          </w:tcPr>
          <w:p>
            <w:pPr>
              <w:spacing w:line="241" w:lineRule="auto"/>
              <w:jc w:val="center"/>
              <w:rPr>
                <w:rFonts w:ascii="方正黑体_GBK" w:hAnsi="方正黑体_GBK" w:eastAsia="方正黑体_GBK" w:cs="方正黑体_GBK"/>
                <w:sz w:val="24"/>
                <w:szCs w:val="24"/>
              </w:rPr>
            </w:pPr>
            <w:r>
              <w:rPr>
                <w:rFonts w:ascii="方正黑体_GBK" w:hAnsi="方正黑体_GBK" w:eastAsia="方正黑体_GBK" w:cs="方正黑体_GBK"/>
                <w:spacing w:val="25"/>
                <w:sz w:val="24"/>
                <w:szCs w:val="24"/>
              </w:rPr>
              <w:t>考核内容及说明</w:t>
            </w:r>
          </w:p>
        </w:tc>
        <w:tc>
          <w:tcPr>
            <w:tcW w:w="10125" w:type="dxa"/>
            <w:tcBorders>
              <w:top w:val="single" w:color="000000" w:sz="4" w:space="0"/>
            </w:tcBorders>
            <w:vAlign w:val="center"/>
          </w:tcPr>
          <w:p>
            <w:pPr>
              <w:spacing w:before="91" w:line="239" w:lineRule="auto"/>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考核细则及计分方式</w:t>
            </w:r>
          </w:p>
        </w:tc>
        <w:tc>
          <w:tcPr>
            <w:tcW w:w="1410" w:type="dxa"/>
            <w:tcBorders>
              <w:top w:val="single" w:color="000000" w:sz="4" w:space="0"/>
            </w:tcBorders>
            <w:vAlign w:val="center"/>
          </w:tcPr>
          <w:p>
            <w:pPr>
              <w:spacing w:before="91" w:line="239" w:lineRule="auto"/>
              <w:jc w:val="center"/>
              <w:rPr>
                <w:rFonts w:ascii="方正黑体_GBK" w:hAnsi="方正黑体_GBK" w:eastAsia="方正黑体_GBK" w:cs="方正黑体_GBK"/>
                <w:snapToGrid w:val="0"/>
                <w:color w:val="000000"/>
                <w:kern w:val="0"/>
                <w:sz w:val="24"/>
                <w:szCs w:val="24"/>
                <w:lang w:val="en-US" w:eastAsia="en-US" w:bidi="ar-SA"/>
              </w:rPr>
            </w:pPr>
            <w:r>
              <w:rPr>
                <w:rFonts w:ascii="方正黑体_GBK" w:hAnsi="方正黑体_GBK" w:eastAsia="方正黑体_GBK" w:cs="方正黑体_GBK"/>
                <w:spacing w:val="21"/>
                <w:sz w:val="24"/>
                <w:szCs w:val="24"/>
              </w:rPr>
              <w:t>责任领导</w:t>
            </w:r>
          </w:p>
        </w:tc>
        <w:tc>
          <w:tcPr>
            <w:tcW w:w="2310" w:type="dxa"/>
            <w:tcBorders>
              <w:top w:val="single" w:color="000000" w:sz="4" w:space="0"/>
              <w:right w:val="single" w:color="000000" w:sz="4" w:space="0"/>
            </w:tcBorders>
            <w:vAlign w:val="center"/>
          </w:tcPr>
          <w:p>
            <w:pPr>
              <w:spacing w:before="92"/>
              <w:jc w:val="center"/>
              <w:rPr>
                <w:rFonts w:ascii="方正黑体_GBK" w:hAnsi="方正黑体_GBK" w:eastAsia="方正黑体_GBK" w:cs="方正黑体_GBK"/>
                <w:snapToGrid w:val="0"/>
                <w:color w:val="000000"/>
                <w:kern w:val="0"/>
                <w:sz w:val="24"/>
                <w:szCs w:val="24"/>
                <w:lang w:val="en-US" w:eastAsia="en-US" w:bidi="ar-SA"/>
              </w:rPr>
            </w:pPr>
            <w:r>
              <w:rPr>
                <w:rFonts w:ascii="方正黑体_GBK" w:hAnsi="方正黑体_GBK" w:eastAsia="方正黑体_GBK" w:cs="方正黑体_GBK"/>
                <w:spacing w:val="21"/>
                <w:sz w:val="24"/>
                <w:szCs w:val="24"/>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035" w:type="dxa"/>
            <w:vMerge w:val="restart"/>
            <w:tcBorders>
              <w:left w:val="single" w:color="auto" w:sz="4" w:space="0"/>
              <w:right w:val="single" w:color="auto" w:sz="4" w:space="0"/>
            </w:tcBorders>
            <w:vAlign w:val="center"/>
          </w:tcPr>
          <w:p>
            <w:pPr>
              <w:pStyle w:val="9"/>
              <w:spacing w:before="66" w:line="240" w:lineRule="auto"/>
              <w:jc w:val="center"/>
              <w:rPr>
                <w:rFonts w:ascii="微软雅黑" w:hAnsi="微软雅黑" w:eastAsia="微软雅黑" w:cs="微软雅黑"/>
                <w:snapToGrid w:val="0"/>
                <w:color w:val="000000"/>
                <w:kern w:val="0"/>
                <w:sz w:val="24"/>
                <w:szCs w:val="24"/>
                <w:lang w:val="en-US" w:eastAsia="en-US" w:bidi="ar-SA"/>
              </w:rPr>
            </w:pPr>
            <w:r>
              <w:rPr>
                <w:rFonts w:ascii="Times New Roman" w:hAnsi="Times New Roman" w:eastAsia="方正仿宋_GBK"/>
                <w:color w:val="auto"/>
                <w:sz w:val="24"/>
                <w:szCs w:val="24"/>
              </w:rPr>
              <w:t>水资源</w:t>
            </w:r>
            <w:r>
              <w:rPr>
                <w:rFonts w:hint="eastAsia" w:ascii="Times New Roman" w:hAnsi="Times New Roman" w:eastAsia="方正仿宋_GBK"/>
                <w:color w:val="auto"/>
                <w:sz w:val="24"/>
                <w:szCs w:val="24"/>
              </w:rPr>
              <w:t>消耗</w:t>
            </w:r>
            <w:r>
              <w:rPr>
                <w:rFonts w:ascii="Times New Roman" w:hAnsi="Times New Roman" w:eastAsia="方正仿宋_GBK"/>
                <w:color w:val="auto"/>
                <w:sz w:val="24"/>
                <w:szCs w:val="24"/>
              </w:rPr>
              <w:t>总量</w:t>
            </w:r>
          </w:p>
        </w:tc>
        <w:tc>
          <w:tcPr>
            <w:tcW w:w="1120" w:type="dxa"/>
            <w:vMerge w:val="restart"/>
            <w:tcBorders>
              <w:left w:val="single" w:color="auto" w:sz="4" w:space="0"/>
            </w:tcBorders>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eastAsia="zh-CN"/>
              </w:rPr>
              <w:t>60%</w:t>
            </w:r>
          </w:p>
        </w:tc>
        <w:tc>
          <w:tcPr>
            <w:tcW w:w="1575" w:type="dxa"/>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eastAsia="zh-CN"/>
              </w:rPr>
              <w:t>河流生态流量保障率</w:t>
            </w:r>
          </w:p>
        </w:tc>
        <w:tc>
          <w:tcPr>
            <w:tcW w:w="1230" w:type="dxa"/>
            <w:vAlign w:val="center"/>
          </w:tcPr>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20</w:t>
            </w:r>
            <w:r>
              <w:rPr>
                <w:rFonts w:hint="eastAsia" w:ascii="Times New Roman" w:hAnsi="Times New Roman" w:eastAsia="方正仿宋_GBK"/>
                <w:color w:val="auto"/>
                <w:sz w:val="24"/>
                <w:szCs w:val="24"/>
                <w:lang w:eastAsia="zh-CN"/>
              </w:rPr>
              <w:t>%</w:t>
            </w:r>
          </w:p>
        </w:tc>
        <w:tc>
          <w:tcPr>
            <w:tcW w:w="2595" w:type="dxa"/>
            <w:vAlign w:val="center"/>
          </w:tcPr>
          <w:p>
            <w:pPr>
              <w:snapToGrid w:val="0"/>
              <w:spacing w:line="594" w:lineRule="exact"/>
              <w:jc w:val="left"/>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eastAsia="zh-CN"/>
              </w:rPr>
              <w:t>河流生态流量监测完整率和河流生态流量目标保障率，1:</w:t>
            </w:r>
            <w:r>
              <w:rPr>
                <w:rFonts w:hint="eastAsia" w:ascii="Times New Roman" w:hAnsi="Times New Roman" w:eastAsia="方正仿宋_GBK"/>
                <w:color w:val="auto"/>
                <w:sz w:val="24"/>
                <w:szCs w:val="24"/>
                <w:lang w:val="en-US" w:eastAsia="zh-CN"/>
              </w:rPr>
              <w:t>1</w:t>
            </w:r>
            <w:r>
              <w:rPr>
                <w:rFonts w:hint="eastAsia" w:ascii="Times New Roman" w:hAnsi="Times New Roman" w:eastAsia="方正仿宋_GBK"/>
                <w:color w:val="auto"/>
                <w:sz w:val="24"/>
                <w:szCs w:val="24"/>
                <w:lang w:eastAsia="zh-CN"/>
              </w:rPr>
              <w:t>分配权重。</w:t>
            </w: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河流生态流量保障率按河流生态流量监测完整率和河流生态流量目标保障率考核，按1:</w:t>
            </w:r>
            <w:r>
              <w:rPr>
                <w:rFonts w:hint="eastAsia" w:ascii="Times New Roman" w:hAnsi="Times New Roman" w:eastAsia="方正仿宋_GBK"/>
                <w:color w:val="auto"/>
                <w:sz w:val="24"/>
                <w:szCs w:val="24"/>
                <w:lang w:val="en-US" w:eastAsia="zh-CN"/>
              </w:rPr>
              <w:t>1</w:t>
            </w:r>
            <w:r>
              <w:rPr>
                <w:rFonts w:hint="eastAsia" w:ascii="Times New Roman" w:hAnsi="Times New Roman" w:eastAsia="方正仿宋_GBK"/>
                <w:color w:val="auto"/>
                <w:sz w:val="24"/>
                <w:szCs w:val="24"/>
                <w:lang w:eastAsia="zh-CN"/>
              </w:rPr>
              <w:t>分配权重，加权总分按功效系数法计分。河流生态流量监测完整率包括断面监测任务完成率、接入重庆市水资源综合管理系统完成率和监测数据按时报送完整率。河流生态流量目标保障率=年度生态流量达标天数/总天数×100%。</w:t>
            </w:r>
          </w:p>
        </w:tc>
        <w:tc>
          <w:tcPr>
            <w:tcW w:w="1410" w:type="dxa"/>
            <w:vAlign w:val="center"/>
          </w:tcPr>
          <w:p>
            <w:pPr>
              <w:snapToGrid w:val="0"/>
              <w:spacing w:line="594" w:lineRule="exact"/>
              <w:jc w:val="center"/>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刘虹</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水资源管理科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035" w:type="dxa"/>
            <w:vMerge w:val="continue"/>
            <w:tcBorders>
              <w:left w:val="single" w:color="auto" w:sz="4" w:space="0"/>
              <w:right w:val="single" w:color="auto" w:sz="4" w:space="0"/>
            </w:tcBorders>
            <w:vAlign w:val="center"/>
          </w:tcPr>
          <w:p>
            <w:pPr>
              <w:jc w:val="center"/>
              <w:rPr>
                <w:rFonts w:ascii="Arial"/>
                <w:sz w:val="24"/>
                <w:szCs w:val="24"/>
              </w:rPr>
            </w:pPr>
          </w:p>
        </w:tc>
        <w:tc>
          <w:tcPr>
            <w:tcW w:w="1120" w:type="dxa"/>
            <w:vMerge w:val="continue"/>
            <w:tcBorders>
              <w:left w:val="single" w:color="auto" w:sz="4" w:space="0"/>
            </w:tcBorders>
            <w:vAlign w:val="center"/>
          </w:tcPr>
          <w:p>
            <w:pPr>
              <w:snapToGrid w:val="0"/>
              <w:spacing w:line="594" w:lineRule="exact"/>
              <w:jc w:val="center"/>
              <w:rPr>
                <w:rFonts w:hint="eastAsia" w:ascii="Times New Roman" w:hAnsi="Times New Roman" w:eastAsia="方正仿宋_GBK"/>
                <w:color w:val="auto"/>
                <w:sz w:val="24"/>
                <w:szCs w:val="24"/>
                <w:lang w:eastAsia="zh-CN"/>
              </w:rPr>
            </w:pPr>
          </w:p>
        </w:tc>
        <w:tc>
          <w:tcPr>
            <w:tcW w:w="1575" w:type="dxa"/>
            <w:vMerge w:val="restart"/>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eastAsia="zh-CN"/>
              </w:rPr>
              <w:t>水资源监管完整率</w:t>
            </w:r>
          </w:p>
        </w:tc>
        <w:tc>
          <w:tcPr>
            <w:tcW w:w="1230" w:type="dxa"/>
            <w:vMerge w:val="restart"/>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zh-CN"/>
              </w:rPr>
              <w:t>20</w:t>
            </w:r>
            <w:r>
              <w:rPr>
                <w:rFonts w:hint="eastAsia" w:ascii="Times New Roman" w:hAnsi="Times New Roman" w:eastAsia="方正仿宋_GBK"/>
                <w:color w:val="auto"/>
                <w:sz w:val="24"/>
                <w:szCs w:val="24"/>
                <w:lang w:eastAsia="zh-CN"/>
              </w:rPr>
              <w:t>%</w:t>
            </w:r>
          </w:p>
        </w:tc>
        <w:tc>
          <w:tcPr>
            <w:tcW w:w="2595" w:type="dxa"/>
            <w:vMerge w:val="restart"/>
            <w:vAlign w:val="center"/>
          </w:tcPr>
          <w:p>
            <w:pPr>
              <w:snapToGrid w:val="0"/>
              <w:spacing w:line="594" w:lineRule="exact"/>
              <w:jc w:val="left"/>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eastAsia="zh-CN"/>
              </w:rPr>
              <w:t>取用水数据质量保证率和水资源行政执法，</w:t>
            </w:r>
            <w:r>
              <w:rPr>
                <w:rFonts w:hint="eastAsia" w:ascii="Times New Roman" w:hAnsi="Times New Roman" w:eastAsia="方正仿宋_GBK"/>
                <w:color w:val="auto"/>
                <w:sz w:val="24"/>
                <w:szCs w:val="24"/>
                <w:lang w:val="en-US" w:eastAsia="zh-CN"/>
              </w:rPr>
              <w:t>3</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lang w:val="en-US" w:eastAsia="zh-CN"/>
              </w:rPr>
              <w:t>1</w:t>
            </w:r>
            <w:r>
              <w:rPr>
                <w:rFonts w:hint="eastAsia" w:ascii="Times New Roman" w:hAnsi="Times New Roman" w:eastAsia="方正仿宋_GBK"/>
                <w:color w:val="auto"/>
                <w:sz w:val="24"/>
                <w:szCs w:val="24"/>
                <w:lang w:eastAsia="zh-CN"/>
              </w:rPr>
              <w:t>分配权重。</w:t>
            </w: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val="en-US" w:eastAsia="en-US"/>
              </w:rPr>
              <w:t>水资源监管完整率按照取用水数据质量保证率和水资源行政执法</w:t>
            </w:r>
            <w:r>
              <w:rPr>
                <w:rFonts w:hint="eastAsia" w:ascii="Times New Roman" w:hAnsi="Times New Roman" w:eastAsia="方正仿宋_GBK"/>
                <w:color w:val="auto"/>
                <w:sz w:val="24"/>
                <w:szCs w:val="24"/>
                <w:lang w:val="en-US" w:eastAsia="zh-CN"/>
              </w:rPr>
              <w:t>考核</w:t>
            </w:r>
            <w:r>
              <w:rPr>
                <w:rFonts w:hint="eastAsia" w:ascii="Times New Roman" w:hAnsi="Times New Roman" w:eastAsia="方正仿宋_GBK"/>
                <w:color w:val="auto"/>
                <w:sz w:val="24"/>
                <w:szCs w:val="24"/>
                <w:lang w:val="en-US" w:eastAsia="en-US"/>
              </w:rPr>
              <w:t>，按</w:t>
            </w:r>
            <w:r>
              <w:rPr>
                <w:rFonts w:hint="eastAsia" w:ascii="Times New Roman" w:hAnsi="Times New Roman" w:eastAsia="方正仿宋_GBK"/>
                <w:color w:val="auto"/>
                <w:sz w:val="24"/>
                <w:szCs w:val="24"/>
                <w:lang w:val="en-US" w:eastAsia="zh-CN"/>
              </w:rPr>
              <w:t>3</w:t>
            </w:r>
            <w:r>
              <w:rPr>
                <w:rFonts w:hint="eastAsia" w:ascii="Times New Roman" w:hAnsi="Times New Roman" w:eastAsia="方正仿宋_GBK"/>
                <w:color w:val="auto"/>
                <w:sz w:val="24"/>
                <w:szCs w:val="24"/>
                <w:lang w:val="en-US" w:eastAsia="en-US"/>
              </w:rPr>
              <w:t>:1分配权重，加权总分按功效系数法计分</w:t>
            </w:r>
            <w:r>
              <w:rPr>
                <w:rFonts w:hint="eastAsia" w:ascii="Times New Roman" w:hAnsi="Times New Roman" w:eastAsia="方正仿宋_GBK"/>
                <w:color w:val="auto"/>
                <w:sz w:val="24"/>
                <w:szCs w:val="24"/>
                <w:lang w:val="en-US" w:eastAsia="zh-CN"/>
              </w:rPr>
              <w:t>。</w:t>
            </w:r>
            <w:r>
              <w:rPr>
                <w:rFonts w:hint="eastAsia" w:ascii="Times New Roman" w:hAnsi="Times New Roman" w:eastAsia="方正仿宋_GBK"/>
                <w:color w:val="auto"/>
                <w:sz w:val="24"/>
                <w:szCs w:val="24"/>
                <w:lang w:val="en-US" w:eastAsia="en-US"/>
              </w:rPr>
              <w:t>用水数据质量保证率</w:t>
            </w:r>
            <w:r>
              <w:rPr>
                <w:rFonts w:hint="eastAsia" w:ascii="Times New Roman" w:hAnsi="Times New Roman" w:eastAsia="方正仿宋_GBK"/>
                <w:color w:val="auto"/>
                <w:sz w:val="24"/>
                <w:szCs w:val="24"/>
                <w:lang w:val="en-US" w:eastAsia="zh-CN"/>
              </w:rPr>
              <w:t>根据</w:t>
            </w:r>
            <w:r>
              <w:rPr>
                <w:rFonts w:hint="eastAsia" w:ascii="Times New Roman" w:hAnsi="Times New Roman" w:eastAsia="方正仿宋_GBK"/>
                <w:color w:val="auto"/>
                <w:sz w:val="24"/>
                <w:szCs w:val="24"/>
                <w:lang w:val="en-US" w:eastAsia="en-US"/>
              </w:rPr>
              <w:t>随机抽取在线</w:t>
            </w:r>
            <w:r>
              <w:rPr>
                <w:rFonts w:hint="eastAsia" w:ascii="Times New Roman" w:hAnsi="Times New Roman" w:eastAsia="方正仿宋_GBK"/>
                <w:color w:val="auto"/>
                <w:sz w:val="24"/>
                <w:szCs w:val="24"/>
                <w:lang w:val="en-US" w:eastAsia="zh-CN"/>
              </w:rPr>
              <w:t>监测</w:t>
            </w:r>
            <w:r>
              <w:rPr>
                <w:rFonts w:hint="eastAsia" w:ascii="Times New Roman" w:hAnsi="Times New Roman" w:eastAsia="方正仿宋_GBK"/>
                <w:color w:val="auto"/>
                <w:sz w:val="24"/>
                <w:szCs w:val="24"/>
                <w:lang w:val="en-US" w:eastAsia="en-US"/>
              </w:rPr>
              <w:t>取水户，核查其在线监测水量、用水统计直报水量、水资源费征收水量数据一致性。对于无在线监测取水户的区县，该项指标分数计入水资源</w:t>
            </w:r>
            <w:r>
              <w:rPr>
                <w:rFonts w:hint="eastAsia" w:ascii="Times New Roman" w:hAnsi="Times New Roman" w:eastAsia="方正仿宋_GBK"/>
                <w:color w:val="auto"/>
                <w:sz w:val="24"/>
                <w:szCs w:val="24"/>
                <w:lang w:val="en-US" w:eastAsia="zh-CN"/>
              </w:rPr>
              <w:t>行政执法</w:t>
            </w:r>
            <w:r>
              <w:rPr>
                <w:rFonts w:hint="eastAsia" w:ascii="Times New Roman" w:hAnsi="Times New Roman" w:eastAsia="方正仿宋_GBK"/>
                <w:color w:val="auto"/>
                <w:sz w:val="24"/>
                <w:szCs w:val="24"/>
                <w:lang w:val="en-US" w:eastAsia="en-US"/>
              </w:rPr>
              <w:t>。</w:t>
            </w:r>
          </w:p>
        </w:tc>
        <w:tc>
          <w:tcPr>
            <w:tcW w:w="1410" w:type="dxa"/>
            <w:vAlign w:val="center"/>
          </w:tcPr>
          <w:p>
            <w:pPr>
              <w:snapToGrid w:val="0"/>
              <w:spacing w:line="594" w:lineRule="exact"/>
              <w:jc w:val="center"/>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刘虹</w:t>
            </w:r>
          </w:p>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张殊</w:t>
            </w:r>
          </w:p>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eastAsia="zh-CN"/>
              </w:rPr>
              <w:t>骆祥</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水资源管理科</w:t>
            </w:r>
          </w:p>
          <w:p>
            <w:pPr>
              <w:snapToGrid w:val="0"/>
              <w:spacing w:line="594" w:lineRule="exact"/>
              <w:jc w:val="center"/>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水利服务中心</w:t>
            </w:r>
          </w:p>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eastAsia="zh-CN"/>
              </w:rPr>
              <w:t>水政综合执法队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035" w:type="dxa"/>
            <w:vMerge w:val="continue"/>
            <w:tcBorders>
              <w:left w:val="single" w:color="auto" w:sz="4" w:space="0"/>
              <w:right w:val="single" w:color="auto" w:sz="4" w:space="0"/>
            </w:tcBorders>
            <w:vAlign w:val="center"/>
          </w:tcPr>
          <w:p>
            <w:pPr>
              <w:jc w:val="center"/>
              <w:rPr>
                <w:rFonts w:ascii="Arial"/>
                <w:sz w:val="24"/>
                <w:szCs w:val="24"/>
              </w:rPr>
            </w:pPr>
          </w:p>
        </w:tc>
        <w:tc>
          <w:tcPr>
            <w:tcW w:w="1120" w:type="dxa"/>
            <w:vMerge w:val="continue"/>
            <w:tcBorders>
              <w:left w:val="single" w:color="auto" w:sz="4" w:space="0"/>
            </w:tcBorders>
            <w:vAlign w:val="center"/>
          </w:tcPr>
          <w:p>
            <w:pPr>
              <w:snapToGrid w:val="0"/>
              <w:spacing w:line="594" w:lineRule="exact"/>
              <w:jc w:val="center"/>
              <w:rPr>
                <w:rFonts w:hint="eastAsia" w:ascii="Times New Roman" w:hAnsi="Times New Roman" w:eastAsia="方正仿宋_GBK"/>
                <w:color w:val="auto"/>
                <w:sz w:val="24"/>
                <w:szCs w:val="24"/>
                <w:lang w:eastAsia="zh-CN"/>
              </w:rPr>
            </w:pPr>
          </w:p>
        </w:tc>
        <w:tc>
          <w:tcPr>
            <w:tcW w:w="1575" w:type="dxa"/>
            <w:vMerge w:val="continue"/>
            <w:vAlign w:val="center"/>
          </w:tcPr>
          <w:p>
            <w:pPr>
              <w:snapToGrid w:val="0"/>
              <w:spacing w:line="594" w:lineRule="exact"/>
              <w:jc w:val="center"/>
              <w:rPr>
                <w:rFonts w:hint="eastAsia" w:ascii="Times New Roman" w:hAnsi="Times New Roman" w:eastAsia="方正仿宋_GBK"/>
                <w:color w:val="auto"/>
                <w:sz w:val="24"/>
                <w:szCs w:val="24"/>
                <w:lang w:eastAsia="zh-CN"/>
              </w:rPr>
            </w:pPr>
          </w:p>
        </w:tc>
        <w:tc>
          <w:tcPr>
            <w:tcW w:w="1230" w:type="dxa"/>
            <w:vMerge w:val="continue"/>
            <w:vAlign w:val="center"/>
          </w:tcPr>
          <w:p>
            <w:pPr>
              <w:snapToGrid w:val="0"/>
              <w:spacing w:line="594" w:lineRule="exact"/>
              <w:jc w:val="center"/>
              <w:rPr>
                <w:rFonts w:hint="eastAsia" w:ascii="Times New Roman" w:hAnsi="Times New Roman" w:eastAsia="方正仿宋_GBK"/>
                <w:color w:val="auto"/>
                <w:sz w:val="24"/>
                <w:szCs w:val="24"/>
                <w:lang w:val="en-US" w:eastAsia="zh-CN"/>
              </w:rPr>
            </w:pPr>
          </w:p>
        </w:tc>
        <w:tc>
          <w:tcPr>
            <w:tcW w:w="2595" w:type="dxa"/>
            <w:vMerge w:val="continue"/>
            <w:vAlign w:val="center"/>
          </w:tcPr>
          <w:p>
            <w:pPr>
              <w:snapToGrid w:val="0"/>
              <w:spacing w:line="594" w:lineRule="exact"/>
              <w:jc w:val="left"/>
              <w:rPr>
                <w:rFonts w:hint="eastAsia" w:ascii="Times New Roman" w:hAnsi="Times New Roman" w:eastAsia="方正仿宋_GBK"/>
                <w:color w:val="auto"/>
                <w:sz w:val="24"/>
                <w:szCs w:val="24"/>
                <w:lang w:eastAsia="zh-CN"/>
              </w:rPr>
            </w:pP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en-US"/>
              </w:rPr>
              <w:t>水资源行政执法根据</w:t>
            </w:r>
            <w:r>
              <w:rPr>
                <w:rFonts w:hint="eastAsia" w:ascii="Times New Roman" w:hAnsi="Times New Roman" w:eastAsia="方正仿宋_GBK"/>
                <w:color w:val="auto"/>
                <w:sz w:val="24"/>
                <w:szCs w:val="24"/>
                <w:lang w:val="en-US" w:eastAsia="zh-CN"/>
              </w:rPr>
              <w:t>水资源管理保护</w:t>
            </w:r>
            <w:r>
              <w:rPr>
                <w:rFonts w:hint="eastAsia" w:ascii="Times New Roman" w:hAnsi="Times New Roman" w:eastAsia="方正仿宋_GBK"/>
                <w:color w:val="auto"/>
                <w:sz w:val="24"/>
                <w:szCs w:val="24"/>
                <w:lang w:val="en-US" w:eastAsia="en-US"/>
              </w:rPr>
              <w:t>行政执法处理单数计分，区县每发现线索一单并整改到位的得20分，区县每发现线索一单但未完成整改的得5分，累计不超过100分；市级及其它发现的线索</w:t>
            </w:r>
            <w:r>
              <w:rPr>
                <w:rFonts w:hint="eastAsia" w:ascii="Times New Roman" w:hAnsi="Times New Roman" w:eastAsia="方正仿宋_GBK"/>
                <w:color w:val="auto"/>
                <w:sz w:val="24"/>
                <w:szCs w:val="24"/>
                <w:lang w:val="en-US" w:eastAsia="zh-CN"/>
              </w:rPr>
              <w:t>且整改不到位的</w:t>
            </w:r>
            <w:r>
              <w:rPr>
                <w:rFonts w:hint="eastAsia" w:ascii="Times New Roman" w:hAnsi="Times New Roman" w:eastAsia="方正仿宋_GBK"/>
                <w:color w:val="auto"/>
                <w:sz w:val="24"/>
                <w:szCs w:val="24"/>
                <w:lang w:val="en-US" w:eastAsia="en-US"/>
              </w:rPr>
              <w:t>，每一单扣20分，市级及其它发现的线索</w:t>
            </w:r>
            <w:r>
              <w:rPr>
                <w:rFonts w:hint="eastAsia" w:ascii="Times New Roman" w:hAnsi="Times New Roman" w:eastAsia="方正仿宋_GBK"/>
                <w:color w:val="auto"/>
                <w:sz w:val="24"/>
                <w:szCs w:val="24"/>
                <w:lang w:val="en-US" w:eastAsia="zh-CN"/>
              </w:rPr>
              <w:t>整</w:t>
            </w:r>
            <w:r>
              <w:rPr>
                <w:rFonts w:hint="eastAsia" w:ascii="Times New Roman" w:hAnsi="Times New Roman" w:eastAsia="方正仿宋_GBK"/>
                <w:color w:val="auto"/>
                <w:sz w:val="24"/>
                <w:szCs w:val="24"/>
                <w:lang w:eastAsia="zh-CN"/>
              </w:rPr>
              <w:t>改到位的，每一单扣</w:t>
            </w:r>
            <w:r>
              <w:rPr>
                <w:rFonts w:hint="eastAsia" w:ascii="Times New Roman" w:hAnsi="Times New Roman" w:eastAsia="方正仿宋_GBK"/>
                <w:color w:val="auto"/>
                <w:sz w:val="24"/>
                <w:szCs w:val="24"/>
                <w:lang w:val="en-US" w:eastAsia="zh-CN"/>
              </w:rPr>
              <w:t>1</w:t>
            </w:r>
            <w:r>
              <w:rPr>
                <w:rFonts w:hint="eastAsia" w:ascii="Times New Roman" w:hAnsi="Times New Roman" w:eastAsia="方正仿宋_GBK"/>
                <w:color w:val="auto"/>
                <w:sz w:val="24"/>
                <w:szCs w:val="24"/>
                <w:lang w:eastAsia="zh-CN"/>
              </w:rPr>
              <w:t>0分，累计扣分不超过100分。</w:t>
            </w:r>
          </w:p>
        </w:tc>
        <w:tc>
          <w:tcPr>
            <w:tcW w:w="1410" w:type="dxa"/>
            <w:vAlign w:val="center"/>
          </w:tcPr>
          <w:p>
            <w:pPr>
              <w:snapToGrid w:val="0"/>
              <w:spacing w:line="594" w:lineRule="exact"/>
              <w:jc w:val="center"/>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骆祥</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olor w:val="auto"/>
                <w:sz w:val="24"/>
                <w:szCs w:val="24"/>
                <w:lang w:eastAsia="zh-CN"/>
              </w:rPr>
            </w:pPr>
            <w:r>
              <w:rPr>
                <w:rFonts w:hint="eastAsia" w:ascii="Times New Roman" w:hAnsi="Times New Roman" w:eastAsia="方正仿宋_GBK"/>
                <w:color w:val="auto"/>
                <w:sz w:val="24"/>
                <w:szCs w:val="24"/>
                <w:lang w:eastAsia="zh-CN"/>
              </w:rPr>
              <w:t>水政综合执法队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035" w:type="dxa"/>
            <w:vMerge w:val="continue"/>
            <w:tcBorders>
              <w:left w:val="single" w:color="auto" w:sz="4" w:space="0"/>
              <w:bottom w:val="single" w:color="auto" w:sz="4" w:space="0"/>
              <w:right w:val="single" w:color="auto" w:sz="4" w:space="0"/>
            </w:tcBorders>
            <w:vAlign w:val="center"/>
          </w:tcPr>
          <w:p>
            <w:pPr>
              <w:jc w:val="center"/>
              <w:rPr>
                <w:rFonts w:ascii="Arial"/>
                <w:sz w:val="24"/>
                <w:szCs w:val="24"/>
              </w:rPr>
            </w:pPr>
          </w:p>
        </w:tc>
        <w:tc>
          <w:tcPr>
            <w:tcW w:w="1120" w:type="dxa"/>
            <w:vMerge w:val="continue"/>
            <w:tcBorders>
              <w:left w:val="single" w:color="auto" w:sz="4" w:space="0"/>
            </w:tcBorders>
            <w:vAlign w:val="center"/>
          </w:tcPr>
          <w:p>
            <w:pPr>
              <w:snapToGrid w:val="0"/>
              <w:spacing w:line="594" w:lineRule="exact"/>
              <w:jc w:val="center"/>
              <w:rPr>
                <w:rFonts w:hint="eastAsia" w:ascii="Times New Roman" w:hAnsi="Times New Roman" w:eastAsia="方正仿宋_GBK"/>
                <w:color w:val="auto"/>
                <w:sz w:val="24"/>
                <w:szCs w:val="24"/>
                <w:lang w:eastAsia="zh-CN"/>
              </w:rPr>
            </w:pPr>
          </w:p>
        </w:tc>
        <w:tc>
          <w:tcPr>
            <w:tcW w:w="1575" w:type="dxa"/>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eastAsia="zh-CN"/>
              </w:rPr>
              <w:t>用水总量达标率</w:t>
            </w:r>
          </w:p>
        </w:tc>
        <w:tc>
          <w:tcPr>
            <w:tcW w:w="1230" w:type="dxa"/>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zh-CN"/>
              </w:rPr>
              <w:t>20</w:t>
            </w:r>
            <w:r>
              <w:rPr>
                <w:rFonts w:hint="eastAsia" w:ascii="Times New Roman" w:hAnsi="Times New Roman" w:eastAsia="方正仿宋_GBK"/>
                <w:color w:val="auto"/>
                <w:sz w:val="24"/>
                <w:szCs w:val="24"/>
                <w:lang w:eastAsia="zh-CN"/>
              </w:rPr>
              <w:t>%</w:t>
            </w:r>
          </w:p>
        </w:tc>
        <w:tc>
          <w:tcPr>
            <w:tcW w:w="2595" w:type="dxa"/>
            <w:vAlign w:val="center"/>
          </w:tcPr>
          <w:p>
            <w:pPr>
              <w:snapToGrid w:val="0"/>
              <w:spacing w:line="594" w:lineRule="exact"/>
              <w:jc w:val="left"/>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eastAsia="zh-CN"/>
              </w:rPr>
              <w:t>用水总量是否超标、取水许可冗余率和水权交易完成情况，</w:t>
            </w:r>
            <w:r>
              <w:rPr>
                <w:rFonts w:hint="eastAsia" w:ascii="Times New Roman" w:hAnsi="Times New Roman" w:eastAsia="方正仿宋_GBK"/>
                <w:color w:val="auto"/>
                <w:sz w:val="24"/>
                <w:szCs w:val="24"/>
                <w:lang w:val="en-US" w:eastAsia="zh-CN"/>
              </w:rPr>
              <w:t>1</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lang w:val="en-US" w:eastAsia="zh-CN"/>
              </w:rPr>
              <w:t>2</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lang w:val="en-US" w:eastAsia="zh-CN"/>
              </w:rPr>
              <w:t>2</w:t>
            </w:r>
            <w:r>
              <w:rPr>
                <w:rFonts w:hint="eastAsia" w:ascii="Times New Roman" w:hAnsi="Times New Roman" w:eastAsia="方正仿宋_GBK"/>
                <w:color w:val="auto"/>
                <w:sz w:val="24"/>
                <w:szCs w:val="24"/>
                <w:lang w:eastAsia="zh-CN"/>
              </w:rPr>
              <w:t>分配权重。</w:t>
            </w: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用水总量达标率按照用水总量是否超标、取水许可冗余率和水权交易完成情况考核，按1:2:2分配权重，加权总分按功效系数法计分。用水总量（含地下水）是否超标主要包括年度实际用水总量是否超年度控制指标及年度地下水控制指标（地下水按2025年控制指标执行），许可水量是否超2030年用水总量控制指标和地下水2030年用水量控制指标。取水许可冗余率=区县取水许可总量/实际用水量，按照功效系数法计分。水权交易完成情况包括水权制度建设和水权交易成交单数。（其中：水权制度建设以2023年度区县是否印发水权制度建设的制度文件计分，由区县水行政主管部门印发文件计40分，由区县政府印发文件计80分；水权交易成交单数以每在中国水权交易所完成1单得5分，累计不超过20分。）</w:t>
            </w:r>
          </w:p>
        </w:tc>
        <w:tc>
          <w:tcPr>
            <w:tcW w:w="1410" w:type="dxa"/>
            <w:vAlign w:val="center"/>
          </w:tcPr>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eastAsia="zh-CN"/>
              </w:rPr>
              <w:t>刘虹</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eastAsia="zh-CN"/>
              </w:rPr>
              <w:t>水资源管理科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2" w:hRule="atLeast"/>
          <w:jc w:val="center"/>
        </w:trPr>
        <w:tc>
          <w:tcPr>
            <w:tcW w:w="1035" w:type="dxa"/>
            <w:vMerge w:val="restart"/>
            <w:tcBorders>
              <w:top w:val="single" w:color="auto" w:sz="4" w:space="0"/>
              <w:left w:val="single" w:color="auto" w:sz="4" w:space="0"/>
              <w:right w:val="single" w:color="auto" w:sz="4" w:space="0"/>
            </w:tcBorders>
            <w:vAlign w:val="center"/>
          </w:tcPr>
          <w:p>
            <w:pPr>
              <w:jc w:val="center"/>
              <w:rPr>
                <w:rFonts w:ascii="Arial"/>
                <w:sz w:val="24"/>
                <w:szCs w:val="24"/>
              </w:rPr>
            </w:pPr>
            <w:r>
              <w:rPr>
                <w:rFonts w:ascii="Times New Roman" w:hAnsi="Times New Roman" w:eastAsia="方正仿宋_GBK"/>
                <w:color w:val="auto"/>
                <w:sz w:val="24"/>
                <w:szCs w:val="24"/>
              </w:rPr>
              <w:t>水资源</w:t>
            </w:r>
            <w:r>
              <w:rPr>
                <w:rFonts w:hint="eastAsia" w:ascii="Times New Roman" w:hAnsi="Times New Roman" w:eastAsia="方正仿宋_GBK"/>
                <w:color w:val="auto"/>
                <w:sz w:val="24"/>
                <w:szCs w:val="24"/>
              </w:rPr>
              <w:t>利用</w:t>
            </w:r>
            <w:r>
              <w:rPr>
                <w:rFonts w:ascii="Times New Roman" w:hAnsi="Times New Roman" w:eastAsia="方正仿宋_GBK"/>
                <w:color w:val="auto"/>
                <w:sz w:val="24"/>
                <w:szCs w:val="24"/>
              </w:rPr>
              <w:t>效率</w:t>
            </w:r>
          </w:p>
        </w:tc>
        <w:tc>
          <w:tcPr>
            <w:tcW w:w="1120" w:type="dxa"/>
            <w:vMerge w:val="restart"/>
            <w:tcBorders>
              <w:left w:val="single" w:color="auto" w:sz="4" w:space="0"/>
            </w:tcBorders>
            <w:vAlign w:val="center"/>
          </w:tcPr>
          <w:p>
            <w:pPr>
              <w:spacing w:before="64" w:line="187" w:lineRule="auto"/>
              <w:jc w:val="center"/>
              <w:rPr>
                <w:rFonts w:ascii="Times New Roman" w:hAnsi="Times New Roman" w:eastAsia="Times New Roman" w:cs="Times New Roman"/>
                <w:sz w:val="24"/>
                <w:szCs w:val="24"/>
              </w:rPr>
            </w:pPr>
            <w:r>
              <w:rPr>
                <w:rFonts w:ascii="Times New Roman" w:hAnsi="Times New Roman" w:eastAsia="方正仿宋_GBK"/>
                <w:color w:val="auto"/>
                <w:sz w:val="24"/>
                <w:szCs w:val="24"/>
              </w:rPr>
              <w:t>20%</w:t>
            </w:r>
          </w:p>
        </w:tc>
        <w:tc>
          <w:tcPr>
            <w:tcW w:w="1575" w:type="dxa"/>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节水型社会建</w:t>
            </w:r>
            <w:r>
              <w:rPr>
                <w:rFonts w:hint="eastAsia" w:ascii="Times New Roman" w:hAnsi="Times New Roman" w:eastAsia="方正仿宋_GBK"/>
                <w:color w:val="auto"/>
                <w:sz w:val="24"/>
                <w:szCs w:val="24"/>
                <w:lang w:eastAsia="zh-CN"/>
              </w:rPr>
              <w:t>成</w:t>
            </w:r>
            <w:r>
              <w:rPr>
                <w:rFonts w:ascii="Times New Roman" w:hAnsi="Times New Roman" w:eastAsia="方正仿宋_GBK"/>
                <w:color w:val="auto"/>
                <w:sz w:val="24"/>
                <w:szCs w:val="24"/>
              </w:rPr>
              <w:t>率</w:t>
            </w:r>
          </w:p>
        </w:tc>
        <w:tc>
          <w:tcPr>
            <w:tcW w:w="1230" w:type="dxa"/>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hint="eastAsia" w:ascii="Times New Roman" w:hAnsi="Times New Roman" w:eastAsia="方正仿宋_GBK"/>
                <w:color w:val="auto"/>
                <w:sz w:val="24"/>
                <w:szCs w:val="24"/>
              </w:rPr>
              <w:t>10</w:t>
            </w:r>
            <w:r>
              <w:rPr>
                <w:rFonts w:ascii="Times New Roman" w:hAnsi="Times New Roman" w:eastAsia="方正仿宋_GBK"/>
                <w:color w:val="auto"/>
                <w:sz w:val="24"/>
                <w:szCs w:val="24"/>
              </w:rPr>
              <w:t>%</w:t>
            </w:r>
          </w:p>
        </w:tc>
        <w:tc>
          <w:tcPr>
            <w:tcW w:w="2595" w:type="dxa"/>
            <w:vAlign w:val="center"/>
          </w:tcPr>
          <w:p>
            <w:pPr>
              <w:adjustRightInd w:val="0"/>
              <w:snapToGrid w:val="0"/>
              <w:jc w:val="left"/>
              <w:rPr>
                <w:rFonts w:hint="eastAsia" w:ascii="Times New Roman" w:hAnsi="Times New Roman" w:eastAsia="方正仿宋_GBK" w:cs="Arial"/>
                <w:snapToGrid w:val="0"/>
                <w:color w:val="auto"/>
                <w:kern w:val="0"/>
                <w:sz w:val="24"/>
                <w:szCs w:val="24"/>
                <w:lang w:val="en-US" w:eastAsia="en-US" w:bidi="ar-SA"/>
              </w:rPr>
            </w:pPr>
            <w:r>
              <w:rPr>
                <w:rFonts w:hint="eastAsia" w:ascii="Times New Roman" w:hAnsi="Times New Roman" w:eastAsia="方正仿宋_GBK"/>
                <w:color w:val="auto"/>
                <w:sz w:val="24"/>
                <w:szCs w:val="24"/>
              </w:rPr>
              <w:t>节水型社会建成率按照节水载体创建率及非常规水利用量完成率，1:1分配权重。</w:t>
            </w: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节水型社会建成率按照节水载体创建率及非常规水利用量完成率进行考核，节水载体创建率采用功效系数法计分（基础分60分，以数值大为优）；非常规水利用量采用目标完成情况计分，完成目标任务的不扣分，未完成目标任务的按完成情况扣分。节水载体创建率=（累计创建的规上年用水量1万立方米以上节水型工业企业数+累计创建的集中物业管理节水型小区数）/（规上年用水量1万立方米工业企业总数+集中物业管理小区数）；非常规水利用量完成率=2023年度非常规水利用量/下达目标。</w:t>
            </w:r>
          </w:p>
        </w:tc>
        <w:tc>
          <w:tcPr>
            <w:tcW w:w="1410" w:type="dxa"/>
            <w:vAlign w:val="center"/>
          </w:tcPr>
          <w:p>
            <w:pPr>
              <w:snapToGrid w:val="0"/>
              <w:spacing w:line="594" w:lineRule="exact"/>
              <w:jc w:val="center"/>
              <w:rPr>
                <w:rFonts w:hint="eastAsia" w:ascii="Times New Roman" w:hAnsi="Times New Roman" w:eastAsia="方正仿宋_GBK" w:cs="Arial"/>
                <w:snapToGrid w:val="0"/>
                <w:color w:val="auto"/>
                <w:kern w:val="0"/>
                <w:sz w:val="24"/>
                <w:szCs w:val="24"/>
                <w:lang w:val="en-US" w:eastAsia="zh-CN" w:bidi="ar-SA"/>
              </w:rPr>
            </w:pPr>
            <w:r>
              <w:rPr>
                <w:rFonts w:hint="eastAsia" w:ascii="Times New Roman" w:hAnsi="Times New Roman" w:eastAsia="方正仿宋_GBK"/>
                <w:color w:val="auto"/>
                <w:sz w:val="24"/>
                <w:szCs w:val="24"/>
                <w:lang w:eastAsia="zh-CN"/>
              </w:rPr>
              <w:t>刘虹</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s="Arial"/>
                <w:snapToGrid w:val="0"/>
                <w:color w:val="auto"/>
                <w:kern w:val="0"/>
                <w:sz w:val="24"/>
                <w:szCs w:val="24"/>
                <w:lang w:val="en-US" w:eastAsia="zh-CN" w:bidi="ar-SA"/>
              </w:rPr>
            </w:pPr>
            <w:r>
              <w:rPr>
                <w:rFonts w:hint="eastAsia" w:ascii="Times New Roman" w:hAnsi="Times New Roman" w:eastAsia="方正仿宋_GBK"/>
                <w:color w:val="auto"/>
                <w:sz w:val="24"/>
                <w:szCs w:val="24"/>
                <w:lang w:eastAsia="zh-CN"/>
              </w:rPr>
              <w:t>水资源管理科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3" w:hRule="atLeast"/>
          <w:jc w:val="center"/>
        </w:trPr>
        <w:tc>
          <w:tcPr>
            <w:tcW w:w="1035" w:type="dxa"/>
            <w:vMerge w:val="continue"/>
            <w:tcBorders>
              <w:left w:val="single" w:color="auto" w:sz="4" w:space="0"/>
              <w:right w:val="single" w:color="auto" w:sz="4" w:space="0"/>
            </w:tcBorders>
            <w:vAlign w:val="center"/>
          </w:tcPr>
          <w:p>
            <w:pPr>
              <w:jc w:val="center"/>
              <w:rPr>
                <w:rFonts w:ascii="Arial"/>
                <w:sz w:val="24"/>
                <w:szCs w:val="24"/>
              </w:rPr>
            </w:pPr>
          </w:p>
        </w:tc>
        <w:tc>
          <w:tcPr>
            <w:tcW w:w="1120" w:type="dxa"/>
            <w:vMerge w:val="continue"/>
            <w:tcBorders>
              <w:left w:val="single" w:color="auto" w:sz="4" w:space="0"/>
            </w:tcBorders>
            <w:vAlign w:val="center"/>
          </w:tcPr>
          <w:p>
            <w:pPr>
              <w:spacing w:before="269" w:line="184" w:lineRule="auto"/>
              <w:ind w:left="219"/>
              <w:jc w:val="center"/>
              <w:rPr>
                <w:rFonts w:ascii="Times New Roman" w:hAnsi="Times New Roman" w:eastAsia="Times New Roman" w:cs="Times New Roman"/>
                <w:sz w:val="24"/>
                <w:szCs w:val="24"/>
              </w:rPr>
            </w:pPr>
          </w:p>
        </w:tc>
        <w:tc>
          <w:tcPr>
            <w:tcW w:w="1575" w:type="dxa"/>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万元GDP用水</w:t>
            </w:r>
            <w:r>
              <w:rPr>
                <w:rFonts w:hint="eastAsia" w:ascii="Times New Roman" w:hAnsi="Times New Roman" w:eastAsia="方正仿宋_GBK"/>
                <w:color w:val="auto"/>
                <w:sz w:val="24"/>
                <w:szCs w:val="24"/>
                <w:lang w:eastAsia="zh-CN"/>
              </w:rPr>
              <w:t>量</w:t>
            </w:r>
            <w:r>
              <w:rPr>
                <w:rFonts w:ascii="Times New Roman" w:hAnsi="Times New Roman" w:eastAsia="方正仿宋_GBK"/>
                <w:color w:val="auto"/>
                <w:sz w:val="24"/>
                <w:szCs w:val="24"/>
              </w:rPr>
              <w:t>下降率</w:t>
            </w:r>
          </w:p>
        </w:tc>
        <w:tc>
          <w:tcPr>
            <w:tcW w:w="1230" w:type="dxa"/>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5%</w:t>
            </w:r>
          </w:p>
        </w:tc>
        <w:tc>
          <w:tcPr>
            <w:tcW w:w="2595" w:type="dxa"/>
            <w:vAlign w:val="center"/>
          </w:tcPr>
          <w:p>
            <w:pPr>
              <w:adjustRightInd w:val="0"/>
              <w:snapToGrid w:val="0"/>
              <w:jc w:val="left"/>
              <w:rPr>
                <w:rFonts w:ascii="Times New Roman" w:hAnsi="Times New Roman" w:eastAsia="方正仿宋_GBK" w:cs="Arial"/>
                <w:snapToGrid w:val="0"/>
                <w:color w:val="auto"/>
                <w:kern w:val="0"/>
                <w:sz w:val="24"/>
                <w:szCs w:val="24"/>
                <w:lang w:val="en-US" w:eastAsia="en-US" w:bidi="ar-SA"/>
              </w:rPr>
            </w:pPr>
            <w:r>
              <w:rPr>
                <w:rFonts w:hint="eastAsia" w:ascii="Times New Roman" w:hAnsi="Times New Roman" w:eastAsia="方正仿宋_GBK"/>
                <w:color w:val="auto"/>
                <w:sz w:val="24"/>
                <w:szCs w:val="24"/>
                <w:lang w:eastAsia="zh-CN"/>
              </w:rPr>
              <w:t>下达目标完成情况，未完成不得分</w:t>
            </w:r>
            <w:r>
              <w:rPr>
                <w:rFonts w:hint="eastAsia" w:ascii="Times New Roman" w:hAnsi="Times New Roman" w:eastAsia="方正仿宋_GBK"/>
                <w:color w:val="auto"/>
                <w:sz w:val="24"/>
                <w:szCs w:val="24"/>
              </w:rPr>
              <w:t>。</w:t>
            </w: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zh-CN"/>
              </w:rPr>
              <w:t>万元国内生产总值用水量下降率采用目标完成情况计分，完成目标任务的不扣分，未完成目标任务的不得分。注：非常规水利用量、万元国内生产总值用水量下降率目标以重庆市水利局、重庆市发展和改革委员会《关于印发重庆市“十四五”用水总量和强度双控目标的通知》（渝水〔2022〕92号）要求为准。</w:t>
            </w:r>
          </w:p>
        </w:tc>
        <w:tc>
          <w:tcPr>
            <w:tcW w:w="1410" w:type="dxa"/>
            <w:vAlign w:val="center"/>
          </w:tcPr>
          <w:p>
            <w:pPr>
              <w:snapToGrid w:val="0"/>
              <w:spacing w:line="594" w:lineRule="exact"/>
              <w:jc w:val="center"/>
              <w:rPr>
                <w:rFonts w:hint="eastAsia" w:ascii="Times New Roman" w:hAnsi="Times New Roman" w:eastAsia="方正仿宋_GBK" w:cs="Arial"/>
                <w:snapToGrid w:val="0"/>
                <w:color w:val="auto"/>
                <w:kern w:val="0"/>
                <w:sz w:val="24"/>
                <w:szCs w:val="24"/>
                <w:lang w:val="en-US" w:eastAsia="en-US" w:bidi="ar-SA"/>
              </w:rPr>
            </w:pPr>
            <w:r>
              <w:rPr>
                <w:rFonts w:hint="eastAsia" w:ascii="Times New Roman" w:hAnsi="Times New Roman" w:eastAsia="方正仿宋_GBK"/>
                <w:color w:val="auto"/>
                <w:sz w:val="24"/>
                <w:szCs w:val="24"/>
                <w:lang w:eastAsia="zh-CN"/>
              </w:rPr>
              <w:t>刘虹</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s="Arial"/>
                <w:snapToGrid w:val="0"/>
                <w:color w:val="auto"/>
                <w:kern w:val="0"/>
                <w:sz w:val="24"/>
                <w:szCs w:val="24"/>
                <w:lang w:val="en-US" w:eastAsia="en-US" w:bidi="ar-SA"/>
              </w:rPr>
            </w:pPr>
            <w:r>
              <w:rPr>
                <w:rFonts w:hint="eastAsia" w:ascii="Times New Roman" w:hAnsi="Times New Roman" w:eastAsia="方正仿宋_GBK"/>
                <w:color w:val="auto"/>
                <w:sz w:val="24"/>
                <w:szCs w:val="24"/>
                <w:lang w:eastAsia="zh-CN"/>
              </w:rPr>
              <w:t>水资源管理科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1035" w:type="dxa"/>
            <w:vMerge w:val="continue"/>
            <w:tcBorders>
              <w:left w:val="single" w:color="auto" w:sz="4" w:space="0"/>
              <w:bottom w:val="single" w:color="auto" w:sz="4" w:space="0"/>
              <w:right w:val="single" w:color="auto" w:sz="4" w:space="0"/>
            </w:tcBorders>
            <w:vAlign w:val="center"/>
          </w:tcPr>
          <w:p>
            <w:pPr>
              <w:jc w:val="center"/>
              <w:rPr>
                <w:rFonts w:ascii="Arial"/>
                <w:sz w:val="24"/>
                <w:szCs w:val="24"/>
              </w:rPr>
            </w:pPr>
          </w:p>
        </w:tc>
        <w:tc>
          <w:tcPr>
            <w:tcW w:w="1120" w:type="dxa"/>
            <w:vMerge w:val="continue"/>
            <w:tcBorders>
              <w:left w:val="single" w:color="auto" w:sz="4" w:space="0"/>
            </w:tcBorders>
            <w:vAlign w:val="center"/>
          </w:tcPr>
          <w:p>
            <w:pPr>
              <w:spacing w:before="267" w:line="187" w:lineRule="auto"/>
              <w:ind w:left="218"/>
              <w:jc w:val="center"/>
              <w:rPr>
                <w:rFonts w:ascii="Times New Roman" w:hAnsi="Times New Roman" w:eastAsia="Times New Roman" w:cs="Times New Roman"/>
                <w:sz w:val="24"/>
                <w:szCs w:val="24"/>
              </w:rPr>
            </w:pPr>
          </w:p>
        </w:tc>
        <w:tc>
          <w:tcPr>
            <w:tcW w:w="1575" w:type="dxa"/>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hint="eastAsia" w:ascii="Times New Roman" w:hAnsi="Times New Roman" w:eastAsia="方正仿宋_GBK"/>
                <w:color w:val="auto"/>
                <w:sz w:val="24"/>
                <w:szCs w:val="24"/>
              </w:rPr>
              <w:t>农田灌溉水利用系数</w:t>
            </w:r>
          </w:p>
        </w:tc>
        <w:tc>
          <w:tcPr>
            <w:tcW w:w="1230" w:type="dxa"/>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5%</w:t>
            </w:r>
          </w:p>
        </w:tc>
        <w:tc>
          <w:tcPr>
            <w:tcW w:w="2595" w:type="dxa"/>
            <w:vAlign w:val="center"/>
          </w:tcPr>
          <w:p>
            <w:pPr>
              <w:adjustRightInd w:val="0"/>
              <w:snapToGrid w:val="0"/>
              <w:jc w:val="left"/>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灌溉水有效利用系数目标值完成率、大中型灌区节水改造项目年度投资任务完成率、大中型灌区节水改造项目竣工验收任务完成率、标准化规范化灌区创建任务完成率</w:t>
            </w:r>
            <w:r>
              <w:rPr>
                <w:rFonts w:hint="eastAsia" w:ascii="Times New Roman" w:hAnsi="Times New Roman" w:eastAsia="方正仿宋_GBK"/>
                <w:color w:val="auto"/>
                <w:sz w:val="24"/>
                <w:szCs w:val="24"/>
              </w:rPr>
              <w:t>，</w:t>
            </w:r>
            <w:r>
              <w:rPr>
                <w:rFonts w:ascii="Times New Roman" w:hAnsi="Times New Roman" w:eastAsia="方正仿宋_GBK"/>
                <w:color w:val="auto"/>
                <w:sz w:val="24"/>
                <w:szCs w:val="24"/>
              </w:rPr>
              <w:t>5</w:t>
            </w:r>
            <w:r>
              <w:rPr>
                <w:rFonts w:hint="eastAsia" w:ascii="Times New Roman" w:hAnsi="Times New Roman" w:eastAsia="方正仿宋_GBK"/>
                <w:color w:val="auto"/>
                <w:sz w:val="24"/>
                <w:szCs w:val="24"/>
                <w:lang w:val="en-US" w:eastAsia="zh-CN"/>
              </w:rPr>
              <w:t>:</w:t>
            </w:r>
            <w:r>
              <w:rPr>
                <w:rFonts w:ascii="Times New Roman" w:hAnsi="Times New Roman" w:eastAsia="方正仿宋_GBK"/>
                <w:color w:val="auto"/>
                <w:sz w:val="24"/>
                <w:szCs w:val="24"/>
              </w:rPr>
              <w:t>2</w:t>
            </w:r>
            <w:r>
              <w:rPr>
                <w:rFonts w:hint="eastAsia" w:ascii="Times New Roman" w:hAnsi="Times New Roman" w:eastAsia="方正仿宋_GBK"/>
                <w:color w:val="auto"/>
                <w:sz w:val="24"/>
                <w:szCs w:val="24"/>
                <w:lang w:val="en-US" w:eastAsia="zh-CN"/>
              </w:rPr>
              <w:t>:</w:t>
            </w:r>
            <w:r>
              <w:rPr>
                <w:rFonts w:ascii="Times New Roman" w:hAnsi="Times New Roman" w:eastAsia="方正仿宋_GBK"/>
                <w:color w:val="auto"/>
                <w:sz w:val="24"/>
                <w:szCs w:val="24"/>
              </w:rPr>
              <w:t>2</w:t>
            </w:r>
            <w:r>
              <w:rPr>
                <w:rFonts w:hint="eastAsia" w:ascii="Times New Roman" w:hAnsi="Times New Roman" w:eastAsia="方正仿宋_GBK"/>
                <w:color w:val="auto"/>
                <w:sz w:val="24"/>
                <w:szCs w:val="24"/>
                <w:lang w:val="en-US" w:eastAsia="zh-CN"/>
              </w:rPr>
              <w:t>:</w:t>
            </w:r>
            <w:r>
              <w:rPr>
                <w:rFonts w:ascii="Times New Roman" w:hAnsi="Times New Roman" w:eastAsia="方正仿宋_GBK"/>
                <w:color w:val="auto"/>
                <w:sz w:val="24"/>
                <w:szCs w:val="24"/>
              </w:rPr>
              <w:t>1分配权重</w:t>
            </w:r>
            <w:r>
              <w:rPr>
                <w:rFonts w:hint="eastAsia" w:ascii="Times New Roman" w:hAnsi="Times New Roman" w:eastAsia="方正仿宋_GBK"/>
                <w:color w:val="auto"/>
                <w:sz w:val="24"/>
                <w:szCs w:val="24"/>
              </w:rPr>
              <w:t>。</w:t>
            </w: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en-US"/>
              </w:rPr>
              <w:t>灌溉水利用系数任务完成率：考核灌溉水有效利用系数目标值完成率、大中型灌区节水改造项目年度投资任务完成率、大中型灌区节水改造项目竣工验收任务完成率、标准化规范化灌区创建任务完成率按5</w:t>
            </w:r>
            <w:r>
              <w:rPr>
                <w:rFonts w:hint="eastAsia" w:ascii="Times New Roman" w:hAnsi="Times New Roman" w:eastAsia="方正仿宋_GBK"/>
                <w:color w:val="auto"/>
                <w:sz w:val="24"/>
                <w:szCs w:val="24"/>
                <w:lang w:val="en-US" w:eastAsia="zh-CN"/>
              </w:rPr>
              <w:t>:</w:t>
            </w:r>
            <w:r>
              <w:rPr>
                <w:rFonts w:hint="eastAsia" w:ascii="Times New Roman" w:hAnsi="Times New Roman" w:eastAsia="方正仿宋_GBK"/>
                <w:color w:val="auto"/>
                <w:sz w:val="24"/>
                <w:szCs w:val="24"/>
                <w:lang w:val="en-US" w:eastAsia="en-US"/>
              </w:rPr>
              <w:t>2</w:t>
            </w:r>
            <w:r>
              <w:rPr>
                <w:rFonts w:hint="eastAsia" w:ascii="Times New Roman" w:hAnsi="Times New Roman" w:eastAsia="方正仿宋_GBK"/>
                <w:color w:val="auto"/>
                <w:sz w:val="24"/>
                <w:szCs w:val="24"/>
                <w:lang w:val="en-US" w:eastAsia="zh-CN"/>
              </w:rPr>
              <w:t>:</w:t>
            </w:r>
            <w:r>
              <w:rPr>
                <w:rFonts w:hint="eastAsia" w:ascii="Times New Roman" w:hAnsi="Times New Roman" w:eastAsia="方正仿宋_GBK"/>
                <w:color w:val="auto"/>
                <w:sz w:val="24"/>
                <w:szCs w:val="24"/>
                <w:lang w:val="en-US" w:eastAsia="en-US"/>
              </w:rPr>
              <w:t>2</w:t>
            </w:r>
            <w:r>
              <w:rPr>
                <w:rFonts w:hint="eastAsia" w:ascii="Times New Roman" w:hAnsi="Times New Roman" w:eastAsia="方正仿宋_GBK"/>
                <w:color w:val="auto"/>
                <w:sz w:val="24"/>
                <w:szCs w:val="24"/>
                <w:lang w:val="en-US" w:eastAsia="zh-CN"/>
              </w:rPr>
              <w:t>:</w:t>
            </w:r>
            <w:r>
              <w:rPr>
                <w:rFonts w:hint="eastAsia" w:ascii="Times New Roman" w:hAnsi="Times New Roman" w:eastAsia="方正仿宋_GBK"/>
                <w:color w:val="auto"/>
                <w:sz w:val="24"/>
                <w:szCs w:val="24"/>
                <w:lang w:val="en-US" w:eastAsia="en-US"/>
              </w:rPr>
              <w:t>1分配权重。若当年度该区县（自治县）无中型灌区节水改造项目建设或验收任务，或者没有标准化规范化灌区创建任务的，对应项分值纳入灌溉水有效利用系数目标值完成率进行考核。灌溉水有效利用系数目标值完成率=农田灌溉水有效利用系数/年度目标值×100%。≥100%该项得全分；&lt;100%该项“0”分；大中型灌区节水改造项目年度投资任务完成率=本年度累计完成投资/实施方案批复本年度应完成投资×100%。投资完成率≥80%的该项得全分，60%≤投资任务完成率&lt;80%的按比例得分，投资完成率&lt;60%的不得分；大中型灌区项目竣工验收任务完成率=本年内竣工验收项目个数/本年内应竣工验收项目个数×100%。按竣工验收完成率占比得分；标准化规范化灌区创建任务完成率=本年已达标灌区个数/本年下达创建任务个数×100%。按创建任务完成率占比得分。</w:t>
            </w:r>
          </w:p>
        </w:tc>
        <w:tc>
          <w:tcPr>
            <w:tcW w:w="1410" w:type="dxa"/>
            <w:vAlign w:val="center"/>
          </w:tcPr>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王兵</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农村水利科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1035" w:type="dxa"/>
            <w:vMerge w:val="restart"/>
            <w:tcBorders>
              <w:top w:val="single" w:color="auto" w:sz="4" w:space="0"/>
              <w:left w:val="single" w:color="auto" w:sz="4" w:space="0"/>
              <w:right w:val="single" w:color="auto" w:sz="4" w:space="0"/>
            </w:tcBorders>
            <w:vAlign w:val="center"/>
          </w:tcPr>
          <w:p>
            <w:pPr>
              <w:jc w:val="center"/>
              <w:rPr>
                <w:rFonts w:ascii="Arial"/>
                <w:sz w:val="24"/>
                <w:szCs w:val="24"/>
              </w:rPr>
            </w:pPr>
            <w:r>
              <w:rPr>
                <w:rFonts w:hint="eastAsia" w:ascii="Times New Roman" w:hAnsi="Times New Roman" w:eastAsia="方正仿宋_GBK"/>
                <w:color w:val="auto"/>
                <w:sz w:val="24"/>
                <w:szCs w:val="24"/>
              </w:rPr>
              <w:t>水文</w:t>
            </w:r>
            <w:r>
              <w:rPr>
                <w:rFonts w:ascii="Times New Roman" w:hAnsi="Times New Roman" w:eastAsia="方正仿宋_GBK"/>
                <w:color w:val="auto"/>
                <w:sz w:val="24"/>
                <w:szCs w:val="24"/>
              </w:rPr>
              <w:t>水资源</w:t>
            </w:r>
            <w:r>
              <w:rPr>
                <w:rFonts w:hint="eastAsia" w:ascii="Times New Roman" w:hAnsi="Times New Roman" w:eastAsia="方正仿宋_GBK"/>
                <w:color w:val="auto"/>
                <w:sz w:val="24"/>
                <w:szCs w:val="24"/>
              </w:rPr>
              <w:t>监测</w:t>
            </w:r>
          </w:p>
        </w:tc>
        <w:tc>
          <w:tcPr>
            <w:tcW w:w="1120" w:type="dxa"/>
            <w:vMerge w:val="restart"/>
            <w:tcBorders>
              <w:left w:val="single" w:color="auto" w:sz="4" w:space="0"/>
            </w:tcBorders>
            <w:vAlign w:val="center"/>
          </w:tcPr>
          <w:p>
            <w:pPr>
              <w:spacing w:before="270" w:line="184" w:lineRule="auto"/>
              <w:ind w:left="216"/>
              <w:jc w:val="center"/>
              <w:rPr>
                <w:rFonts w:ascii="Times New Roman" w:hAnsi="Times New Roman" w:eastAsia="Times New Roman" w:cs="Times New Roman"/>
                <w:sz w:val="24"/>
                <w:szCs w:val="24"/>
              </w:rPr>
            </w:pPr>
            <w:r>
              <w:rPr>
                <w:rFonts w:hint="eastAsia" w:ascii="Times New Roman" w:hAnsi="Times New Roman" w:eastAsia="方正仿宋_GBK"/>
                <w:color w:val="auto"/>
                <w:sz w:val="24"/>
                <w:szCs w:val="24"/>
              </w:rPr>
              <w:t>20</w:t>
            </w:r>
            <w:r>
              <w:rPr>
                <w:rFonts w:ascii="Times New Roman" w:hAnsi="Times New Roman" w:eastAsia="方正仿宋_GBK"/>
                <w:color w:val="auto"/>
                <w:sz w:val="24"/>
                <w:szCs w:val="24"/>
              </w:rPr>
              <w:t>%</w:t>
            </w:r>
          </w:p>
        </w:tc>
        <w:tc>
          <w:tcPr>
            <w:tcW w:w="1575" w:type="dxa"/>
            <w:vMerge w:val="restart"/>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水文监测完整率</w:t>
            </w:r>
          </w:p>
        </w:tc>
        <w:tc>
          <w:tcPr>
            <w:tcW w:w="1230" w:type="dxa"/>
            <w:vMerge w:val="restart"/>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10%</w:t>
            </w:r>
          </w:p>
        </w:tc>
        <w:tc>
          <w:tcPr>
            <w:tcW w:w="2595" w:type="dxa"/>
            <w:vMerge w:val="restart"/>
            <w:vAlign w:val="center"/>
          </w:tcPr>
          <w:p>
            <w:pPr>
              <w:snapToGrid w:val="0"/>
              <w:spacing w:line="594" w:lineRule="exact"/>
              <w:jc w:val="left"/>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en-US"/>
              </w:rPr>
              <w:t>水文监测和水文预警的完成程度，3:2分配权重。</w:t>
            </w: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en-US"/>
              </w:rPr>
              <w:t>水文监测预警完整率：包括水文监测和水文预警的完成程度，按照3:2分配权重。水文监测完整率：按照年度水文监测工作任务量（包括生态流量监测）报送相关资料，计算年度完整率，得分以完整率乘以60%计。</w:t>
            </w:r>
          </w:p>
        </w:tc>
        <w:tc>
          <w:tcPr>
            <w:tcW w:w="1410" w:type="dxa"/>
            <w:vAlign w:val="center"/>
          </w:tcPr>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唐楷明</w:t>
            </w:r>
          </w:p>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eastAsia="zh-CN"/>
              </w:rPr>
              <w:t>刘虹</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河道管理科</w:t>
            </w:r>
          </w:p>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水文站</w:t>
            </w:r>
          </w:p>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eastAsia="zh-CN"/>
              </w:rPr>
              <w:t>水资源管理科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1035" w:type="dxa"/>
            <w:vMerge w:val="continue"/>
            <w:tcBorders>
              <w:left w:val="single" w:color="auto" w:sz="4" w:space="0"/>
              <w:right w:val="single" w:color="auto" w:sz="4" w:space="0"/>
            </w:tcBorders>
            <w:vAlign w:val="center"/>
          </w:tcPr>
          <w:p>
            <w:pPr>
              <w:jc w:val="center"/>
              <w:rPr>
                <w:rFonts w:hint="eastAsia" w:ascii="Times New Roman" w:hAnsi="Times New Roman" w:eastAsia="方正仿宋_GBK"/>
                <w:color w:val="auto"/>
                <w:sz w:val="24"/>
                <w:szCs w:val="24"/>
              </w:rPr>
            </w:pPr>
          </w:p>
        </w:tc>
        <w:tc>
          <w:tcPr>
            <w:tcW w:w="1120" w:type="dxa"/>
            <w:vMerge w:val="continue"/>
            <w:tcBorders>
              <w:left w:val="single" w:color="auto" w:sz="4" w:space="0"/>
            </w:tcBorders>
            <w:vAlign w:val="center"/>
          </w:tcPr>
          <w:p>
            <w:pPr>
              <w:spacing w:before="270" w:line="184" w:lineRule="auto"/>
              <w:ind w:left="216"/>
              <w:jc w:val="center"/>
              <w:rPr>
                <w:rFonts w:hint="eastAsia" w:ascii="Times New Roman" w:hAnsi="Times New Roman" w:eastAsia="方正仿宋_GBK"/>
                <w:color w:val="auto"/>
                <w:sz w:val="24"/>
                <w:szCs w:val="24"/>
              </w:rPr>
            </w:pPr>
          </w:p>
        </w:tc>
        <w:tc>
          <w:tcPr>
            <w:tcW w:w="1575" w:type="dxa"/>
            <w:vMerge w:val="continue"/>
            <w:vAlign w:val="center"/>
          </w:tcPr>
          <w:p>
            <w:pPr>
              <w:adjustRightInd w:val="0"/>
              <w:snapToGrid w:val="0"/>
              <w:jc w:val="center"/>
              <w:rPr>
                <w:rFonts w:ascii="Times New Roman" w:hAnsi="Times New Roman" w:eastAsia="方正仿宋_GBK"/>
                <w:color w:val="auto"/>
                <w:sz w:val="24"/>
                <w:szCs w:val="24"/>
              </w:rPr>
            </w:pPr>
          </w:p>
        </w:tc>
        <w:tc>
          <w:tcPr>
            <w:tcW w:w="1230" w:type="dxa"/>
            <w:vMerge w:val="continue"/>
            <w:vAlign w:val="center"/>
          </w:tcPr>
          <w:p>
            <w:pPr>
              <w:adjustRightInd w:val="0"/>
              <w:snapToGrid w:val="0"/>
              <w:jc w:val="center"/>
              <w:rPr>
                <w:rFonts w:ascii="Times New Roman" w:hAnsi="Times New Roman" w:eastAsia="方正仿宋_GBK"/>
                <w:color w:val="auto"/>
                <w:sz w:val="24"/>
                <w:szCs w:val="24"/>
              </w:rPr>
            </w:pPr>
          </w:p>
        </w:tc>
        <w:tc>
          <w:tcPr>
            <w:tcW w:w="2595" w:type="dxa"/>
            <w:vMerge w:val="continue"/>
            <w:vAlign w:val="center"/>
          </w:tcPr>
          <w:p>
            <w:pPr>
              <w:snapToGrid w:val="0"/>
              <w:spacing w:line="594" w:lineRule="exact"/>
              <w:jc w:val="left"/>
              <w:rPr>
                <w:rFonts w:hint="eastAsia" w:ascii="Times New Roman" w:hAnsi="Times New Roman" w:eastAsia="方正仿宋_GBK"/>
                <w:color w:val="auto"/>
                <w:sz w:val="24"/>
                <w:szCs w:val="24"/>
                <w:lang w:val="en-US" w:eastAsia="en-US"/>
              </w:rPr>
            </w:pP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en-US"/>
              </w:rPr>
              <w:t>水文预警完整率：按照年度水文情报预报工作任务报送相关资料数据，计算年度完整率，得分以完整率乘以40%计。按水文监测完整率与水文预警完整率得分总和从高到低进行排序，按功效系数法计分，排名第一得分100分，最后一名得分60分。</w:t>
            </w:r>
          </w:p>
        </w:tc>
        <w:tc>
          <w:tcPr>
            <w:tcW w:w="1410" w:type="dxa"/>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zh-CN"/>
              </w:rPr>
              <w:t>唐楷明</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河道管理科</w:t>
            </w:r>
          </w:p>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水文站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1035" w:type="dxa"/>
            <w:vMerge w:val="continue"/>
            <w:tcBorders>
              <w:left w:val="single" w:color="auto" w:sz="4" w:space="0"/>
              <w:bottom w:val="single" w:color="auto" w:sz="4" w:space="0"/>
              <w:right w:val="single" w:color="auto" w:sz="4" w:space="0"/>
            </w:tcBorders>
            <w:vAlign w:val="center"/>
          </w:tcPr>
          <w:p>
            <w:pPr>
              <w:jc w:val="center"/>
              <w:rPr>
                <w:rFonts w:ascii="Arial"/>
                <w:sz w:val="24"/>
                <w:szCs w:val="24"/>
              </w:rPr>
            </w:pPr>
          </w:p>
        </w:tc>
        <w:tc>
          <w:tcPr>
            <w:tcW w:w="1120" w:type="dxa"/>
            <w:vMerge w:val="continue"/>
            <w:tcBorders>
              <w:left w:val="single" w:color="auto" w:sz="4" w:space="0"/>
            </w:tcBorders>
            <w:vAlign w:val="center"/>
          </w:tcPr>
          <w:p>
            <w:pPr>
              <w:spacing w:before="63" w:line="187" w:lineRule="auto"/>
              <w:ind w:left="222"/>
              <w:jc w:val="center"/>
              <w:rPr>
                <w:rFonts w:ascii="Times New Roman" w:hAnsi="Times New Roman" w:eastAsia="Times New Roman" w:cs="Times New Roman"/>
                <w:sz w:val="24"/>
                <w:szCs w:val="24"/>
              </w:rPr>
            </w:pPr>
          </w:p>
        </w:tc>
        <w:tc>
          <w:tcPr>
            <w:tcW w:w="1575" w:type="dxa"/>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水资源质量监测完整率</w:t>
            </w:r>
          </w:p>
        </w:tc>
        <w:tc>
          <w:tcPr>
            <w:tcW w:w="1230" w:type="dxa"/>
            <w:vAlign w:val="center"/>
          </w:tcPr>
          <w:p>
            <w:pPr>
              <w:adjustRightInd w:val="0"/>
              <w:snapToGrid w:val="0"/>
              <w:jc w:val="center"/>
              <w:rPr>
                <w:rFonts w:ascii="Times New Roman" w:hAnsi="Times New Roman" w:eastAsia="方正仿宋_GBK" w:cs="Arial"/>
                <w:snapToGrid w:val="0"/>
                <w:color w:val="auto"/>
                <w:kern w:val="0"/>
                <w:sz w:val="24"/>
                <w:szCs w:val="24"/>
                <w:lang w:val="en-US" w:eastAsia="en-US" w:bidi="ar-SA"/>
              </w:rPr>
            </w:pPr>
            <w:r>
              <w:rPr>
                <w:rFonts w:ascii="Times New Roman" w:hAnsi="Times New Roman" w:eastAsia="方正仿宋_GBK"/>
                <w:color w:val="auto"/>
                <w:sz w:val="24"/>
                <w:szCs w:val="24"/>
              </w:rPr>
              <w:t>10%</w:t>
            </w:r>
          </w:p>
        </w:tc>
        <w:tc>
          <w:tcPr>
            <w:tcW w:w="2595" w:type="dxa"/>
            <w:vAlign w:val="center"/>
          </w:tcPr>
          <w:p>
            <w:pPr>
              <w:snapToGrid w:val="0"/>
              <w:spacing w:line="594" w:lineRule="exact"/>
              <w:jc w:val="left"/>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en-US"/>
              </w:rPr>
              <w:t>包括监测指标覆盖率和监测断面</w:t>
            </w:r>
            <w:r>
              <w:rPr>
                <w:rFonts w:hint="eastAsia" w:ascii="Times New Roman" w:hAnsi="Times New Roman" w:eastAsia="方正仿宋_GBK"/>
                <w:color w:val="auto"/>
                <w:sz w:val="24"/>
                <w:szCs w:val="24"/>
                <w:lang w:val="en-US" w:eastAsia="zh-CN"/>
              </w:rPr>
              <w:t>完成率</w:t>
            </w:r>
            <w:r>
              <w:rPr>
                <w:rFonts w:hint="eastAsia" w:ascii="Times New Roman" w:hAnsi="Times New Roman" w:eastAsia="方正仿宋_GBK"/>
                <w:color w:val="auto"/>
                <w:sz w:val="24"/>
                <w:szCs w:val="24"/>
                <w:lang w:val="en-US" w:eastAsia="en-US"/>
              </w:rPr>
              <w:t>，3:2分配权重。</w:t>
            </w:r>
          </w:p>
        </w:tc>
        <w:tc>
          <w:tcPr>
            <w:tcW w:w="10125" w:type="dxa"/>
            <w:vAlign w:val="center"/>
          </w:tcPr>
          <w:p>
            <w:pPr>
              <w:snapToGrid w:val="0"/>
              <w:spacing w:line="594" w:lineRule="exact"/>
              <w:jc w:val="both"/>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en-US"/>
              </w:rPr>
              <w:t>监测指标覆盖率：得分以是否具备GB 3838-2002《地表水环境质量标准》表1中24项和表2中5项、GB 5749-2022 《生活饮用水卫生标准》中表1和表2常规指标（不含：一氯二溴甲烷、二氯一溴甲烷、三溴甲烷、三卤甲烷、二氯乙酸、三氯乙酸、总α放射性、总β放射性，表1中序号12-21的指标和表2中消毒剂常规指标根据辖区内水厂消毒工艺选择）的监测指标的能力计算监测率，得分以监测率乘以60%计。监测断面</w:t>
            </w:r>
            <w:r>
              <w:rPr>
                <w:rFonts w:hint="eastAsia" w:ascii="Times New Roman" w:hAnsi="Times New Roman" w:eastAsia="方正仿宋_GBK"/>
                <w:color w:val="auto"/>
                <w:sz w:val="24"/>
                <w:szCs w:val="24"/>
                <w:lang w:val="en-US" w:eastAsia="zh-CN"/>
              </w:rPr>
              <w:t>完成</w:t>
            </w:r>
            <w:r>
              <w:rPr>
                <w:rFonts w:hint="eastAsia" w:ascii="Times New Roman" w:hAnsi="Times New Roman" w:eastAsia="方正仿宋_GBK"/>
                <w:color w:val="auto"/>
                <w:sz w:val="24"/>
                <w:szCs w:val="24"/>
                <w:lang w:val="en-US" w:eastAsia="en-US"/>
              </w:rPr>
              <w:t>率：按照年度监测断面报送情况计算年度报送率，得分以报送率乘以40%计。按监测指标覆盖率与监测断面覆盖率得分总和从高到低进行排序，按功效系数法计分，排名第一得分100分，最后一名得分60分。</w:t>
            </w:r>
          </w:p>
        </w:tc>
        <w:tc>
          <w:tcPr>
            <w:tcW w:w="1410" w:type="dxa"/>
            <w:vAlign w:val="center"/>
          </w:tcPr>
          <w:p>
            <w:pPr>
              <w:snapToGrid w:val="0"/>
              <w:spacing w:line="594" w:lineRule="exact"/>
              <w:jc w:val="center"/>
              <w:rPr>
                <w:rFonts w:hint="eastAsia" w:ascii="Times New Roman" w:hAnsi="Times New Roman" w:eastAsia="方正仿宋_GBK"/>
                <w:color w:val="auto"/>
                <w:sz w:val="24"/>
                <w:szCs w:val="24"/>
                <w:lang w:val="en-US" w:eastAsia="en-US"/>
              </w:rPr>
            </w:pPr>
            <w:r>
              <w:rPr>
                <w:rFonts w:hint="eastAsia" w:ascii="Times New Roman" w:hAnsi="Times New Roman" w:eastAsia="方正仿宋_GBK"/>
                <w:color w:val="auto"/>
                <w:sz w:val="24"/>
                <w:szCs w:val="24"/>
                <w:lang w:val="en-US" w:eastAsia="zh-CN"/>
              </w:rPr>
              <w:t>骆祥</w:t>
            </w:r>
          </w:p>
        </w:tc>
        <w:tc>
          <w:tcPr>
            <w:tcW w:w="2310" w:type="dxa"/>
            <w:tcBorders>
              <w:right w:val="single" w:color="000000" w:sz="4" w:space="0"/>
            </w:tcBorders>
            <w:vAlign w:val="center"/>
          </w:tcPr>
          <w:p>
            <w:pPr>
              <w:snapToGrid w:val="0"/>
              <w:spacing w:line="594"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水利质量服务站</w:t>
            </w:r>
          </w:p>
        </w:tc>
      </w:tr>
    </w:tbl>
    <w:p>
      <w:pPr>
        <w:spacing w:line="95" w:lineRule="exact"/>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sectPr>
          <w:footerReference r:id="rId6" w:type="default"/>
          <w:pgSz w:w="23812" w:h="16838"/>
          <w:pgMar w:top="2098" w:right="1474" w:bottom="1984" w:left="1587" w:header="0" w:footer="878" w:gutter="0"/>
          <w:pgNumType w:fmt="numberInDash"/>
          <w:cols w:space="720" w:num="1"/>
        </w:sectPr>
      </w:pPr>
      <w:bookmarkStart w:id="0" w:name="_GoBack"/>
      <w:bookmarkEnd w:id="0"/>
    </w:p>
    <w:p>
      <w:pPr>
        <w:rPr>
          <w:rFonts w:ascii="Arial"/>
          <w:sz w:val="21"/>
        </w:rPr>
      </w:pPr>
    </w:p>
    <w:sectPr>
      <w:pgSz w:w="11906" w:h="16838"/>
      <w:pgMar w:top="2098" w:right="1474" w:bottom="1984" w:left="1587" w:header="0" w:footer="113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- 1 -</w:t>
                          </w:r>
                          <w:r>
                            <w:rPr>
                              <w:rFonts w:hint="eastAsia" w:asciiTheme="minorEastAsia" w:hAnsiTheme="minorEastAsia" w:eastAsiaTheme="minorEastAsia" w:cstheme="minorEastAsia"/>
                              <w:sz w:val="28"/>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- 1 -</w:t>
                    </w:r>
                    <w:r>
                      <w:rPr>
                        <w:rFonts w:hint="eastAsia" w:asciiTheme="minorEastAsia" w:hAnsiTheme="minorEastAsia" w:eastAsiaTheme="minorEastAsia" w:cstheme="minorEastAsia"/>
                        <w:sz w:val="28"/>
                        <w:szCs w:val="36"/>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kxY2ZmYTI4YjU0NjRmMWZmYzJhODJhY2I5MzM4MDAifQ=="/>
  </w:docVars>
  <w:rsids>
    <w:rsidRoot w:val="00000000"/>
    <w:rsid w:val="01FE3FE9"/>
    <w:rsid w:val="038375EC"/>
    <w:rsid w:val="099B68C7"/>
    <w:rsid w:val="0AC12AA0"/>
    <w:rsid w:val="0B4E1717"/>
    <w:rsid w:val="10BA7D11"/>
    <w:rsid w:val="119C75C1"/>
    <w:rsid w:val="18BD38C1"/>
    <w:rsid w:val="1AD1742E"/>
    <w:rsid w:val="1BD347FD"/>
    <w:rsid w:val="1FBB33C8"/>
    <w:rsid w:val="1FC572A1"/>
    <w:rsid w:val="228C5D81"/>
    <w:rsid w:val="25AC1734"/>
    <w:rsid w:val="29444E43"/>
    <w:rsid w:val="2B711D54"/>
    <w:rsid w:val="2F273D31"/>
    <w:rsid w:val="3A297440"/>
    <w:rsid w:val="3D0C4E0B"/>
    <w:rsid w:val="424B4578"/>
    <w:rsid w:val="42A763F6"/>
    <w:rsid w:val="42F56341"/>
    <w:rsid w:val="43F91CB6"/>
    <w:rsid w:val="491F0B54"/>
    <w:rsid w:val="4A743A85"/>
    <w:rsid w:val="4CB132D9"/>
    <w:rsid w:val="4D6C0FAE"/>
    <w:rsid w:val="4E7D4C10"/>
    <w:rsid w:val="53A019B1"/>
    <w:rsid w:val="5831156D"/>
    <w:rsid w:val="5C6D0E94"/>
    <w:rsid w:val="5F5330B9"/>
    <w:rsid w:val="607E751E"/>
    <w:rsid w:val="619C1A0A"/>
    <w:rsid w:val="65FE740D"/>
    <w:rsid w:val="6C327B3B"/>
    <w:rsid w:val="6EBA7973"/>
    <w:rsid w:val="70455963"/>
    <w:rsid w:val="73C31078"/>
    <w:rsid w:val="74274E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basedOn w:val="1"/>
    <w:qFormat/>
    <w:uiPriority w:val="99"/>
    <w:pPr>
      <w:autoSpaceDE w:val="0"/>
      <w:autoSpaceDN w:val="0"/>
    </w:pPr>
    <w:rPr>
      <w:rFonts w:ascii="方正仿宋_GBK" w:eastAsia="方正仿宋_GBK"/>
      <w:color w:val="000000"/>
      <w:sz w:val="24"/>
      <w:szCs w:val="24"/>
    </w:r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2023-11-21T15:09:00Z</dcterms:created>
  <dc:creator>user</dc:creator>
  <cp:lastModifiedBy>袁晨曦</cp:lastModifiedBy>
  <cp:lastPrinted>2023-11-23T02:37:00Z</cp:lastPrinted>
  <dcterms:modified xsi:type="dcterms:W3CDTF">2023-12-13T07:21:54Z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2023-11-21T15:11:03Z</vt:filetime>
  </property>
  <property fmtid="{D5CDD505-2E9C-101B-9397-08002B2CF9AE}" pid="4" name="KSOProductBuildVer">
    <vt:lpwstr>2052-12.1.0.15712</vt:lpwstr>
  </property>
  <property fmtid="{D5CDD505-2E9C-101B-9397-08002B2CF9AE}" pid="5" name="ICV">
    <vt:lpwstr>CD695721F7484777A49650AB34620714_13</vt:lpwstr>
  </property>
</Properties>
</file>